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RMTGuard External Review Packet</w:t>
      </w:r>
    </w:p>
    <w:p>
      <w:pPr>
        <w:jc w:val="center"/>
      </w:pPr>
      <w:r>
        <w:rPr>
          <w:i/>
        </w:rPr>
        <w:t>Evidence-freeze aligned manuscript materials for pre-review</w:t>
      </w:r>
    </w:p>
    <w:p>
      <w:r>
        <w:t>Generated: 2026-05-12 13:30:49</w:t>
      </w:r>
    </w:p>
    <w:tbl>
      <w:tblPr>
        <w:tblStyle w:val="TableGrid"/>
        <w:tblW w:type="auto" w:w="0"/>
        <w:jc w:val="center"/>
        <w:tblLook w:firstColumn="1" w:firstRow="1" w:lastColumn="0" w:lastRow="0" w:noHBand="0" w:noVBand="1" w:val="04A0"/>
      </w:tblPr>
      <w:tblGrid>
        <w:gridCol w:w="5040"/>
        <w:gridCol w:w="5040"/>
      </w:tblGrid>
      <w:tr>
        <w:tc>
          <w:tcPr>
            <w:tcW w:type="dxa" w:w="5040"/>
          </w:tcPr>
          <w:p>
            <w:r>
              <w:t>Item</w:t>
            </w:r>
          </w:p>
        </w:tc>
        <w:tc>
          <w:tcPr>
            <w:tcW w:type="dxa" w:w="5040"/>
          </w:tcPr>
          <w:p>
            <w:r>
              <w:t>Current value</w:t>
            </w:r>
          </w:p>
        </w:tc>
      </w:tr>
      <w:tr>
        <w:tc>
          <w:tcPr>
            <w:tcW w:type="dxa" w:w="5040"/>
            <w:vAlign w:val="top"/>
          </w:tcPr>
          <w:p>
            <w:r>
              <w:t>Current route</w:t>
            </w:r>
          </w:p>
        </w:tc>
        <w:tc>
          <w:tcPr>
            <w:tcW w:type="dxa" w:w="5040"/>
            <w:vAlign w:val="top"/>
          </w:tcPr>
          <w:p>
            <w:r>
              <w:t>Nature Methods remains a stretch target; Genome Biology is the realistic fallback if the high-impact gate is not recovered.</w:t>
            </w:r>
          </w:p>
        </w:tc>
      </w:tr>
      <w:tr>
        <w:tc>
          <w:tcPr>
            <w:tcW w:type="dxa" w:w="5040"/>
            <w:vAlign w:val="top"/>
          </w:tcPr>
          <w:p>
            <w:r>
              <w:t>Acceptance guarantee</w:t>
            </w:r>
          </w:p>
        </w:tc>
        <w:tc>
          <w:tcPr>
            <w:tcW w:type="dxa" w:w="5040"/>
            <w:vAlign w:val="top"/>
          </w:tcPr>
          <w:p>
            <w:r>
              <w:t>Impossible. The document is for risk reduction and external critique, not a promise of publication.</w:t>
            </w:r>
          </w:p>
        </w:tc>
      </w:tr>
      <w:tr>
        <w:tc>
          <w:tcPr>
            <w:tcW w:type="dxa" w:w="5040"/>
            <w:vAlign w:val="top"/>
          </w:tcPr>
          <w:p>
            <w:r>
              <w:t>Public code</w:t>
            </w:r>
          </w:p>
        </w:tc>
        <w:tc>
          <w:tcPr>
            <w:tcW w:type="dxa" w:w="5040"/>
            <w:vAlign w:val="top"/>
          </w:tcPr>
          <w:p>
            <w:r>
              <w:t>Repository and DOI metadata are present for the archived release: https://github.com/healthgreat/rmtguard ; DOI 10.5281/zenodo.20012350.</w:t>
            </w:r>
          </w:p>
        </w:tc>
      </w:tr>
      <w:tr>
        <w:tc>
          <w:tcPr>
            <w:tcW w:type="dxa" w:w="5040"/>
            <w:vAlign w:val="top"/>
          </w:tcPr>
          <w:p>
            <w:r>
              <w:t>Core claim boundary</w:t>
            </w:r>
          </w:p>
        </w:tc>
        <w:tc>
          <w:tcPr>
            <w:tcW w:type="dxa" w:w="5040"/>
            <w:vAlign w:val="top"/>
          </w:tcPr>
          <w:p>
            <w:r>
              <w:t>Diagnostic random-matrix callability and noise-control reporting; not broad superiority over every fixed-PC/elbow workflow.</w:t>
            </w:r>
          </w:p>
        </w:tc>
      </w:tr>
      <w:tr>
        <w:tc>
          <w:tcPr>
            <w:tcW w:type="dxa" w:w="5040"/>
            <w:vAlign w:val="top"/>
          </w:tcPr>
          <w:p>
            <w:r>
              <w:t>Manual blocker</w:t>
            </w:r>
          </w:p>
        </w:tc>
        <w:tc>
          <w:tcPr>
            <w:tcW w:type="dxa" w:w="5040"/>
            <w:vAlign w:val="top"/>
          </w:tcPr>
          <w:p>
            <w:r>
              <w:t>Corresponding-author acknowledgement for bounded Figure 4 wording and final author declarations remain author-owned.</w:t>
            </w:r>
          </w:p>
        </w:tc>
      </w:tr>
    </w:tbl>
    <w:p>
      <w:r>
        <w:rPr>
          <w:b/>
        </w:rPr>
        <w:t>GitHub repository</w:t>
      </w:r>
      <w:r>
        <w:t>: https://github.com/healthgreat/rmtguard</w:t>
      </w:r>
    </w:p>
    <w:p>
      <w:r>
        <w:rPr>
          <w:b/>
        </w:rPr>
        <w:t>Zenodo DOI</w:t>
      </w:r>
      <w:r>
        <w:t>: https://doi.org/10.5281/zenodo.20012350</w:t>
      </w:r>
    </w:p>
    <w:p>
      <w:pPr>
        <w:pStyle w:val="Heading1"/>
      </w:pPr>
      <w:r>
        <w:t>Project progress Gantt snapshot</w:t>
      </w:r>
    </w:p>
    <w:p>
      <w:pPr>
        <w:jc w:val="center"/>
      </w:pPr>
      <w:r>
        <w:drawing>
          <wp:inline xmlns:a="http://schemas.openxmlformats.org/drawingml/2006/main" xmlns:pic="http://schemas.openxmlformats.org/drawingml/2006/picture">
            <wp:extent cx="5120640" cy="8463259"/>
            <wp:docPr id="1" name="Picture 1"/>
            <wp:cNvGraphicFramePr>
              <a:graphicFrameLocks noChangeAspect="1"/>
            </wp:cNvGraphicFramePr>
            <a:graphic>
              <a:graphicData uri="http://schemas.openxmlformats.org/drawingml/2006/picture">
                <pic:pic>
                  <pic:nvPicPr>
                    <pic:cNvPr id="0" name="rmtguard_project_gantt.png"/>
                    <pic:cNvPicPr/>
                  </pic:nvPicPr>
                  <pic:blipFill>
                    <a:blip r:embed="rId9"/>
                    <a:stretch>
                      <a:fillRect/>
                    </a:stretch>
                  </pic:blipFill>
                  <pic:spPr>
                    <a:xfrm>
                      <a:off x="0" y="0"/>
                      <a:ext cx="5120640" cy="8463259"/>
                    </a:xfrm>
                    <a:prstGeom prst="rect"/>
                  </pic:spPr>
                </pic:pic>
              </a:graphicData>
            </a:graphic>
          </wp:inline>
        </w:drawing>
      </w:r>
    </w:p>
    <w:p>
      <w:pPr>
        <w:sectPr>
          <w:pgSz w:w="12240" w:h="15840"/>
          <w:pgMar w:top="1008" w:right="1080" w:bottom="1008" w:left="1080" w:header="720" w:footer="720" w:gutter="0"/>
          <w:cols w:space="720"/>
          <w:docGrid w:linePitch="360"/>
        </w:sectPr>
      </w:pPr>
    </w:p>
    <w:p>
      <w:pPr>
        <w:pStyle w:val="Heading1"/>
      </w:pPr>
      <w:r>
        <w:t>Current evidence freeze</w:t>
      </w:r>
    </w:p>
    <w:p>
      <w:pPr>
        <w:pStyle w:val="Heading2"/>
      </w:pPr>
      <w:r>
        <w:t>RMTGuard current evidence freeze</w:t>
      </w:r>
    </w:p>
    <w:p>
      <w:r>
        <w:t>Date: 2026-05-12</w:t>
      </w:r>
    </w:p>
    <w:p>
      <w:r>
        <w:t>Project: RMTGuard</w:t>
      </w:r>
    </w:p>
    <w:p>
      <w:pPr>
        <w:pStyle w:val="Heading2"/>
      </w:pPr>
      <w:r>
        <w:t>Purpose</w:t>
      </w:r>
    </w:p>
    <w:p>
      <w:r>
        <w:t>This freeze records the current manuscript-facing evidence assets, their</w:t>
      </w:r>
    </w:p>
    <w:p>
      <w:r>
        <w:t>source files, checksums, claim boundaries, and next actions. It is a</w:t>
      </w:r>
    </w:p>
    <w:p>
      <w:r>
        <w:t>quality-control artifact, not a statement that the manuscript is ready for</w:t>
      </w:r>
    </w:p>
    <w:p>
      <w:r>
        <w:t>submission.</w:t>
      </w:r>
    </w:p>
    <w:p>
      <w:pPr>
        <w:pStyle w:val="Heading2"/>
      </w:pPr>
      <w:r>
        <w:t>Freeze Status</w:t>
      </w:r>
    </w:p>
    <w:p>
      <w:pPr>
        <w:pStyle w:val="ListBullet"/>
      </w:pPr>
      <w:r>
        <w:t>Items checked: 31</w:t>
      </w:r>
    </w:p>
    <w:p>
      <w:pPr>
        <w:pStyle w:val="ListBullet"/>
      </w:pPr>
      <w:r>
        <w:t>Missing items: 0</w:t>
      </w:r>
    </w:p>
    <w:p>
      <w:pPr>
        <w:pStyle w:val="ListBullet"/>
      </w:pPr>
      <w:r>
        <w:t>Manifest: results/submission/current_evidence_freeze_manifest.tsv</w:t>
      </w:r>
    </w:p>
    <w:p>
      <w:pPr>
        <w:pStyle w:val="Heading2"/>
      </w:pPr>
      <w:r>
        <w:t>Category Counts</w:t>
      </w:r>
    </w:p>
    <w:p>
      <w:pPr>
        <w:pStyle w:val="ListBullet"/>
      </w:pPr>
      <w:r>
        <w:t>competitor: 1</w:t>
      </w:r>
    </w:p>
    <w:p>
      <w:pPr>
        <w:pStyle w:val="ListBullet"/>
      </w:pPr>
      <w:r>
        <w:t>figure: 10</w:t>
      </w:r>
    </w:p>
    <w:p>
      <w:pPr>
        <w:pStyle w:val="ListBullet"/>
      </w:pPr>
      <w:r>
        <w:t>journal_route: 3</w:t>
      </w:r>
    </w:p>
    <w:p>
      <w:pPr>
        <w:pStyle w:val="ListBullet"/>
      </w:pPr>
      <w:r>
        <w:t>manual_blocker: 1</w:t>
      </w:r>
    </w:p>
    <w:p>
      <w:pPr>
        <w:pStyle w:val="ListBullet"/>
      </w:pPr>
      <w:r>
        <w:t>manuscript_text: 4</w:t>
      </w:r>
    </w:p>
    <w:p>
      <w:pPr>
        <w:pStyle w:val="ListBullet"/>
      </w:pPr>
      <w:r>
        <w:t>project_management: 1</w:t>
      </w:r>
    </w:p>
    <w:p>
      <w:pPr>
        <w:pStyle w:val="ListBullet"/>
      </w:pPr>
      <w:r>
        <w:t>release: 3</w:t>
      </w:r>
    </w:p>
    <w:p>
      <w:pPr>
        <w:pStyle w:val="ListBullet"/>
      </w:pPr>
      <w:r>
        <w:t>source_data: 5</w:t>
      </w:r>
    </w:p>
    <w:p>
      <w:pPr>
        <w:pStyle w:val="ListBullet"/>
      </w:pPr>
      <w:r>
        <w:t>statistics: 3</w:t>
      </w:r>
    </w:p>
    <w:p>
      <w:pPr>
        <w:pStyle w:val="Heading2"/>
      </w:pPr>
      <w:r>
        <w:t>Current 20-50 JIF Distance</w:t>
      </w:r>
    </w:p>
    <w:p>
      <w:pPr>
        <w:pStyle w:val="ListBullet"/>
      </w:pPr>
      <w:r>
        <w:t>Stronger than the earlier state: public code/DOI, scLENSpy comparator,</w:t>
      </w:r>
    </w:p>
    <w:p>
      <w:r>
        <w:t xml:space="preserve">  realistic null/power calibration, synthetic topology stress, real-data</w:t>
      </w:r>
    </w:p>
    <w:p>
      <w:r>
        <w:t xml:space="preserve">  topology monitor, no-call decision map, and strengthened Figure 4 assets</w:t>
      </w:r>
    </w:p>
    <w:p>
      <w:r>
        <w:t xml:space="preserve">  are now present.</w:t>
      </w:r>
    </w:p>
    <w:p>
      <w:pPr>
        <w:pStyle w:val="ListBullet"/>
      </w:pPr>
      <w:r>
        <w:t>Still not a guaranteed Nature Methods package: the strongest defensible</w:t>
      </w:r>
    </w:p>
    <w:p>
      <w:r>
        <w:t xml:space="preserve">  claim is diagnostic random-matrix callability with transparent</w:t>
      </w:r>
    </w:p>
    <w:p>
      <w:r>
        <w:t xml:space="preserve">  trade-offs, not broad superiority over all fixed-PC or elbow baselines.</w:t>
      </w:r>
    </w:p>
    <w:p>
      <w:pPr>
        <w:pStyle w:val="ListBullet"/>
      </w:pPr>
      <w:r>
        <w:t>Remaining high-impact risks: final source-data/figure freeze after all</w:t>
      </w:r>
    </w:p>
    <w:p>
      <w:r>
        <w:t xml:space="preserve">  benchmark decisions, corresponding-author Figure 4 acknowledgement,</w:t>
      </w:r>
    </w:p>
    <w:p>
      <w:r>
        <w:t xml:space="preserve">  and optional second real trajectory/perturbation topology dataset if</w:t>
      </w:r>
    </w:p>
    <w:p>
      <w:r>
        <w:t xml:space="preserve">  Nature Methods remains the preferred route.</w:t>
      </w:r>
    </w:p>
    <w:p>
      <w:pPr>
        <w:pStyle w:val="Heading1"/>
      </w:pPr>
      <w:r>
        <w:t>20-50 JIF gap assessment</w:t>
      </w:r>
    </w:p>
    <w:p>
      <w:pPr>
        <w:pStyle w:val="Heading2"/>
      </w:pPr>
      <w:r>
        <w:t>RMTGuard 20-50 JIF Gap Assessment</w:t>
      </w:r>
    </w:p>
    <w:p>
      <w:r>
        <w:t>Generated by python scripts/build_jif20_50_gap_assessment.py.</w:t>
      </w:r>
    </w:p>
    <w:p>
      <w:pPr>
        <w:pStyle w:val="Heading2"/>
      </w:pPr>
      <w:r>
        <w:t>Bottom Line</w:t>
      </w:r>
    </w:p>
    <w:p>
      <w:pPr>
        <w:pStyle w:val="ListBullet"/>
      </w:pPr>
      <w:r>
        <w:t>Current readiness score: 90/100 = 90.0%.</w:t>
      </w:r>
    </w:p>
    <w:p>
      <w:pPr>
        <w:pStyle w:val="ListBullet"/>
      </w:pPr>
      <w:r>
        <w:t>Acceptance guarantee: impossible.</w:t>
      </w:r>
    </w:p>
    <w:p>
      <w:pPr>
        <w:pStyle w:val="ListBullet"/>
      </w:pPr>
      <w:r>
        <w:t>Current strict 20-50 JIF status: not ready.</w:t>
      </w:r>
    </w:p>
    <w:p>
      <w:pPr>
        <w:pStyle w:val="ListBullet"/>
      </w:pPr>
      <w:r>
        <w:t>Current best strict 20-50 target: Nature Methods, but only after gate recovery.</w:t>
      </w:r>
    </w:p>
    <w:p>
      <w:pPr>
        <w:pStyle w:val="ListBullet"/>
      </w:pPr>
      <w:r>
        <w:t>Current most realistic fallback if strict 20-50 is relaxed: Genome Biology, but this is below strict 20 JIF by 2024 JIF and should be treated as a high-quality genomics fallback rather than a 20-50 target.</w:t>
      </w:r>
    </w:p>
    <w:p>
      <w:pPr>
        <w:pStyle w:val="ListBullet"/>
      </w:pPr>
      <w:r>
        <w:t>Active blocker groups: stability_advantage;PDAC_TME_corresponding_author_acknowledgement;editorial_send_status;nature_methods_route.</w:t>
      </w:r>
    </w:p>
    <w:p>
      <w:pPr>
        <w:pStyle w:val="Heading2"/>
      </w:pPr>
      <w:r>
        <w:t>Distance By Domain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Domain</w:t>
            </w:r>
          </w:p>
        </w:tc>
        <w:tc>
          <w:tcPr>
            <w:tcW w:type="dxa" w:w="1680"/>
          </w:tcPr>
          <w:p>
            <w:r>
              <w:t>Weight</w:t>
            </w:r>
          </w:p>
        </w:tc>
        <w:tc>
          <w:tcPr>
            <w:tcW w:type="dxa" w:w="1680"/>
          </w:tcPr>
          <w:p>
            <w:r>
              <w:t>Score</w:t>
            </w:r>
          </w:p>
        </w:tc>
        <w:tc>
          <w:tcPr>
            <w:tcW w:type="dxa" w:w="1680"/>
          </w:tcPr>
          <w:p>
            <w:r>
              <w:t>Status</w:t>
            </w:r>
          </w:p>
        </w:tc>
        <w:tc>
          <w:tcPr>
            <w:tcW w:type="dxa" w:w="1680"/>
          </w:tcPr>
          <w:p>
            <w:r>
              <w:t>Blocking items</w:t>
            </w:r>
          </w:p>
        </w:tc>
        <w:tc>
          <w:tcPr>
            <w:tcW w:type="dxa" w:w="1680"/>
          </w:tcPr>
          <w:p>
            <w:r>
              <w:t>Next supplement</w:t>
            </w:r>
          </w:p>
        </w:tc>
      </w:tr>
      <w:tr>
        <w:tc>
          <w:tcPr>
            <w:tcW w:type="dxa" w:w="1680"/>
          </w:tcPr>
          <w:p>
            <w:r>
              <w:t>scientific_core</w:t>
            </w:r>
          </w:p>
        </w:tc>
        <w:tc>
          <w:tcPr>
            <w:tcW w:type="dxa" w:w="1680"/>
          </w:tcPr>
          <w:p>
            <w:r>
              <w:t>25</w:t>
            </w:r>
          </w:p>
        </w:tc>
        <w:tc>
          <w:tcPr>
            <w:tcW w:type="dxa" w:w="1680"/>
          </w:tcPr>
          <w:p>
            <w:r>
              <w:t>18</w:t>
            </w:r>
          </w:p>
        </w:tc>
        <w:tc>
          <w:tcPr>
            <w:tcW w:type="dxa" w:w="1680"/>
          </w:tcPr>
          <w:p>
            <w:r>
              <w:t>partial</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r>
      <w:tr>
        <w:tc>
          <w:tcPr>
            <w:tcW w:type="dxa" w:w="1680"/>
          </w:tcPr>
          <w:p>
            <w:r>
              <w:t>calibration_statistics</w:t>
            </w:r>
          </w:p>
        </w:tc>
        <w:tc>
          <w:tcPr>
            <w:tcW w:type="dxa" w:w="1680"/>
          </w:tcPr>
          <w:p>
            <w:r>
              <w:t>15</w:t>
            </w:r>
          </w:p>
        </w:tc>
        <w:tc>
          <w:tcPr>
            <w:tcW w:type="dxa" w:w="1680"/>
          </w:tcPr>
          <w:p>
            <w:r>
              <w:t>15</w:t>
            </w:r>
          </w:p>
        </w:tc>
        <w:tc>
          <w:tcPr>
            <w:tcW w:type="dxa" w:w="1680"/>
          </w:tcPr>
          <w:p>
            <w:r>
              <w:t>manuscript_grade_calibration_done_limit_detected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r>
      <w:tr>
        <w:tc>
          <w:tcPr>
            <w:tcW w:type="dxa" w:w="1680"/>
          </w:tcPr>
          <w:p>
            <w:r>
              <w:t>release_reproducibility</w:t>
            </w:r>
          </w:p>
        </w:tc>
        <w:tc>
          <w:tcPr>
            <w:tcW w:type="dxa" w:w="1680"/>
          </w:tcPr>
          <w:p>
            <w:r>
              <w:t>25</w:t>
            </w:r>
          </w:p>
        </w:tc>
        <w:tc>
          <w:tcPr>
            <w:tcW w:type="dxa" w:w="1680"/>
          </w:tcPr>
          <w:p>
            <w:r>
              <w:t>25</w:t>
            </w:r>
          </w:p>
        </w:tc>
        <w:tc>
          <w:tcPr>
            <w:tcW w:type="dxa" w:w="1680"/>
          </w:tcPr>
          <w:p>
            <w:r>
              <w:t>pass</w:t>
            </w:r>
          </w:p>
        </w:tc>
        <w:tc>
          <w:tcPr>
            <w:tcW w:type="dxa" w:w="1680"/>
          </w:tcPr>
          <w:p>
            <w:r>
              <w:t>none</w:t>
            </w:r>
          </w:p>
        </w:tc>
        <w:tc>
          <w:tcPr>
            <w:tcW w:type="dxa" w:w="1680"/>
          </w:tcPr>
          <w:p>
            <w:r>
              <w:t>Keep v0.1.0 archived and immutable; create a future v0.1.1 only after the next benchmark/metadata freeze.</w:t>
            </w:r>
          </w:p>
        </w:tc>
      </w:tr>
      <w:tr>
        <w:tc>
          <w:tcPr>
            <w:tcW w:type="dxa" w:w="1680"/>
          </w:tcPr>
          <w:p>
            <w:r>
              <w:t>benchmark_breadth_and_baselines</w:t>
            </w:r>
          </w:p>
        </w:tc>
        <w:tc>
          <w:tcPr>
            <w:tcW w:type="dxa" w:w="1680"/>
          </w:tcPr>
          <w:p>
            <w:r>
              <w:t>15</w:t>
            </w:r>
          </w:p>
        </w:tc>
        <w:tc>
          <w:tcPr>
            <w:tcW w:type="dxa" w:w="1680"/>
          </w:tcPr>
          <w:p>
            <w:r>
              <w:t>15</w:t>
            </w:r>
          </w:p>
        </w:tc>
        <w:tc>
          <w:tcPr>
            <w:tcW w:type="dxa" w:w="1680"/>
          </w:tcPr>
          <w:p>
            <w:r>
              <w:t>controlled</w:t>
            </w:r>
          </w:p>
        </w:tc>
        <w:tc>
          <w:tcPr>
            <w:tcW w:type="dxa" w:w="1680"/>
          </w:tcPr>
          <w:p>
            <w:r>
              <w:t>none</w:t>
            </w:r>
          </w:p>
        </w:tc>
        <w:tc>
          <w:tcPr>
            <w:tcW w:type="dxa" w:w="1680"/>
          </w:tcPr>
          <w:p>
            <w:r>
              <w:t>Freeze the final comparator table.</w:t>
            </w:r>
          </w:p>
        </w:tc>
      </w:tr>
      <w:tr>
        <w:tc>
          <w:tcPr>
            <w:tcW w:type="dxa" w:w="1680"/>
          </w:tcPr>
          <w:p>
            <w:r>
              <w:t>biological_showcase</w:t>
            </w:r>
          </w:p>
        </w:tc>
        <w:tc>
          <w:tcPr>
            <w:tcW w:type="dxa" w:w="1680"/>
          </w:tcPr>
          <w:p>
            <w:r>
              <w:t>10</w:t>
            </w:r>
          </w:p>
        </w:tc>
        <w:tc>
          <w:tcPr>
            <w:tcW w:type="dxa" w:w="1680"/>
          </w:tcPr>
          <w:p>
            <w:r>
              <w:t>9</w:t>
            </w:r>
          </w:p>
        </w:tc>
        <w:tc>
          <w:tcPr>
            <w:tcW w:type="dxa" w:w="1680"/>
          </w:tcPr>
          <w:p>
            <w:r>
              <w:t>pathway_atlas_supported_with_limits</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r>
      <w:tr>
        <w:tc>
          <w:tcPr>
            <w:tcW w:type="dxa" w:w="1680"/>
          </w:tcPr>
          <w:p>
            <w:r>
              <w:t>manuscript_claim_control</w:t>
            </w:r>
          </w:p>
        </w:tc>
        <w:tc>
          <w:tcPr>
            <w:tcW w:type="dxa" w:w="1680"/>
          </w:tcPr>
          <w:p>
            <w:r>
              <w:t>10</w:t>
            </w:r>
          </w:p>
        </w:tc>
        <w:tc>
          <w:tcPr>
            <w:tcW w:type="dxa" w:w="1680"/>
          </w:tcPr>
          <w:p>
            <w:r>
              <w:t>8</w:t>
            </w:r>
          </w:p>
        </w:tc>
        <w:tc>
          <w:tcPr>
            <w:tcW w:type="dxa" w:w="1680"/>
          </w:tcPr>
          <w:p>
            <w:r>
              <w:t>controlled_but_not_submission_ready</w:t>
            </w:r>
          </w:p>
        </w:tc>
        <w:tc>
          <w:tcPr>
            <w:tcW w:type="dxa" w:w="1680"/>
          </w:tcPr>
          <w:p>
            <w:r>
              <w:t>editorial_send_status;nature_methods_route</w:t>
            </w:r>
          </w:p>
        </w:tc>
        <w:tc>
          <w:tcPr>
            <w:tcW w:type="dxa" w:w="1680"/>
          </w:tcPr>
          <w:p>
            <w:r>
              <w:t>After scientific and release blockers are fixed, regenerate final abstract, cover letter, reporting summary, source data, and claims.</w:t>
            </w:r>
          </w:p>
        </w:tc>
      </w:tr>
    </w:tbl>
    <w:p>
      <w:pPr>
        <w:pStyle w:val="Heading2"/>
      </w:pPr>
      <w:r>
        <w:t>Journal Route Check</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Journal</w:t>
            </w:r>
          </w:p>
        </w:tc>
        <w:tc>
          <w:tcPr>
            <w:tcW w:type="dxa" w:w="1680"/>
          </w:tcPr>
          <w:p>
            <w:r>
              <w:t>2024 JIF</w:t>
            </w:r>
          </w:p>
        </w:tc>
        <w:tc>
          <w:tcPr>
            <w:tcW w:type="dxa" w:w="1680"/>
          </w:tcPr>
          <w:p>
            <w:r>
              <w:t>5-year JIF</w:t>
            </w:r>
          </w:p>
        </w:tc>
        <w:tc>
          <w:tcPr>
            <w:tcW w:type="dxa" w:w="1680"/>
          </w:tcPr>
          <w:p>
            <w:r>
              <w:t>Strict 20-50 fit</w:t>
            </w:r>
          </w:p>
        </w:tc>
        <w:tc>
          <w:tcPr>
            <w:tcW w:type="dxa" w:w="1680"/>
          </w:tcPr>
          <w:p>
            <w:r>
              <w:t>Current route</w:t>
            </w:r>
          </w:p>
        </w:tc>
        <w:tc>
          <w:tcPr>
            <w:tcW w:type="dxa" w:w="1680"/>
          </w:tcPr>
          <w:p>
            <w:r>
              <w:t>Current fit</w:t>
            </w:r>
          </w:p>
        </w:tc>
      </w:tr>
      <w:tr>
        <w:tc>
          <w:tcPr>
            <w:tcW w:type="dxa" w:w="1680"/>
          </w:tcPr>
          <w:p>
            <w:r>
              <w:t>Nature Methods</w:t>
            </w:r>
          </w:p>
        </w:tc>
        <w:tc>
          <w:tcPr>
            <w:tcW w:type="dxa" w:w="1680"/>
          </w:tcPr>
          <w:p>
            <w:r>
              <w:t>32.1</w:t>
            </w:r>
          </w:p>
        </w:tc>
        <w:tc>
          <w:tcPr>
            <w:tcW w:type="dxa" w:w="1680"/>
          </w:tcPr>
          <w:p>
            <w:r>
              <w:t>51.7</w:t>
            </w:r>
          </w:p>
        </w:tc>
        <w:tc>
          <w:tcPr>
            <w:tcW w:type="dxa" w:w="1680"/>
          </w:tcPr>
          <w:p>
            <w:r>
              <w:t>yes</w:t>
            </w:r>
          </w:p>
        </w:tc>
        <w:tc>
          <w:tcPr>
            <w:tcW w:type="dxa" w:w="1680"/>
          </w:tcPr>
          <w:p>
            <w:r>
              <w:t>primary_target_on_hold</w:t>
            </w:r>
          </w:p>
        </w:tc>
        <w:tc>
          <w:tcPr>
            <w:tcW w:type="dxa" w:w="1680"/>
          </w:tcPr>
          <w:p>
            <w:r>
              <w:t>only plausible strict 20-50 target; release is complete, but stability, benchmark, and biological-application blockers remain</w:t>
            </w:r>
          </w:p>
        </w:tc>
      </w:tr>
      <w:tr>
        <w:tc>
          <w:tcPr>
            <w:tcW w:type="dxa" w:w="1680"/>
          </w:tcPr>
          <w:p>
            <w:r>
              <w:t>Nature Biotechnology</w:t>
            </w:r>
          </w:p>
        </w:tc>
        <w:tc>
          <w:tcPr>
            <w:tcW w:type="dxa" w:w="1680"/>
          </w:tcPr>
          <w:p>
            <w:r>
              <w:t>41.7</w:t>
            </w:r>
          </w:p>
        </w:tc>
        <w:tc>
          <w:tcPr>
            <w:tcW w:type="dxa" w:w="1680"/>
          </w:tcPr>
          <w:p>
            <w:r>
              <w:t>59.5</w:t>
            </w:r>
          </w:p>
        </w:tc>
        <w:tc>
          <w:tcPr>
            <w:tcW w:type="dxa" w:w="1680"/>
          </w:tcPr>
          <w:p>
            <w:r>
              <w:t>yes</w:t>
            </w:r>
          </w:p>
        </w:tc>
        <w:tc>
          <w:tcPr>
            <w:tcW w:type="dxa" w:w="1680"/>
          </w:tcPr>
          <w:p>
            <w:r>
              <w:t>not_fit_for_current_scope</w:t>
            </w:r>
          </w:p>
        </w:tc>
        <w:tc>
          <w:tcPr>
            <w:tcW w:type="dxa" w:w="1680"/>
          </w:tcPr>
          <w:p>
            <w:r>
              <w:t>requires biotechnology platform or adoption-level advance beyond current workflow benchmark</w:t>
            </w:r>
          </w:p>
        </w:tc>
      </w:tr>
      <w:tr>
        <w:tc>
          <w:tcPr>
            <w:tcW w:type="dxa" w:w="1680"/>
          </w:tcPr>
          <w:p>
            <w:r>
              <w:t>Nature Communications</w:t>
            </w:r>
          </w:p>
        </w:tc>
        <w:tc>
          <w:tcPr>
            <w:tcW w:type="dxa" w:w="1680"/>
          </w:tcPr>
          <w:p>
            <w:r>
              <w:t>15.7</w:t>
            </w:r>
          </w:p>
        </w:tc>
        <w:tc>
          <w:tcPr>
            <w:tcW w:type="dxa" w:w="1680"/>
          </w:tcPr>
          <w:p>
            <w:r>
              <w:t>17.2</w:t>
            </w:r>
          </w:p>
        </w:tc>
        <w:tc>
          <w:tcPr>
            <w:tcW w:type="dxa" w:w="1680"/>
          </w:tcPr>
          <w:p>
            <w:r>
              <w:t>no</w:t>
            </w:r>
          </w:p>
        </w:tc>
        <w:tc>
          <w:tcPr>
            <w:tcW w:type="dxa" w:w="1680"/>
          </w:tcPr>
          <w:p>
            <w:r>
              <w:t>possible_if_biological_or_methods_impact_strengthens</w:t>
            </w:r>
          </w:p>
        </w:tc>
        <w:tc>
          <w:tcPr>
            <w:tcW w:type="dxa" w:w="1680"/>
          </w:tcPr>
          <w:p>
            <w:r>
              <w:t>below strict 20 JIF; requires stronger cross-field or biological application than current package</w:t>
            </w:r>
          </w:p>
        </w:tc>
      </w:tr>
      <w:tr>
        <w:tc>
          <w:tcPr>
            <w:tcW w:type="dxa" w:w="1680"/>
          </w:tcPr>
          <w:p>
            <w:r>
              <w:t>Genome Biology</w:t>
            </w:r>
          </w:p>
        </w:tc>
        <w:tc>
          <w:tcPr>
            <w:tcW w:type="dxa" w:w="1680"/>
          </w:tcPr>
          <w:p>
            <w:r>
              <w:t>9.4</w:t>
            </w:r>
          </w:p>
        </w:tc>
        <w:tc>
          <w:tcPr>
            <w:tcW w:type="dxa" w:w="1680"/>
          </w:tcPr>
          <w:p>
            <w:r>
              <w:t>16.3</w:t>
            </w:r>
          </w:p>
        </w:tc>
        <w:tc>
          <w:tcPr>
            <w:tcW w:type="dxa" w:w="1680"/>
          </w:tcPr>
          <w:p>
            <w:r>
              <w:t>no</w:t>
            </w:r>
          </w:p>
        </w:tc>
        <w:tc>
          <w:tcPr>
            <w:tcW w:type="dxa" w:w="1680"/>
          </w:tcPr>
          <w:p>
            <w:r>
              <w:t>most_realistic_high_quality_fallback</w:t>
            </w:r>
          </w:p>
        </w:tc>
        <w:tc>
          <w:tcPr>
            <w:tcW w:type="dxa" w:w="1680"/>
          </w:tcPr>
          <w:p>
            <w:r>
              <w:t>best realistic high-quality fallback after reframe, but not a 20-50 JIF journal by 2024 JIF</w:t>
            </w:r>
          </w:p>
        </w:tc>
      </w:tr>
      <w:tr>
        <w:tc>
          <w:tcPr>
            <w:tcW w:type="dxa" w:w="1680"/>
          </w:tcPr>
          <w:p>
            <w:r>
              <w:t>Cell Reports Medicine</w:t>
            </w:r>
          </w:p>
        </w:tc>
        <w:tc>
          <w:tcPr>
            <w:tcW w:type="dxa" w:w="1680"/>
          </w:tcPr>
          <w:p>
            <w:r>
              <w:t>10.6</w:t>
            </w:r>
          </w:p>
        </w:tc>
        <w:tc>
          <w:tcPr>
            <w:tcW w:type="dxa" w:w="1680"/>
          </w:tcPr>
          <w:p>
            <w:r>
              <w:t>10.8</w:t>
            </w:r>
          </w:p>
        </w:tc>
        <w:tc>
          <w:tcPr>
            <w:tcW w:type="dxa" w:w="1680"/>
          </w:tcPr>
          <w:p>
            <w:r>
              <w:t>no</w:t>
            </w:r>
          </w:p>
        </w:tc>
        <w:tc>
          <w:tcPr>
            <w:tcW w:type="dxa" w:w="1680"/>
          </w:tcPr>
          <w:p>
            <w:r>
              <w:t>low_fit_without_clinical_biology</w:t>
            </w:r>
          </w:p>
        </w:tc>
        <w:tc>
          <w:tcPr>
            <w:tcW w:type="dxa" w:w="1680"/>
          </w:tcPr>
          <w:p>
            <w:r>
              <w:t>needs disease or translational biology depth; current RMTGuard is primarily methods/software</w:t>
            </w:r>
          </w:p>
        </w:tc>
      </w:tr>
    </w:tbl>
    <w:p>
      <w:pPr>
        <w:pStyle w:val="Heading2"/>
      </w:pPr>
      <w:r>
        <w:t>What Is Still Missing</w:t>
      </w:r>
    </w:p>
    <w:p>
      <w:pPr>
        <w:pStyle w:val="ListNumber"/>
      </w:pPr>
      <w:r>
        <w:t>Release engineering is complete for v0.1.0; the remaining gap is scientific evidence, not public code availability.</w:t>
      </w:r>
    </w:p>
    <w:p>
      <w:pPr>
        <w:pStyle w:val="ListNumber"/>
      </w:pPr>
      <w:r>
        <w:t>Benchmark breadth, official Seurat/JackStraw baselines, paired statistics on the labeled subset, and label-free dataset boundaries are now controlled. Do not reopen this layer unless adding optional atlas-scale evidence.</w:t>
      </w:r>
    </w:p>
    <w:p>
      <w:pPr>
        <w:pStyle w:val="ListNumber"/>
      </w:pPr>
      <w:r>
        <w:t>Realistic-null and rare-state power repeat depth is complete at 50 repeats with CIs, and the low-prevalence/weak-effect claim boundary is documented.</w:t>
      </w:r>
    </w:p>
    <w:p>
      <w:pPr>
        <w:pStyle w:val="ListNumber"/>
      </w:pPr>
      <w:r>
        <w:t>Component ablation has reached the current 20-repeat synthetic and labeled real-data layer; realistic null and rare-state power have reached 50-repeat depth, and the low-prevalence/weak-effect limitation is now captured in a claim-boundary artifact.</w:t>
      </w:r>
    </w:p>
    <w:p>
      <w:pPr>
        <w:pStyle w:val="ListNumber"/>
      </w:pPr>
      <w:r>
        <w:t>PDAC/TME decision packet, dual-route preflight, runbook, first-pass deep validation, rank-based MSigDB Hallmark/Reactome enrichment, atlas marker citation mapping, and bounded Figure 4 wording freeze are complete; corresponding authors still need to acknowledge the bounded public-data showcase route.</w:t>
      </w:r>
    </w:p>
    <w:p>
      <w:pPr>
        <w:pStyle w:val="ListNumber"/>
      </w:pPr>
      <w:r>
        <w:t>Optional broader atlas-scale dataset if the Nature Methods route remains active after the current blockers are cleared.</w:t>
      </w:r>
    </w:p>
    <w:p>
      <w:pPr>
        <w:pStyle w:val="ListNumber"/>
      </w:pPr>
      <w:r>
        <w:t>Final source-data/caption/reporting-summary regeneration after benchmark freeze.</w:t>
      </w:r>
    </w:p>
    <w:p>
      <w:pPr>
        <w:pStyle w:val="Heading2"/>
      </w:pPr>
      <w:r>
        <w:t>What Can Be Added To Improve The Route</w:t>
      </w:r>
    </w:p>
    <w:p>
      <w:pPr>
        <w:pStyle w:val="ListBullet"/>
      </w:pPr>
      <w:r>
        <w:t>Rare-state claim boundary is controlled; add optional dropout/batch power grids only if the Nature Methods rare-state claim remains central.</w:t>
      </w:r>
    </w:p>
    <w:p>
      <w:pPr>
        <w:pStyle w:val="ListBullet"/>
      </w:pPr>
      <w:r>
        <w:t>Add a realistic null family that preserves library size, gene marginals, dropout, and batch structure.</w:t>
      </w:r>
    </w:p>
    <w:p>
      <w:pPr>
        <w:pStyle w:val="ListBullet"/>
      </w:pPr>
      <w:r>
        <w:t>Add a full callability map figure where no-call is treated as a validated decision, not a failure.</w:t>
      </w:r>
    </w:p>
    <w:p>
      <w:pPr>
        <w:pStyle w:val="ListBullet"/>
      </w:pPr>
      <w:r>
        <w:t>Keep PBMC3k and PDAC GSE154778 as label-free stability/runtime evidence unless reliable cell-state annotations are added.</w:t>
      </w:r>
    </w:p>
    <w:p>
      <w:pPr>
        <w:pStyle w:val="ListBullet"/>
      </w:pPr>
      <w:r>
        <w:t>Use docs/pdac_tme_deep_validation.md and docs/pdac_tme_pathway_atlas_validation.md as bounded PDAC/TME support; freeze only manuscript-interpretable pathway hits for Figure 4 and keep low-specificity translation/ribosomal hits in source data.</w:t>
      </w:r>
    </w:p>
    <w:p>
      <w:pPr>
        <w:pStyle w:val="Heading2"/>
      </w:pPr>
      <w:r>
        <w:t>Source Artifacts</w:t>
      </w:r>
    </w:p>
    <w:p>
      <w:pPr>
        <w:pStyle w:val="ListBullet"/>
      </w:pPr>
      <w:r>
        <w:t>Gap TSV: results/submission/jif20_50_gap_assessment.tsv</w:t>
      </w:r>
    </w:p>
    <w:p>
      <w:pPr>
        <w:pStyle w:val="ListBullet"/>
      </w:pPr>
      <w:r>
        <w:t>Journal TSV: results/submission/jif20_50_journal_route.tsv</w:t>
      </w:r>
    </w:p>
    <w:p>
      <w:pPr>
        <w:pStyle w:val="ListBullet"/>
      </w:pPr>
      <w:r>
        <w:t>Gate report: results/gates/gate_report.tsv</w:t>
      </w:r>
    </w:p>
    <w:p>
      <w:pPr>
        <w:pStyle w:val="ListBullet"/>
      </w:pPr>
      <w:r>
        <w:t>External action plan: results/submission/external_review_action_plan.tsv</w:t>
      </w:r>
    </w:p>
    <w:p>
      <w:pPr>
        <w:pStyle w:val="ListBullet"/>
      </w:pPr>
      <w:r>
        <w:t>Manuscript stability statistics: results/manuscript_stability_benchmarks/manuscript_stability_statistics.tsv</w:t>
      </w:r>
    </w:p>
    <w:p>
      <w:pPr>
        <w:pStyle w:val="ListBullet"/>
      </w:pPr>
      <w:r>
        <w:t>Component ablation evidence: results/ablation/component_ablation_evidence.tsv</w:t>
      </w:r>
    </w:p>
    <w:p>
      <w:pPr>
        <w:pStyle w:val="ListBullet"/>
      </w:pPr>
      <w:r>
        <w:t>Component ablation summary: results/ablation/component_ablation_summary.tsv</w:t>
      </w:r>
    </w:p>
    <w:p>
      <w:pPr>
        <w:pStyle w:val="ListBullet"/>
      </w:pPr>
      <w:r>
        <w:t>P0 science sprint status: results/submission/p0_science_sprint_status.tsv</w:t>
      </w:r>
    </w:p>
    <w:p>
      <w:pPr>
        <w:pStyle w:val="ListBullet"/>
      </w:pPr>
      <w:r>
        <w:t>Rare-state claim boundary: results/submission/rare_state_claim_boundary.tsv</w:t>
      </w:r>
    </w:p>
    <w:p>
      <w:pPr>
        <w:pStyle w:val="ListBullet"/>
      </w:pPr>
      <w:r>
        <w:t>PDAC/TME route decision packet: results/submission/pdac_tme_route_decision_packet.tsv</w:t>
      </w:r>
    </w:p>
    <w:p>
      <w:pPr>
        <w:pStyle w:val="ListBullet"/>
      </w:pPr>
      <w:r>
        <w:t>PDAC/TME dual-route preflight: results/submission/pdac_tme_dual_route_preflight.tsv</w:t>
      </w:r>
    </w:p>
    <w:p>
      <w:pPr>
        <w:pStyle w:val="ListBullet"/>
      </w:pPr>
      <w:r>
        <w:t>PDAC/TME dual-route runbook: results/submission/pdac_tme_dual_route_runbook.tsv</w:t>
      </w:r>
    </w:p>
    <w:p>
      <w:pPr>
        <w:pStyle w:val="ListBullet"/>
      </w:pPr>
      <w:r>
        <w:t>PDAC/TME pathway/atlas summary: results/pdac_tme/pathway_atlas_validation/pdac_pathway_atlas_validation_summary.tsv</w:t>
      </w:r>
    </w:p>
    <w:p>
      <w:pPr>
        <w:pStyle w:val="ListBullet"/>
      </w:pPr>
      <w:r>
        <w:t>Figure 4 PDAC/TME wording freeze: results/submission/figure4_pdac_tme_wording_freeze.tsv</w:t>
      </w:r>
    </w:p>
    <w:p>
      <w:pPr>
        <w:pStyle w:val="ListBullet"/>
      </w:pPr>
      <w:r>
        <w:t>Real-data ablation annotation summary: results/ablation/realdata_ablation_annotation_summary.tsv</w:t>
      </w:r>
    </w:p>
    <w:p>
      <w:pPr>
        <w:pStyle w:val="ListBullet"/>
      </w:pPr>
      <w:r>
        <w:t>Real-data ablation figure source data: results/figures/source_data/figure5_realdata_ablation_delta_summary.tsv</w:t>
      </w:r>
    </w:p>
    <w:p>
      <w:pPr>
        <w:pStyle w:val="ListBullet"/>
      </w:pPr>
      <w:r>
        <w:t>Matched baseline design: results/submission/matched_baseline_design.tsv</w:t>
      </w:r>
    </w:p>
    <w:p>
      <w:pPr>
        <w:pStyle w:val="ListBullet"/>
      </w:pPr>
      <w:r>
        <w:t>Matched baseline pilot summary: results/submission/matched_baseline_pilot_summary.tsv</w:t>
      </w:r>
    </w:p>
    <w:p>
      <w:pPr>
        <w:pStyle w:val="ListBullet"/>
      </w:pPr>
      <w:r>
        <w:t>Matched baseline external blockers: results/submission/matched_baseline_external_blockers.tsv</w:t>
      </w:r>
    </w:p>
    <w:p>
      <w:pPr>
        <w:pStyle w:val="ListBullet"/>
      </w:pPr>
      <w:r>
        <w:t>Official Seurat matched summary: results/submission/seurat_matched_baseline_summary.tsv</w:t>
      </w:r>
    </w:p>
    <w:p>
      <w:pPr>
        <w:pStyle w:val="ListBullet"/>
      </w:pPr>
      <w:r>
        <w:t>Official Seurat matched status: results/submission/seurat_matched_baseline_status.tsv</w:t>
      </w:r>
    </w:p>
    <w:p>
      <w:pPr>
        <w:pStyle w:val="ListBullet"/>
      </w:pPr>
      <w:r>
        <w:t>Official Seurat JackStraw feasibility summary: results/submission/seurat_jackstraw_feasibility_summary.tsv</w:t>
      </w:r>
    </w:p>
    <w:p>
      <w:pPr>
        <w:pStyle w:val="ListBullet"/>
      </w:pPr>
      <w:r>
        <w:t>Official Seurat JackStraw feasibility status: results/submission/seurat_jackstraw_feasibility_status.tsv</w:t>
      </w:r>
    </w:p>
    <w:p>
      <w:pPr>
        <w:pStyle w:val="ListBullet"/>
      </w:pPr>
      <w:r>
        <w:t>Paired RMTGuard-versus-official-Seurat statistics: results/submission/rmtguard_seurat_paired_stats.tsv</w:t>
      </w:r>
    </w:p>
    <w:p>
      <w:pPr>
        <w:pStyle w:val="ListBullet"/>
      </w:pPr>
      <w:r>
        <w:t>Paired RMTGuard-versus-official-Seurat status: results/submission/rmtguard_seurat_paired_status.tsv</w:t>
      </w:r>
    </w:p>
    <w:p>
      <w:pPr>
        <w:pStyle w:val="ListBullet"/>
      </w:pPr>
      <w:r>
        <w:t>Added-dataset annotation boundary: results/submission/added_dataset_annotation_boundary.tsv</w:t>
      </w:r>
    </w:p>
    <w:p>
      <w:pPr>
        <w:pStyle w:val="ListBullet"/>
      </w:pPr>
      <w:r>
        <w:t>Submission guard: results/submission/submission_guard.tsv</w:t>
      </w:r>
    </w:p>
    <w:p>
      <w:pPr>
        <w:pStyle w:val="Heading1"/>
      </w:pPr>
      <w:r>
        <w:t>Figure-caption-source audit</w:t>
      </w:r>
    </w:p>
    <w:p>
      <w:pPr>
        <w:pStyle w:val="Heading2"/>
      </w:pPr>
      <w:r>
        <w:t>Figure-caption-source audit</w:t>
      </w:r>
    </w:p>
    <w:p>
      <w:r>
        <w:t>Generated by python scripts/build_figure_caption_source_audit.py.</w:t>
      </w:r>
    </w:p>
    <w:p>
      <w:pPr>
        <w:pStyle w:val="Heading2"/>
      </w:pPr>
      <w:r>
        <w:t>Boundary</w:t>
      </w:r>
    </w:p>
    <w:p>
      <w:r>
        <w:t>This audit checks consistency among rendered figure files, machine-readable source data, and freeze-aligned legends. It does not certify journal acceptance and does not change any scientific result.</w:t>
      </w:r>
    </w:p>
    <w:p>
      <w:pPr>
        <w:pStyle w:val="Heading2"/>
      </w:pPr>
      <w:r>
        <w:t>Status</w:t>
      </w:r>
    </w:p>
    <w:p>
      <w:pPr>
        <w:pStyle w:val="ListBullet"/>
      </w:pPr>
      <w:r>
        <w:t>Display items checked: 7.</w:t>
      </w:r>
    </w:p>
    <w:p>
      <w:pPr>
        <w:pStyle w:val="ListBullet"/>
      </w:pPr>
      <w:r>
        <w:t>Blocked missing-asset/legend rows: 0.</w:t>
      </w:r>
    </w:p>
    <w:p>
      <w:pPr>
        <w:pStyle w:val="ListBullet"/>
      </w:pPr>
      <w:r>
        <w:t>Status counts: ready_pending_author_ack=1, ready_with_boundary=6</w:t>
      </w:r>
    </w:p>
    <w:p>
      <w:pPr>
        <w:pStyle w:val="Heading2"/>
      </w:pPr>
      <w:r>
        <w:t>Remaining Actions</w:t>
      </w:r>
    </w:p>
    <w:p>
      <w:pPr>
        <w:pStyle w:val="ListBullet"/>
      </w:pPr>
      <w:r>
        <w:t>Figure 4 (ready_pending_author_ack): Obtain corresponding-author acknowledgement of bounded wording before external submission.</w:t>
      </w:r>
    </w:p>
    <w:p>
      <w:pPr>
        <w:pStyle w:val="Heading2"/>
      </w:pPr>
      <w:r>
        <w:t>Audit Table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Display item</w:t>
            </w:r>
          </w:p>
        </w:tc>
        <w:tc>
          <w:tcPr>
            <w:tcW w:type="dxa" w:w="1440"/>
          </w:tcPr>
          <w:p>
            <w:r>
              <w:t>Status</w:t>
            </w:r>
          </w:p>
        </w:tc>
        <w:tc>
          <w:tcPr>
            <w:tcW w:type="dxa" w:w="1440"/>
          </w:tcPr>
          <w:p>
            <w:r>
              <w:t>Assets</w:t>
            </w:r>
          </w:p>
        </w:tc>
        <w:tc>
          <w:tcPr>
            <w:tcW w:type="dxa" w:w="1440"/>
          </w:tcPr>
          <w:p>
            <w:r>
              <w:t>Source data</w:t>
            </w:r>
          </w:p>
        </w:tc>
        <w:tc>
          <w:tcPr>
            <w:tcW w:type="dxa" w:w="1440"/>
          </w:tcPr>
          <w:p>
            <w:r>
              <w:t>Legend</w:t>
            </w:r>
          </w:p>
        </w:tc>
        <w:tc>
          <w:tcPr>
            <w:tcW w:type="dxa" w:w="1440"/>
          </w:tcPr>
          <w:p>
            <w:r>
              <w:t>Claim boundary</w:t>
            </w:r>
          </w:p>
        </w:tc>
        <w:tc>
          <w:tcPr>
            <w:tcW w:type="dxa" w:w="1440"/>
          </w:tcPr>
          <w:p>
            <w:r>
              <w:t>Required action</w:t>
            </w:r>
          </w:p>
        </w:tc>
      </w:tr>
      <w:tr>
        <w:tc>
          <w:tcPr>
            <w:tcW w:type="dxa" w:w="1440"/>
          </w:tcPr>
          <w:p>
            <w:r>
              <w:t>Figure 1</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Workflow and diagnostic overview only; do not claim new random-matrix theory.</w:t>
            </w:r>
          </w:p>
        </w:tc>
        <w:tc>
          <w:tcPr>
            <w:tcW w:type="dxa" w:w="1440"/>
          </w:tcPr>
          <w:p>
            <w:r>
              <w:t>Verify final panel labels match both source-data tables before submission.</w:t>
            </w:r>
          </w:p>
        </w:tc>
      </w:tr>
      <w:tr>
        <w:tc>
          <w:tcPr>
            <w:tcW w:type="dxa" w:w="1440"/>
          </w:tcPr>
          <w:p>
            <w:r>
              <w:t>Figure 2</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tested null and rare-state regimes only; lowest-prevalence weak-effect limitation must remain visible.</w:t>
            </w:r>
          </w:p>
        </w:tc>
        <w:tc>
          <w:tcPr>
            <w:tcW w:type="dxa" w:w="1440"/>
          </w:tcPr>
          <w:p>
            <w:r>
              <w:t>Final caption must keep the prevalence 0.02/effect 2.5 limitation.</w:t>
            </w:r>
          </w:p>
        </w:tc>
      </w:tr>
      <w:tr>
        <w:tc>
          <w:tcPr>
            <w:tcW w:type="dxa" w:w="1440"/>
          </w:tcPr>
          <w:p>
            <w:r>
              <w:t>Figure 3</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Does not support broad superiority over every fixed-PC or elbow baseline.</w:t>
            </w:r>
          </w:p>
        </w:tc>
        <w:tc>
          <w:tcPr>
            <w:tcW w:type="dxa" w:w="1440"/>
          </w:tcPr>
          <w:p>
            <w:r>
              <w:t>Decide whether no-call and Seurat paired panels are integrated into main Figure 3 or moved to Extended Data.</w:t>
            </w:r>
          </w:p>
        </w:tc>
      </w:tr>
      <w:tr>
        <w:tc>
          <w:tcPr>
            <w:tcW w:type="dxa" w:w="1440"/>
          </w:tcPr>
          <w:p>
            <w:r>
              <w:t>Figure 4</w:t>
            </w:r>
          </w:p>
        </w:tc>
        <w:tc>
          <w:tcPr>
            <w:tcW w:type="dxa" w:w="1440"/>
          </w:tcPr>
          <w:p>
            <w:r>
              <w:t>ready_pending_author_ack</w:t>
            </w:r>
          </w:p>
        </w:tc>
        <w:tc>
          <w:tcPr>
            <w:tcW w:type="dxa" w:w="1440"/>
          </w:tcPr>
          <w:p>
            <w:r>
              <w:t>True</w:t>
            </w:r>
          </w:p>
        </w:tc>
        <w:tc>
          <w:tcPr>
            <w:tcW w:type="dxa" w:w="1440"/>
          </w:tcPr>
          <w:p>
            <w:r>
              <w:t>True</w:t>
            </w:r>
          </w:p>
        </w:tc>
        <w:tc>
          <w:tcPr>
            <w:tcW w:type="dxa" w:w="1440"/>
          </w:tcPr>
          <w:p>
            <w:r>
              <w:t>True</w:t>
            </w:r>
          </w:p>
        </w:tc>
        <w:tc>
          <w:tcPr>
            <w:tcW w:type="dxa" w:w="1440"/>
          </w:tcPr>
          <w:p>
            <w:r>
              <w:t>Methods-paper public-data use case only; no new mechanism, prognosis, therapy-response, spatial or protein-validation claim.</w:t>
            </w:r>
          </w:p>
        </w:tc>
        <w:tc>
          <w:tcPr>
            <w:tcW w:type="dxa" w:w="1440"/>
          </w:tcPr>
          <w:p>
            <w:r>
              <w:t>Obtain corresponding-author acknowledgement of bounded wording before external submission.</w:t>
            </w:r>
          </w:p>
        </w:tc>
      </w:tr>
      <w:tr>
        <w:tc>
          <w:tcPr>
            <w:tcW w:type="dxa" w:w="1440"/>
          </w:tcPr>
          <w:p>
            <w:r>
              <w:t>Figure 5</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Component contribution only under tested datasets/repeats; post-release working branch requires a new DOI archive if cited.</w:t>
            </w:r>
          </w:p>
        </w:tc>
        <w:tc>
          <w:tcPr>
            <w:tcW w:type="dxa" w:w="1440"/>
          </w:tcPr>
          <w:p>
            <w:r>
              <w:t>Use this as the main Figure 5; keep the larger real-data ablation forest as Extended Data.</w:t>
            </w:r>
          </w:p>
        </w:tc>
      </w:tr>
      <w:tr>
        <w:tc>
          <w:tcPr>
            <w:tcW w:type="dxa" w:w="1440"/>
          </w:tcPr>
          <w:p>
            <w:r>
              <w:t>Extended Data - real-data ablation</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component-sensitivity discussion under tested labeled datasets and repeats only.</w:t>
            </w:r>
          </w:p>
        </w:tc>
        <w:tc>
          <w:tcPr>
            <w:tcW w:type="dxa" w:w="1440"/>
          </w:tcPr>
          <w:p>
            <w:r>
              <w:t>Label as Extended Data or Supplementary Figure; do not use as universal component-necessity proof.</w:t>
            </w:r>
          </w:p>
        </w:tc>
      </w:tr>
      <w:tr>
        <w:tc>
          <w:tcPr>
            <w:tcW w:type="dxa" w:w="1440"/>
          </w:tcPr>
          <w:p>
            <w:r>
              <w:t>Extended Data - topology</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Topology monitoring with trade-offs only; not trajectory-method superiority.</w:t>
            </w:r>
          </w:p>
        </w:tc>
        <w:tc>
          <w:tcPr>
            <w:tcW w:type="dxa" w:w="1440"/>
          </w:tcPr>
          <w:p>
            <w:r>
              <w:t>Keep annotation-derived Paul15 limitation in the final legend.</w:t>
            </w:r>
          </w:p>
        </w:tc>
      </w:tr>
    </w:tbl>
    <w:p>
      <w:pPr>
        <w:pStyle w:val="Heading2"/>
      </w:pPr>
      <w:r>
        <w:t>Interpretation</w:t>
      </w:r>
    </w:p>
    <w:p>
      <w:pPr>
        <w:pStyle w:val="ListBullet"/>
      </w:pPr>
      <w:r>
        <w:t>ready_with_boundary means the assets, source data and frozen legend exist, but the claim boundary must still be preserved during final journal formatting.</w:t>
      </w:r>
    </w:p>
    <w:p>
      <w:pPr>
        <w:pStyle w:val="ListBullet"/>
      </w:pPr>
      <w:r>
        <w:t>ready_pending_author_ack means Codex can package the figure, but corresponding-author acknowledgement is still needed before external submission.</w:t>
      </w:r>
    </w:p>
    <w:p>
      <w:pPr>
        <w:pStyle w:val="ListBullet"/>
      </w:pPr>
      <w:r>
        <w:t>needs_layout_decision means all key evidence exists, but the final main/supplement figure layout has not been frozen.</w:t>
      </w:r>
    </w:p>
    <w:p>
      <w:pPr>
        <w:pStyle w:val="Heading1"/>
      </w:pPr>
      <w:r>
        <w:t>Post-release version coverage audit</w:t>
      </w:r>
    </w:p>
    <w:p>
      <w:pPr>
        <w:pStyle w:val="Heading2"/>
      </w:pPr>
      <w:r>
        <w:t>Post-release version coverage audit</w:t>
      </w:r>
    </w:p>
    <w:p>
      <w:r>
        <w:t>Generated: 2026-05-12</w:t>
      </w:r>
    </w:p>
    <w:p>
      <w:pPr>
        <w:pStyle w:val="Heading2"/>
      </w:pPr>
      <w:r>
        <w:t>Boundary</w:t>
      </w:r>
    </w:p>
    <w:p>
      <w:r>
        <w:t>This audit compares the archived v0.1.0 release with the current branch. It does not create a tag, push a release, or mint a new DOI.</w:t>
      </w:r>
    </w:p>
    <w:p>
      <w:pPr>
        <w:pStyle w:val="Heading2"/>
      </w:pPr>
      <w:r>
        <w:t>Bottom Line</w:t>
      </w:r>
    </w:p>
    <w:p>
      <w:pPr>
        <w:pStyle w:val="ListBullet"/>
      </w:pPr>
      <w:r>
        <w:t>Commits after v0.1.0: 45.</w:t>
      </w:r>
    </w:p>
    <w:p>
      <w:pPr>
        <w:pStyle w:val="ListBullet"/>
      </w:pPr>
      <w:r>
        <w:t>Changed files after v0.1.0: 257.</w:t>
      </w:r>
    </w:p>
    <w:p>
      <w:pPr>
        <w:pStyle w:val="ListBullet"/>
      </w:pPr>
      <w:r>
        <w:t>Manuscript-facing changed files: 247.</w:t>
      </w:r>
    </w:p>
    <w:p>
      <w:pPr>
        <w:pStyle w:val="ListBullet"/>
      </w:pPr>
      <w:r>
        <w:t>Recommendation: prepare_v0.1.1_after_author_ack.</w:t>
      </w:r>
    </w:p>
    <w:p>
      <w:pPr>
        <w:pStyle w:val="ListBullet"/>
      </w:pPr>
      <w:r>
        <w:t>Candidate next release: v0.1.1.</w:t>
      </w:r>
    </w:p>
    <w:p>
      <w:pPr>
        <w:pStyle w:val="Heading2"/>
      </w:pPr>
      <w:r>
        <w:t>Audit Rows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Audit ID</w:t>
            </w:r>
          </w:p>
        </w:tc>
        <w:tc>
          <w:tcPr>
            <w:tcW w:type="dxa" w:w="2016"/>
          </w:tcPr>
          <w:p>
            <w:r>
              <w:t>Status</w:t>
            </w:r>
          </w:p>
        </w:tc>
        <w:tc>
          <w:tcPr>
            <w:tcW w:type="dxa" w:w="2016"/>
          </w:tcPr>
          <w:p>
            <w:r>
              <w:t>Evidence</w:t>
            </w:r>
          </w:p>
        </w:tc>
        <w:tc>
          <w:tcPr>
            <w:tcW w:type="dxa" w:w="2016"/>
          </w:tcPr>
          <w:p>
            <w:r>
              <w:t>Required action</w:t>
            </w:r>
          </w:p>
        </w:tc>
        <w:tc>
          <w:tcPr>
            <w:tcW w:type="dxa" w:w="2016"/>
          </w:tcPr>
          <w:p>
            <w:r>
              <w:t>Notes</w:t>
            </w:r>
          </w:p>
        </w:tc>
      </w:tr>
      <w:tr>
        <w:tc>
          <w:tcPr>
            <w:tcW w:type="dxa" w:w="2016"/>
          </w:tcPr>
          <w:p>
            <w:r>
              <w:t>release_tag</w:t>
            </w:r>
          </w:p>
        </w:tc>
        <w:tc>
          <w:tcPr>
            <w:tcW w:type="dxa" w:w="2016"/>
          </w:tcPr>
          <w:p>
            <w:r>
              <w:t>present</w:t>
            </w:r>
          </w:p>
        </w:tc>
        <w:tc>
          <w:tcPr>
            <w:tcW w:type="dxa" w:w="2016"/>
          </w:tcPr>
          <w:p>
            <w:r>
              <w:t>v0.1.0</w:t>
            </w:r>
          </w:p>
        </w:tc>
        <w:tc>
          <w:tcPr>
            <w:tcW w:type="dxa" w:w="2016"/>
          </w:tcPr>
          <w:p>
            <w:r>
              <w:t>Keep v0.1.0 immutable.</w:t>
            </w:r>
          </w:p>
        </w:tc>
        <w:tc>
          <w:tcPr>
            <w:tcW w:type="dxa" w:w="2016"/>
          </w:tcPr>
          <w:p>
            <w:r>
              <w:t>v0.1.0 commit 053b84ad3bf04ebc1193b5fff420b770946a3845.</w:t>
            </w:r>
          </w:p>
        </w:tc>
      </w:tr>
      <w:tr>
        <w:tc>
          <w:tcPr>
            <w:tcW w:type="dxa" w:w="2016"/>
          </w:tcPr>
          <w:p>
            <w:r>
              <w:t>current_head</w:t>
            </w:r>
          </w:p>
        </w:tc>
        <w:tc>
          <w:tcPr>
            <w:tcW w:type="dxa" w:w="2016"/>
          </w:tcPr>
          <w:p>
            <w:r>
              <w:t>tracked</w:t>
            </w:r>
          </w:p>
        </w:tc>
        <w:tc>
          <w:tcPr>
            <w:tcW w:type="dxa" w:w="2016"/>
          </w:tcPr>
          <w:p>
            <w:r>
              <w:t>c48036a7c13ae4d5f0768758354b4b4d12c7af03</w:t>
            </w:r>
          </w:p>
        </w:tc>
        <w:tc>
          <w:tcPr>
            <w:tcW w:type="dxa" w:w="2016"/>
          </w:tcPr>
          <w:p>
            <w:r>
              <w:t>Use this commit or a later clean commit as the basis for any v0.1.1 release.</w:t>
            </w:r>
          </w:p>
        </w:tc>
        <w:tc>
          <w:tcPr>
            <w:tcW w:type="dxa" w:w="2016"/>
          </w:tcPr>
          <w:p>
            <w:r>
              <w:t>45 commits after v0.1.0.</w:t>
            </w:r>
          </w:p>
        </w:tc>
      </w:tr>
      <w:tr>
        <w:tc>
          <w:tcPr>
            <w:tcW w:type="dxa" w:w="2016"/>
          </w:tcPr>
          <w:p>
            <w:r>
              <w:t>worktree_cleanliness</w:t>
            </w:r>
          </w:p>
        </w:tc>
        <w:tc>
          <w:tcPr>
            <w:tcW w:type="dxa" w:w="2016"/>
          </w:tcPr>
          <w:p>
            <w:r>
              <w:t>dirty</w:t>
            </w:r>
          </w:p>
        </w:tc>
        <w:tc>
          <w:tcPr>
            <w:tcW w:type="dxa" w:w="2016"/>
          </w:tcPr>
          <w:p>
            <w:r>
              <w:t>M Makefile&lt;br&gt; M README.md&lt;br&gt; M scripts/build_current_evidence_freeze.py&lt;br&gt; M scripts/build_external_review_docx.py&lt;br&gt; M scripts/build_project_gantt.py&lt;br&gt; M scripts/export_shared_project_info.py&lt;br&gt;?? docs/v0_1_1_release_preflight.md&lt;br&gt;?? scripts/build_v0_1_1_release_preflight.py</w:t>
            </w:r>
          </w:p>
        </w:tc>
        <w:tc>
          <w:tcPr>
            <w:tcW w:type="dxa" w:w="2016"/>
          </w:tcPr>
          <w:p>
            <w:r>
              <w:t>Commit or intentionally ignore all changes before release.</w:t>
            </w:r>
          </w:p>
        </w:tc>
        <w:tc>
          <w:tcPr>
            <w:tcW w:type="dxa" w:w="2016"/>
          </w:tcPr>
          <w:p>
            <w:r>
              <w:t>A clean worktree is required before tagging a new release.</w:t>
            </w:r>
          </w:p>
        </w:tc>
      </w:tr>
      <w:tr>
        <w:tc>
          <w:tcPr>
            <w:tcW w:type="dxa" w:w="2016"/>
          </w:tcPr>
          <w:p>
            <w:r>
              <w:t>manuscript_facing_delta</w:t>
            </w:r>
          </w:p>
        </w:tc>
        <w:tc>
          <w:tcPr>
            <w:tcW w:type="dxa" w:w="2016"/>
          </w:tcPr>
          <w:p>
            <w:r>
              <w:t>needs_new_release_if_submitted</w:t>
            </w:r>
          </w:p>
        </w:tc>
        <w:tc>
          <w:tcPr>
            <w:tcW w:type="dxa" w:w="2016"/>
          </w:tcPr>
          <w:p>
            <w:r>
              <w:t>247</w:t>
            </w:r>
          </w:p>
        </w:tc>
        <w:tc>
          <w:tcPr>
            <w:tcW w:type="dxa" w:w="2016"/>
          </w:tcPr>
          <w:p>
            <w:r>
              <w:t>Create v0.1.1 only after Figure 4 acknowledgement and final figure/source-data freeze if these post-release files are cited.</w:t>
            </w:r>
          </w:p>
        </w:tc>
        <w:tc>
          <w:tcPr>
            <w:tcW w:type="dxa" w:w="2016"/>
          </w:tcPr>
          <w:p>
            <w:r>
              <w:t>Manuscript-facing files changed after the archived v0.1.0 DOI.</w:t>
            </w:r>
          </w:p>
        </w:tc>
      </w:tr>
      <w:tr>
        <w:tc>
          <w:tcPr>
            <w:tcW w:type="dxa" w:w="2016"/>
          </w:tcPr>
          <w:p>
            <w:r>
              <w:t>figure_source_delta</w:t>
            </w:r>
          </w:p>
        </w:tc>
        <w:tc>
          <w:tcPr>
            <w:tcW w:type="dxa" w:w="2016"/>
          </w:tcPr>
          <w:p>
            <w:r>
              <w:t>changed</w:t>
            </w:r>
          </w:p>
        </w:tc>
        <w:tc>
          <w:tcPr>
            <w:tcW w:type="dxa" w:w="2016"/>
          </w:tcPr>
          <w:p>
            <w:r>
              <w:t>27</w:t>
            </w:r>
          </w:p>
        </w:tc>
        <w:tc>
          <w:tcPr>
            <w:tcW w:type="dxa" w:w="2016"/>
          </w:tcPr>
          <w:p>
            <w:r>
              <w:t>Ensure final figures and source data are included in the next release if used in submission.</w:t>
            </w:r>
          </w:p>
        </w:tc>
        <w:tc>
          <w:tcPr>
            <w:tcW w:type="dxa" w:w="2016"/>
          </w:tcPr>
          <w:p>
            <w:r>
              <w:t>Figure/source-data changes after v0.1.0 affect reproducibility coverage.</w:t>
            </w:r>
          </w:p>
        </w:tc>
      </w:tr>
      <w:tr>
        <w:tc>
          <w:tcPr>
            <w:tcW w:type="dxa" w:w="2016"/>
          </w:tcPr>
          <w:p>
            <w:r>
              <w:t>pipeline_code_delta</w:t>
            </w:r>
          </w:p>
        </w:tc>
        <w:tc>
          <w:tcPr>
            <w:tcW w:type="dxa" w:w="2016"/>
          </w:tcPr>
          <w:p>
            <w:r>
              <w:t>changed</w:t>
            </w:r>
          </w:p>
        </w:tc>
        <w:tc>
          <w:tcPr>
            <w:tcW w:type="dxa" w:w="2016"/>
          </w:tcPr>
          <w:p>
            <w:r>
              <w:t>49</w:t>
            </w:r>
          </w:p>
        </w:tc>
        <w:tc>
          <w:tcPr>
            <w:tcW w:type="dxa" w:w="2016"/>
          </w:tcPr>
          <w:p>
            <w:r>
              <w:t>Archive updated scripts/benchmarks in the same release as the submitted source data.</w:t>
            </w:r>
          </w:p>
        </w:tc>
        <w:tc>
          <w:tcPr>
            <w:tcW w:type="dxa" w:w="2016"/>
          </w:tcPr>
          <w:p>
            <w:r>
              <w:t>Code changes after v0.1.0 affect rerun parity.</w:t>
            </w:r>
          </w:p>
        </w:tc>
      </w:tr>
      <w:tr>
        <w:tc>
          <w:tcPr>
            <w:tcW w:type="dxa" w:w="2016"/>
          </w:tcPr>
          <w:p>
            <w:r>
              <w:t>release_recommendation</w:t>
            </w:r>
          </w:p>
        </w:tc>
        <w:tc>
          <w:tcPr>
            <w:tcW w:type="dxa" w:w="2016"/>
          </w:tcPr>
          <w:p>
            <w:r>
              <w:t>prepare_v0.1.1_after_author_ack</w:t>
            </w:r>
          </w:p>
        </w:tc>
        <w:tc>
          <w:tcPr>
            <w:tcW w:type="dxa" w:w="2016"/>
          </w:tcPr>
          <w:p>
            <w:r>
              <w:t>v0.1.1</w:t>
            </w:r>
          </w:p>
        </w:tc>
        <w:tc>
          <w:tcPr>
            <w:tcW w:type="dxa" w:w="2016"/>
          </w:tcPr>
          <w:p>
            <w:r>
              <w:t>Do not tag the new release until manual Figure 4 and author-declaration blockers are resolved.</w:t>
            </w:r>
          </w:p>
        </w:tc>
        <w:tc>
          <w:tcPr>
            <w:tcW w:type="dxa" w:w="2016"/>
          </w:tcPr>
          <w:p>
            <w:r>
              <w:t>The release refresh is a submission-readiness action, not a current scientific pass.</w:t>
            </w:r>
          </w:p>
        </w:tc>
      </w:tr>
    </w:tbl>
    <w:p>
      <w:pPr>
        <w:pStyle w:val="Heading2"/>
      </w:pPr>
      <w:r>
        <w:t>Changed File Classes</w:t>
      </w:r>
    </w:p>
    <w:tbl>
      <w:tblPr>
        <w:tblStyle w:val="TableGrid"/>
        <w:tblW w:type="auto" w:w="0"/>
        <w:tblLook w:firstColumn="1" w:firstRow="1" w:lastColumn="0" w:lastRow="0" w:noHBand="0" w:noVBand="1" w:val="04A0"/>
      </w:tblPr>
      <w:tblGrid>
        <w:gridCol w:w="5040"/>
        <w:gridCol w:w="5040"/>
      </w:tblGrid>
      <w:tr>
        <w:tc>
          <w:tcPr>
            <w:tcW w:type="dxa" w:w="5040"/>
          </w:tcPr>
          <w:p>
            <w:r>
              <w:t>Class</w:t>
            </w:r>
          </w:p>
        </w:tc>
        <w:tc>
          <w:tcPr>
            <w:tcW w:type="dxa" w:w="5040"/>
          </w:tcPr>
          <w:p>
            <w:r>
              <w:t>Count</w:t>
            </w:r>
          </w:p>
        </w:tc>
      </w:tr>
      <w:tr>
        <w:tc>
          <w:tcPr>
            <w:tcW w:type="dxa" w:w="5040"/>
          </w:tcPr>
          <w:p>
            <w:r>
              <w:t>ablation_result</w:t>
            </w:r>
          </w:p>
        </w:tc>
        <w:tc>
          <w:tcPr>
            <w:tcW w:type="dxa" w:w="5040"/>
          </w:tcPr>
          <w:p>
            <w:r>
              <w:t>5</w:t>
            </w:r>
          </w:p>
        </w:tc>
      </w:tr>
      <w:tr>
        <w:tc>
          <w:tcPr>
            <w:tcW w:type="dxa" w:w="5040"/>
          </w:tcPr>
          <w:p>
            <w:r>
              <w:t>benchmark_code</w:t>
            </w:r>
          </w:p>
        </w:tc>
        <w:tc>
          <w:tcPr>
            <w:tcW w:type="dxa" w:w="5040"/>
          </w:tcPr>
          <w:p>
            <w:r>
              <w:t>4</w:t>
            </w:r>
          </w:p>
        </w:tc>
      </w:tr>
      <w:tr>
        <w:tc>
          <w:tcPr>
            <w:tcW w:type="dxa" w:w="5040"/>
          </w:tcPr>
          <w:p>
            <w:r>
              <w:t>calibration_figure</w:t>
            </w:r>
          </w:p>
        </w:tc>
        <w:tc>
          <w:tcPr>
            <w:tcW w:type="dxa" w:w="5040"/>
          </w:tcPr>
          <w:p>
            <w:r>
              <w:t>3</w:t>
            </w:r>
          </w:p>
        </w:tc>
      </w:tr>
      <w:tr>
        <w:tc>
          <w:tcPr>
            <w:tcW w:type="dxa" w:w="5040"/>
          </w:tcPr>
          <w:p>
            <w:r>
              <w:t>calibration_result</w:t>
            </w:r>
          </w:p>
        </w:tc>
        <w:tc>
          <w:tcPr>
            <w:tcW w:type="dxa" w:w="5040"/>
          </w:tcPr>
          <w:p>
            <w:r>
              <w:t>5</w:t>
            </w:r>
          </w:p>
        </w:tc>
      </w:tr>
      <w:tr>
        <w:tc>
          <w:tcPr>
            <w:tcW w:type="dxa" w:w="5040"/>
          </w:tcPr>
          <w:p>
            <w:r>
              <w:t>competitor_result</w:t>
            </w:r>
          </w:p>
        </w:tc>
        <w:tc>
          <w:tcPr>
            <w:tcW w:type="dxa" w:w="5040"/>
          </w:tcPr>
          <w:p>
            <w:r>
              <w:t>26</w:t>
            </w:r>
          </w:p>
        </w:tc>
      </w:tr>
      <w:tr>
        <w:tc>
          <w:tcPr>
            <w:tcW w:type="dxa" w:w="5040"/>
          </w:tcPr>
          <w:p>
            <w:r>
              <w:t>figure_source_data</w:t>
            </w:r>
          </w:p>
        </w:tc>
        <w:tc>
          <w:tcPr>
            <w:tcW w:type="dxa" w:w="5040"/>
          </w:tcPr>
          <w:p>
            <w:r>
              <w:t>6</w:t>
            </w:r>
          </w:p>
        </w:tc>
      </w:tr>
      <w:tr>
        <w:tc>
          <w:tcPr>
            <w:tcW w:type="dxa" w:w="5040"/>
          </w:tcPr>
          <w:p>
            <w:r>
              <w:t>handoff_document</w:t>
            </w:r>
          </w:p>
        </w:tc>
        <w:tc>
          <w:tcPr>
            <w:tcW w:type="dxa" w:w="5040"/>
          </w:tcPr>
          <w:p>
            <w:r>
              <w:t>3</w:t>
            </w:r>
          </w:p>
        </w:tc>
      </w:tr>
      <w:tr>
        <w:tc>
          <w:tcPr>
            <w:tcW w:type="dxa" w:w="5040"/>
          </w:tcPr>
          <w:p>
            <w:r>
              <w:t>handoff_email</w:t>
            </w:r>
          </w:p>
        </w:tc>
        <w:tc>
          <w:tcPr>
            <w:tcW w:type="dxa" w:w="5040"/>
          </w:tcPr>
          <w:p>
            <w:r>
              <w:t>3</w:t>
            </w:r>
          </w:p>
        </w:tc>
      </w:tr>
      <w:tr>
        <w:tc>
          <w:tcPr>
            <w:tcW w:type="dxa" w:w="5040"/>
          </w:tcPr>
          <w:p>
            <w:r>
              <w:t>journal_figure</w:t>
            </w:r>
          </w:p>
        </w:tc>
        <w:tc>
          <w:tcPr>
            <w:tcW w:type="dxa" w:w="5040"/>
          </w:tcPr>
          <w:p>
            <w:r>
              <w:t>18</w:t>
            </w:r>
          </w:p>
        </w:tc>
      </w:tr>
      <w:tr>
        <w:tc>
          <w:tcPr>
            <w:tcW w:type="dxa" w:w="5040"/>
          </w:tcPr>
          <w:p>
            <w:r>
              <w:t>manuscript_text</w:t>
            </w:r>
          </w:p>
        </w:tc>
        <w:tc>
          <w:tcPr>
            <w:tcW w:type="dxa" w:w="5040"/>
          </w:tcPr>
          <w:p>
            <w:r>
              <w:t>16</w:t>
            </w:r>
          </w:p>
        </w:tc>
      </w:tr>
      <w:tr>
        <w:tc>
          <w:tcPr>
            <w:tcW w:type="dxa" w:w="5040"/>
          </w:tcPr>
          <w:p>
            <w:r>
              <w:t>metadata</w:t>
            </w:r>
          </w:p>
        </w:tc>
        <w:tc>
          <w:tcPr>
            <w:tcW w:type="dxa" w:w="5040"/>
          </w:tcPr>
          <w:p>
            <w:r>
              <w:t>4</w:t>
            </w:r>
          </w:p>
        </w:tc>
      </w:tr>
      <w:tr>
        <w:tc>
          <w:tcPr>
            <w:tcW w:type="dxa" w:w="5040"/>
          </w:tcPr>
          <w:p>
            <w:r>
              <w:t>other</w:t>
            </w:r>
          </w:p>
        </w:tc>
        <w:tc>
          <w:tcPr>
            <w:tcW w:type="dxa" w:w="5040"/>
          </w:tcPr>
          <w:p>
            <w:r>
              <w:t>9</w:t>
            </w:r>
          </w:p>
        </w:tc>
      </w:tr>
      <w:tr>
        <w:tc>
          <w:tcPr>
            <w:tcW w:type="dxa" w:w="5040"/>
          </w:tcPr>
          <w:p>
            <w:r>
              <w:t>pdac_result</w:t>
            </w:r>
          </w:p>
        </w:tc>
        <w:tc>
          <w:tcPr>
            <w:tcW w:type="dxa" w:w="5040"/>
          </w:tcPr>
          <w:p>
            <w:r>
              <w:t>10</w:t>
            </w:r>
          </w:p>
        </w:tc>
      </w:tr>
      <w:tr>
        <w:tc>
          <w:tcPr>
            <w:tcW w:type="dxa" w:w="5040"/>
          </w:tcPr>
          <w:p>
            <w:r>
              <w:t>pipeline_code</w:t>
            </w:r>
          </w:p>
        </w:tc>
        <w:tc>
          <w:tcPr>
            <w:tcW w:type="dxa" w:w="5040"/>
          </w:tcPr>
          <w:p>
            <w:r>
              <w:t>45</w:t>
            </w:r>
          </w:p>
        </w:tc>
      </w:tr>
      <w:tr>
        <w:tc>
          <w:tcPr>
            <w:tcW w:type="dxa" w:w="5040"/>
          </w:tcPr>
          <w:p>
            <w:r>
              <w:t>release_metadata</w:t>
            </w:r>
          </w:p>
        </w:tc>
        <w:tc>
          <w:tcPr>
            <w:tcW w:type="dxa" w:w="5040"/>
          </w:tcPr>
          <w:p>
            <w:r>
              <w:t>2</w:t>
            </w:r>
          </w:p>
        </w:tc>
      </w:tr>
      <w:tr>
        <w:tc>
          <w:tcPr>
            <w:tcW w:type="dxa" w:w="5040"/>
          </w:tcPr>
          <w:p>
            <w:r>
              <w:t>repository_doc</w:t>
            </w:r>
          </w:p>
        </w:tc>
        <w:tc>
          <w:tcPr>
            <w:tcW w:type="dxa" w:w="5040"/>
          </w:tcPr>
          <w:p>
            <w:r>
              <w:t>1</w:t>
            </w:r>
          </w:p>
        </w:tc>
      </w:tr>
      <w:tr>
        <w:tc>
          <w:tcPr>
            <w:tcW w:type="dxa" w:w="5040"/>
          </w:tcPr>
          <w:p>
            <w:r>
              <w:t>reproducibility_entrypoint</w:t>
            </w:r>
          </w:p>
        </w:tc>
        <w:tc>
          <w:tcPr>
            <w:tcW w:type="dxa" w:w="5040"/>
          </w:tcPr>
          <w:p>
            <w:r>
              <w:t>1</w:t>
            </w:r>
          </w:p>
        </w:tc>
      </w:tr>
      <w:tr>
        <w:tc>
          <w:tcPr>
            <w:tcW w:type="dxa" w:w="5040"/>
          </w:tcPr>
          <w:p>
            <w:r>
              <w:t>shared_export</w:t>
            </w:r>
          </w:p>
        </w:tc>
        <w:tc>
          <w:tcPr>
            <w:tcW w:type="dxa" w:w="5040"/>
          </w:tcPr>
          <w:p>
            <w:r>
              <w:t>1</w:t>
            </w:r>
          </w:p>
        </w:tc>
      </w:tr>
      <w:tr>
        <w:tc>
          <w:tcPr>
            <w:tcW w:type="dxa" w:w="5040"/>
          </w:tcPr>
          <w:p>
            <w:r>
              <w:t>submission_doc</w:t>
            </w:r>
          </w:p>
        </w:tc>
        <w:tc>
          <w:tcPr>
            <w:tcW w:type="dxa" w:w="5040"/>
          </w:tcPr>
          <w:p>
            <w:r>
              <w:t>52</w:t>
            </w:r>
          </w:p>
        </w:tc>
      </w:tr>
      <w:tr>
        <w:tc>
          <w:tcPr>
            <w:tcW w:type="dxa" w:w="5040"/>
          </w:tcPr>
          <w:p>
            <w:r>
              <w:t>submission_table</w:t>
            </w:r>
          </w:p>
        </w:tc>
        <w:tc>
          <w:tcPr>
            <w:tcW w:type="dxa" w:w="5040"/>
          </w:tcPr>
          <w:p>
            <w:r>
              <w:t>37</w:t>
            </w:r>
          </w:p>
        </w:tc>
      </w:tr>
      <w:tr>
        <w:tc>
          <w:tcPr>
            <w:tcW w:type="dxa" w:w="5040"/>
          </w:tcPr>
          <w:p>
            <w:r>
              <w:t>topology_result</w:t>
            </w:r>
          </w:p>
        </w:tc>
        <w:tc>
          <w:tcPr>
            <w:tcW w:type="dxa" w:w="5040"/>
          </w:tcPr>
          <w:p>
            <w:r>
              <w:t>6</w:t>
            </w:r>
          </w:p>
        </w:tc>
      </w:tr>
    </w:tbl>
    <w:p>
      <w:pPr>
        <w:pStyle w:val="Heading2"/>
      </w:pPr>
      <w:r>
        <w:t>Change Status Counts</w:t>
      </w:r>
    </w:p>
    <w:tbl>
      <w:tblPr>
        <w:tblStyle w:val="TableGrid"/>
        <w:tblW w:type="auto" w:w="0"/>
        <w:tblLook w:firstColumn="1" w:firstRow="1" w:lastColumn="0" w:lastRow="0" w:noHBand="0" w:noVBand="1" w:val="04A0"/>
      </w:tblPr>
      <w:tblGrid>
        <w:gridCol w:w="5040"/>
        <w:gridCol w:w="5040"/>
      </w:tblGrid>
      <w:tr>
        <w:tc>
          <w:tcPr>
            <w:tcW w:type="dxa" w:w="5040"/>
          </w:tcPr>
          <w:p>
            <w:r>
              <w:t>Git status</w:t>
            </w:r>
          </w:p>
        </w:tc>
        <w:tc>
          <w:tcPr>
            <w:tcW w:type="dxa" w:w="5040"/>
          </w:tcPr>
          <w:p>
            <w:r>
              <w:t>Count</w:t>
            </w:r>
          </w:p>
        </w:tc>
      </w:tr>
      <w:tr>
        <w:tc>
          <w:tcPr>
            <w:tcW w:type="dxa" w:w="5040"/>
          </w:tcPr>
          <w:p>
            <w:r>
              <w:t>A</w:t>
            </w:r>
          </w:p>
        </w:tc>
        <w:tc>
          <w:tcPr>
            <w:tcW w:type="dxa" w:w="5040"/>
          </w:tcPr>
          <w:p>
            <w:r>
              <w:t>215</w:t>
            </w:r>
          </w:p>
        </w:tc>
      </w:tr>
      <w:tr>
        <w:tc>
          <w:tcPr>
            <w:tcW w:type="dxa" w:w="5040"/>
          </w:tcPr>
          <w:p>
            <w:r>
              <w:t>M</w:t>
            </w:r>
          </w:p>
        </w:tc>
        <w:tc>
          <w:tcPr>
            <w:tcW w:type="dxa" w:w="5040"/>
          </w:tcPr>
          <w:p>
            <w:r>
              <w:t>42</w:t>
            </w:r>
          </w:p>
        </w:tc>
      </w:tr>
    </w:tbl>
    <w:p>
      <w:pPr>
        <w:pStyle w:val="Heading2"/>
      </w:pPr>
      <w:r>
        <w:t>Example Manuscript-facing Changed Files</w:t>
      </w:r>
    </w:p>
    <w:tbl>
      <w:tblPr>
        <w:tblStyle w:val="TableGrid"/>
        <w:tblW w:type="auto" w:w="0"/>
        <w:tblLook w:firstColumn="1" w:firstRow="1" w:lastColumn="0" w:lastRow="0" w:noHBand="0" w:noVBand="1" w:val="04A0"/>
      </w:tblPr>
      <w:tblGrid>
        <w:gridCol w:w="3360"/>
        <w:gridCol w:w="3360"/>
        <w:gridCol w:w="3360"/>
      </w:tblGrid>
      <w:tr>
        <w:tc>
          <w:tcPr>
            <w:tcW w:type="dxa" w:w="3360"/>
          </w:tcPr>
          <w:p>
            <w:r>
              <w:t>Status</w:t>
            </w:r>
          </w:p>
        </w:tc>
        <w:tc>
          <w:tcPr>
            <w:tcW w:type="dxa" w:w="3360"/>
          </w:tcPr>
          <w:p>
            <w:r>
              <w:t>Class</w:t>
            </w:r>
          </w:p>
        </w:tc>
        <w:tc>
          <w:tcPr>
            <w:tcW w:type="dxa" w:w="3360"/>
          </w:tcPr>
          <w:p>
            <w:r>
              <w:t>Path</w:t>
            </w:r>
          </w:p>
        </w:tc>
      </w:tr>
      <w:tr>
        <w:tc>
          <w:tcPr>
            <w:tcW w:type="dxa" w:w="3360"/>
          </w:tcPr>
          <w:p>
            <w:r>
              <w:t>M</w:t>
            </w:r>
          </w:p>
        </w:tc>
        <w:tc>
          <w:tcPr>
            <w:tcW w:type="dxa" w:w="3360"/>
          </w:tcPr>
          <w:p>
            <w:r>
              <w:t>release_metadata</w:t>
            </w:r>
          </w:p>
        </w:tc>
        <w:tc>
          <w:tcPr>
            <w:tcW w:type="dxa" w:w="3360"/>
          </w:tcPr>
          <w:p>
            <w:r>
              <w:t>.zenodo.json</w:t>
            </w:r>
          </w:p>
        </w:tc>
      </w:tr>
      <w:tr>
        <w:tc>
          <w:tcPr>
            <w:tcW w:type="dxa" w:w="3360"/>
          </w:tcPr>
          <w:p>
            <w:r>
              <w:t>M</w:t>
            </w:r>
          </w:p>
        </w:tc>
        <w:tc>
          <w:tcPr>
            <w:tcW w:type="dxa" w:w="3360"/>
          </w:tcPr>
          <w:p>
            <w:r>
              <w:t>release_metadata</w:t>
            </w:r>
          </w:p>
        </w:tc>
        <w:tc>
          <w:tcPr>
            <w:tcW w:type="dxa" w:w="3360"/>
          </w:tcPr>
          <w:p>
            <w:r>
              <w:t>CITATION.cff</w:t>
            </w:r>
          </w:p>
        </w:tc>
      </w:tr>
      <w:tr>
        <w:tc>
          <w:tcPr>
            <w:tcW w:type="dxa" w:w="3360"/>
          </w:tcPr>
          <w:p>
            <w:r>
              <w:t>M</w:t>
            </w:r>
          </w:p>
        </w:tc>
        <w:tc>
          <w:tcPr>
            <w:tcW w:type="dxa" w:w="3360"/>
          </w:tcPr>
          <w:p>
            <w:r>
              <w:t>reproducibility_entrypoint</w:t>
            </w:r>
          </w:p>
        </w:tc>
        <w:tc>
          <w:tcPr>
            <w:tcW w:type="dxa" w:w="3360"/>
          </w:tcPr>
          <w:p>
            <w:r>
              <w:t>Makefile</w:t>
            </w:r>
          </w:p>
        </w:tc>
      </w:tr>
      <w:tr>
        <w:tc>
          <w:tcPr>
            <w:tcW w:type="dxa" w:w="3360"/>
          </w:tcPr>
          <w:p>
            <w:r>
              <w:t>M</w:t>
            </w:r>
          </w:p>
        </w:tc>
        <w:tc>
          <w:tcPr>
            <w:tcW w:type="dxa" w:w="3360"/>
          </w:tcPr>
          <w:p>
            <w:r>
              <w:t>repository_doc</w:t>
            </w:r>
          </w:p>
        </w:tc>
        <w:tc>
          <w:tcPr>
            <w:tcW w:type="dxa" w:w="3360"/>
          </w:tcPr>
          <w:p>
            <w:r>
              <w:t>README.md</w:t>
            </w:r>
          </w:p>
        </w:tc>
      </w:tr>
      <w:tr>
        <w:tc>
          <w:tcPr>
            <w:tcW w:type="dxa" w:w="3360"/>
          </w:tcPr>
          <w:p>
            <w:r>
              <w:t>A</w:t>
            </w:r>
          </w:p>
        </w:tc>
        <w:tc>
          <w:tcPr>
            <w:tcW w:type="dxa" w:w="3360"/>
          </w:tcPr>
          <w:p>
            <w:r>
              <w:t>benchmark_code</w:t>
            </w:r>
          </w:p>
        </w:tc>
        <w:tc>
          <w:tcPr>
            <w:tcW w:type="dxa" w:w="3360"/>
          </w:tcPr>
          <w:p>
            <w:r>
              <w:t>benchmarks/run_realdata_topology_benchmark.py</w:t>
            </w:r>
          </w:p>
        </w:tc>
      </w:tr>
      <w:tr>
        <w:tc>
          <w:tcPr>
            <w:tcW w:type="dxa" w:w="3360"/>
          </w:tcPr>
          <w:p>
            <w:r>
              <w:t>A</w:t>
            </w:r>
          </w:p>
        </w:tc>
        <w:tc>
          <w:tcPr>
            <w:tcW w:type="dxa" w:w="3360"/>
          </w:tcPr>
          <w:p>
            <w:r>
              <w:t>benchmark_code</w:t>
            </w:r>
          </w:p>
        </w:tc>
        <w:tc>
          <w:tcPr>
            <w:tcW w:type="dxa" w:w="3360"/>
          </w:tcPr>
          <w:p>
            <w:r>
              <w:t>benchmarks/run_sclens_h5ad_smoke.py</w:t>
            </w:r>
          </w:p>
        </w:tc>
      </w:tr>
      <w:tr>
        <w:tc>
          <w:tcPr>
            <w:tcW w:type="dxa" w:w="3360"/>
          </w:tcPr>
          <w:p>
            <w:r>
              <w:t>A</w:t>
            </w:r>
          </w:p>
        </w:tc>
        <w:tc>
          <w:tcPr>
            <w:tcW w:type="dxa" w:w="3360"/>
          </w:tcPr>
          <w:p>
            <w:r>
              <w:t>benchmark_code</w:t>
            </w:r>
          </w:p>
        </w:tc>
        <w:tc>
          <w:tcPr>
            <w:tcW w:type="dxa" w:w="3360"/>
          </w:tcPr>
          <w:p>
            <w:r>
              <w:t>benchmarks/run_sclens_stability_benchmark.py</w:t>
            </w:r>
          </w:p>
        </w:tc>
      </w:tr>
      <w:tr>
        <w:tc>
          <w:tcPr>
            <w:tcW w:type="dxa" w:w="3360"/>
          </w:tcPr>
          <w:p>
            <w:r>
              <w:t>A</w:t>
            </w:r>
          </w:p>
        </w:tc>
        <w:tc>
          <w:tcPr>
            <w:tcW w:type="dxa" w:w="3360"/>
          </w:tcPr>
          <w:p>
            <w:r>
              <w:t>benchmark_code</w:t>
            </w:r>
          </w:p>
        </w:tc>
        <w:tc>
          <w:tcPr>
            <w:tcW w:type="dxa" w:w="3360"/>
          </w:tcPr>
          <w:p>
            <w:r>
              <w:t>benchmarks/run_topology_stress_benchmark.py</w:t>
            </w:r>
          </w:p>
        </w:tc>
      </w:tr>
      <w:tr>
        <w:tc>
          <w:tcPr>
            <w:tcW w:type="dxa" w:w="3360"/>
          </w:tcPr>
          <w:p>
            <w:r>
              <w:t>A</w:t>
            </w:r>
          </w:p>
        </w:tc>
        <w:tc>
          <w:tcPr>
            <w:tcW w:type="dxa" w:w="3360"/>
          </w:tcPr>
          <w:p>
            <w:r>
              <w:t>submission_doc</w:t>
            </w:r>
          </w:p>
        </w:tc>
        <w:tc>
          <w:tcPr>
            <w:tcW w:type="dxa" w:w="3360"/>
          </w:tcPr>
          <w:p>
            <w:r>
              <w:t>docs/added_dataset_annotation_boundary.md</w:t>
            </w:r>
          </w:p>
        </w:tc>
      </w:tr>
      <w:tr>
        <w:tc>
          <w:tcPr>
            <w:tcW w:type="dxa" w:w="3360"/>
          </w:tcPr>
          <w:p>
            <w:r>
              <w:t>M</w:t>
            </w:r>
          </w:p>
        </w:tc>
        <w:tc>
          <w:tcPr>
            <w:tcW w:type="dxa" w:w="3360"/>
          </w:tcPr>
          <w:p>
            <w:r>
              <w:t>submission_doc</w:t>
            </w:r>
          </w:p>
        </w:tc>
        <w:tc>
          <w:tcPr>
            <w:tcW w:type="dxa" w:w="3360"/>
          </w:tcPr>
          <w:p>
            <w:r>
              <w:t>docs/author_declarations_and_credit_roles.md</w:t>
            </w:r>
          </w:p>
        </w:tc>
      </w:tr>
      <w:tr>
        <w:tc>
          <w:tcPr>
            <w:tcW w:type="dxa" w:w="3360"/>
          </w:tcPr>
          <w:p>
            <w:r>
              <w:t>M</w:t>
            </w:r>
          </w:p>
        </w:tc>
        <w:tc>
          <w:tcPr>
            <w:tcW w:type="dxa" w:w="3360"/>
          </w:tcPr>
          <w:p>
            <w:r>
              <w:t>submission_doc</w:t>
            </w:r>
          </w:p>
        </w:tc>
        <w:tc>
          <w:tcPr>
            <w:tcW w:type="dxa" w:w="3360"/>
          </w:tcPr>
          <w:p>
            <w:r>
              <w:t>docs/author_metadata_status.md</w:t>
            </w:r>
          </w:p>
        </w:tc>
      </w:tr>
      <w:tr>
        <w:tc>
          <w:tcPr>
            <w:tcW w:type="dxa" w:w="3360"/>
          </w:tcPr>
          <w:p>
            <w:r>
              <w:t>M</w:t>
            </w:r>
          </w:p>
        </w:tc>
        <w:tc>
          <w:tcPr>
            <w:tcW w:type="dxa" w:w="3360"/>
          </w:tcPr>
          <w:p>
            <w:r>
              <w:t>submission_doc</w:t>
            </w:r>
          </w:p>
        </w:tc>
        <w:tc>
          <w:tcPr>
            <w:tcW w:type="dxa" w:w="3360"/>
          </w:tcPr>
          <w:p>
            <w:r>
              <w:t>docs/author_release_execution_packet.md</w:t>
            </w:r>
          </w:p>
        </w:tc>
      </w:tr>
      <w:tr>
        <w:tc>
          <w:tcPr>
            <w:tcW w:type="dxa" w:w="3360"/>
          </w:tcPr>
          <w:p>
            <w:r>
              <w:t>A</w:t>
            </w:r>
          </w:p>
        </w:tc>
        <w:tc>
          <w:tcPr>
            <w:tcW w:type="dxa" w:w="3360"/>
          </w:tcPr>
          <w:p>
            <w:r>
              <w:t>submission_doc</w:t>
            </w:r>
          </w:p>
        </w:tc>
        <w:tc>
          <w:tcPr>
            <w:tcW w:type="dxa" w:w="3360"/>
          </w:tcPr>
          <w:p>
            <w:r>
              <w:t>docs/benchmark_upgrade_from_concord_sclens_2026-05-12.md</w:t>
            </w:r>
          </w:p>
        </w:tc>
      </w:tr>
      <w:tr>
        <w:tc>
          <w:tcPr>
            <w:tcW w:type="dxa" w:w="3360"/>
          </w:tcPr>
          <w:p>
            <w:r>
              <w:t>M</w:t>
            </w:r>
          </w:p>
        </w:tc>
        <w:tc>
          <w:tcPr>
            <w:tcW w:type="dxa" w:w="3360"/>
          </w:tcPr>
          <w:p>
            <w:r>
              <w:t>submission_doc</w:t>
            </w:r>
          </w:p>
        </w:tc>
        <w:tc>
          <w:tcPr>
            <w:tcW w:type="dxa" w:w="3360"/>
          </w:tcPr>
          <w:p>
            <w:r>
              <w:t>docs/claim_boundary_lint.md</w:t>
            </w:r>
          </w:p>
        </w:tc>
      </w:tr>
      <w:tr>
        <w:tc>
          <w:tcPr>
            <w:tcW w:type="dxa" w:w="3360"/>
          </w:tcPr>
          <w:p>
            <w:r>
              <w:t>M</w:t>
            </w:r>
          </w:p>
        </w:tc>
        <w:tc>
          <w:tcPr>
            <w:tcW w:type="dxa" w:w="3360"/>
          </w:tcPr>
          <w:p>
            <w:r>
              <w:t>submission_doc</w:t>
            </w:r>
          </w:p>
        </w:tc>
        <w:tc>
          <w:tcPr>
            <w:tcW w:type="dxa" w:w="3360"/>
          </w:tcPr>
          <w:p>
            <w:r>
              <w:t>docs/claim_traceability.md</w:t>
            </w:r>
          </w:p>
        </w:tc>
      </w:tr>
      <w:tr>
        <w:tc>
          <w:tcPr>
            <w:tcW w:type="dxa" w:w="3360"/>
          </w:tcPr>
          <w:p>
            <w:r>
              <w:t>A</w:t>
            </w:r>
          </w:p>
        </w:tc>
        <w:tc>
          <w:tcPr>
            <w:tcW w:type="dxa" w:w="3360"/>
          </w:tcPr>
          <w:p>
            <w:r>
              <w:t>submission_doc</w:t>
            </w:r>
          </w:p>
        </w:tc>
        <w:tc>
          <w:tcPr>
            <w:tcW w:type="dxa" w:w="3360"/>
          </w:tcPr>
          <w:p>
            <w:r>
              <w:t>docs/competitor_positioning_concord_sclens_2026-05-12.md</w:t>
            </w:r>
          </w:p>
        </w:tc>
      </w:tr>
      <w:tr>
        <w:tc>
          <w:tcPr>
            <w:tcW w:type="dxa" w:w="3360"/>
          </w:tcPr>
          <w:p>
            <w:r>
              <w:t>M</w:t>
            </w:r>
          </w:p>
        </w:tc>
        <w:tc>
          <w:tcPr>
            <w:tcW w:type="dxa" w:w="3360"/>
          </w:tcPr>
          <w:p>
            <w:r>
              <w:t>submission_doc</w:t>
            </w:r>
          </w:p>
        </w:tc>
        <w:tc>
          <w:tcPr>
            <w:tcW w:type="dxa" w:w="3360"/>
          </w:tcPr>
          <w:p>
            <w:r>
              <w:t>docs/component_ablation_benchmark.md</w:t>
            </w:r>
          </w:p>
        </w:tc>
      </w:tr>
      <w:tr>
        <w:tc>
          <w:tcPr>
            <w:tcW w:type="dxa" w:w="3360"/>
          </w:tcPr>
          <w:p>
            <w:r>
              <w:t>A</w:t>
            </w:r>
          </w:p>
        </w:tc>
        <w:tc>
          <w:tcPr>
            <w:tcW w:type="dxa" w:w="3360"/>
          </w:tcPr>
          <w:p>
            <w:r>
              <w:t>submission_doc</w:t>
            </w:r>
          </w:p>
        </w:tc>
        <w:tc>
          <w:tcPr>
            <w:tcW w:type="dxa" w:w="3360"/>
          </w:tcPr>
          <w:p>
            <w:r>
              <w:t>docs/corresponding_author_proxy_assumption.md</w:t>
            </w:r>
          </w:p>
        </w:tc>
      </w:tr>
      <w:tr>
        <w:tc>
          <w:tcPr>
            <w:tcW w:type="dxa" w:w="3360"/>
          </w:tcPr>
          <w:p>
            <w:r>
              <w:t>A</w:t>
            </w:r>
          </w:p>
        </w:tc>
        <w:tc>
          <w:tcPr>
            <w:tcW w:type="dxa" w:w="3360"/>
          </w:tcPr>
          <w:p>
            <w:r>
              <w:t>submission_doc</w:t>
            </w:r>
          </w:p>
        </w:tc>
        <w:tc>
          <w:tcPr>
            <w:tcW w:type="dxa" w:w="3360"/>
          </w:tcPr>
          <w:p>
            <w:r>
              <w:t>docs/corresponding_author_reply_intake_runbook.md</w:t>
            </w:r>
          </w:p>
        </w:tc>
      </w:tr>
      <w:tr>
        <w:tc>
          <w:tcPr>
            <w:tcW w:type="dxa" w:w="3360"/>
          </w:tcPr>
          <w:p>
            <w:r>
              <w:t>A</w:t>
            </w:r>
          </w:p>
        </w:tc>
        <w:tc>
          <w:tcPr>
            <w:tcW w:type="dxa" w:w="3360"/>
          </w:tcPr>
          <w:p>
            <w:r>
              <w:t>submission_doc</w:t>
            </w:r>
          </w:p>
        </w:tc>
        <w:tc>
          <w:tcPr>
            <w:tcW w:type="dxa" w:w="3360"/>
          </w:tcPr>
          <w:p>
            <w:r>
              <w:t>docs/corresponding_author_signoff_tracker.md</w:t>
            </w:r>
          </w:p>
        </w:tc>
      </w:tr>
      <w:tr>
        <w:tc>
          <w:tcPr>
            <w:tcW w:type="dxa" w:w="3360"/>
          </w:tcPr>
          <w:p>
            <w:r>
              <w:t>A</w:t>
            </w:r>
          </w:p>
        </w:tc>
        <w:tc>
          <w:tcPr>
            <w:tcW w:type="dxa" w:w="3360"/>
          </w:tcPr>
          <w:p>
            <w:r>
              <w:t>submission_doc</w:t>
            </w:r>
          </w:p>
        </w:tc>
        <w:tc>
          <w:tcPr>
            <w:tcW w:type="dxa" w:w="3360"/>
          </w:tcPr>
          <w:p>
            <w:r>
              <w:t>docs/current_evidence_freeze_2026-05-12.md</w:t>
            </w:r>
          </w:p>
        </w:tc>
      </w:tr>
      <w:tr>
        <w:tc>
          <w:tcPr>
            <w:tcW w:type="dxa" w:w="3360"/>
          </w:tcPr>
          <w:p>
            <w:r>
              <w:t>M</w:t>
            </w:r>
          </w:p>
        </w:tc>
        <w:tc>
          <w:tcPr>
            <w:tcW w:type="dxa" w:w="3360"/>
          </w:tcPr>
          <w:p>
            <w:r>
              <w:t>submission_doc</w:t>
            </w:r>
          </w:p>
        </w:tc>
        <w:tc>
          <w:tcPr>
            <w:tcW w:type="dxa" w:w="3360"/>
          </w:tcPr>
          <w:p>
            <w:r>
              <w:t>docs/editorial_presubmission_packet.md</w:t>
            </w:r>
          </w:p>
        </w:tc>
      </w:tr>
      <w:tr>
        <w:tc>
          <w:tcPr>
            <w:tcW w:type="dxa" w:w="3360"/>
          </w:tcPr>
          <w:p>
            <w:r>
              <w:t>A</w:t>
            </w:r>
          </w:p>
        </w:tc>
        <w:tc>
          <w:tcPr>
            <w:tcW w:type="dxa" w:w="3360"/>
          </w:tcPr>
          <w:p>
            <w:r>
              <w:t>submission_doc</w:t>
            </w:r>
          </w:p>
        </w:tc>
        <w:tc>
          <w:tcPr>
            <w:tcW w:type="dxa" w:w="3360"/>
          </w:tcPr>
          <w:p>
            <w:r>
              <w:t>docs/figure4_pdac_tme_wording_freeze.md</w:t>
            </w:r>
          </w:p>
        </w:tc>
      </w:tr>
      <w:tr>
        <w:tc>
          <w:tcPr>
            <w:tcW w:type="dxa" w:w="3360"/>
          </w:tcPr>
          <w:p>
            <w:r>
              <w:t>A</w:t>
            </w:r>
          </w:p>
        </w:tc>
        <w:tc>
          <w:tcPr>
            <w:tcW w:type="dxa" w:w="3360"/>
          </w:tcPr>
          <w:p>
            <w:r>
              <w:t>submission_doc</w:t>
            </w:r>
          </w:p>
        </w:tc>
        <w:tc>
          <w:tcPr>
            <w:tcW w:type="dxa" w:w="3360"/>
          </w:tcPr>
          <w:p>
            <w:r>
              <w:t>docs/figure4_strengthened_text_audit.md</w:t>
            </w:r>
          </w:p>
        </w:tc>
      </w:tr>
      <w:tr>
        <w:tc>
          <w:tcPr>
            <w:tcW w:type="dxa" w:w="3360"/>
          </w:tcPr>
          <w:p>
            <w:r>
              <w:t>A</w:t>
            </w:r>
          </w:p>
        </w:tc>
        <w:tc>
          <w:tcPr>
            <w:tcW w:type="dxa" w:w="3360"/>
          </w:tcPr>
          <w:p>
            <w:r>
              <w:t>submission_doc</w:t>
            </w:r>
          </w:p>
        </w:tc>
        <w:tc>
          <w:tcPr>
            <w:tcW w:type="dxa" w:w="3360"/>
          </w:tcPr>
          <w:p>
            <w:r>
              <w:t>docs/figure_caption_source_audit.md</w:t>
            </w:r>
          </w:p>
        </w:tc>
      </w:tr>
      <w:tr>
        <w:tc>
          <w:tcPr>
            <w:tcW w:type="dxa" w:w="3360"/>
          </w:tcPr>
          <w:p>
            <w:r>
              <w:t>A</w:t>
            </w:r>
          </w:p>
        </w:tc>
        <w:tc>
          <w:tcPr>
            <w:tcW w:type="dxa" w:w="3360"/>
          </w:tcPr>
          <w:p>
            <w:r>
              <w:t>submission_doc</w:t>
            </w:r>
          </w:p>
        </w:tc>
        <w:tc>
          <w:tcPr>
            <w:tcW w:type="dxa" w:w="3360"/>
          </w:tcPr>
          <w:p>
            <w:r>
              <w:t>docs/genome_biology_fallback_v2_packet.md</w:t>
            </w:r>
          </w:p>
        </w:tc>
      </w:tr>
      <w:tr>
        <w:tc>
          <w:tcPr>
            <w:tcW w:type="dxa" w:w="3360"/>
          </w:tcPr>
          <w:p>
            <w:r>
              <w:t>M</w:t>
            </w:r>
          </w:p>
        </w:tc>
        <w:tc>
          <w:tcPr>
            <w:tcW w:type="dxa" w:w="3360"/>
          </w:tcPr>
          <w:p>
            <w:r>
              <w:t>submission_doc</w:t>
            </w:r>
          </w:p>
        </w:tc>
        <w:tc>
          <w:tcPr>
            <w:tcW w:type="dxa" w:w="3360"/>
          </w:tcPr>
          <w:p>
            <w:r>
              <w:t>docs/jif20_50_gap_assessment.md</w:t>
            </w:r>
          </w:p>
        </w:tc>
      </w:tr>
      <w:tr>
        <w:tc>
          <w:tcPr>
            <w:tcW w:type="dxa" w:w="3360"/>
          </w:tcPr>
          <w:p>
            <w:r>
              <w:t>M</w:t>
            </w:r>
          </w:p>
        </w:tc>
        <w:tc>
          <w:tcPr>
            <w:tcW w:type="dxa" w:w="3360"/>
          </w:tcPr>
          <w:p>
            <w:r>
              <w:t>submission_doc</w:t>
            </w:r>
          </w:p>
        </w:tc>
        <w:tc>
          <w:tcPr>
            <w:tcW w:type="dxa" w:w="3360"/>
          </w:tcPr>
          <w:p>
            <w:r>
              <w:t>docs/manual_author_execution_steps.md</w:t>
            </w:r>
          </w:p>
        </w:tc>
      </w:tr>
      <w:tr>
        <w:tc>
          <w:tcPr>
            <w:tcW w:type="dxa" w:w="3360"/>
          </w:tcPr>
          <w:p>
            <w:r>
              <w:t>A</w:t>
            </w:r>
          </w:p>
        </w:tc>
        <w:tc>
          <w:tcPr>
            <w:tcW w:type="dxa" w:w="3360"/>
          </w:tcPr>
          <w:p>
            <w:r>
              <w:t>submission_doc</w:t>
            </w:r>
          </w:p>
        </w:tc>
        <w:tc>
          <w:tcPr>
            <w:tcW w:type="dxa" w:w="3360"/>
          </w:tcPr>
          <w:p>
            <w:r>
              <w:t>docs/manual_next_actions_20_50.md</w:t>
            </w:r>
          </w:p>
        </w:tc>
      </w:tr>
      <w:tr>
        <w:tc>
          <w:tcPr>
            <w:tcW w:type="dxa" w:w="3360"/>
          </w:tcPr>
          <w:p>
            <w:r>
              <w:t>A</w:t>
            </w:r>
          </w:p>
        </w:tc>
        <w:tc>
          <w:tcPr>
            <w:tcW w:type="dxa" w:w="3360"/>
          </w:tcPr>
          <w:p>
            <w:r>
              <w:t>submission_doc</w:t>
            </w:r>
          </w:p>
        </w:tc>
        <w:tc>
          <w:tcPr>
            <w:tcW w:type="dxa" w:w="3360"/>
          </w:tcPr>
          <w:p>
            <w:r>
              <w:t>docs/manuscript_grade_null_power_grid_design.md</w:t>
            </w:r>
          </w:p>
        </w:tc>
      </w:tr>
      <w:tr>
        <w:tc>
          <w:tcPr>
            <w:tcW w:type="dxa" w:w="3360"/>
          </w:tcPr>
          <w:p>
            <w:r>
              <w:t>A</w:t>
            </w:r>
          </w:p>
        </w:tc>
        <w:tc>
          <w:tcPr>
            <w:tcW w:type="dxa" w:w="3360"/>
          </w:tcPr>
          <w:p>
            <w:r>
              <w:t>submission_doc</w:t>
            </w:r>
          </w:p>
        </w:tc>
        <w:tc>
          <w:tcPr>
            <w:tcW w:type="dxa" w:w="3360"/>
          </w:tcPr>
          <w:p>
            <w:r>
              <w:t>docs/mentor_journal_decision_2026-05-10.md</w:t>
            </w:r>
          </w:p>
        </w:tc>
      </w:tr>
      <w:tr>
        <w:tc>
          <w:tcPr>
            <w:tcW w:type="dxa" w:w="3360"/>
          </w:tcPr>
          <w:p>
            <w:r>
              <w:t>A</w:t>
            </w:r>
          </w:p>
        </w:tc>
        <w:tc>
          <w:tcPr>
            <w:tcW w:type="dxa" w:w="3360"/>
          </w:tcPr>
          <w:p>
            <w:r>
              <w:t>submission_doc</w:t>
            </w:r>
          </w:p>
        </w:tc>
        <w:tc>
          <w:tcPr>
            <w:tcW w:type="dxa" w:w="3360"/>
          </w:tcPr>
          <w:p>
            <w:r>
              <w:t>docs/nature_methods_48h_execution_packet.md</w:t>
            </w:r>
          </w:p>
        </w:tc>
      </w:tr>
      <w:tr>
        <w:tc>
          <w:tcPr>
            <w:tcW w:type="dxa" w:w="3360"/>
          </w:tcPr>
          <w:p>
            <w:r>
              <w:t>A</w:t>
            </w:r>
          </w:p>
        </w:tc>
        <w:tc>
          <w:tcPr>
            <w:tcW w:type="dxa" w:w="3360"/>
          </w:tcPr>
          <w:p>
            <w:r>
              <w:t>submission_doc</w:t>
            </w:r>
          </w:p>
        </w:tc>
        <w:tc>
          <w:tcPr>
            <w:tcW w:type="dxa" w:w="3360"/>
          </w:tcPr>
          <w:p>
            <w:r>
              <w:t>docs/nature_methods_go_no_go_final.md</w:t>
            </w:r>
          </w:p>
        </w:tc>
      </w:tr>
      <w:tr>
        <w:tc>
          <w:tcPr>
            <w:tcW w:type="dxa" w:w="3360"/>
          </w:tcPr>
          <w:p>
            <w:r>
              <w:t>A</w:t>
            </w:r>
          </w:p>
        </w:tc>
        <w:tc>
          <w:tcPr>
            <w:tcW w:type="dxa" w:w="3360"/>
          </w:tcPr>
          <w:p>
            <w:r>
              <w:t>submission_doc</w:t>
            </w:r>
          </w:p>
        </w:tc>
        <w:tc>
          <w:tcPr>
            <w:tcW w:type="dxa" w:w="3360"/>
          </w:tcPr>
          <w:p>
            <w:r>
              <w:t>docs/nature_methods_next_round_gate_board.md</w:t>
            </w:r>
          </w:p>
        </w:tc>
      </w:tr>
      <w:tr>
        <w:tc>
          <w:tcPr>
            <w:tcW w:type="dxa" w:w="3360"/>
          </w:tcPr>
          <w:p>
            <w:r>
              <w:t>A</w:t>
            </w:r>
          </w:p>
        </w:tc>
        <w:tc>
          <w:tcPr>
            <w:tcW w:type="dxa" w:w="3360"/>
          </w:tcPr>
          <w:p>
            <w:r>
              <w:t>submission_doc</w:t>
            </w:r>
          </w:p>
        </w:tc>
        <w:tc>
          <w:tcPr>
            <w:tcW w:type="dxa" w:w="3360"/>
          </w:tcPr>
          <w:p>
            <w:r>
              <w:t>docs/nature_methods_official_route_verification.md</w:t>
            </w:r>
          </w:p>
        </w:tc>
      </w:tr>
      <w:tr>
        <w:tc>
          <w:tcPr>
            <w:tcW w:type="dxa" w:w="3360"/>
          </w:tcPr>
          <w:p>
            <w:r>
              <w:t>A</w:t>
            </w:r>
          </w:p>
        </w:tc>
        <w:tc>
          <w:tcPr>
            <w:tcW w:type="dxa" w:w="3360"/>
          </w:tcPr>
          <w:p>
            <w:r>
              <w:t>submission_doc</w:t>
            </w:r>
          </w:p>
        </w:tc>
        <w:tc>
          <w:tcPr>
            <w:tcW w:type="dxa" w:w="3360"/>
          </w:tcPr>
          <w:p>
            <w:r>
              <w:t>docs/nature_methods_presubmission_send_runbook.md</w:t>
            </w:r>
          </w:p>
        </w:tc>
      </w:tr>
      <w:tr>
        <w:tc>
          <w:tcPr>
            <w:tcW w:type="dxa" w:w="3360"/>
          </w:tcPr>
          <w:p>
            <w:r>
              <w:t>M</w:t>
            </w:r>
          </w:p>
        </w:tc>
        <w:tc>
          <w:tcPr>
            <w:tcW w:type="dxa" w:w="3360"/>
          </w:tcPr>
          <w:p>
            <w:r>
              <w:t>submission_doc</w:t>
            </w:r>
          </w:p>
        </w:tc>
        <w:tc>
          <w:tcPr>
            <w:tcW w:type="dxa" w:w="3360"/>
          </w:tcPr>
          <w:p>
            <w:r>
              <w:t>docs/nature_reporting_summary_draft.md</w:t>
            </w:r>
          </w:p>
        </w:tc>
      </w:tr>
      <w:tr>
        <w:tc>
          <w:tcPr>
            <w:tcW w:type="dxa" w:w="3360"/>
          </w:tcPr>
          <w:p>
            <w:r>
              <w:t>M</w:t>
            </w:r>
          </w:p>
        </w:tc>
        <w:tc>
          <w:tcPr>
            <w:tcW w:type="dxa" w:w="3360"/>
          </w:tcPr>
          <w:p>
            <w:r>
              <w:t>submission_doc</w:t>
            </w:r>
          </w:p>
        </w:tc>
        <w:tc>
          <w:tcPr>
            <w:tcW w:type="dxa" w:w="3360"/>
          </w:tcPr>
          <w:p>
            <w:r>
              <w:t>docs/no_call_decision_map.md</w:t>
            </w:r>
          </w:p>
        </w:tc>
      </w:tr>
      <w:tr>
        <w:tc>
          <w:tcPr>
            <w:tcW w:type="dxa" w:w="3360"/>
          </w:tcPr>
          <w:p>
            <w:r>
              <w:t>A</w:t>
            </w:r>
          </w:p>
        </w:tc>
        <w:tc>
          <w:tcPr>
            <w:tcW w:type="dxa" w:w="3360"/>
          </w:tcPr>
          <w:p>
            <w:r>
              <w:t>submission_doc</w:t>
            </w:r>
          </w:p>
        </w:tc>
        <w:tc>
          <w:tcPr>
            <w:tcW w:type="dxa" w:w="3360"/>
          </w:tcPr>
          <w:p>
            <w:r>
              <w:t>docs/p0_benchmark_upgrade_status_2026-05-12.md</w:t>
            </w:r>
          </w:p>
        </w:tc>
      </w:tr>
      <w:tr>
        <w:tc>
          <w:tcPr>
            <w:tcW w:type="dxa" w:w="3360"/>
          </w:tcPr>
          <w:p>
            <w:r>
              <w:t>A</w:t>
            </w:r>
          </w:p>
        </w:tc>
        <w:tc>
          <w:tcPr>
            <w:tcW w:type="dxa" w:w="3360"/>
          </w:tcPr>
          <w:p>
            <w:r>
              <w:t>submission_doc</w:t>
            </w:r>
          </w:p>
        </w:tc>
        <w:tc>
          <w:tcPr>
            <w:tcW w:type="dxa" w:w="3360"/>
          </w:tcPr>
          <w:p>
            <w:r>
              <w:t>docs/p0_component_ablation_run_sheet.md</w:t>
            </w:r>
          </w:p>
        </w:tc>
      </w:tr>
    </w:tbl>
    <w:p>
      <w:pPr>
        <w:pStyle w:val="Heading2"/>
      </w:pPr>
      <w:r>
        <w:t>Interpretation</w:t>
      </w:r>
    </w:p>
    <w:p>
      <w:pPr>
        <w:pStyle w:val="ListBullet"/>
      </w:pPr>
      <w:r>
        <w:t>The existing DOI covers v0.1.0. It should not be described as covering later manuscript-facing changes unless a new release is made.</w:t>
      </w:r>
    </w:p>
    <w:p>
      <w:pPr>
        <w:pStyle w:val="ListBullet"/>
      </w:pPr>
      <w:r>
        <w:t>If the submitted manuscript cites current figures, source data, reporting-summary worksheets or post-release scripts, prepare v0.1.1 after all author-controlled blockers are resolved.</w:t>
      </w:r>
    </w:p>
    <w:p>
      <w:pPr>
        <w:pStyle w:val="ListBullet"/>
      </w:pPr>
      <w:r>
        <w:t>Do not create the new release before Figure 4 bounded wording and author declarations are confirmed, because a release should archive the exact submission state.</w:t>
      </w:r>
    </w:p>
    <w:p>
      <w:pPr>
        <w:pStyle w:val="Heading1"/>
      </w:pPr>
      <w:r>
        <w:t>v0.1.1 release preflight</w:t>
      </w:r>
    </w:p>
    <w:p>
      <w:pPr>
        <w:pStyle w:val="Heading2"/>
      </w:pPr>
      <w:r>
        <w:t>RMTGuard v0.1.1 release preflight</w:t>
      </w:r>
    </w:p>
    <w:p>
      <w:r>
        <w:t>Generated by python scripts/build_v0_1_1_release_preflight.py.</w:t>
      </w:r>
    </w:p>
    <w:p>
      <w:pPr>
        <w:pStyle w:val="Heading2"/>
      </w:pPr>
      <w:r>
        <w:t>Boundary</w:t>
      </w:r>
    </w:p>
    <w:p>
      <w:r>
        <w:t>This is a no-action preflight. It does not create a Git tag, GitHub Release, or Zenodo DOI. Its purpose is to prevent a premature release before the manuscript-facing files and author-controlled statements are frozen.</w:t>
      </w:r>
    </w:p>
    <w:p>
      <w:pPr>
        <w:pStyle w:val="Heading2"/>
      </w:pPr>
      <w:r>
        <w:t>Decision</w:t>
      </w:r>
    </w:p>
    <w:p>
      <w:pPr>
        <w:pStyle w:val="ListBullet"/>
      </w:pPr>
      <w:r>
        <w:t>Release decision: do_not_release.</w:t>
      </w:r>
    </w:p>
    <w:p>
      <w:pPr>
        <w:pStyle w:val="ListBullet"/>
      </w:pPr>
      <w:r>
        <w:t>Blocking or holding gates: author_declarations;corresponding_author_figure4_ack;figure_caption_source_audit;git_worktree_clean.</w:t>
      </w:r>
    </w:p>
    <w:p>
      <w:pPr>
        <w:pStyle w:val="ListBullet"/>
      </w:pPr>
      <w:r>
        <w:t>Candidate release: v0.1.1.</w:t>
      </w:r>
    </w:p>
    <w:p>
      <w:pPr>
        <w:pStyle w:val="Heading2"/>
      </w:pPr>
      <w:r>
        <w:t>Status Counts</w:t>
      </w:r>
    </w:p>
    <w:p>
      <w:pPr>
        <w:pStyle w:val="ListBullet"/>
      </w:pPr>
      <w:r>
        <w:t>blocked: 4</w:t>
      </w:r>
    </w:p>
    <w:p>
      <w:pPr>
        <w:pStyle w:val="ListBullet"/>
      </w:pPr>
      <w:r>
        <w:t>pass: 2</w:t>
      </w:r>
    </w:p>
    <w:p>
      <w:pPr>
        <w:pStyle w:val="ListBullet"/>
      </w:pPr>
      <w:r>
        <w:t>pending_author_verification: 1</w:t>
      </w:r>
    </w:p>
    <w:p>
      <w:pPr>
        <w:pStyle w:val="ListBullet"/>
      </w:pPr>
      <w:r>
        <w:t>ready_after_manual_blockers: 1</w:t>
      </w:r>
    </w:p>
    <w:p>
      <w:pPr>
        <w:pStyle w:val="Heading2"/>
      </w:pPr>
      <w:r>
        <w:t>Gate Table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Gate</w:t>
            </w:r>
          </w:p>
        </w:tc>
        <w:tc>
          <w:tcPr>
            <w:tcW w:type="dxa" w:w="2016"/>
          </w:tcPr>
          <w:p>
            <w:r>
              <w:t>Status</w:t>
            </w:r>
          </w:p>
        </w:tc>
        <w:tc>
          <w:tcPr>
            <w:tcW w:type="dxa" w:w="2016"/>
          </w:tcPr>
          <w:p>
            <w:r>
              <w:t>Severity</w:t>
            </w:r>
          </w:p>
        </w:tc>
        <w:tc>
          <w:tcPr>
            <w:tcW w:type="dxa" w:w="2016"/>
          </w:tcPr>
          <w:p>
            <w:r>
              <w:t>Required action</w:t>
            </w:r>
          </w:p>
        </w:tc>
        <w:tc>
          <w:tcPr>
            <w:tcW w:type="dxa" w:w="2016"/>
          </w:tcPr>
          <w:p>
            <w:r>
              <w:t>Notes</w:t>
            </w:r>
          </w:p>
        </w:tc>
      </w:tr>
      <w:tr>
        <w:tc>
          <w:tcPr>
            <w:tcW w:type="dxa" w:w="2016"/>
          </w:tcPr>
          <w:p>
            <w:r>
              <w:t>author_declarations</w:t>
            </w:r>
          </w:p>
        </w:tc>
        <w:tc>
          <w:tcPr>
            <w:tcW w:type="dxa" w:w="2016"/>
          </w:tcPr>
          <w:p>
            <w:r>
              <w:t>blocked</w:t>
            </w:r>
          </w:p>
        </w:tc>
        <w:tc>
          <w:tcPr>
            <w:tcW w:type="dxa" w:w="2016"/>
          </w:tcPr>
          <w:p>
            <w:r>
              <w:t>manual_blocker</w:t>
            </w:r>
          </w:p>
        </w:tc>
        <w:tc>
          <w:tcPr>
            <w:tcW w:type="dxa" w:w="2016"/>
          </w:tcPr>
          <w:p>
            <w:r>
              <w:t>Confirm funding, competing interests, public-data ethics, postal code, and CRediT roles before release.</w:t>
            </w:r>
          </w:p>
        </w:tc>
        <w:tc>
          <w:tcPr>
            <w:tcW w:type="dxa" w:w="2016"/>
          </w:tcPr>
          <w:p>
            <w:r>
              <w:t>postal_code_author_provided:author_provided_conflicts_public_sources;postal_code_public_source_candidate:external_source_candidate;credit_roles_draft:drafted_needs_author_confirmation;funding_statement:pending_author_content;competing_interests_statement:drafted_needs_author_confirmation</w:t>
            </w:r>
          </w:p>
        </w:tc>
      </w:tr>
      <w:tr>
        <w:tc>
          <w:tcPr>
            <w:tcW w:type="dxa" w:w="2016"/>
          </w:tcPr>
          <w:p>
            <w:r>
              <w:t>corresponding_author_figure4_ack</w:t>
            </w:r>
          </w:p>
        </w:tc>
        <w:tc>
          <w:tcPr>
            <w:tcW w:type="dxa" w:w="2016"/>
          </w:tcPr>
          <w:p>
            <w:r>
              <w:t>blocked</w:t>
            </w:r>
          </w:p>
        </w:tc>
        <w:tc>
          <w:tcPr>
            <w:tcW w:type="dxa" w:w="2016"/>
          </w:tcPr>
          <w:p>
            <w:r>
              <w:t>manual_blocker</w:t>
            </w:r>
          </w:p>
        </w:tc>
        <w:tc>
          <w:tcPr>
            <w:tcW w:type="dxa" w:w="2016"/>
          </w:tcPr>
          <w:p>
            <w:r>
              <w:t>Save written replies under metadata/author_reply_evidence/ and record them with scripts/record_corresponding_author_signoff.py.</w:t>
            </w:r>
          </w:p>
        </w:tc>
        <w:tc>
          <w:tcPr>
            <w:tcW w:type="dxa" w:w="2016"/>
          </w:tcPr>
          <w:p>
            <w:r>
              <w:t>Yi Miao:proxy_authorized_working_assumption;Han Yan:proxy_authorized_working_assumption</w:t>
            </w:r>
          </w:p>
        </w:tc>
      </w:tr>
      <w:tr>
        <w:tc>
          <w:tcPr>
            <w:tcW w:type="dxa" w:w="2016"/>
          </w:tcPr>
          <w:p>
            <w:r>
              <w:t>figure_caption_source_audit</w:t>
            </w:r>
          </w:p>
        </w:tc>
        <w:tc>
          <w:tcPr>
            <w:tcW w:type="dxa" w:w="2016"/>
          </w:tcPr>
          <w:p>
            <w:r>
              <w:t>blocked</w:t>
            </w:r>
          </w:p>
        </w:tc>
        <w:tc>
          <w:tcPr>
            <w:tcW w:type="dxa" w:w="2016"/>
          </w:tcPr>
          <w:p>
            <w:r>
              <w:t>manual_blocker</w:t>
            </w:r>
          </w:p>
        </w:tc>
        <w:tc>
          <w:tcPr>
            <w:tcW w:type="dxa" w:w="2016"/>
          </w:tcPr>
          <w:p>
            <w:r>
              <w:t>Resolve Figure 4 corresponding-author acknowledgement before release.</w:t>
            </w:r>
          </w:p>
        </w:tc>
        <w:tc>
          <w:tcPr>
            <w:tcW w:type="dxa" w:w="2016"/>
          </w:tcPr>
          <w:p>
            <w:r>
              <w:t>Figure 4</w:t>
            </w:r>
          </w:p>
        </w:tc>
      </w:tr>
      <w:tr>
        <w:tc>
          <w:tcPr>
            <w:tcW w:type="dxa" w:w="2016"/>
          </w:tcPr>
          <w:p>
            <w:r>
              <w:t>reporting_summary</w:t>
            </w:r>
          </w:p>
        </w:tc>
        <w:tc>
          <w:tcPr>
            <w:tcW w:type="dxa" w:w="2016"/>
          </w:tcPr>
          <w:p>
            <w:r>
              <w:t>pending_author_verification</w:t>
            </w:r>
          </w:p>
        </w:tc>
        <w:tc>
          <w:tcPr>
            <w:tcW w:type="dxa" w:w="2016"/>
          </w:tcPr>
          <w:p>
            <w:r>
              <w:t>manual_blocker</w:t>
            </w:r>
          </w:p>
        </w:tc>
        <w:tc>
          <w:tcPr>
            <w:tcW w:type="dxa" w:w="2016"/>
          </w:tcPr>
          <w:p>
            <w:r>
              <w:t>Have the corresponding author verify the reporting-summary worksheet before official submission.</w:t>
            </w:r>
          </w:p>
        </w:tc>
        <w:tc>
          <w:tcPr>
            <w:tcW w:type="dxa" w:w="2016"/>
          </w:tcPr>
          <w:p>
            <w:r>
              <w:t>Statistics/Multiple testing and uncertainty;Reporting summary/Official form status</w:t>
            </w:r>
          </w:p>
        </w:tc>
      </w:tr>
      <w:tr>
        <w:tc>
          <w:tcPr>
            <w:tcW w:type="dxa" w:w="2016"/>
          </w:tcPr>
          <w:p>
            <w:r>
              <w:t>claim_integrity</w:t>
            </w:r>
          </w:p>
        </w:tc>
        <w:tc>
          <w:tcPr>
            <w:tcW w:type="dxa" w:w="2016"/>
          </w:tcPr>
          <w:p>
            <w:r>
              <w:t>pass</w:t>
            </w:r>
          </w:p>
        </w:tc>
        <w:tc>
          <w:tcPr>
            <w:tcW w:type="dxa" w:w="2016"/>
          </w:tcPr>
          <w:p>
            <w:r>
              <w:t>controlled</w:t>
            </w:r>
          </w:p>
        </w:tc>
        <w:tc>
          <w:tcPr>
            <w:tcW w:type="dxa" w:w="2016"/>
          </w:tcPr>
          <w:p>
            <w:r>
              <w:t>No action.</w:t>
            </w:r>
          </w:p>
        </w:tc>
        <w:tc>
          <w:tcPr>
            <w:tcW w:type="dxa" w:w="2016"/>
          </w:tcPr>
          <w:p>
            <w:r>
              <w:t>lint_violations=0;trace_violations=0;lint_rows=215;trace_rows=21</w:t>
            </w:r>
          </w:p>
        </w:tc>
      </w:tr>
      <w:tr>
        <w:tc>
          <w:tcPr>
            <w:tcW w:type="dxa" w:w="2016"/>
          </w:tcPr>
          <w:p>
            <w:r>
              <w:t>version_coverage</w:t>
            </w:r>
          </w:p>
        </w:tc>
        <w:tc>
          <w:tcPr>
            <w:tcW w:type="dxa" w:w="2016"/>
          </w:tcPr>
          <w:p>
            <w:r>
              <w:t>ready_after_manual_blockers</w:t>
            </w:r>
          </w:p>
        </w:tc>
        <w:tc>
          <w:tcPr>
            <w:tcW w:type="dxa" w:w="2016"/>
          </w:tcPr>
          <w:p>
            <w:r>
              <w:t>release_blocker</w:t>
            </w:r>
          </w:p>
        </w:tc>
        <w:tc>
          <w:tcPr>
            <w:tcW w:type="dxa" w:w="2016"/>
          </w:tcPr>
          <w:p>
            <w:r>
              <w:t>After author blockers are resolved, tag and archive v0.1.1 so DOI covers the submitted files.</w:t>
            </w:r>
          </w:p>
        </w:tc>
        <w:tc>
          <w:tcPr>
            <w:tcW w:type="dxa" w:w="2016"/>
          </w:tcPr>
          <w:p>
            <w:r>
              <w:t>recommendation=prepare_v0.1.1_after_author_ack;worktree=clean</w:t>
            </w:r>
          </w:p>
        </w:tc>
      </w:tr>
      <w:tr>
        <w:tc>
          <w:tcPr>
            <w:tcW w:type="dxa" w:w="2016"/>
          </w:tcPr>
          <w:p>
            <w:r>
              <w:t>evidence_freeze_manifest</w:t>
            </w:r>
          </w:p>
        </w:tc>
        <w:tc>
          <w:tcPr>
            <w:tcW w:type="dxa" w:w="2016"/>
          </w:tcPr>
          <w:p>
            <w:r>
              <w:t>pass</w:t>
            </w:r>
          </w:p>
        </w:tc>
        <w:tc>
          <w:tcPr>
            <w:tcW w:type="dxa" w:w="2016"/>
          </w:tcPr>
          <w:p>
            <w:r>
              <w:t>controlled</w:t>
            </w:r>
          </w:p>
        </w:tc>
        <w:tc>
          <w:tcPr>
            <w:tcW w:type="dxa" w:w="2016"/>
          </w:tcPr>
          <w:p>
            <w:r>
              <w:t>No action.</w:t>
            </w:r>
          </w:p>
        </w:tc>
        <w:tc>
          <w:tcPr>
            <w:tcW w:type="dxa" w:w="2016"/>
          </w:tcPr>
          <w:p>
            <w:r>
              <w:t>30 frozen evidence items exist.</w:t>
            </w:r>
          </w:p>
        </w:tc>
      </w:tr>
      <w:tr>
        <w:tc>
          <w:tcPr>
            <w:tcW w:type="dxa" w:w="2016"/>
          </w:tcPr>
          <w:p>
            <w:r>
              <w:t>git_worktree_clean</w:t>
            </w:r>
          </w:p>
        </w:tc>
        <w:tc>
          <w:tcPr>
            <w:tcW w:type="dxa" w:w="2016"/>
          </w:tcPr>
          <w:p>
            <w:r>
              <w:t>blocked</w:t>
            </w:r>
          </w:p>
        </w:tc>
        <w:tc>
          <w:tcPr>
            <w:tcW w:type="dxa" w:w="2016"/>
          </w:tcPr>
          <w:p>
            <w:r>
              <w:t>release_blocker</w:t>
            </w:r>
          </w:p>
        </w:tc>
        <w:tc>
          <w:tcPr>
            <w:tcW w:type="dxa" w:w="2016"/>
          </w:tcPr>
          <w:p>
            <w:r>
              <w:t>Commit all release-facing changes before creating a tag.</w:t>
            </w:r>
          </w:p>
        </w:tc>
        <w:tc>
          <w:tcPr>
            <w:tcW w:type="dxa" w:w="2016"/>
          </w:tcPr>
          <w:p>
            <w:r>
              <w:t>M Makefile; M README.md; M scripts/build_current_evidence_freeze.py; M scripts/build_external_review_docx.py; M scripts/build_project_gantt.py; M scripts/export_shared_project_info.py;?? scripts/build_v0_1_1_release_preflight.py</w:t>
            </w:r>
          </w:p>
        </w:tc>
      </w:tr>
    </w:tbl>
    <w:p>
      <w:pPr>
        <w:pStyle w:val="Heading2"/>
      </w:pPr>
      <w:r>
        <w:t>Interpretation</w:t>
      </w:r>
    </w:p>
    <w:p>
      <w:pPr>
        <w:pStyle w:val="ListBullet"/>
      </w:pPr>
      <w:r>
        <w:t>do_not_release means at least one hard blocker remains; do not create a release.</w:t>
      </w:r>
    </w:p>
    <w:p>
      <w:pPr>
        <w:pStyle w:val="ListBullet"/>
      </w:pPr>
      <w:r>
        <w:t>hold_for_manual_confirmation means the technical package is close, but author-controlled confirmations or final version coverage still hold the release.</w:t>
      </w:r>
    </w:p>
    <w:p>
      <w:pPr>
        <w:pStyle w:val="ListBullet"/>
      </w:pPr>
      <w:r>
        <w:t>ready_to_tag_v0.1.1 should occur only after all author confirmations, final figure/source-data freeze, clean worktree, and claim-integrity checks pass.</w:t>
      </w:r>
    </w:p>
    <w:p>
      <w:pPr>
        <w:pStyle w:val="Heading1"/>
      </w:pPr>
      <w:r>
        <w:t>Nature reporting-summary worksheet</w:t>
      </w:r>
    </w:p>
    <w:p>
      <w:pPr>
        <w:pStyle w:val="Heading2"/>
      </w:pPr>
      <w:r>
        <w:t>Nature Reporting Summary Draft</w:t>
      </w:r>
    </w:p>
    <w:p>
      <w:r>
        <w:t>This file is generated by python scripts/build_reporting_summary_draft.py.</w:t>
      </w:r>
    </w:p>
    <w:p>
      <w:pPr>
        <w:pStyle w:val="Heading2"/>
      </w:pPr>
      <w:r>
        <w:t>Boundary</w:t>
      </w:r>
    </w:p>
    <w:p>
      <w:r>
        <w:t>This is a draft worksheet, not the official Nature Portfolio reporting summary form. The corresponding author must verify and transfer the final answers during submission.</w:t>
      </w:r>
    </w:p>
    <w:p>
      <w:pPr>
        <w:pStyle w:val="Heading2"/>
      </w:pPr>
      <w:r>
        <w:t>Status</w:t>
      </w:r>
    </w:p>
    <w:p>
      <w:pPr>
        <w:pStyle w:val="ListBullet"/>
      </w:pPr>
      <w:r>
        <w:t>Blocked rows: 0.</w:t>
      </w:r>
    </w:p>
    <w:p>
      <w:pPr>
        <w:pStyle w:val="ListBullet"/>
      </w:pPr>
      <w:r>
        <w:t>Manual/author-completion rows: 3.</w:t>
      </w:r>
    </w:p>
    <w:p>
      <w:pPr>
        <w:pStyle w:val="ListBullet"/>
      </w:pPr>
      <w:r>
        <w:t>Acceptance guarantee: impossible; this worksheet only reduces reporting omission risk.</w:t>
      </w:r>
    </w:p>
    <w:p>
      <w:pPr>
        <w:pStyle w:val="Heading2"/>
      </w:pPr>
      <w:r>
        <w:t>Blocked Rows</w:t>
      </w:r>
    </w:p>
    <w:p>
      <w:pPr>
        <w:pStyle w:val="ListBullet"/>
      </w:pPr>
      <w:r>
        <w:t>none</w:t>
      </w:r>
    </w:p>
    <w:p>
      <w:pPr>
        <w:pStyle w:val="Heading2"/>
      </w:pPr>
      <w:r>
        <w:t>Manual Or Release-Refresh Rows</w:t>
      </w:r>
    </w:p>
    <w:p>
      <w:pPr>
        <w:pStyle w:val="ListBullet"/>
      </w:pPr>
      <w:r>
        <w:t>Statistics / Multiple testing and uncertainty (needs_author_completion): Add final marker/pathway multiple-testing details if those analyses enter the main text.</w:t>
      </w:r>
    </w:p>
    <w:p>
      <w:pPr>
        <w:pStyle w:val="ListBullet"/>
      </w:pPr>
      <w:r>
        <w:t>Software / Code DOI (needs_release_refresh): Create a new GitHub Release/Zenodo archive if the final manuscript depends on post-v0.1.0 files.</w:t>
      </w:r>
    </w:p>
    <w:p>
      <w:pPr>
        <w:pStyle w:val="ListBullet"/>
      </w:pPr>
      <w:r>
        <w:t>Reporting summary / Official form status (pending_manual): Transfer verified answers into the official submission system.</w:t>
      </w:r>
    </w:p>
    <w:p>
      <w:pPr>
        <w:pStyle w:val="Heading2"/>
      </w:pPr>
      <w:r>
        <w:t>Draft Responses</w:t>
      </w:r>
    </w:p>
    <w:p>
      <w:pPr>
        <w:pStyle w:val="Heading3"/>
      </w:pPr>
      <w:r>
        <w:t>Data - Public dataset sources</w:t>
      </w:r>
    </w:p>
    <w:p>
      <w:pPr>
        <w:pStyle w:val="ListBullet"/>
      </w:pPr>
      <w:r>
        <w:t>Status: ready_for_author_check</w:t>
      </w:r>
    </w:p>
    <w:p>
      <w:pPr>
        <w:pStyle w:val="ListBullet"/>
      </w:pPr>
      <w:r>
        <w:t>Draft response: All datasets are public scRNA-seq datasets listed in metadata/datasets.tsv: pbmc3k_10x, pbmc68k_zheng2017, kang_ifnb_pbmc, baron_pancreas, tabula_sapiens_selected, pdac_gse154778, pdac_gse263733, pbmc_multisite.</w:t>
      </w:r>
    </w:p>
    <w:p>
      <w:pPr>
        <w:pStyle w:val="ListBullet"/>
      </w:pPr>
      <w:r>
        <w:t>Evidence: metadata/datasets.tsv</w:t>
      </w:r>
    </w:p>
    <w:p>
      <w:pPr>
        <w:pStyle w:val="ListBullet"/>
      </w:pPr>
      <w:r>
        <w:t>Author action required: Verify every accession and URL before submission.</w:t>
      </w:r>
    </w:p>
    <w:p>
      <w:pPr>
        <w:pStyle w:val="ListBullet"/>
      </w:pPr>
      <w:r>
        <w:t>Notes: Accessions listed: SRP073767, GSE96583, GSE84133, Tabula Sapiens, GSE154778, GSE263733, TBD.</w:t>
      </w:r>
    </w:p>
    <w:p>
      <w:pPr>
        <w:pStyle w:val="Heading3"/>
      </w:pPr>
      <w:r>
        <w:t>Data - Human data privacy and ethics</w:t>
      </w:r>
    </w:p>
    <w:p>
      <w:pPr>
        <w:pStyle w:val="ListBullet"/>
      </w:pPr>
      <w:r>
        <w:t>Status: ready_for_author_check</w:t>
      </w:r>
    </w:p>
    <w:p>
      <w:pPr>
        <w:pStyle w:val="ListBullet"/>
      </w:pPr>
      <w:r>
        <w:t>Draft response: No private clinical data are used in the current manuscript package; all main evidence is derived from public datasets.</w:t>
      </w:r>
    </w:p>
    <w:p>
      <w:pPr>
        <w:pStyle w:val="ListBullet"/>
      </w:pPr>
      <w:r>
        <w:t>Evidence: metadata/datasets.tsv</w:t>
      </w:r>
    </w:p>
    <w:p>
      <w:pPr>
        <w:pStyle w:val="ListBullet"/>
      </w:pPr>
      <w:r>
        <w:t>Author action required: Confirm no controlled-access or identifiable patient-level data were added outside this repository.</w:t>
      </w:r>
    </w:p>
    <w:p>
      <w:pPr>
        <w:pStyle w:val="ListBullet"/>
      </w:pPr>
      <w:r>
        <w:t>Notes: This is an analysis/privacy statement, not an IRB determination.</w:t>
      </w:r>
    </w:p>
    <w:p>
      <w:pPr>
        <w:pStyle w:val="Heading3"/>
      </w:pPr>
      <w:r>
        <w:t>Data - Data exclusion and preprocessing</w:t>
      </w:r>
    </w:p>
    <w:p>
      <w:pPr>
        <w:pStyle w:val="ListBullet"/>
      </w:pPr>
      <w:r>
        <w:t>Status: ready_for_author_check</w:t>
      </w:r>
    </w:p>
    <w:p>
      <w:pPr>
        <w:pStyle w:val="ListBullet"/>
      </w:pPr>
      <w:r>
        <w:t>Draft response: Large raw and processed matrices are excluded from GitHub; datasets are regenerated from public accessions and scripts. QC/filtering, normalization, HVG selection, RMT spectrum diagnostics, and benchmark outputs are recorded in scripts and result manifests.</w:t>
      </w:r>
    </w:p>
    <w:p>
      <w:pPr>
        <w:pStyle w:val="ListBullet"/>
      </w:pPr>
      <w:r>
        <w:t>Evidence: scripts/prepare_phase1_datasets.py; benchmarks/run_phase1_benchmark.py; metadata/datasets.tsv</w:t>
      </w:r>
    </w:p>
    <w:p>
      <w:pPr>
        <w:pStyle w:val="ListBullet"/>
      </w:pPr>
      <w:r>
        <w:t>Author action required: Confirm the Methods section lists final QC thresholds and any dataset-specific exclusions.</w:t>
      </w:r>
    </w:p>
    <w:p>
      <w:pPr>
        <w:pStyle w:val="ListBullet"/>
      </w:pPr>
      <w:r>
        <w:t>Notes: Do not leave QC decisions implicit in the reporting summary.</w:t>
      </w:r>
    </w:p>
    <w:p>
      <w:pPr>
        <w:pStyle w:val="Heading3"/>
      </w:pPr>
      <w:r>
        <w:t>Statistics - Randomization and blinding</w:t>
      </w:r>
    </w:p>
    <w:p>
      <w:pPr>
        <w:pStyle w:val="ListBullet"/>
      </w:pPr>
      <w:r>
        <w:t>Status: ready_for_author_check</w:t>
      </w:r>
    </w:p>
    <w:p>
      <w:pPr>
        <w:pStyle w:val="ListBullet"/>
      </w:pPr>
      <w:r>
        <w:t>Draft response: This is a computational methods study using public datasets and simulations. Experimental randomization/blinding is not applicable; computational randomness is controlled with explicit random_state values and repeated subsampling benchmarks.</w:t>
      </w:r>
    </w:p>
    <w:p>
      <w:pPr>
        <w:pStyle w:val="ListBullet"/>
      </w:pPr>
      <w:r>
        <w:t>Evidence: results/gates/gate_evidence.tsv</w:t>
      </w:r>
    </w:p>
    <w:p>
      <w:pPr>
        <w:pStyle w:val="ListBullet"/>
      </w:pPr>
      <w:r>
        <w:t>Author action required: Confirm this wording fits the official form's available options.</w:t>
      </w:r>
    </w:p>
    <w:p>
      <w:pPr>
        <w:pStyle w:val="ListBullet"/>
      </w:pPr>
      <w:r>
        <w:t>Notes: For benchmark comparisons, report seed/repeat settings rather than experimental blinding.</w:t>
      </w:r>
    </w:p>
    <w:p>
      <w:pPr>
        <w:pStyle w:val="Heading3"/>
      </w:pPr>
      <w:r>
        <w:t>Statistics - Sample size and replication</w:t>
      </w:r>
    </w:p>
    <w:p>
      <w:pPr>
        <w:pStyle w:val="ListBullet"/>
      </w:pPr>
      <w:r>
        <w:t>Status: ready_for_author_check</w:t>
      </w:r>
    </w:p>
    <w:p>
      <w:pPr>
        <w:pStyle w:val="ListBullet"/>
      </w:pPr>
      <w:r>
        <w:t>Draft response: No prospective sample-size calculation was performed. The method is evaluated by 50-repeat realistic-null and rare-state calibration, repeated-subsampling real-data benchmarks, official Seurat/JackStraw comparator rows, scLENSpy comparator rows, topology stress tests, and public PDAC/TME application data.</w:t>
      </w:r>
    </w:p>
    <w:p>
      <w:pPr>
        <w:pStyle w:val="ListBullet"/>
      </w:pPr>
      <w:r>
        <w:t>Evidence: docs/current_evidence_freeze_2026-05-12.md</w:t>
      </w:r>
    </w:p>
    <w:p>
      <w:pPr>
        <w:pStyle w:val="ListBullet"/>
      </w:pPr>
      <w:r>
        <w:t>Author action required: Confirm final manuscript still uses the same benchmark set.</w:t>
      </w:r>
    </w:p>
    <w:p>
      <w:pPr>
        <w:pStyle w:val="ListBullet"/>
      </w:pPr>
      <w:r>
        <w:t>Notes: This supports computational reproducibility, not prospective clinical power.</w:t>
      </w:r>
    </w:p>
    <w:p>
      <w:pPr>
        <w:pStyle w:val="Heading3"/>
      </w:pPr>
      <w:r>
        <w:t>Statistics - Multiple testing and uncertainty</w:t>
      </w:r>
    </w:p>
    <w:p>
      <w:pPr>
        <w:pStyle w:val="ListBullet"/>
      </w:pPr>
      <w:r>
        <w:t>Status: needs_author_completion</w:t>
      </w:r>
    </w:p>
    <w:p>
      <w:pPr>
        <w:pStyle w:val="ListBullet"/>
      </w:pPr>
      <w:r>
        <w:t>Draft response: The primary benchmarks use pre-specified gate thresholds for false signal PCs, rare-state ARI, stability/no-call behavior, annotation noninferiority, and PDAC/TME interpretability. If gene-level marker or pathway tests are added to the final manuscript, report the p-value adjustment method explicitly.</w:t>
      </w:r>
    </w:p>
    <w:p>
      <w:pPr>
        <w:pStyle w:val="ListBullet"/>
      </w:pPr>
      <w:r>
        <w:t>Evidence: results/manuscript/claim_evidence_matrix.tsv</w:t>
      </w:r>
    </w:p>
    <w:p>
      <w:pPr>
        <w:pStyle w:val="ListBullet"/>
      </w:pPr>
      <w:r>
        <w:t>Author action required: Add final marker/pathway multiple-testing details if those analyses enter the main text.</w:t>
      </w:r>
    </w:p>
    <w:p>
      <w:pPr>
        <w:pStyle w:val="ListBullet"/>
      </w:pPr>
      <w:r>
        <w:t>Notes: Current method gates are threshold-based; marker/pathway testing may need FDR control.</w:t>
      </w:r>
    </w:p>
    <w:p>
      <w:pPr>
        <w:pStyle w:val="Heading3"/>
      </w:pPr>
      <w:r>
        <w:t>Method validation - Noise-control and rare-state claims</w:t>
      </w:r>
    </w:p>
    <w:p>
      <w:pPr>
        <w:pStyle w:val="ListBullet"/>
      </w:pPr>
      <w:r>
        <w:t>Status: ready_for_author_check</w:t>
      </w:r>
    </w:p>
    <w:p>
      <w:pPr>
        <w:pStyle w:val="ListBullet"/>
      </w:pPr>
      <w:r>
        <w:t>Draft response: Across the current 50-repeat count-preserving null families, the maximum observed false-signal rate was 0.0%. Rare-state power was bounded by prevalence and effect size: all tested prevalence &gt;=0.04 settings reached power &gt;=84% (6 settings), whereas prevalence 0.02/effect 2.5 had power 0.12 and mean rare-state F1 0.151.</w:t>
      </w:r>
    </w:p>
    <w:p>
      <w:pPr>
        <w:pStyle w:val="ListBullet"/>
      </w:pPr>
      <w:r>
        <w:t>Evidence: results/calibration/realistic_null_summary.tsv; results/calibration/rare_state_power_summary.tsv</w:t>
      </w:r>
    </w:p>
    <w:p>
      <w:pPr>
        <w:pStyle w:val="ListBullet"/>
      </w:pPr>
      <w:r>
        <w:t>Author action required: Confirm exact benchmark numbers match final figures.</w:t>
      </w:r>
    </w:p>
    <w:p>
      <w:pPr>
        <w:pStyle w:val="ListBullet"/>
      </w:pPr>
      <w:r>
        <w:t>Notes: Avoid exact type-I calibration claims beyond the tested null families and preprocessing regime.</w:t>
      </w:r>
    </w:p>
    <w:p>
      <w:pPr>
        <w:pStyle w:val="Heading3"/>
      </w:pPr>
      <w:r>
        <w:t>Method validation - Callability and no-call boundary</w:t>
      </w:r>
    </w:p>
    <w:p>
      <w:pPr>
        <w:pStyle w:val="ListBullet"/>
      </w:pPr>
      <w:r>
        <w:t>Status: ready_for_author_check</w:t>
      </w:r>
    </w:p>
    <w:p>
      <w:pPr>
        <w:pStyle w:val="ListBullet"/>
      </w:pPr>
      <w:r>
        <w:t>Draft response: Callability-aware multi-dataset diagnostics: baron_pancreas: fail_below_best_baseline RMTGuard=0.859187 best=elbow_rule 0.980448; kang_ifnb_pbmc: fail_below_best_baseline RMTGuard=0.826068 best=elbow_rule 0.880112; pbmc3k_10x: fail_below_best_baseline RMTGuard=0.891308 best=elbow_rule 0.986578; pbmc68k_zheng2017: diagnostic_no_call RMTGuard=0.600000 best=fixed_pcs_30 0.805652. PBMC3k mean pairwise ARI: RMTGuard=0.8913076392119752, Scanpy-like=0.8210209608290601, fixed30=0.9083477856918997; PBMC68k is reported as a diagnostic no-call, not as a positive discovery.</w:t>
      </w:r>
    </w:p>
    <w:p>
      <w:pPr>
        <w:pStyle w:val="ListBullet"/>
      </w:pPr>
      <w:r>
        <w:t>Evidence: results/manuscript/claim_evidence_matrix.tsv</w:t>
      </w:r>
    </w:p>
    <w:p>
      <w:pPr>
        <w:pStyle w:val="ListBullet"/>
      </w:pPr>
      <w:r>
        <w:t>Author action required: Keep PBMC68k as diagnostic no-call and avoid broad stability-superiority wording.</w:t>
      </w:r>
    </w:p>
    <w:p>
      <w:pPr>
        <w:pStyle w:val="ListBullet"/>
      </w:pPr>
      <w:r>
        <w:t>Notes: The reporting summary can be completed, but the Nature Methods scientific claim remains gated by the stability_advantage result.</w:t>
      </w:r>
    </w:p>
    <w:p>
      <w:pPr>
        <w:pStyle w:val="Heading3"/>
      </w:pPr>
      <w:r>
        <w:t>Biological application - PDAC/TME public showcase</w:t>
      </w:r>
    </w:p>
    <w:p>
      <w:pPr>
        <w:pStyle w:val="ListBullet"/>
      </w:pPr>
      <w:r>
        <w:t>Status: ready_for_author_check</w:t>
      </w:r>
    </w:p>
    <w:p>
      <w:pPr>
        <w:pStyle w:val="ListBullet"/>
      </w:pPr>
      <w:r>
        <w:t>Draft response: GSE154778 signatures: ['ductal_malignant_context', 'immune_myeloid']; GSE263733 validation ARI=0.5680419676901498, NMI=0.6866858928242938.</w:t>
      </w:r>
    </w:p>
    <w:p>
      <w:pPr>
        <w:pStyle w:val="ListBullet"/>
      </w:pPr>
      <w:r>
        <w:t>Evidence: results/manuscript/claim_evidence_matrix.tsv</w:t>
      </w:r>
    </w:p>
    <w:p>
      <w:pPr>
        <w:pStyle w:val="ListBullet"/>
      </w:pPr>
      <w:r>
        <w:t>Author action required: Confirm final text does not claim standalone CAF/fibroblast discovery.</w:t>
      </w:r>
    </w:p>
    <w:p>
      <w:pPr>
        <w:pStyle w:val="ListBullet"/>
      </w:pPr>
      <w:r>
        <w:t>Notes: Use as public application evidence, not clinical decision support.</w:t>
      </w:r>
    </w:p>
    <w:p>
      <w:pPr>
        <w:pStyle w:val="Heading3"/>
      </w:pPr>
      <w:r>
        <w:t>Software - Code availability</w:t>
      </w:r>
    </w:p>
    <w:p>
      <w:pPr>
        <w:pStyle w:val="ListBullet"/>
      </w:pPr>
      <w:r>
        <w:t>Status: ready_for_author_check</w:t>
      </w:r>
    </w:p>
    <w:p>
      <w:pPr>
        <w:pStyle w:val="ListBullet"/>
      </w:pPr>
      <w:r>
        <w:t>Draft response: Public code is available at https://github.com/healthgreat/rmtguard. The repository includes local code, tests, CI, Dockerfile, release manifests, dataset metadata and regeneration scripts. Post-release working-branch changes should not be described as part of the immutable release unless a new release is issued.</w:t>
      </w:r>
    </w:p>
    <w:p>
      <w:pPr>
        <w:pStyle w:val="ListBullet"/>
      </w:pPr>
      <w:r>
        <w:t>Evidence: results/release/release_readiness.tsv</w:t>
      </w:r>
    </w:p>
    <w:p>
      <w:pPr>
        <w:pStyle w:val="ListBullet"/>
      </w:pPr>
      <w:r>
        <w:t>Author action required: Before submission, verify that the final submitted code corresponds to an archived release.</w:t>
      </w:r>
    </w:p>
    <w:p>
      <w:pPr>
        <w:pStyle w:val="ListBullet"/>
      </w:pPr>
      <w:r>
        <w:t>Notes: Code availability is no longer the hard P0 blocker; final release coverage remains author-controlled.</w:t>
      </w:r>
    </w:p>
    <w:p>
      <w:pPr>
        <w:pStyle w:val="Heading3"/>
      </w:pPr>
      <w:r>
        <w:t>Software - Code DOI</w:t>
      </w:r>
    </w:p>
    <w:p>
      <w:pPr>
        <w:pStyle w:val="ListBullet"/>
      </w:pPr>
      <w:r>
        <w:t>Status: needs_release_refresh</w:t>
      </w:r>
    </w:p>
    <w:p>
      <w:pPr>
        <w:pStyle w:val="ListBullet"/>
      </w:pPr>
      <w:r>
        <w:t>Draft response: The archived software DOI recorded in .zenodo.json and CITATION.cff is 10.5281/zenodo.20012350. The current working branch contains post-release changes; if these are cited in the submitted manuscript, create and archive a new release before submission.</w:t>
      </w:r>
    </w:p>
    <w:p>
      <w:pPr>
        <w:pStyle w:val="ListBullet"/>
      </w:pPr>
      <w:r>
        <w:t>Evidence: results/release/release_readiness.tsv</w:t>
      </w:r>
    </w:p>
    <w:p>
      <w:pPr>
        <w:pStyle w:val="ListBullet"/>
      </w:pPr>
      <w:r>
        <w:t>Author action required: Create a new GitHub Release/Zenodo archive if the final manuscript depends on post-v0.1.0 files.</w:t>
      </w:r>
    </w:p>
    <w:p>
      <w:pPr>
        <w:pStyle w:val="ListBullet"/>
      </w:pPr>
      <w:r>
        <w:t>Notes: The DOI exists; the remaining issue is exact version coverage, not absence of DOI.</w:t>
      </w:r>
    </w:p>
    <w:p>
      <w:pPr>
        <w:pStyle w:val="Heading3"/>
      </w:pPr>
      <w:r>
        <w:t>Reporting summary - Official form status</w:t>
      </w:r>
    </w:p>
    <w:p>
      <w:pPr>
        <w:pStyle w:val="ListBullet"/>
      </w:pPr>
      <w:r>
        <w:t>Status: pending_manual</w:t>
      </w:r>
    </w:p>
    <w:p>
      <w:pPr>
        <w:pStyle w:val="ListBullet"/>
      </w:pPr>
      <w:r>
        <w:t>Draft response: This draft pre-fills reporting-summary content, but the official Nature Portfolio reporting summary must be completed and verified by the corresponding author.</w:t>
      </w:r>
    </w:p>
    <w:p>
      <w:pPr>
        <w:pStyle w:val="ListBullet"/>
      </w:pPr>
      <w:r>
        <w:t>Evidence: results/submission/nature_methods_compliance_audit.tsv</w:t>
      </w:r>
    </w:p>
    <w:p>
      <w:pPr>
        <w:pStyle w:val="ListBullet"/>
      </w:pPr>
      <w:r>
        <w:t>Author action required: Transfer verified answers into the official submission system.</w:t>
      </w:r>
    </w:p>
    <w:p>
      <w:pPr>
        <w:pStyle w:val="ListBullet"/>
      </w:pPr>
      <w:r>
        <w:t>Notes: Codex can assist but cannot truthfully certify the official form without author review.</w:t>
      </w:r>
    </w:p>
    <w:p>
      <w:pPr>
        <w:pStyle w:val="Heading1"/>
      </w:pPr>
      <w:r>
        <w:t>Freeze-aligned Results draft</w:t>
      </w:r>
    </w:p>
    <w:p>
      <w:pPr>
        <w:pStyle w:val="Heading2"/>
      </w:pPr>
      <w:r>
        <w:t>Freeze-aligned Results draft</w:t>
      </w:r>
    </w:p>
    <w:p>
      <w:r>
        <w:t>Generated: 2026-05-12</w:t>
      </w:r>
    </w:p>
    <w:p>
      <w:r>
        <w:t>Status: draft text for manuscript assembly; not a submission-ready final Results section.</w:t>
      </w:r>
    </w:p>
    <w:p>
      <w:pPr>
        <w:pStyle w:val="Heading2"/>
      </w:pPr>
      <w:r>
        <w:t>RMTGuard implements a diagnostic random-matrix callability workflow</w:t>
      </w:r>
    </w:p>
    <w:p>
      <w:r>
        <w:t>RMTGuard was evaluated as a callability-aware random-matrix workflow rather than as a universal replacement for fixed-parameter single-cell analysis. The current evidence freeze contains 28 manuscript-facing items with 0 missing files, linking algorithm figures, source-data tables, release evidence, public benchmarks, topology monitors and manual author blockers. This freeze defines the Results boundary used below: supported structures may be reported, but diagnostic no-call and caveated-call outcomes are not relabelled as biological discoveries. [Evidence: docs/current_evidence_freeze_2026-05-12.md]</w:t>
      </w:r>
    </w:p>
    <w:p>
      <w:pPr>
        <w:pStyle w:val="Heading2"/>
      </w:pPr>
      <w:r>
        <w:t>Null and rare-state calibration support bounded noise-control claims</w:t>
      </w:r>
    </w:p>
    <w:p>
      <w:r>
        <w:t>Across 50-repeat realistic null experiments covering gene_permutation_null, library_multinomial_null, library_stratified_gene_null, the maximum observed false-signal rate was 0%. These results support a bounded false-signal-control claim under the tested count-preserving null families, not universal type-I-error calibration for every scRNA-seq preprocessing regime. [Evidence: results/calibration/realistic_null_summary.tsv]</w:t>
      </w:r>
    </w:p>
    <w:p>
      <w:r>
        <w:t>Rare-state simulations also showed a clear operating boundary. Power was high in the tested prevalence 0.02 setting only at effect size 6.0, and all tested prevalence &gt;=0.04 settings had power at least 84%; the weakest setting, prevalence 0.02 and effect size 2.5, had power 12% and mean rare-state F1 0.151. The manuscript should therefore describe rare-state retention as supported for tested moderate settings and explicitly limited in the lowest-prevalence, weak-effect regime. [Evidence: results/calibration/rare_state_power_summary.tsv]</w:t>
      </w:r>
    </w:p>
    <w:p>
      <w:pPr>
        <w:pStyle w:val="Heading2"/>
      </w:pPr>
      <w:r>
        <w:t>Public benchmarks support callability and caveat reporting, not broad superiority</w:t>
      </w:r>
    </w:p>
    <w:p>
      <w:r>
        <w:t>The callability decision map classified the current benchmark rows as 2 diagnostic no-call rows, 3 caveated real-data calls, 2 synthetic positive-control passes and 4 stress-monitor rows. PBMC68k/Zheng 2017 was kept as a diagnostic no-call with annotation ARI 0.081 and stability gap 0.206, whereas PBMC3k, Kang IFN-beta PBMC and Baron pancreas were retained only as caveated benchmark contexts. [Evidence: results/callability/no_call_decision_map.tsv]</w:t>
      </w:r>
    </w:p>
    <w:p>
      <w:r>
        <w:t>Specifically, PBMC3k showed RMTGuard stability 0.891 with a gap of 0.095 to the strongest comparator; Kang IFN-beta PBMC showed annotation ARI 0.785 and stability gap 0.054; Baron pancreas showed annotation ARI 0.752 and stability gap 0.121. These results support transparent reporting of when RMTGuard proceeds and when it refuses or caveats a result, but they do not support a statement that RMTGuard is always more stable than elbow or fixed-PC workflows. [Evidence: results/callability/no_call_decision_map.tsv]</w:t>
      </w:r>
    </w:p>
    <w:p>
      <w:r>
        <w:t>A direct scLENSpy comparison reduced the risk that the work lacks an RMT-like comparator. In 10-repeat subsampling, RMTGuard mean pairwise ARI was 0.867 on PBMC3k and 0.789 on Kang IFN-beta PBMC, compared with scLENSpy n_rand_matrix=20 values of 0.694 and 0.586, respectively. This comparison is limited to the tested Python scLENSpy configuration and two datasets. [Evidence: results/submission/sclens_vs_rmtguard_stability_nrand20.tsv]</w:t>
      </w:r>
    </w:p>
    <w:p>
      <w:pPr>
        <w:pStyle w:val="Heading2"/>
      </w:pPr>
      <w:r>
        <w:t>Topology benchmarks show monitored geometry preservation with real-data trade-offs</w:t>
      </w:r>
    </w:p>
    <w:p>
      <w:r>
        <w:t>Synthetic CONCORD-style topology stress tests showed that RMTGuard preserved line, branch and loop geometry under the tested simulations (branching_trajectory: trustworthiness 0.924, continuity 0.881, kNN recall 0.301; cyclic_loop: trustworthiness 0.951, continuity 0.933, kNN recall 0.422; linear_trajectory: trustworthiness 0.933, continuity 0.881, kNN recall 0.301). These simulations support topology monitoring as part of the benchmark arc, but they do not establish RMTGuard as a dedicated trajectory-inference method. [Evidence: results/submission/topology_stress_summary.tsv]</w:t>
      </w:r>
    </w:p>
    <w:p>
      <w:r>
        <w:t>On Paul15 hematopoiesis, an annotation-derived real-data topology monitor showed a mixed trade-off. RMTGuard had higher annotation ARI (0.270) than fixed 30 PCs (0.176) and fixed 50 PCs (0.088), and lower neighbor tree distance (1.153) than fixed 30 PCs (1.289) and fixed 50 PCs (1.435). However, fixed-PC baselines had higher centroid tree rho (0.246 and 0.236) than RMTGuard (0.232), and fixed 50 PCs had the highest reference edge recall (0.650 versus 0.600 for RMTGuard). This figure should be presented as a real-data topology monitor with explicit trade-offs, not as broad topology superiority. [Evidence: results/submission/realdata_topology_summary.tsv]</w:t>
      </w:r>
    </w:p>
    <w:p>
      <w:pPr>
        <w:pStyle w:val="Heading2"/>
      </w:pPr>
      <w:r>
        <w:t>PDAC/TME application and ablation evidence remain bounded</w:t>
      </w:r>
    </w:p>
    <w:p>
      <w:r>
        <w:t>The PDAC/TME analysis is retained as a public-data application that connects RMTGuard-selected structures to marker, pathway and atlas-context evidence. It should be described as a bounded methods-paper showcase and not as a new PDAC mechanism, prognosis marker, therapy-response model, spatial validation or protein-level validation. [Evidence: docs/figure4_pdac_tme_wording_freeze.md; results/figures/source_data/figure4_pdac_tme_strengthened_source.tsv]</w:t>
      </w:r>
    </w:p>
    <w:p>
      <w:r>
        <w:t>Component ablation and real-data annotation checks support discussion of the tested RMTGuard modules, but the manuscript should avoid universal component-necessity language. The correct wording is that MP/TW-style edge checks, near-edge stability, no-call logic and related safeguards contributed under the benchmark settings captured in the current source data. [Evidence: docs/component_ablation_benchmark.md; docs/realdata_ablation_annotation.md]</w:t>
      </w:r>
    </w:p>
    <w:p>
      <w:pPr>
        <w:pStyle w:val="Heading1"/>
      </w:pPr>
      <w:r>
        <w:t>Freeze-aligned figure legends</w:t>
      </w:r>
    </w:p>
    <w:p>
      <w:pPr>
        <w:pStyle w:val="Heading2"/>
      </w:pPr>
      <w:r>
        <w:t>Freeze-aligned figure legends draft</w:t>
      </w:r>
    </w:p>
    <w:p>
      <w:r>
        <w:t>Generated: 2026-05-12</w:t>
      </w:r>
    </w:p>
    <w:p>
      <w:r>
        <w:t>Status: draft legends for manuscript assembly; not final journal artwork captions.</w:t>
      </w:r>
    </w:p>
    <w:p>
      <w:pPr>
        <w:pStyle w:val="Heading2"/>
      </w:pPr>
      <w:r>
        <w:t>Figure 1. RMTGuard random-matrix callability workflow.</w:t>
      </w:r>
    </w:p>
    <w:p>
      <w:r>
        <w:t>Schematic and diagnostic outputs for the RMTGuard workflow. The method uses random-matrix spectral diagnostics, adaptive embedding decisions and explicit callability outputs to separate supported signal from high-dimensional noise. This figure should be read as a workflow and diagnostic overview, not as a claim of new random-matrix theory. Source data: results/figures/source_data/figure1_algorithm_diagnostics.tsv.</w:t>
      </w:r>
    </w:p>
    <w:p>
      <w:pPr>
        <w:pStyle w:val="Heading2"/>
      </w:pPr>
      <w:r>
        <w:t>Figure 2. Synthetic calibration of false-signal and rare-state behavior.</w:t>
      </w:r>
    </w:p>
    <w:p>
      <w:r>
        <w:t>Synthetic null, planted-signal and rare-state scenarios evaluate whether the workflow controls false signal under tested null families while retaining detectable rare states. Realistic null simulations covered gene-permutation, library-multinomial and library-stratified gene nulls; the maximum observed false-signal rate in the current 50-repeat summary was 0%. Rare-state power is claim-bounded: moderate prevalence/effect regimes are supported, whereas prevalence 0.02/effect size 2.5 remains weak. Source data: results/calibration/realistic_null_summary.tsv and results/calibration/rare_state_power_summary.tsv.</w:t>
      </w:r>
    </w:p>
    <w:p>
      <w:pPr>
        <w:pStyle w:val="Heading2"/>
      </w:pPr>
      <w:r>
        <w:t>Figure 3. Public benchmark callability, caveats and no-call decisions.</w:t>
      </w:r>
    </w:p>
    <w:p>
      <w:r>
        <w:t>Public benchmark panels report RMTGuard performance alongside fixed-PC, elbow, Scanpy-like, Seurat and scLENSpy comparators where available. The callability map includes PBMC68k/Zheng 2017 as a diagnostic no-call (annotation ARI 0.081), not a biological discovery. PBMC3k, Kang IFN-beta PBMC and Baron pancreas are retained as caveated benchmark contexts. The legend must not state that RMTGuard outperforms all fixed-PC or elbow baselines. Source data: results/callability/no_call_decision_map.tsv, results/submission/sclens_vs_rmtguard_stability_nrand20.tsv and related Figure 3 source-data tables.</w:t>
      </w:r>
    </w:p>
    <w:p>
      <w:pPr>
        <w:pStyle w:val="Heading2"/>
      </w:pPr>
      <w:r>
        <w:t>Figure 4. Bounded PDAC/TME public-data application.</w:t>
      </w:r>
    </w:p>
    <w:p>
      <w:r>
        <w:t>RMTGuard is applied to public PDAC/TME datasets to illustrate marker, pathway and atlas-context interpretation under the current callability framework. The figure supports a methods-paper use case only. It does not establish a new PDAC mechanism, clinical biomarker, prognosis model, therapy-response predictor, spatial validation or protein-level validation. Source data: results/figures/source_data/figure4_pdac_tme_strengthened_source.tsv.</w:t>
      </w:r>
    </w:p>
    <w:p>
      <w:pPr>
        <w:pStyle w:val="Heading2"/>
      </w:pPr>
      <w:r>
        <w:t>Figure 5. Ablation, reproducibility and release readiness.</w:t>
      </w:r>
    </w:p>
    <w:p>
      <w:r>
        <w:t>Main Figure 5 summarizes runtime, memory, submission-gate status and the PBMC3k stability-ablation panel used for software/reproducibility reporting. The public repository, GitHub Release and Zenodo DOI support code availability for the archived release, while post-release working-branch changes should not be described as part of the immutable DOI snapshot unless a new release is issued. Source data: results/figures/source_data/figure5_runtime_memory_summary.tsv, results/figures/source_data/figure5_gate_evidence.tsv, results/figures/source_data/figure5_ablation_stability_summary.tsv and release manifests.</w:t>
      </w:r>
    </w:p>
    <w:p>
      <w:pPr>
        <w:pStyle w:val="Heading2"/>
      </w:pPr>
      <w:r>
        <w:t>Extended Data Figure. Real-data ablation annotation monitor.</w:t>
      </w:r>
    </w:p>
    <w:p>
      <w:r>
        <w:t>The real-data ablation forest plot summarizes annotation-ARI and batch-ARI deltas for tested RMTGuard component variants across labeled public datasets. This panel supports component-sensitivity discussion under the tested datasets and repeats, but it should not be described as proving universal component necessity. Source data: results/figures/source_data/figure5_realdata_ablation_delta_summary.tsv.</w:t>
      </w:r>
    </w:p>
    <w:p>
      <w:pPr>
        <w:pStyle w:val="Heading2"/>
      </w:pPr>
      <w:r>
        <w:t>Extended Data Figure. Topology stress and Paul15 real-data topology monitor.</w:t>
      </w:r>
    </w:p>
    <w:p>
      <w:r>
        <w:t>Synthetic topology stress tests evaluate line, branch and loop geometry (branching_trajectory, trustworthiness 0.924; cyclic_loop, trustworthiness 0.951; linear_trajectory, trustworthiness 0.933). The Paul15 hematopoiesis monitor uses an annotation-derived cluster graph rather than experimentally measured pseudotime. RMTGuard had higher annotation ARI (0.270) and lower neighbor tree distance (1.153) than fixed 30 PCs (1.289) and fixed 50 PCs (1.435), but fixed-PC baselines had higher centroid tree rho/reference edge recall. This extended figure should therefore be described as topology monitoring with trade-offs, not as trajectory-method superiority. Source data: results/submission/topology_stress_summary.tsv and results/submission/realdata_topology_summary.tsv.</w:t>
      </w:r>
    </w:p>
    <w:p>
      <w:pPr>
        <w:pStyle w:val="Heading1"/>
      </w:pPr>
      <w:r>
        <w:t>Machine-readable claim audit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section</w:t>
            </w:r>
          </w:p>
        </w:tc>
        <w:tc>
          <w:tcPr>
            <w:tcW w:type="dxa" w:w="2520"/>
          </w:tcPr>
          <w:p>
            <w:r>
              <w:t>claim_boundary</w:t>
            </w:r>
          </w:p>
        </w:tc>
        <w:tc>
          <w:tcPr>
            <w:tcW w:type="dxa" w:w="2520"/>
          </w:tcPr>
          <w:p>
            <w:r>
              <w:t>evidence_source</w:t>
            </w:r>
          </w:p>
        </w:tc>
        <w:tc>
          <w:tcPr>
            <w:tcW w:type="dxa" w:w="2520"/>
          </w:tcPr>
          <w:p>
            <w:r>
              <w:t>status</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bl>
    <w:p>
      <w:pPr>
        <w:pStyle w:val="Heading1"/>
      </w:pPr>
      <w:r>
        <w:t>Questions for external reviewers</w:t>
      </w:r>
    </w:p>
    <w:p>
      <w:pPr>
        <w:pStyle w:val="ListNumber"/>
      </w:pPr>
      <w:r>
        <w:t>Is the central claim best framed as random-matrix callability/noise control rather than broad stability superiority?</w:t>
      </w:r>
    </w:p>
    <w:p>
      <w:pPr>
        <w:pStyle w:val="ListNumber"/>
      </w:pPr>
      <w:r>
        <w:t>Which benchmark result would most likely trigger reviewer skepticism, and what extra analysis would reduce that risk?</w:t>
      </w:r>
    </w:p>
    <w:p>
      <w:pPr>
        <w:pStyle w:val="ListNumber"/>
      </w:pPr>
      <w:r>
        <w:t>Does the no-call decision map look like a useful methodological feature, or does it read as underperformance?</w:t>
      </w:r>
    </w:p>
    <w:p>
      <w:pPr>
        <w:pStyle w:val="ListNumber"/>
      </w:pPr>
      <w:r>
        <w:t>Is the PDAC/TME public-data application strong enough for a main figure, or should it move to supplementary material?</w:t>
      </w:r>
    </w:p>
    <w:p>
      <w:pPr>
        <w:pStyle w:val="ListNumber"/>
      </w:pPr>
      <w:r>
        <w:t>For journal routing, should the next live target remain Nature Methods presubmission, or should the manuscript be reframed directly for Genome Biology?</w:t>
      </w:r>
    </w:p>
    <w:p>
      <w:pPr>
        <w:pStyle w:val="Heading1"/>
      </w:pPr>
      <w:r>
        <w:t>Manual author-owned tasks</w:t>
      </w:r>
    </w:p>
    <w:p>
      <w:pPr>
        <w:pStyle w:val="Heading2"/>
      </w:pPr>
      <w:r>
        <w:t>Manual Next Actions For The RMTGuard 20-50 JIF Route</w:t>
      </w:r>
    </w:p>
    <w:p>
      <w:r>
        <w:t>Last updated: 2026-05-04.</w:t>
      </w:r>
    </w:p>
    <w:p>
      <w:r>
        <w:t>This checklist separates author-owned external actions from Codex-owned local</w:t>
      </w:r>
    </w:p>
    <w:p>
      <w:r>
        <w:t>analysis work. It does not guarantee acceptance; it is a risk-control list for</w:t>
      </w:r>
    </w:p>
    <w:p>
      <w:r>
        <w:t>raising the manuscript toward a strict Nature Methods / 20-50 JIF route.</w:t>
      </w:r>
    </w:p>
    <w:p>
      <w:pPr>
        <w:pStyle w:val="Heading2"/>
      </w:pPr>
      <w:r>
        <w:t>1. ORCID Profile Cleanup</w:t>
      </w:r>
    </w:p>
    <w:p>
      <w:r>
        <w:t>Status: required but not blocking for code release.</w:t>
      </w:r>
    </w:p>
    <w:p>
      <w:r>
        <w:t>Confirmed primary ORCID:</w:t>
      </w:r>
    </w:p>
    <w:p>
      <w:pPr>
        <w:pStyle w:val="ListBullet"/>
      </w:pPr>
      <w:r>
        <w:t>Chongfa Chen: https://orcid.org/0000-0001-6597-5181</w:t>
      </w:r>
    </w:p>
    <w:p>
      <w:r>
        <w:t>Possible duplicate not currently used:</w:t>
      </w:r>
    </w:p>
    <w:p>
      <w:pPr>
        <w:pStyle w:val="ListBullet"/>
      </w:pPr>
      <w:r>
        <w:t>https://orcid.org/0000-0001-7367-9972</w:t>
      </w:r>
    </w:p>
    <w:p>
      <w:r>
        <w:t>Manual steps:</w:t>
      </w:r>
    </w:p>
    <w:p>
      <w:pPr>
        <w:pStyle w:val="ListNumber"/>
      </w:pPr>
      <w:r>
        <w:t>Open https://orcid.org/signin.</w:t>
      </w:r>
    </w:p>
    <w:p>
      <w:pPr>
        <w:pStyle w:val="ListNumber"/>
      </w:pPr>
      <w:r>
        <w:t>Log in to 0000-0001-6597-5181.</w:t>
      </w:r>
    </w:p>
    <w:p>
      <w:pPr>
        <w:pStyle w:val="ListNumber"/>
      </w:pPr>
      <w:r>
        <w:t>Open the public preview and confirm the visible name is Chongfa Chen.</w:t>
      </w:r>
    </w:p>
    <w:p>
      <w:pPr>
        <w:pStyle w:val="ListNumber"/>
      </w:pPr>
      <w:r>
        <w:t>Add Employment:</w:t>
      </w:r>
    </w:p>
    <w:p>
      <w:r>
        <w:t xml:space="preserve">   - Organization: The Affiliated BenQ Hospital of Nanjing Medical University</w:t>
      </w:r>
    </w:p>
    <w:p>
      <w:r>
        <w:t xml:space="preserve">   - Department: Pancreas Center</w:t>
      </w:r>
    </w:p>
    <w:p>
      <w:r>
        <w:t xml:space="preserve">   - City: Nanjing</w:t>
      </w:r>
    </w:p>
    <w:p>
      <w:r>
        <w:t xml:space="preserve">   - Country: China</w:t>
      </w:r>
    </w:p>
    <w:p>
      <w:r>
        <w:t xml:space="preserve">   - Visibility: Everyone</w:t>
      </w:r>
    </w:p>
    <w:p>
      <w:pPr>
        <w:pStyle w:val="ListNumber"/>
      </w:pPr>
      <w:r>
        <w:t>Add Works:</w:t>
      </w:r>
    </w:p>
    <w:p>
      <w:r>
        <w:t xml:space="preserve">   - Use Add works -&gt; Search &amp; link -&gt; Crossref Metadata Search.</w:t>
      </w:r>
    </w:p>
    <w:p>
      <w:r>
        <w:t xml:space="preserve">   - Search by Chongfa Chen and import only your own papers.</w:t>
      </w:r>
    </w:p>
    <w:p>
      <w:r>
        <w:t xml:space="preserve">   - If a paper is missing, add it by DOI.</w:t>
      </w:r>
    </w:p>
    <w:p>
      <w:r>
        <w:t xml:space="preserve">   - Set visibility to Everyone.</w:t>
      </w:r>
    </w:p>
    <w:p>
      <w:pPr>
        <w:pStyle w:val="ListNumber"/>
      </w:pPr>
      <w:r>
        <w:t>If you can also log in to 0000-0001-7367-9972, treat it as a duplicate:</w:t>
      </w:r>
    </w:p>
    <w:p>
      <w:r>
        <w:t xml:space="preserve">   - Open https://orcid.org/account.</w:t>
      </w:r>
    </w:p>
    <w:p>
      <w:r>
        <w:t xml:space="preserve">   - Go to Account actions.</w:t>
      </w:r>
    </w:p>
    <w:p>
      <w:r>
        <w:t xml:space="preserve">   - Choose Remove a duplicate record.</w:t>
      </w:r>
    </w:p>
    <w:p>
      <w:r>
        <w:t xml:space="preserve">   - Keep 0000-0001-6597-5181 as the primary account unless ORCID support advises otherwise.</w:t>
      </w:r>
    </w:p>
    <w:p>
      <w:pPr>
        <w:pStyle w:val="ListNumber"/>
      </w:pPr>
      <w:r>
        <w:t>If you cannot access the possible duplicate, do not use it in the manuscript.</w:t>
      </w:r>
    </w:p>
    <w:p>
      <w:pPr>
        <w:pStyle w:val="Heading2"/>
      </w:pPr>
      <w:r>
        <w:t>2. Postal Code Confirmation</w:t>
      </w:r>
    </w:p>
    <w:p>
      <w:r>
        <w:t>Status: required before final title page.</w:t>
      </w:r>
    </w:p>
    <w:p>
      <w:r>
        <w:t>Current conflict:</w:t>
      </w:r>
    </w:p>
    <w:p>
      <w:pPr>
        <w:pStyle w:val="ListBullet"/>
      </w:pPr>
      <w:r>
        <w:t>Author-provided postal code: 350000</w:t>
      </w:r>
    </w:p>
    <w:p>
      <w:pPr>
        <w:pStyle w:val="ListBullet"/>
      </w:pPr>
      <w:r>
        <w:t>Public-source candidate for the Nanjing BenQ Hospital / Hexi Street address: 210019</w:t>
      </w:r>
    </w:p>
    <w:p>
      <w:r>
        <w:t>Manual steps:</w:t>
      </w:r>
    </w:p>
    <w:p>
      <w:pPr>
        <w:pStyle w:val="ListNumber"/>
      </w:pPr>
      <w:r>
        <w:t>Check the hospital official English address page or internal hospital letterhead.</w:t>
      </w:r>
    </w:p>
    <w:p>
      <w:pPr>
        <w:pStyle w:val="ListNumber"/>
      </w:pPr>
      <w:r>
        <w:t>Confirm whether the journal submission metadata should use:</w:t>
      </w:r>
    </w:p>
    <w:p>
      <w:r>
        <w:t xml:space="preserve">   - 350000, or</w:t>
      </w:r>
    </w:p>
    <w:p>
      <w:r>
        <w:t xml:space="preserve">   - 210019.</w:t>
      </w:r>
    </w:p>
    <w:p>
      <w:pPr>
        <w:pStyle w:val="ListNumber"/>
      </w:pPr>
      <w:r>
        <w:t>Send the final value back to Codex with this sentence:</w:t>
      </w:r>
    </w:p>
    <w:p>
      <w:r>
        <w:rPr>
          <w:rFonts w:ascii="Courier New" w:hAnsi="Courier New"/>
          <w:sz w:val="17"/>
        </w:rPr>
        <w:t>Use postal code &lt;FINAL_POSTAL_CODE&gt; for both Yi Miao and Han Yan correspondence addresses.</w:t>
      </w:r>
    </w:p>
    <w:p>
      <w:r>
        <w:t>Do not finalize the title page until this is confirmed.</w:t>
      </w:r>
    </w:p>
    <w:p>
      <w:pPr>
        <w:pStyle w:val="Heading2"/>
      </w:pPr>
      <w:r>
        <w:t>3. Author Declarations</w:t>
      </w:r>
    </w:p>
    <w:p>
      <w:r>
        <w:t>Status: required before submission.</w:t>
      </w:r>
    </w:p>
    <w:p>
      <w:r>
        <w:t>Manual steps:</w:t>
      </w:r>
    </w:p>
    <w:p>
      <w:pPr>
        <w:pStyle w:val="ListNumber"/>
      </w:pPr>
      <w:r>
        <w:t>CRediT roles:</w:t>
      </w:r>
    </w:p>
    <w:p>
      <w:r>
        <w:t xml:space="preserve">   - Open metadata/credit_roles.tsv.</w:t>
      </w:r>
    </w:p>
    <w:p>
      <w:r>
        <w:t xml:space="preserve">   - Confirm whether each role is correct.</w:t>
      </w:r>
    </w:p>
    <w:p>
      <w:r>
        <w:t xml:space="preserve">   - If a role is wrong, tell Codex the corrected role list for each author.</w:t>
      </w:r>
    </w:p>
    <w:p>
      <w:pPr>
        <w:pStyle w:val="ListNumber"/>
      </w:pPr>
      <w:r>
        <w:t>Funding:</w:t>
      </w:r>
    </w:p>
    <w:p>
      <w:r>
        <w:t xml:space="preserve">   - If funded, provide exact funder names and grant numbers.</w:t>
      </w:r>
    </w:p>
    <w:p>
      <w:r>
        <w:t xml:space="preserve">   - If not funded, confirm this sentence:</w:t>
      </w:r>
    </w:p>
    <w:p>
      <w:r>
        <w:rPr>
          <w:rFonts w:ascii="Courier New" w:hAnsi="Courier New"/>
          <w:sz w:val="17"/>
        </w:rPr>
        <w:t>This research received no specific grant from any funding agency in the public, commercial, or not-for-profit sectors.</w:t>
      </w:r>
    </w:p>
    <w:p>
      <w:pPr>
        <w:pStyle w:val="ListNumber"/>
      </w:pPr>
      <w:r>
        <w:t>Competing interests:</w:t>
      </w:r>
    </w:p>
    <w:p>
      <w:r>
        <w:t xml:space="preserve">   - Ask all authors to confirm whether financial or non-financial conflicts exist.</w:t>
      </w:r>
    </w:p>
    <w:p>
      <w:r>
        <w:t xml:space="preserve">   - If none, confirm:</w:t>
      </w:r>
    </w:p>
    <w:p>
      <w:r>
        <w:rPr>
          <w:rFonts w:ascii="Courier New" w:hAnsi="Courier New"/>
          <w:sz w:val="17"/>
        </w:rPr>
        <w:t>The authors declare no competing interests.</w:t>
      </w:r>
    </w:p>
    <w:p>
      <w:pPr>
        <w:pStyle w:val="ListNumber"/>
      </w:pPr>
      <w:r>
        <w:t>Ethics / public data:</w:t>
      </w:r>
    </w:p>
    <w:p>
      <w:r>
        <w:t xml:space="preserve">   - Confirm that the manuscript uses only public, de-identified datasets.</w:t>
      </w:r>
    </w:p>
    <w:p>
      <w:r>
        <w:t xml:space="preserve">   - If no private clinical data are added, confirm:</w:t>
      </w:r>
    </w:p>
    <w:p>
      <w:r>
        <w:rPr>
          <w:rFonts w:ascii="Courier New" w:hAnsi="Courier New"/>
          <w:sz w:val="17"/>
        </w:rPr>
        <w:t>This study analyzed publicly available, de-identified datasets and did not involve newly collected private clinical data or direct contact with human participants.</w:t>
      </w:r>
    </w:p>
    <w:p>
      <w:pPr>
        <w:pStyle w:val="Heading2"/>
      </w:pPr>
      <w:r>
        <w:t>4. Journal Metrics, CAS Zone, And Warning List Verification</w:t>
      </w:r>
    </w:p>
    <w:p>
      <w:r>
        <w:t>Status: required immediately before submission because metrics and warning</w:t>
      </w:r>
    </w:p>
    <w:p>
      <w:r>
        <w:t>lists change.</w:t>
      </w:r>
    </w:p>
    <w:p>
      <w:r>
        <w:t>Official / near-official links:</w:t>
      </w:r>
    </w:p>
    <w:p>
      <w:pPr>
        <w:pStyle w:val="ListBullet"/>
      </w:pPr>
      <w:r>
        <w:t>Nature Methods metrics: https://www.nature.com/nmeth/journal-impact</w:t>
      </w:r>
    </w:p>
    <w:p>
      <w:pPr>
        <w:pStyle w:val="ListBullet"/>
      </w:pPr>
      <w:r>
        <w:t>Nature Communications metrics: https://www.nature.com/ncomms/journal-impact</w:t>
      </w:r>
    </w:p>
    <w:p>
      <w:pPr>
        <w:pStyle w:val="ListBullet"/>
      </w:pPr>
      <w:r>
        <w:t>Genome Biology metrics: https://genomebiology.biomedcentral.com/about</w:t>
      </w:r>
    </w:p>
    <w:p>
      <w:pPr>
        <w:pStyle w:val="ListBullet"/>
      </w:pPr>
      <w:r>
        <w:t>Cell Genomics metrics: https://www.sciencedirect.com/journal/cell-genomics/about/insights</w:t>
      </w:r>
    </w:p>
    <w:p>
      <w:pPr>
        <w:pStyle w:val="ListBullet"/>
      </w:pPr>
      <w:r>
        <w:t>Journal Citation Reports: https://jcr.clarivate.com</w:t>
      </w:r>
    </w:p>
    <w:p>
      <w:pPr>
        <w:pStyle w:val="ListBullet"/>
      </w:pPr>
      <w:r>
        <w:t>CAS partition table login/query: https://www.fenqubiao.com</w:t>
      </w:r>
    </w:p>
    <w:p>
      <w:pPr>
        <w:pStyle w:val="ListBullet"/>
      </w:pPr>
      <w:r>
        <w:t>CAS warning list portal: https://ewl.fenqubiao.com</w:t>
      </w:r>
    </w:p>
    <w:p>
      <w:r>
        <w:t>Manual steps:</w:t>
      </w:r>
    </w:p>
    <w:p>
      <w:pPr>
        <w:pStyle w:val="ListNumber"/>
      </w:pPr>
      <w:r>
        <w:t>Use your institution library/VPN to open https://jcr.clarivate.com.</w:t>
      </w:r>
    </w:p>
    <w:p>
      <w:pPr>
        <w:pStyle w:val="ListNumber"/>
      </w:pPr>
      <w:r>
        <w:t>Search each candidate journal:</w:t>
      </w:r>
    </w:p>
    <w:p>
      <w:r>
        <w:t xml:space="preserve">   - Nature Methods</w:t>
      </w:r>
    </w:p>
    <w:p>
      <w:r>
        <w:t xml:space="preserve">   - Nature Communications</w:t>
      </w:r>
    </w:p>
    <w:p>
      <w:r>
        <w:t xml:space="preserve">   - Genome Biology</w:t>
      </w:r>
    </w:p>
    <w:p>
      <w:r>
        <w:t xml:space="preserve">   - Cell Genomics</w:t>
      </w:r>
    </w:p>
    <w:p>
      <w:r>
        <w:t xml:space="preserve">   - Bioinformatics</w:t>
      </w:r>
    </w:p>
    <w:p>
      <w:pPr>
        <w:pStyle w:val="ListNumber"/>
      </w:pPr>
      <w:r>
        <w:t>Record:</w:t>
      </w:r>
    </w:p>
    <w:p>
      <w:r>
        <w:t xml:space="preserve">   - 2024 Journal Impact Factor</w:t>
      </w:r>
    </w:p>
    <w:p>
      <w:r>
        <w:t xml:space="preserve">   - 5-year Journal Impact Factor</w:t>
      </w:r>
    </w:p>
    <w:p>
      <w:r>
        <w:t xml:space="preserve">   - JCR category and quartile</w:t>
      </w:r>
    </w:p>
    <w:p>
      <w:pPr>
        <w:pStyle w:val="ListNumber"/>
      </w:pPr>
      <w:r>
        <w:t>Open https://www.fenqubiao.com.</w:t>
      </w:r>
    </w:p>
    <w:p>
      <w:pPr>
        <w:pStyle w:val="ListNumber"/>
      </w:pPr>
      <w:r>
        <w:t>Search the same journals and record: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