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RMTGuard External Review Packet</w:t>
      </w:r>
    </w:p>
    <w:p>
      <w:pPr>
        <w:jc w:val="center"/>
      </w:pPr>
      <w:r>
        <w:rPr>
          <w:i/>
        </w:rPr>
        <w:t>Evidence-freeze aligned manuscript materials for pre-review</w:t>
      </w:r>
    </w:p>
    <w:p>
      <w:r>
        <w:t>Generated: 2026-05-12 13:56:38</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Current value</w:t>
            </w:r>
          </w:p>
        </w:tc>
      </w:tr>
      <w:tr>
        <w:tc>
          <w:tcPr>
            <w:tcW w:type="dxa" w:w="5040"/>
            <w:vAlign w:val="top"/>
          </w:tcPr>
          <w:p>
            <w:r>
              <w:t>Current route</w:t>
            </w:r>
          </w:p>
        </w:tc>
        <w:tc>
          <w:tcPr>
            <w:tcW w:type="dxa" w:w="5040"/>
            <w:vAlign w:val="top"/>
          </w:tcPr>
          <w:p>
            <w:r>
              <w:t>Nature Methods remains a stretch target; Genome Biology is the realistic fallback if the high-impact gate is not recovered.</w:t>
            </w:r>
          </w:p>
        </w:tc>
      </w:tr>
      <w:tr>
        <w:tc>
          <w:tcPr>
            <w:tcW w:type="dxa" w:w="5040"/>
            <w:vAlign w:val="top"/>
          </w:tcPr>
          <w:p>
            <w:r>
              <w:t>Acceptance guarantee</w:t>
            </w:r>
          </w:p>
        </w:tc>
        <w:tc>
          <w:tcPr>
            <w:tcW w:type="dxa" w:w="5040"/>
            <w:vAlign w:val="top"/>
          </w:tcPr>
          <w:p>
            <w:r>
              <w:t>Impossible. The document is for risk reduction and external critique, not a promise of publication.</w:t>
            </w:r>
          </w:p>
        </w:tc>
      </w:tr>
      <w:tr>
        <w:tc>
          <w:tcPr>
            <w:tcW w:type="dxa" w:w="5040"/>
            <w:vAlign w:val="top"/>
          </w:tcPr>
          <w:p>
            <w:r>
              <w:t>Public code</w:t>
            </w:r>
          </w:p>
        </w:tc>
        <w:tc>
          <w:tcPr>
            <w:tcW w:type="dxa" w:w="5040"/>
            <w:vAlign w:val="top"/>
          </w:tcPr>
          <w:p>
            <w:r>
              <w:t>Repository and DOI metadata are present for the archived release: https://github.com/healthgreat/rmtguard ; DOI 10.5281/zenodo.20012350.</w:t>
            </w:r>
          </w:p>
        </w:tc>
      </w:tr>
      <w:tr>
        <w:tc>
          <w:tcPr>
            <w:tcW w:type="dxa" w:w="5040"/>
            <w:vAlign w:val="top"/>
          </w:tcPr>
          <w:p>
            <w:r>
              <w:t>Core claim boundary</w:t>
            </w:r>
          </w:p>
        </w:tc>
        <w:tc>
          <w:tcPr>
            <w:tcW w:type="dxa" w:w="5040"/>
            <w:vAlign w:val="top"/>
          </w:tcPr>
          <w:p>
            <w:r>
              <w:t>Diagnostic random-matrix callability and noise-control reporting; not broad superiority over every fixed-PC/elbow workflow.</w:t>
            </w:r>
          </w:p>
        </w:tc>
      </w:tr>
      <w:tr>
        <w:tc>
          <w:tcPr>
            <w:tcW w:type="dxa" w:w="5040"/>
            <w:vAlign w:val="top"/>
          </w:tcPr>
          <w:p>
            <w:r>
              <w:t>Manual blocker</w:t>
            </w:r>
          </w:p>
        </w:tc>
        <w:tc>
          <w:tcPr>
            <w:tcW w:type="dxa" w:w="5040"/>
            <w:vAlign w:val="top"/>
          </w:tcPr>
          <w:p>
            <w:r>
              <w:t>Corresponding-author acknowledgement for bounded Figure 4 wording and final author declarations remain author-owned.</w:t>
            </w:r>
          </w:p>
        </w:tc>
      </w:tr>
    </w:tbl>
    <w:p>
      <w:r>
        <w:rPr>
          <w:b/>
        </w:rPr>
        <w:t>GitHub repository</w:t>
      </w:r>
      <w:r>
        <w:t>: https://github.com/healthgreat/rmtguard</w:t>
      </w:r>
    </w:p>
    <w:p>
      <w:r>
        <w:rPr>
          <w:b/>
        </w:rPr>
        <w:t>Zenodo DOI</w:t>
      </w:r>
      <w:r>
        <w:t>: https://doi.org/10.5281/zenodo.20012350</w:t>
      </w:r>
    </w:p>
    <w:p>
      <w:pPr>
        <w:pStyle w:val="Heading1"/>
      </w:pPr>
      <w:r>
        <w:t>Project progress Gantt snapshot</w:t>
      </w:r>
    </w:p>
    <w:p>
      <w:pPr>
        <w:jc w:val="center"/>
      </w:pPr>
      <w:r>
        <w:drawing>
          <wp:inline xmlns:a="http://schemas.openxmlformats.org/drawingml/2006/main" xmlns:pic="http://schemas.openxmlformats.org/drawingml/2006/picture">
            <wp:extent cx="5120640" cy="8933099"/>
            <wp:docPr id="1" name="Picture 1"/>
            <wp:cNvGraphicFramePr>
              <a:graphicFrameLocks noChangeAspect="1"/>
            </wp:cNvGraphicFramePr>
            <a:graphic>
              <a:graphicData uri="http://schemas.openxmlformats.org/drawingml/2006/picture">
                <pic:pic>
                  <pic:nvPicPr>
                    <pic:cNvPr id="0" name="rmtguard_project_gantt.png"/>
                    <pic:cNvPicPr/>
                  </pic:nvPicPr>
                  <pic:blipFill>
                    <a:blip r:embed="rId9"/>
                    <a:stretch>
                      <a:fillRect/>
                    </a:stretch>
                  </pic:blipFill>
                  <pic:spPr>
                    <a:xfrm>
                      <a:off x="0" y="0"/>
                      <a:ext cx="5120640" cy="8933099"/>
                    </a:xfrm>
                    <a:prstGeom prst="rect"/>
                  </pic:spPr>
                </pic:pic>
              </a:graphicData>
            </a:graphic>
          </wp:inline>
        </w:drawing>
      </w:r>
    </w:p>
    <w:p>
      <w:pPr>
        <w:sectPr>
          <w:pgSz w:w="12240" w:h="15840"/>
          <w:pgMar w:top="1008" w:right="1080" w:bottom="1008" w:left="1080" w:header="720" w:footer="720" w:gutter="0"/>
          <w:cols w:space="720"/>
          <w:docGrid w:linePitch="360"/>
        </w:sectPr>
      </w:pPr>
    </w:p>
    <w:p>
      <w:pPr>
        <w:pStyle w:val="Heading1"/>
      </w:pPr>
      <w:r>
        <w:t>Current evidence freeze</w:t>
      </w:r>
    </w:p>
    <w:p>
      <w:pPr>
        <w:pStyle w:val="Heading2"/>
      </w:pPr>
      <w:r>
        <w:t>RMTGuard current evidence freeze</w:t>
      </w:r>
    </w:p>
    <w:p>
      <w:r>
        <w:t>Date: 2026-05-12</w:t>
      </w:r>
    </w:p>
    <w:p>
      <w:r>
        <w:t>Project: RMTGuard</w:t>
      </w:r>
    </w:p>
    <w:p>
      <w:pPr>
        <w:pStyle w:val="Heading2"/>
      </w:pPr>
      <w:r>
        <w:t>Purpose</w:t>
      </w:r>
    </w:p>
    <w:p>
      <w:r>
        <w:t>This freeze records the current manuscript-facing evidence assets, their</w:t>
      </w:r>
    </w:p>
    <w:p>
      <w:r>
        <w:t>source files, checksums, claim boundaries, and next actions. It is a</w:t>
      </w:r>
    </w:p>
    <w:p>
      <w:r>
        <w:t>quality-control artifact, not a statement that the manuscript is ready for</w:t>
      </w:r>
    </w:p>
    <w:p>
      <w:r>
        <w:t>submission.</w:t>
      </w:r>
    </w:p>
    <w:p>
      <w:pPr>
        <w:pStyle w:val="Heading2"/>
      </w:pPr>
      <w:r>
        <w:t>Freeze Status</w:t>
      </w:r>
    </w:p>
    <w:p>
      <w:pPr>
        <w:pStyle w:val="ListBullet"/>
      </w:pPr>
      <w:r>
        <w:t>Items checked: 34</w:t>
      </w:r>
    </w:p>
    <w:p>
      <w:pPr>
        <w:pStyle w:val="ListBullet"/>
      </w:pPr>
      <w:r>
        <w:t>Missing items: 0</w:t>
      </w:r>
    </w:p>
    <w:p>
      <w:pPr>
        <w:pStyle w:val="ListBullet"/>
      </w:pPr>
      <w:r>
        <w:t>Manifest: results/submission/current_evidence_freeze_manifest.tsv</w:t>
      </w:r>
    </w:p>
    <w:p>
      <w:pPr>
        <w:pStyle w:val="Heading2"/>
      </w:pPr>
      <w:r>
        <w:t>Category Counts</w:t>
      </w:r>
    </w:p>
    <w:p>
      <w:pPr>
        <w:pStyle w:val="ListBullet"/>
      </w:pPr>
      <w:r>
        <w:t>competitor: 1</w:t>
      </w:r>
    </w:p>
    <w:p>
      <w:pPr>
        <w:pStyle w:val="ListBullet"/>
      </w:pPr>
      <w:r>
        <w:t>figure: 10</w:t>
      </w:r>
    </w:p>
    <w:p>
      <w:pPr>
        <w:pStyle w:val="ListBullet"/>
      </w:pPr>
      <w:r>
        <w:t>journal_route: 4</w:t>
      </w:r>
    </w:p>
    <w:p>
      <w:pPr>
        <w:pStyle w:val="ListBullet"/>
      </w:pPr>
      <w:r>
        <w:t>manual_blocker: 3</w:t>
      </w:r>
    </w:p>
    <w:p>
      <w:pPr>
        <w:pStyle w:val="ListBullet"/>
      </w:pPr>
      <w:r>
        <w:t>manuscript_text: 4</w:t>
      </w:r>
    </w:p>
    <w:p>
      <w:pPr>
        <w:pStyle w:val="ListBullet"/>
      </w:pPr>
      <w:r>
        <w:t>project_management: 1</w:t>
      </w:r>
    </w:p>
    <w:p>
      <w:pPr>
        <w:pStyle w:val="ListBullet"/>
      </w:pPr>
      <w:r>
        <w:t>release: 3</w:t>
      </w:r>
    </w:p>
    <w:p>
      <w:pPr>
        <w:pStyle w:val="ListBullet"/>
      </w:pPr>
      <w:r>
        <w:t>source_data: 5</w:t>
      </w:r>
    </w:p>
    <w:p>
      <w:pPr>
        <w:pStyle w:val="ListBullet"/>
      </w:pPr>
      <w:r>
        <w:t>statistics: 3</w:t>
      </w:r>
    </w:p>
    <w:p>
      <w:pPr>
        <w:pStyle w:val="Heading2"/>
      </w:pPr>
      <w:r>
        <w:t>Current 20-50 JIF Distance</w:t>
      </w:r>
    </w:p>
    <w:p>
      <w:pPr>
        <w:pStyle w:val="ListBullet"/>
      </w:pPr>
      <w:r>
        <w:t>Stronger than the earlier state: public code/DOI, scLENSpy comparator,</w:t>
      </w:r>
    </w:p>
    <w:p>
      <w:r>
        <w:t xml:space="preserve">  realistic null/power calibration, synthetic topology stress, real-data</w:t>
      </w:r>
    </w:p>
    <w:p>
      <w:r>
        <w:t xml:space="preserve">  topology monitor, no-call decision map, and strengthened Figure 4 assets</w:t>
      </w:r>
    </w:p>
    <w:p>
      <w:r>
        <w:t xml:space="preserve">  are now present.</w:t>
      </w:r>
    </w:p>
    <w:p>
      <w:pPr>
        <w:pStyle w:val="ListBullet"/>
      </w:pPr>
      <w:r>
        <w:t>Still not a guaranteed Nature Methods package: the strongest defensible</w:t>
      </w:r>
    </w:p>
    <w:p>
      <w:r>
        <w:t xml:space="preserve">  claim is diagnostic random-matrix callability with transparent</w:t>
      </w:r>
    </w:p>
    <w:p>
      <w:r>
        <w:t xml:space="preserve">  trade-offs, not broad superiority over all fixed-PC or elbow baselines.</w:t>
      </w:r>
    </w:p>
    <w:p>
      <w:pPr>
        <w:pStyle w:val="ListBullet"/>
      </w:pPr>
      <w:r>
        <w:t>Remaining high-impact risks: final source-data/figure freeze after all</w:t>
      </w:r>
    </w:p>
    <w:p>
      <w:r>
        <w:t xml:space="preserve">  benchmark decisions, corresponding-author Figure 4 acknowledgement,</w:t>
      </w:r>
    </w:p>
    <w:p>
      <w:r>
        <w:t xml:space="preserve">  and optional second real trajectory/perturbation topology dataset if</w:t>
      </w:r>
    </w:p>
    <w:p>
      <w:r>
        <w:t xml:space="preserve">  Nature Methods remains the preferred route.</w:t>
      </w:r>
    </w:p>
    <w:p>
      <w:pPr>
        <w:pStyle w:val="Heading1"/>
      </w:pPr>
      <w:r>
        <w:t>High-impact submission dashboard</w:t>
      </w:r>
    </w:p>
    <w:p>
      <w:pPr>
        <w:pStyle w:val="Heading2"/>
      </w:pPr>
      <w:r>
        <w:t>RMTGuard high-impact submission dashboard</w:t>
      </w:r>
    </w:p>
    <w:p>
      <w:r>
        <w:t>Generated: 2026-05-12</w:t>
      </w:r>
    </w:p>
    <w:p>
      <w:r>
        <w:t>Generated by python scripts/build_high_impact_submission_dashboard.py.</w:t>
      </w:r>
    </w:p>
    <w:p>
      <w:pPr>
        <w:pStyle w:val="Heading2"/>
      </w:pPr>
      <w:r>
        <w:t>Mentor Decision</w:t>
      </w:r>
    </w:p>
    <w:p>
      <w:pPr>
        <w:pStyle w:val="ListBullet"/>
      </w:pPr>
      <w:r>
        <w:t>Current action: continue_development_do_not_submit.</w:t>
      </w:r>
    </w:p>
    <w:p>
      <w:pPr>
        <w:pStyle w:val="ListBullet"/>
      </w:pPr>
      <w:r>
        <w:t>Strict 20-50 JIF route: Nature Methods only after gate recovery.</w:t>
      </w:r>
    </w:p>
    <w:p>
      <w:pPr>
        <w:pStyle w:val="ListBullet"/>
      </w:pPr>
      <w:r>
        <w:t>Realistic fallback: Genome Biology-style reproducible workflow, if strict 20-50 is relaxed.</w:t>
      </w:r>
    </w:p>
    <w:p>
      <w:pPr>
        <w:pStyle w:val="ListBullet"/>
      </w:pPr>
      <w:r>
        <w:t>Acceptance guarantee: impossible.</w:t>
      </w:r>
    </w:p>
    <w:p>
      <w:pPr>
        <w:pStyle w:val="Heading2"/>
      </w:pPr>
      <w:r>
        <w:t>Severity Counts</w:t>
      </w:r>
    </w:p>
    <w:p>
      <w:pPr>
        <w:pStyle w:val="ListBullet"/>
      </w:pPr>
      <w:r>
        <w:t>controlled: 4</w:t>
      </w:r>
    </w:p>
    <w:p>
      <w:pPr>
        <w:pStyle w:val="ListBullet"/>
      </w:pPr>
      <w:r>
        <w:t>controlled_with_boundary: 1</w:t>
      </w:r>
    </w:p>
    <w:p>
      <w:pPr>
        <w:pStyle w:val="ListBullet"/>
      </w:pPr>
      <w:r>
        <w:t>fallback_ready_with_reframe: 1</w:t>
      </w:r>
    </w:p>
    <w:p>
      <w:pPr>
        <w:pStyle w:val="ListBullet"/>
      </w:pPr>
      <w:r>
        <w:t>hard_stop: 2</w:t>
      </w:r>
    </w:p>
    <w:p>
      <w:pPr>
        <w:pStyle w:val="ListBullet"/>
      </w:pPr>
      <w:r>
        <w:t>major_hold: 1</w:t>
      </w:r>
    </w:p>
    <w:p>
      <w:pPr>
        <w:pStyle w:val="ListBullet"/>
      </w:pPr>
      <w:r>
        <w:t>manual_blocker: 3</w:t>
      </w:r>
    </w:p>
    <w:p>
      <w:pPr>
        <w:pStyle w:val="ListBullet"/>
      </w:pPr>
      <w:r>
        <w:t>manual_hold: 2</w:t>
      </w:r>
    </w:p>
    <w:p>
      <w:pPr>
        <w:pStyle w:val="ListBullet"/>
      </w:pPr>
      <w:r>
        <w:t>release_hold: 1</w:t>
      </w:r>
    </w:p>
    <w:p>
      <w:pPr>
        <w:pStyle w:val="ListBullet"/>
      </w:pPr>
      <w:r>
        <w:t>science_gap: 1</w:t>
      </w:r>
    </w:p>
    <w:p>
      <w:pPr>
        <w:pStyle w:val="Heading2"/>
      </w:pPr>
      <w:r>
        <w:t>Dashboard</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Lane</w:t>
            </w:r>
          </w:p>
        </w:tc>
        <w:tc>
          <w:tcPr>
            <w:tcW w:type="dxa" w:w="1680"/>
          </w:tcPr>
          <w:p>
            <w:r>
              <w:t>Status</w:t>
            </w:r>
          </w:p>
        </w:tc>
        <w:tc>
          <w:tcPr>
            <w:tcW w:type="dxa" w:w="1680"/>
          </w:tcPr>
          <w:p>
            <w:r>
              <w:t>Severity</w:t>
            </w:r>
          </w:p>
        </w:tc>
        <w:tc>
          <w:tcPr>
            <w:tcW w:type="dxa" w:w="1680"/>
          </w:tcPr>
          <w:p>
            <w:r>
              <w:t>Blocker</w:t>
            </w:r>
          </w:p>
        </w:tc>
        <w:tc>
          <w:tcPr>
            <w:tcW w:type="dxa" w:w="1680"/>
          </w:tcPr>
          <w:p>
            <w:r>
              <w:t>Next action</w:t>
            </w:r>
          </w:p>
        </w:tc>
        <w:tc>
          <w:tcPr>
            <w:tcW w:type="dxa" w:w="1680"/>
          </w:tcPr>
          <w:p>
            <w:r>
              <w:t>Owner</w:t>
            </w:r>
          </w:p>
        </w:tc>
      </w:tr>
      <w:tr>
        <w:tc>
          <w:tcPr>
            <w:tcW w:type="dxa" w:w="1680"/>
          </w:tcPr>
          <w:p>
            <w:r>
              <w:t>overall_20_50_readiness</w:t>
            </w:r>
          </w:p>
        </w:tc>
        <w:tc>
          <w:tcPr>
            <w:tcW w:type="dxa" w:w="1680"/>
          </w:tcPr>
          <w:p>
            <w:r>
              <w:t>strong_but_blocked</w:t>
            </w:r>
          </w:p>
        </w:tc>
        <w:tc>
          <w:tcPr>
            <w:tcW w:type="dxa" w:w="1680"/>
          </w:tcPr>
          <w:p>
            <w:r>
              <w:t>major_hold</w:t>
            </w:r>
          </w:p>
        </w:tc>
        <w:tc>
          <w:tcPr>
            <w:tcW w:type="dxa" w:w="1680"/>
          </w:tcPr>
          <w:p>
            <w:r>
              <w:t>readiness=90/100; strict 20-50 status remains not ready</w:t>
            </w:r>
          </w:p>
        </w:tc>
        <w:tc>
          <w:tcPr>
            <w:tcW w:type="dxa" w:w="1680"/>
          </w:tcPr>
          <w:p>
            <w:r>
              <w:t>Treat Nature Methods as the only strict 20-50 target and keep Genome Biology as fallback.</w:t>
            </w:r>
          </w:p>
        </w:tc>
        <w:tc>
          <w:tcPr>
            <w:tcW w:type="dxa" w:w="1680"/>
          </w:tcPr>
          <w:p>
            <w:r>
              <w:t>Codex + authors</w:t>
            </w:r>
          </w:p>
        </w:tc>
      </w:tr>
      <w:tr>
        <w:tc>
          <w:tcPr>
            <w:tcW w:type="dxa" w:w="1680"/>
          </w:tcPr>
          <w:p>
            <w:r>
              <w:t>nature_methods_full_submission</w:t>
            </w:r>
          </w:p>
        </w:tc>
        <w:tc>
          <w:tcPr>
            <w:tcW w:type="dxa" w:w="1680"/>
          </w:tcPr>
          <w:p>
            <w:r>
              <w:t>no_go</w:t>
            </w:r>
          </w:p>
        </w:tc>
        <w:tc>
          <w:tcPr>
            <w:tcW w:type="dxa" w:w="1680"/>
          </w:tcPr>
          <w:p>
            <w:r>
              <w:t>hard_stop</w:t>
            </w:r>
          </w:p>
        </w:tc>
        <w:tc>
          <w:tcPr>
            <w:tcW w:type="dxa" w:w="1680"/>
          </w:tcPr>
          <w:p>
            <w:r>
              <w:t>Full submission remains blocked because active blockers include stability_advantage;PDAC_TME_corresponding_author_acknowledgement;editorial_send_status;nature_methods_route.</w:t>
            </w:r>
          </w:p>
        </w:tc>
        <w:tc>
          <w:tcPr>
            <w:tcW w:type="dxa" w:w="1680"/>
          </w:tcPr>
          <w:p>
            <w:r>
              <w:t>Do not submit a full manuscript until stability-superiority claims are removed or new evidence supports them, and final source-data/reporting-summary checks are frozen.</w:t>
            </w:r>
          </w:p>
        </w:tc>
        <w:tc>
          <w:tcPr>
            <w:tcW w:type="dxa" w:w="1680"/>
          </w:tcPr>
          <w:p>
            <w:r>
              <w:t>Codex + corresponding authors</w:t>
            </w:r>
          </w:p>
        </w:tc>
      </w:tr>
      <w:tr>
        <w:tc>
          <w:tcPr>
            <w:tcW w:type="dxa" w:w="1680"/>
          </w:tcPr>
          <w:p>
            <w:r>
              <w:t>nature_methods_presubmission</w:t>
            </w:r>
          </w:p>
        </w:tc>
        <w:tc>
          <w:tcPr>
            <w:tcW w:type="dxa" w:w="1680"/>
          </w:tcPr>
          <w:p>
            <w:r>
              <w:t>conditional_go_after_author_ack</w:t>
            </w:r>
          </w:p>
        </w:tc>
        <w:tc>
          <w:tcPr>
            <w:tcW w:type="dxa" w:w="1680"/>
          </w:tcPr>
          <w:p>
            <w:r>
              <w:t>manual_hold</w:t>
            </w:r>
          </w:p>
        </w:tc>
        <w:tc>
          <w:tcPr>
            <w:tcW w:type="dxa" w:w="1680"/>
          </w:tcPr>
          <w:p>
            <w:r>
              <w:t>Readiness score is 90/100; release status is pass; claim lint violations=0; traceability violations=0; Figure 4 wording freeze present=True; send_status=do_not_send; author_acknowledgement=pending_author_reply (0/2); proxy_working_assumption=2/2.</w:t>
            </w:r>
          </w:p>
        </w:tc>
        <w:tc>
          <w:tcPr>
            <w:tcW w:type="dxa" w:w="1680"/>
          </w:tcPr>
          <w:p>
            <w:r>
              <w:t>Obtain corresponding-author Figure 4 acknowledgement, then do one final route-policy check.</w:t>
            </w:r>
          </w:p>
        </w:tc>
        <w:tc>
          <w:tcPr>
            <w:tcW w:type="dxa" w:w="1680"/>
          </w:tcPr>
          <w:p>
            <w:r>
              <w:t>Corresponding authors</w:t>
            </w:r>
          </w:p>
        </w:tc>
      </w:tr>
      <w:tr>
        <w:tc>
          <w:tcPr>
            <w:tcW w:type="dxa" w:w="1680"/>
          </w:tcPr>
          <w:p>
            <w:r>
              <w:t>genome_biology_fallback</w:t>
            </w:r>
          </w:p>
        </w:tc>
        <w:tc>
          <w:tcPr>
            <w:tcW w:type="dxa" w:w="1680"/>
          </w:tcPr>
          <w:p>
            <w:r>
              <w:t>ready_if_nature_methods_not_encouraging</w:t>
            </w:r>
          </w:p>
        </w:tc>
        <w:tc>
          <w:tcPr>
            <w:tcW w:type="dxa" w:w="1680"/>
          </w:tcPr>
          <w:p>
            <w:r>
              <w:t>fallback_ready_with_reframe</w:t>
            </w:r>
          </w:p>
        </w:tc>
        <w:tc>
          <w:tcPr>
            <w:tcW w:type="dxa" w:w="1680"/>
          </w:tcPr>
          <w:p>
            <w:r>
              <w:t>Fallback is scientifically realistic but not strict 20-50 by current JIF.</w:t>
            </w:r>
          </w:p>
        </w:tc>
        <w:tc>
          <w:tcPr>
            <w:tcW w:type="dxa" w:w="1680"/>
          </w:tcPr>
          <w:p>
            <w:r>
              <w:t>Keep a Genome Biology-style reproducible workflow framing ready.</w:t>
            </w:r>
          </w:p>
        </w:tc>
        <w:tc>
          <w:tcPr>
            <w:tcW w:type="dxa" w:w="1680"/>
          </w:tcPr>
          <w:p>
            <w:r>
              <w:t>Codex</w:t>
            </w:r>
          </w:p>
        </w:tc>
      </w:tr>
      <w:tr>
        <w:tc>
          <w:tcPr>
            <w:tcW w:type="dxa" w:w="1680"/>
          </w:tcPr>
          <w:p>
            <w:r>
              <w:t>author_declarations</w:t>
            </w:r>
          </w:p>
        </w:tc>
        <w:tc>
          <w:tcPr>
            <w:tcW w:type="dxa" w:w="1680"/>
          </w:tcPr>
          <w:p>
            <w:r>
              <w:t>blocked</w:t>
            </w:r>
          </w:p>
        </w:tc>
        <w:tc>
          <w:tcPr>
            <w:tcW w:type="dxa" w:w="1680"/>
          </w:tcPr>
          <w:p>
            <w:r>
              <w:t>manual_blocker</w:t>
            </w:r>
          </w:p>
        </w:tc>
        <w:tc>
          <w:tcPr>
            <w:tcW w:type="dxa" w:w="1680"/>
          </w:tcPr>
          <w:p>
            <w:r>
              <w:t>8 author-confirmation items remain.</w:t>
            </w:r>
          </w:p>
        </w:tc>
        <w:tc>
          <w:tcPr>
            <w:tcW w:type="dxa" w:w="1680"/>
          </w:tcPr>
          <w:p>
            <w:r>
              <w:t>Send the author declaration email or WeChat draft with the Word packet, then save written replies.</w:t>
            </w:r>
          </w:p>
        </w:tc>
        <w:tc>
          <w:tcPr>
            <w:tcW w:type="dxa" w:w="1680"/>
          </w:tcPr>
          <w:p>
            <w:r>
              <w:t>All authors</w:t>
            </w:r>
          </w:p>
        </w:tc>
      </w:tr>
      <w:tr>
        <w:tc>
          <w:tcPr>
            <w:tcW w:type="dxa" w:w="1680"/>
          </w:tcPr>
          <w:p>
            <w:r>
              <w:t>figure4_author_acknowledgement</w:t>
            </w:r>
          </w:p>
        </w:tc>
        <w:tc>
          <w:tcPr>
            <w:tcW w:type="dxa" w:w="1680"/>
          </w:tcPr>
          <w:p>
            <w:r>
              <w:t>blocked</w:t>
            </w:r>
          </w:p>
        </w:tc>
        <w:tc>
          <w:tcPr>
            <w:tcW w:type="dxa" w:w="1680"/>
          </w:tcPr>
          <w:p>
            <w:r>
              <w:t>manual_blocker</w:t>
            </w:r>
          </w:p>
        </w:tc>
        <w:tc>
          <w:tcPr>
            <w:tcW w:type="dxa" w:w="1680"/>
          </w:tcPr>
          <w:p>
            <w:r>
              <w:t>1 display item needs author acknowledgement.</w:t>
            </w:r>
          </w:p>
        </w:tc>
        <w:tc>
          <w:tcPr>
            <w:tcW w:type="dxa" w:w="1680"/>
          </w:tcPr>
          <w:p>
            <w:r>
              <w:t>Yi Miao and Han Yan must confirm bounded Figure 4 wording in writing.</w:t>
            </w:r>
          </w:p>
        </w:tc>
        <w:tc>
          <w:tcPr>
            <w:tcW w:type="dxa" w:w="1680"/>
          </w:tcPr>
          <w:p>
            <w:r>
              <w:t>Yi Miao; Han Yan</w:t>
            </w:r>
          </w:p>
        </w:tc>
      </w:tr>
      <w:tr>
        <w:tc>
          <w:tcPr>
            <w:tcW w:type="dxa" w:w="1680"/>
          </w:tcPr>
          <w:p>
            <w:r>
              <w:t>reporting_summary</w:t>
            </w:r>
          </w:p>
        </w:tc>
        <w:tc>
          <w:tcPr>
            <w:tcW w:type="dxa" w:w="1680"/>
          </w:tcPr>
          <w:p>
            <w:r>
              <w:t>pending_author_verification</w:t>
            </w:r>
          </w:p>
        </w:tc>
        <w:tc>
          <w:tcPr>
            <w:tcW w:type="dxa" w:w="1680"/>
          </w:tcPr>
          <w:p>
            <w:r>
              <w:t>manual_blocker</w:t>
            </w:r>
          </w:p>
        </w:tc>
        <w:tc>
          <w:tcPr>
            <w:tcW w:type="dxa" w:w="1680"/>
          </w:tcPr>
          <w:p>
            <w:r>
              <w:t>2 reporting-summary rows need author/manual verification.</w:t>
            </w:r>
          </w:p>
        </w:tc>
        <w:tc>
          <w:tcPr>
            <w:tcW w:type="dxa" w:w="1680"/>
          </w:tcPr>
          <w:p>
            <w:r>
              <w:t>Verify statistics, multiple testing, software, data availability, ethics, and AI-use rows.</w:t>
            </w:r>
          </w:p>
        </w:tc>
        <w:tc>
          <w:tcPr>
            <w:tcW w:type="dxa" w:w="1680"/>
          </w:tcPr>
          <w:p>
            <w:r>
              <w:t>Corresponding authors</w:t>
            </w:r>
          </w:p>
        </w:tc>
      </w:tr>
      <w:tr>
        <w:tc>
          <w:tcPr>
            <w:tcW w:type="dxa" w:w="1680"/>
          </w:tcPr>
          <w:p>
            <w:r>
              <w:t>v0_1_1_release_coverage</w:t>
            </w:r>
          </w:p>
        </w:tc>
        <w:tc>
          <w:tcPr>
            <w:tcW w:type="dxa" w:w="1680"/>
          </w:tcPr>
          <w:p>
            <w:r>
              <w:t>ready_after_manual_blockers</w:t>
            </w:r>
          </w:p>
        </w:tc>
        <w:tc>
          <w:tcPr>
            <w:tcW w:type="dxa" w:w="1680"/>
          </w:tcPr>
          <w:p>
            <w:r>
              <w:t>release_hold</w:t>
            </w:r>
          </w:p>
        </w:tc>
        <w:tc>
          <w:tcPr>
            <w:tcW w:type="dxa" w:w="1680"/>
          </w:tcPr>
          <w:p>
            <w:r>
              <w:t>recommendation=prepare_v0.1.1_after_author_ack;worktree=clean</w:t>
            </w:r>
          </w:p>
        </w:tc>
        <w:tc>
          <w:tcPr>
            <w:tcW w:type="dxa" w:w="1680"/>
          </w:tcPr>
          <w:p>
            <w:r>
              <w:t>Do not tag or archive v0.1.1 until author declarations and final figure/source freeze are complete.</w:t>
            </w:r>
          </w:p>
        </w:tc>
        <w:tc>
          <w:tcPr>
            <w:tcW w:type="dxa" w:w="1680"/>
          </w:tcPr>
          <w:p>
            <w:r>
              <w:t>Codex</w:t>
            </w:r>
          </w:p>
        </w:tc>
      </w:tr>
      <w:tr>
        <w:tc>
          <w:tcPr>
            <w:tcW w:type="dxa" w:w="1680"/>
          </w:tcPr>
          <w:p>
            <w:r>
              <w:t>git_cleanliness</w:t>
            </w:r>
          </w:p>
        </w:tc>
        <w:tc>
          <w:tcPr>
            <w:tcW w:type="dxa" w:w="1680"/>
          </w:tcPr>
          <w:p>
            <w:r>
              <w:t>pass</w:t>
            </w:r>
          </w:p>
        </w:tc>
        <w:tc>
          <w:tcPr>
            <w:tcW w:type="dxa" w:w="1680"/>
          </w:tcPr>
          <w:p>
            <w:r>
              <w:t>controlled</w:t>
            </w:r>
          </w:p>
        </w:tc>
        <w:tc>
          <w:tcPr>
            <w:tcW w:type="dxa" w:w="1680"/>
          </w:tcPr>
          <w:p>
            <w:r>
              <w:t>Worktree is clean except self-generated preflight outputs.</w:t>
            </w:r>
          </w:p>
        </w:tc>
        <w:tc>
          <w:tcPr>
            <w:tcW w:type="dxa" w:w="1680"/>
          </w:tcPr>
          <w:p>
            <w:r>
              <w:t>Keep committing generated control artifacts after each change.</w:t>
            </w:r>
          </w:p>
        </w:tc>
        <w:tc>
          <w:tcPr>
            <w:tcW w:type="dxa" w:w="1680"/>
          </w:tcPr>
          <w:p>
            <w:r>
              <w:t>Codex</w:t>
            </w:r>
          </w:p>
        </w:tc>
      </w:tr>
      <w:tr>
        <w:tc>
          <w:tcPr>
            <w:tcW w:type="dxa" w:w="1680"/>
          </w:tcPr>
          <w:p>
            <w:r>
              <w:t>scientific_core</w:t>
            </w:r>
          </w:p>
        </w:tc>
        <w:tc>
          <w:tcPr>
            <w:tcW w:type="dxa" w:w="1680"/>
          </w:tcPr>
          <w:p>
            <w:r>
              <w:t>partial</w:t>
            </w:r>
          </w:p>
        </w:tc>
        <w:tc>
          <w:tcPr>
            <w:tcW w:type="dxa" w:w="1680"/>
          </w:tcPr>
          <w:p>
            <w:r>
              <w:t>science_gap</w:t>
            </w:r>
          </w:p>
        </w:tc>
        <w:tc>
          <w:tcPr>
            <w:tcW w:type="dxa" w:w="1680"/>
          </w:tcPr>
          <w:p>
            <w:r>
              <w:t>stability_advantage</w:t>
            </w:r>
          </w:p>
        </w:tc>
        <w:tc>
          <w:tcPr>
            <w:tcW w:type="dxa" w:w="1680"/>
          </w:tcPr>
          <w:p>
            <w:r>
              <w:t>Stability-superiority is still not supported; either improve the algorithm against the strongest comparator or reframe the main claim as callability-aware noise control rather than stability superiority.</w:t>
            </w:r>
          </w:p>
        </w:tc>
        <w:tc>
          <w:tcPr>
            <w:tcW w:type="dxa" w:w="1680"/>
          </w:tcPr>
          <w:p>
            <w:r>
              <w:t>Codex</w:t>
            </w:r>
          </w:p>
        </w:tc>
      </w:tr>
      <w:tr>
        <w:tc>
          <w:tcPr>
            <w:tcW w:type="dxa" w:w="1680"/>
          </w:tcPr>
          <w:p>
            <w:r>
              <w:t>benchmark_breadth_and_baselines</w:t>
            </w:r>
          </w:p>
        </w:tc>
        <w:tc>
          <w:tcPr>
            <w:tcW w:type="dxa" w:w="1680"/>
          </w:tcPr>
          <w:p>
            <w:r>
              <w:t>controlled</w:t>
            </w:r>
          </w:p>
        </w:tc>
        <w:tc>
          <w:tcPr>
            <w:tcW w:type="dxa" w:w="1680"/>
          </w:tcPr>
          <w:p>
            <w:r>
              <w:t>controlled_with_boundary</w:t>
            </w:r>
          </w:p>
        </w:tc>
        <w:tc>
          <w:tcPr>
            <w:tcW w:type="dxa" w:w="1680"/>
          </w:tcPr>
          <w:p>
            <w:r>
              <w:t>none</w:t>
            </w:r>
          </w:p>
        </w:tc>
        <w:tc>
          <w:tcPr>
            <w:tcW w:type="dxa" w:w="1680"/>
          </w:tcPr>
          <w:p>
            <w:r>
              <w:t>Freeze the final comparator table.</w:t>
            </w:r>
          </w:p>
        </w:tc>
        <w:tc>
          <w:tcPr>
            <w:tcW w:type="dxa" w:w="1680"/>
          </w:tcPr>
          <w:p>
            <w:r>
              <w:t>Codex</w:t>
            </w:r>
          </w:p>
        </w:tc>
      </w:tr>
      <w:tr>
        <w:tc>
          <w:tcPr>
            <w:tcW w:type="dxa" w:w="1680"/>
          </w:tcPr>
          <w:p>
            <w:r>
              <w:t>calibration_statistics</w:t>
            </w:r>
          </w:p>
        </w:tc>
        <w:tc>
          <w:tcPr>
            <w:tcW w:type="dxa" w:w="1680"/>
          </w:tcPr>
          <w:p>
            <w:r>
              <w:t>manuscript_grade_calibration_done_limit_detected</w:t>
            </w:r>
          </w:p>
        </w:tc>
        <w:tc>
          <w:tcPr>
            <w:tcW w:type="dxa" w:w="1680"/>
          </w:tcPr>
          <w:p>
            <w:r>
              <w:t>controlled</w:t>
            </w:r>
          </w:p>
        </w:tc>
        <w:tc>
          <w:tcPr>
            <w:tcW w:type="dxa" w:w="1680"/>
          </w:tcPr>
          <w:p>
            <w:r>
              <w:t>none</w:t>
            </w:r>
          </w:p>
        </w:tc>
        <w:tc>
          <w:tcPr>
            <w:tcW w:type="dxa" w:w="1680"/>
          </w:tcPr>
          <w:p>
            <w:r>
              <w:t>Calibration source data and rare-state claim boundary are controlled; only add extra dropout/batch power grids if the Nature Methods rare-state claim remains central.</w:t>
            </w:r>
          </w:p>
        </w:tc>
        <w:tc>
          <w:tcPr>
            <w:tcW w:type="dxa" w:w="1680"/>
          </w:tcPr>
          <w:p>
            <w:r>
              <w:t>Codex</w:t>
            </w:r>
          </w:p>
        </w:tc>
      </w:tr>
      <w:tr>
        <w:tc>
          <w:tcPr>
            <w:tcW w:type="dxa" w:w="1680"/>
          </w:tcPr>
          <w:p>
            <w:r>
              <w:t>biological_showcase</w:t>
            </w:r>
          </w:p>
        </w:tc>
        <w:tc>
          <w:tcPr>
            <w:tcW w:type="dxa" w:w="1680"/>
          </w:tcPr>
          <w:p>
            <w:r>
              <w:t>pathway_atlas_supported_with_limits</w:t>
            </w:r>
          </w:p>
        </w:tc>
        <w:tc>
          <w:tcPr>
            <w:tcW w:type="dxa" w:w="1680"/>
          </w:tcPr>
          <w:p>
            <w:r>
              <w:t>manual_hold</w:t>
            </w:r>
          </w:p>
        </w:tc>
        <w:tc>
          <w:tcPr>
            <w:tcW w:type="dxa" w:w="1680"/>
          </w:tcPr>
          <w:p>
            <w:r>
              <w:t>PDAC_TME_corresponding_author_acknowledgement</w:t>
            </w:r>
          </w:p>
        </w:tc>
        <w:tc>
          <w:tcPr>
            <w:tcW w:type="dxa" w:w="1680"/>
          </w:tcPr>
          <w:p>
            <w:r>
              <w:t>Obtain corresponding-author acknowledgement and keep Figure 4 wording exactly within the bounded public-data showcase freeze.</w:t>
            </w:r>
          </w:p>
        </w:tc>
        <w:tc>
          <w:tcPr>
            <w:tcW w:type="dxa" w:w="1680"/>
          </w:tcPr>
          <w:p>
            <w:r>
              <w:t>Corresponding authors</w:t>
            </w:r>
          </w:p>
        </w:tc>
      </w:tr>
      <w:tr>
        <w:tc>
          <w:tcPr>
            <w:tcW w:type="dxa" w:w="1680"/>
          </w:tcPr>
          <w:p>
            <w:r>
              <w:t>claim_integrity</w:t>
            </w:r>
          </w:p>
        </w:tc>
        <w:tc>
          <w:tcPr>
            <w:tcW w:type="dxa" w:w="1680"/>
          </w:tcPr>
          <w:p>
            <w:r>
              <w:t>pass</w:t>
            </w:r>
          </w:p>
        </w:tc>
        <w:tc>
          <w:tcPr>
            <w:tcW w:type="dxa" w:w="1680"/>
          </w:tcPr>
          <w:p>
            <w:r>
              <w:t>controlled</w:t>
            </w:r>
          </w:p>
        </w:tc>
        <w:tc>
          <w:tcPr>
            <w:tcW w:type="dxa" w:w="1680"/>
          </w:tcPr>
          <w:p>
            <w:r>
              <w:t>lint_violations=0; trace_violations=0</w:t>
            </w:r>
          </w:p>
        </w:tc>
        <w:tc>
          <w:tcPr>
            <w:tcW w:type="dxa" w:w="1680"/>
          </w:tcPr>
          <w:p>
            <w:r>
              <w:t>Keep claim lint and traceability at zero after every manuscript change.</w:t>
            </w:r>
          </w:p>
        </w:tc>
        <w:tc>
          <w:tcPr>
            <w:tcW w:type="dxa" w:w="1680"/>
          </w:tcPr>
          <w:p>
            <w:r>
              <w:t>Codex</w:t>
            </w:r>
          </w:p>
        </w:tc>
      </w:tr>
      <w:tr>
        <w:tc>
          <w:tcPr>
            <w:tcW w:type="dxa" w:w="1680"/>
          </w:tcPr>
          <w:p>
            <w:r>
              <w:t>evidence_freeze</w:t>
            </w:r>
          </w:p>
        </w:tc>
        <w:tc>
          <w:tcPr>
            <w:tcW w:type="dxa" w:w="1680"/>
          </w:tcPr>
          <w:p>
            <w:r>
              <w:t>pass</w:t>
            </w:r>
          </w:p>
        </w:tc>
        <w:tc>
          <w:tcPr>
            <w:tcW w:type="dxa" w:w="1680"/>
          </w:tcPr>
          <w:p>
            <w:r>
              <w:t>controlled</w:t>
            </w:r>
          </w:p>
        </w:tc>
        <w:tc>
          <w:tcPr>
            <w:tcW w:type="dxa" w:w="1680"/>
          </w:tcPr>
          <w:p>
            <w:r>
              <w:t>missing_freeze_items=0</w:t>
            </w:r>
          </w:p>
        </w:tc>
        <w:tc>
          <w:tcPr>
            <w:tcW w:type="dxa" w:w="1680"/>
          </w:tcPr>
          <w:p>
            <w:r>
              <w:t>Refresh after every figure, manuscript, or release-control change.</w:t>
            </w:r>
          </w:p>
        </w:tc>
        <w:tc>
          <w:tcPr>
            <w:tcW w:type="dxa" w:w="1680"/>
          </w:tcPr>
          <w:p>
            <w:r>
              <w:t>Codex</w:t>
            </w:r>
          </w:p>
        </w:tc>
      </w:tr>
      <w:tr>
        <w:tc>
          <w:tcPr>
            <w:tcW w:type="dxa" w:w="1680"/>
          </w:tcPr>
          <w:p>
            <w:r>
              <w:t>submission_guard</w:t>
            </w:r>
          </w:p>
        </w:tc>
        <w:tc>
          <w:tcPr>
            <w:tcW w:type="dxa" w:w="1680"/>
          </w:tcPr>
          <w:p>
            <w:r>
              <w:t>do_not_submit</w:t>
            </w:r>
          </w:p>
        </w:tc>
        <w:tc>
          <w:tcPr>
            <w:tcW w:type="dxa" w:w="1680"/>
          </w:tcPr>
          <w:p>
            <w:r>
              <w:t>hard_stop</w:t>
            </w:r>
          </w:p>
        </w:tc>
        <w:tc>
          <w:tcPr>
            <w:tcW w:type="dxa" w:w="1680"/>
          </w:tcPr>
          <w:p>
            <w:r>
              <w:t>Submission guard remains the final local stop rule.</w:t>
            </w:r>
          </w:p>
        </w:tc>
        <w:tc>
          <w:tcPr>
            <w:tcW w:type="dxa" w:w="1680"/>
          </w:tcPr>
          <w:p>
            <w:r>
              <w:t>Run the submission guard again only after author confirmations and final evidence freeze.</w:t>
            </w:r>
          </w:p>
        </w:tc>
        <w:tc>
          <w:tcPr>
            <w:tcW w:type="dxa" w:w="1680"/>
          </w:tcPr>
          <w:p>
            <w:r>
              <w:t>Codex</w:t>
            </w:r>
          </w:p>
        </w:tc>
      </w:tr>
    </w:tbl>
    <w:p>
      <w:pPr>
        <w:pStyle w:val="Heading2"/>
      </w:pPr>
      <w:r>
        <w:t>What This Means</w:t>
      </w:r>
    </w:p>
    <w:p>
      <w:r>
        <w:t>The package is no longer blocked by public-code release engineering. The remaining blockers are concentrated in author-controlled declarations, Figure 4 acknowledgement, reporting-summary verification, and the scientific claim that real-data stability advantage is not yet strong enough for unrestricted Nature Methods language.</w:t>
      </w:r>
    </w:p>
    <w:p>
      <w:pPr>
        <w:pStyle w:val="Heading2"/>
      </w:pPr>
      <w:r>
        <w:t>What We Can Safely Say Now</w:t>
      </w:r>
    </w:p>
    <w:p>
      <w:pPr>
        <w:pStyle w:val="ListBullet"/>
      </w:pPr>
      <w:r>
        <w:t>RMTGuard is an open, DOI-archived, callability-aware random-matrix workflow for scRNA-seq noise-control diagnostics.</w:t>
      </w:r>
    </w:p>
    <w:p>
      <w:pPr>
        <w:pStyle w:val="ListBullet"/>
      </w:pPr>
      <w:r>
        <w:t>The current evidence supports transparent no-call/caveat reporting and bounded false-signal control under tested settings.</w:t>
      </w:r>
    </w:p>
    <w:p>
      <w:pPr>
        <w:pStyle w:val="ListBullet"/>
      </w:pPr>
      <w:r>
        <w:t>PDAC/TME can be shown only as a public-data application with pathway/atlas support, not as a mechanism, clinical, prognosis, treatment-response, spatial, or protein-validation discovery.</w:t>
      </w:r>
    </w:p>
    <w:p>
      <w:pPr>
        <w:pStyle w:val="Heading2"/>
      </w:pPr>
      <w:r>
        <w:t>What We Must Not Say Yet</w:t>
      </w:r>
    </w:p>
    <w:p>
      <w:pPr>
        <w:pStyle w:val="ListBullet"/>
      </w:pPr>
      <w:r>
        <w:t>Do not claim broad real-data stability superiority.</w:t>
      </w:r>
    </w:p>
    <w:p>
      <w:pPr>
        <w:pStyle w:val="ListBullet"/>
      </w:pPr>
      <w:r>
        <w:t>Do not claim Nature Methods submission readiness.</w:t>
      </w:r>
    </w:p>
    <w:p>
      <w:pPr>
        <w:pStyle w:val="ListBullet"/>
      </w:pPr>
      <w:r>
        <w:t>Do not claim v0.1.1 DOI coverage until a new release is actually tagged and archived.</w:t>
      </w:r>
    </w:p>
    <w:p>
      <w:pPr>
        <w:pStyle w:val="ListBullet"/>
      </w:pPr>
      <w:r>
        <w:t>Do not send the presubmission inquiry while Figure 4 acknowledgement is missing.</w:t>
      </w:r>
    </w:p>
    <w:p>
      <w:pPr>
        <w:pStyle w:val="Heading2"/>
      </w:pPr>
      <w:r>
        <w:t>Next Execution Order</w:t>
      </w:r>
    </w:p>
    <w:p>
      <w:pPr>
        <w:pStyle w:val="ListNumber"/>
      </w:pPr>
      <w:r>
        <w:t>Close author declarations and Figure 4 acknowledgement.</w:t>
      </w:r>
    </w:p>
    <w:p>
      <w:pPr>
        <w:pStyle w:val="ListNumber"/>
      </w:pPr>
      <w:r>
        <w:t>Refresh reporting summary and v0.1.1 preflight.</w:t>
      </w:r>
    </w:p>
    <w:p>
      <w:pPr>
        <w:pStyle w:val="ListNumber"/>
      </w:pPr>
      <w:r>
        <w:t>Decide whether to add one more high-value science experiment or route directly to presubmission.</w:t>
      </w:r>
    </w:p>
    <w:p>
      <w:pPr>
        <w:pStyle w:val="ListNumber"/>
      </w:pPr>
      <w:r>
        <w:t>If authors confirm, prepare v0.1.1 GitHub Release and Zenodo archive.</w:t>
      </w:r>
    </w:p>
    <w:p>
      <w:pPr>
        <w:pStyle w:val="ListNumber"/>
      </w:pPr>
      <w:r>
        <w:t>Re-run claim lint, traceability, evidence freeze, Gantt, and shared export.</w:t>
      </w:r>
    </w:p>
    <w:p>
      <w:pPr>
        <w:pStyle w:val="Heading2"/>
      </w:pPr>
      <w:r>
        <w:t>Immediate Blockers</w:t>
      </w:r>
    </w:p>
    <w:p>
      <w:pPr>
        <w:pStyle w:val="ListBullet"/>
      </w:pPr>
      <w:r>
        <w:t>nature_methods_full_submission: Full submission remains blocked because active blockers include stability_advantage;PDAC_TME_corresponding_author_acknowledgement;editorial_send_status;nature_methods_route. Next: Do not submit a full manuscript until stability-superiority claims are removed or new evidence supports them, and final source-data/reporting-summary checks are frozen.</w:t>
      </w:r>
    </w:p>
    <w:p>
      <w:pPr>
        <w:pStyle w:val="ListBullet"/>
      </w:pPr>
      <w:r>
        <w:t>nature_methods_presubmission: Readiness score is 90/100; release status is pass; claim lint violations=0; traceability violations=0; Figure 4 wording freeze present=True; send_status=do_not_send; author_acknowledgement=pending_author_reply (0/2); proxy_working_assumption=2/2. Next: Obtain corresponding-author Figure 4 acknowledgement, then do one final route-policy check.</w:t>
      </w:r>
    </w:p>
    <w:p>
      <w:pPr>
        <w:pStyle w:val="ListBullet"/>
      </w:pPr>
      <w:r>
        <w:t>author_declarations: 8 author-confirmation items remain. Next: Send the author declaration email or WeChat draft with the Word packet, then save written replies.</w:t>
      </w:r>
    </w:p>
    <w:p>
      <w:pPr>
        <w:pStyle w:val="ListBullet"/>
      </w:pPr>
      <w:r>
        <w:t>figure4_author_acknowledgement: 1 display item needs author acknowledgement. Next: Yi Miao and Han Yan must confirm bounded Figure 4 wording in writing.</w:t>
      </w:r>
    </w:p>
    <w:p>
      <w:pPr>
        <w:pStyle w:val="ListBullet"/>
      </w:pPr>
      <w:r>
        <w:t>reporting_summary: 2 reporting-summary rows need author/manual verification. Next: Verify statistics, multiple testing, software, data availability, ethics, and AI-use rows.</w:t>
      </w:r>
    </w:p>
    <w:p>
      <w:pPr>
        <w:pStyle w:val="ListBullet"/>
      </w:pPr>
      <w:r>
        <w:t>scientific_core: stability_advantage Next: Stability-superiority is still not supported; either improve the algorithm against the strongest comparator or reframe the main claim as callability-aware noise control rather than stability superiority.</w:t>
      </w:r>
    </w:p>
    <w:p>
      <w:pPr>
        <w:pStyle w:val="ListBullet"/>
      </w:pPr>
      <w:r>
        <w:t>biological_showcase: PDAC_TME_corresponding_author_acknowledgement Next: Obtain corresponding-author acknowledgement and keep Figure 4 wording exactly within the bounded public-data showcase freeze.</w:t>
      </w:r>
    </w:p>
    <w:p>
      <w:pPr>
        <w:pStyle w:val="ListBullet"/>
      </w:pPr>
      <w:r>
        <w:t>submission_guard: Submission guard remains the final local stop rule. Next: Run the submission guard again only after author confirmations and final evidence freeze.</w:t>
      </w:r>
    </w:p>
    <w:p>
      <w:pPr>
        <w:pStyle w:val="Heading2"/>
      </w:pPr>
      <w:r>
        <w:t>Source Files</w:t>
      </w:r>
    </w:p>
    <w:p>
      <w:pPr>
        <w:pStyle w:val="ListBullet"/>
      </w:pPr>
      <w:r>
        <w:t>results/submission/jif20_50_gap_assessment.tsv</w:t>
      </w:r>
    </w:p>
    <w:p>
      <w:pPr>
        <w:pStyle w:val="ListBullet"/>
      </w:pPr>
      <w:r>
        <w:t>results/submission/nature_methods_go_no_go_final.tsv</w:t>
      </w:r>
    </w:p>
    <w:p>
      <w:pPr>
        <w:pStyle w:val="ListBullet"/>
      </w:pPr>
      <w:r>
        <w:t>results/submission/author_declaration_confirmation_checklist.tsv</w:t>
      </w:r>
    </w:p>
    <w:p>
      <w:pPr>
        <w:pStyle w:val="ListBullet"/>
      </w:pPr>
      <w:r>
        <w:t>docs/author_declaration_confirmation_packet.md</w:t>
      </w:r>
    </w:p>
    <w:p>
      <w:pPr>
        <w:pStyle w:val="ListBullet"/>
      </w:pPr>
      <w:r>
        <w:t>manuscript/author_declaration_confirmation_email_draft.md</w:t>
      </w:r>
    </w:p>
    <w:p>
      <w:pPr>
        <w:pStyle w:val="ListBullet"/>
      </w:pPr>
      <w:r>
        <w:t>results/submission/figure_caption_source_audit.tsv</w:t>
      </w:r>
    </w:p>
    <w:p>
      <w:pPr>
        <w:pStyle w:val="ListBullet"/>
      </w:pPr>
      <w:r>
        <w:t>results/submission/reporting_summary_draft.tsv</w:t>
      </w:r>
    </w:p>
    <w:p>
      <w:pPr>
        <w:pStyle w:val="ListBullet"/>
      </w:pPr>
      <w:r>
        <w:t>results/submission/v0_1_1_release_preflight.tsv</w:t>
      </w:r>
    </w:p>
    <w:p>
      <w:pPr>
        <w:pStyle w:val="ListBullet"/>
      </w:pPr>
      <w:r>
        <w:t>results/gates/gate_report.tsv</w:t>
      </w:r>
    </w:p>
    <w:p>
      <w:pPr>
        <w:pStyle w:val="ListBullet"/>
      </w:pPr>
      <w:r>
        <w:t>results/submission/external_review_action_plan.tsv</w:t>
      </w:r>
    </w:p>
    <w:p>
      <w:pPr>
        <w:pStyle w:val="ListBullet"/>
      </w:pPr>
      <w:r>
        <w:t>results/manuscript_stability_benchmarks/manuscript_stability_statistics.tsv</w:t>
      </w:r>
    </w:p>
    <w:p>
      <w:pPr>
        <w:pStyle w:val="ListBullet"/>
      </w:pPr>
      <w:r>
        <w:t>results/calibration/rare_state_power_summary.tsv</w:t>
      </w:r>
    </w:p>
    <w:p>
      <w:pPr>
        <w:pStyle w:val="ListBullet"/>
      </w:pPr>
      <w:r>
        <w:t>results/ablation/component_ablation_evidence.tsv</w:t>
      </w:r>
    </w:p>
    <w:p>
      <w:pPr>
        <w:pStyle w:val="ListBullet"/>
      </w:pPr>
      <w:r>
        <w:t>docs/pdac_tme_showcase_depth.md</w:t>
      </w:r>
    </w:p>
    <w:p>
      <w:pPr>
        <w:pStyle w:val="ListBullet"/>
      </w:pPr>
      <w:r>
        <w:t>docs/pdac_tme_route_decision_packet.md</w:t>
      </w:r>
    </w:p>
    <w:p>
      <w:pPr>
        <w:pStyle w:val="ListBullet"/>
      </w:pPr>
      <w:r>
        <w:t>docs/pdac_tme_dual_route_preflight.md</w:t>
      </w:r>
    </w:p>
    <w:p>
      <w:pPr>
        <w:pStyle w:val="ListBullet"/>
      </w:pPr>
      <w:r>
        <w:t>docs/pdac_tme_dual_route_runbook.md</w:t>
      </w:r>
    </w:p>
    <w:p>
      <w:pPr>
        <w:pStyle w:val="ListBullet"/>
      </w:pPr>
      <w:r>
        <w:t>docs/pdac_tme_deep_validation.md</w:t>
      </w:r>
    </w:p>
    <w:p>
      <w:pPr>
        <w:pStyle w:val="ListBullet"/>
      </w:pPr>
      <w:r>
        <w:t>docs/pdac_tme_pathway_atlas_validation.md</w:t>
      </w:r>
    </w:p>
    <w:p>
      <w:pPr>
        <w:pStyle w:val="ListBullet"/>
      </w:pPr>
      <w:r>
        <w:t>docs/figure4_pdac_tme_wording_freeze.md</w:t>
      </w:r>
    </w:p>
    <w:p>
      <w:pPr>
        <w:pStyle w:val="ListBullet"/>
      </w:pPr>
      <w:r>
        <w:t>results/submission/claim_boundary_lint.tsv</w:t>
      </w:r>
    </w:p>
    <w:p>
      <w:pPr>
        <w:pStyle w:val="ListBullet"/>
      </w:pPr>
      <w:r>
        <w:t>results/submission/claim_traceability.tsv</w:t>
      </w:r>
    </w:p>
    <w:p>
      <w:pPr>
        <w:pStyle w:val="ListBullet"/>
      </w:pPr>
      <w:r>
        <w:t>results/submission/current_evidence_freeze_manifest.tsv</w:t>
      </w:r>
    </w:p>
    <w:p>
      <w:pPr>
        <w:pStyle w:val="ListBullet"/>
      </w:pPr>
      <w:r>
        <w:t>results/submission/submission_guard.tsv</w:t>
      </w:r>
    </w:p>
    <w:p>
      <w:pPr>
        <w:pStyle w:val="Heading1"/>
      </w:pPr>
      <w:r>
        <w:t>20-50 JIF gap assessment</w:t>
      </w:r>
    </w:p>
    <w:p>
      <w:pPr>
        <w:pStyle w:val="Heading2"/>
      </w:pPr>
      <w:r>
        <w:t>RMTGuard 20-50 JIF Gap Assessment</w:t>
      </w:r>
    </w:p>
    <w:p>
      <w:r>
        <w:t>Generated by python scripts/build_jif20_50_gap_assessment.py.</w:t>
      </w:r>
    </w:p>
    <w:p>
      <w:pPr>
        <w:pStyle w:val="Heading2"/>
      </w:pPr>
      <w:r>
        <w:t>Bottom Line</w:t>
      </w:r>
    </w:p>
    <w:p>
      <w:pPr>
        <w:pStyle w:val="ListBullet"/>
      </w:pPr>
      <w:r>
        <w:t>Current readiness score: 90/100 = 90.0%.</w:t>
      </w:r>
    </w:p>
    <w:p>
      <w:pPr>
        <w:pStyle w:val="ListBullet"/>
      </w:pPr>
      <w:r>
        <w:t>Acceptance guarantee: impossible.</w:t>
      </w:r>
    </w:p>
    <w:p>
      <w:pPr>
        <w:pStyle w:val="ListBullet"/>
      </w:pPr>
      <w:r>
        <w:t>Current strict 20-50 JIF status: not ready.</w:t>
      </w:r>
    </w:p>
    <w:p>
      <w:pPr>
        <w:pStyle w:val="ListBullet"/>
      </w:pPr>
      <w:r>
        <w:t>Current best strict 20-50 target: Nature Methods, but only after gate recovery.</w:t>
      </w:r>
    </w:p>
    <w:p>
      <w:pPr>
        <w:pStyle w:val="ListBullet"/>
      </w:pPr>
      <w:r>
        <w:t>Current most realistic fallback if strict 20-50 is relaxed: Genome Biology, but this is below strict 20 JIF by 2024 JIF and should be treated as a high-quality genomics fallback rather than a 20-50 target.</w:t>
      </w:r>
    </w:p>
    <w:p>
      <w:pPr>
        <w:pStyle w:val="ListBullet"/>
      </w:pPr>
      <w:r>
        <w:t>Active blocker groups: stability_advantage;PDAC_TME_corresponding_author_acknowledgement;editorial_send_status;nature_methods_route.</w:t>
      </w:r>
    </w:p>
    <w:p>
      <w:pPr>
        <w:pStyle w:val="Heading2"/>
      </w:pPr>
      <w:r>
        <w:t>Distance By Domain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Domain</w:t>
            </w:r>
          </w:p>
        </w:tc>
        <w:tc>
          <w:tcPr>
            <w:tcW w:type="dxa" w:w="1680"/>
          </w:tcPr>
          <w:p>
            <w:r>
              <w:t>Weight</w:t>
            </w:r>
          </w:p>
        </w:tc>
        <w:tc>
          <w:tcPr>
            <w:tcW w:type="dxa" w:w="1680"/>
          </w:tcPr>
          <w:p>
            <w:r>
              <w:t>Score</w:t>
            </w:r>
          </w:p>
        </w:tc>
        <w:tc>
          <w:tcPr>
            <w:tcW w:type="dxa" w:w="1680"/>
          </w:tcPr>
          <w:p>
            <w:r>
              <w:t>Status</w:t>
            </w:r>
          </w:p>
        </w:tc>
        <w:tc>
          <w:tcPr>
            <w:tcW w:type="dxa" w:w="1680"/>
          </w:tcPr>
          <w:p>
            <w:r>
              <w:t>Blocking items</w:t>
            </w:r>
          </w:p>
        </w:tc>
        <w:tc>
          <w:tcPr>
            <w:tcW w:type="dxa" w:w="1680"/>
          </w:tcPr>
          <w:p>
            <w:r>
              <w:t>Next supplement</w:t>
            </w:r>
          </w:p>
        </w:tc>
      </w:tr>
      <w:tr>
        <w:tc>
          <w:tcPr>
            <w:tcW w:type="dxa" w:w="1680"/>
          </w:tcPr>
          <w:p>
            <w:r>
              <w:t>scientific_core</w:t>
            </w:r>
          </w:p>
        </w:tc>
        <w:tc>
          <w:tcPr>
            <w:tcW w:type="dxa" w:w="1680"/>
          </w:tcPr>
          <w:p>
            <w:r>
              <w:t>25</w:t>
            </w:r>
          </w:p>
        </w:tc>
        <w:tc>
          <w:tcPr>
            <w:tcW w:type="dxa" w:w="1680"/>
          </w:tcPr>
          <w:p>
            <w:r>
              <w:t>18</w:t>
            </w:r>
          </w:p>
        </w:tc>
        <w:tc>
          <w:tcPr>
            <w:tcW w:type="dxa" w:w="1680"/>
          </w:tcPr>
          <w:p>
            <w:r>
              <w:t>partial</w:t>
            </w:r>
          </w:p>
        </w:tc>
        <w:tc>
          <w:tcPr>
            <w:tcW w:type="dxa" w:w="1680"/>
          </w:tcPr>
          <w:p>
            <w:r>
              <w:t>stability_advantage</w:t>
            </w:r>
          </w:p>
        </w:tc>
        <w:tc>
          <w:tcPr>
            <w:tcW w:type="dxa" w:w="1680"/>
          </w:tcPr>
          <w:p>
            <w:r>
              <w:t>Stability-superiority is still not supported; either improve the algorithm against the strongest comparator or reframe the main claim as callability-aware noise control rather than stability superiority.</w:t>
            </w:r>
          </w:p>
        </w:tc>
      </w:tr>
      <w:tr>
        <w:tc>
          <w:tcPr>
            <w:tcW w:type="dxa" w:w="1680"/>
          </w:tcPr>
          <w:p>
            <w:r>
              <w:t>calibration_statistics</w:t>
            </w:r>
          </w:p>
        </w:tc>
        <w:tc>
          <w:tcPr>
            <w:tcW w:type="dxa" w:w="1680"/>
          </w:tcPr>
          <w:p>
            <w:r>
              <w:t>15</w:t>
            </w:r>
          </w:p>
        </w:tc>
        <w:tc>
          <w:tcPr>
            <w:tcW w:type="dxa" w:w="1680"/>
          </w:tcPr>
          <w:p>
            <w:r>
              <w:t>15</w:t>
            </w:r>
          </w:p>
        </w:tc>
        <w:tc>
          <w:tcPr>
            <w:tcW w:type="dxa" w:w="1680"/>
          </w:tcPr>
          <w:p>
            <w:r>
              <w:t>manuscript_grade_calibration_done_limit_detected</w:t>
            </w:r>
          </w:p>
        </w:tc>
        <w:tc>
          <w:tcPr>
            <w:tcW w:type="dxa" w:w="1680"/>
          </w:tcPr>
          <w:p>
            <w:r>
              <w:t>none</w:t>
            </w:r>
          </w:p>
        </w:tc>
        <w:tc>
          <w:tcPr>
            <w:tcW w:type="dxa" w:w="1680"/>
          </w:tcPr>
          <w:p>
            <w:r>
              <w:t>Calibration source data and rare-state claim boundary are controlled; only add extra dropout/batch power grids if the Nature Methods rare-state claim remains central.</w:t>
            </w:r>
          </w:p>
        </w:tc>
      </w:tr>
      <w:tr>
        <w:tc>
          <w:tcPr>
            <w:tcW w:type="dxa" w:w="1680"/>
          </w:tcPr>
          <w:p>
            <w:r>
              <w:t>release_reproducibility</w:t>
            </w:r>
          </w:p>
        </w:tc>
        <w:tc>
          <w:tcPr>
            <w:tcW w:type="dxa" w:w="1680"/>
          </w:tcPr>
          <w:p>
            <w:r>
              <w:t>25</w:t>
            </w:r>
          </w:p>
        </w:tc>
        <w:tc>
          <w:tcPr>
            <w:tcW w:type="dxa" w:w="1680"/>
          </w:tcPr>
          <w:p>
            <w:r>
              <w:t>25</w:t>
            </w:r>
          </w:p>
        </w:tc>
        <w:tc>
          <w:tcPr>
            <w:tcW w:type="dxa" w:w="1680"/>
          </w:tcPr>
          <w:p>
            <w:r>
              <w:t>pass</w:t>
            </w:r>
          </w:p>
        </w:tc>
        <w:tc>
          <w:tcPr>
            <w:tcW w:type="dxa" w:w="1680"/>
          </w:tcPr>
          <w:p>
            <w:r>
              <w:t>none</w:t>
            </w:r>
          </w:p>
        </w:tc>
        <w:tc>
          <w:tcPr>
            <w:tcW w:type="dxa" w:w="1680"/>
          </w:tcPr>
          <w:p>
            <w:r>
              <w:t>Keep v0.1.0 archived and immutable; create a future v0.1.1 only after the next benchmark/metadata freeze.</w:t>
            </w:r>
          </w:p>
        </w:tc>
      </w:tr>
      <w:tr>
        <w:tc>
          <w:tcPr>
            <w:tcW w:type="dxa" w:w="1680"/>
          </w:tcPr>
          <w:p>
            <w:r>
              <w:t>benchmark_breadth_and_baselines</w:t>
            </w:r>
          </w:p>
        </w:tc>
        <w:tc>
          <w:tcPr>
            <w:tcW w:type="dxa" w:w="1680"/>
          </w:tcPr>
          <w:p>
            <w:r>
              <w:t>15</w:t>
            </w:r>
          </w:p>
        </w:tc>
        <w:tc>
          <w:tcPr>
            <w:tcW w:type="dxa" w:w="1680"/>
          </w:tcPr>
          <w:p>
            <w:r>
              <w:t>15</w:t>
            </w:r>
          </w:p>
        </w:tc>
        <w:tc>
          <w:tcPr>
            <w:tcW w:type="dxa" w:w="1680"/>
          </w:tcPr>
          <w:p>
            <w:r>
              <w:t>controlled</w:t>
            </w:r>
          </w:p>
        </w:tc>
        <w:tc>
          <w:tcPr>
            <w:tcW w:type="dxa" w:w="1680"/>
          </w:tcPr>
          <w:p>
            <w:r>
              <w:t>none</w:t>
            </w:r>
          </w:p>
        </w:tc>
        <w:tc>
          <w:tcPr>
            <w:tcW w:type="dxa" w:w="1680"/>
          </w:tcPr>
          <w:p>
            <w:r>
              <w:t>Freeze the final comparator table.</w:t>
            </w:r>
          </w:p>
        </w:tc>
      </w:tr>
      <w:tr>
        <w:tc>
          <w:tcPr>
            <w:tcW w:type="dxa" w:w="1680"/>
          </w:tcPr>
          <w:p>
            <w:r>
              <w:t>biological_showcase</w:t>
            </w:r>
          </w:p>
        </w:tc>
        <w:tc>
          <w:tcPr>
            <w:tcW w:type="dxa" w:w="1680"/>
          </w:tcPr>
          <w:p>
            <w:r>
              <w:t>10</w:t>
            </w:r>
          </w:p>
        </w:tc>
        <w:tc>
          <w:tcPr>
            <w:tcW w:type="dxa" w:w="1680"/>
          </w:tcPr>
          <w:p>
            <w:r>
              <w:t>9</w:t>
            </w:r>
          </w:p>
        </w:tc>
        <w:tc>
          <w:tcPr>
            <w:tcW w:type="dxa" w:w="1680"/>
          </w:tcPr>
          <w:p>
            <w:r>
              <w:t>pathway_atlas_supported_with_limits</w:t>
            </w:r>
          </w:p>
        </w:tc>
        <w:tc>
          <w:tcPr>
            <w:tcW w:type="dxa" w:w="1680"/>
          </w:tcPr>
          <w:p>
            <w:r>
              <w:t>PDAC_TME_corresponding_author_acknowledgement</w:t>
            </w:r>
          </w:p>
        </w:tc>
        <w:tc>
          <w:tcPr>
            <w:tcW w:type="dxa" w:w="1680"/>
          </w:tcPr>
          <w:p>
            <w:r>
              <w:t>Obtain corresponding-author acknowledgement and keep Figure 4 wording exactly within the bounded public-data showcase freeze.</w:t>
            </w:r>
          </w:p>
        </w:tc>
      </w:tr>
      <w:tr>
        <w:tc>
          <w:tcPr>
            <w:tcW w:type="dxa" w:w="1680"/>
          </w:tcPr>
          <w:p>
            <w:r>
              <w:t>manuscript_claim_control</w:t>
            </w:r>
          </w:p>
        </w:tc>
        <w:tc>
          <w:tcPr>
            <w:tcW w:type="dxa" w:w="1680"/>
          </w:tcPr>
          <w:p>
            <w:r>
              <w:t>10</w:t>
            </w:r>
          </w:p>
        </w:tc>
        <w:tc>
          <w:tcPr>
            <w:tcW w:type="dxa" w:w="1680"/>
          </w:tcPr>
          <w:p>
            <w:r>
              <w:t>8</w:t>
            </w:r>
          </w:p>
        </w:tc>
        <w:tc>
          <w:tcPr>
            <w:tcW w:type="dxa" w:w="1680"/>
          </w:tcPr>
          <w:p>
            <w:r>
              <w:t>controlled_but_not_submission_ready</w:t>
            </w:r>
          </w:p>
        </w:tc>
        <w:tc>
          <w:tcPr>
            <w:tcW w:type="dxa" w:w="1680"/>
          </w:tcPr>
          <w:p>
            <w:r>
              <w:t>editorial_send_status;nature_methods_route</w:t>
            </w:r>
          </w:p>
        </w:tc>
        <w:tc>
          <w:tcPr>
            <w:tcW w:type="dxa" w:w="1680"/>
          </w:tcPr>
          <w:p>
            <w:r>
              <w:t>After scientific and release blockers are fixed, regenerate final abstract, cover letter, reporting summary, source data, and claims.</w:t>
            </w:r>
          </w:p>
        </w:tc>
      </w:tr>
    </w:tbl>
    <w:p>
      <w:pPr>
        <w:pStyle w:val="Heading2"/>
      </w:pPr>
      <w:r>
        <w:t>Journal Route Check</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Journal</w:t>
            </w:r>
          </w:p>
        </w:tc>
        <w:tc>
          <w:tcPr>
            <w:tcW w:type="dxa" w:w="1680"/>
          </w:tcPr>
          <w:p>
            <w:r>
              <w:t>2024 JIF</w:t>
            </w:r>
          </w:p>
        </w:tc>
        <w:tc>
          <w:tcPr>
            <w:tcW w:type="dxa" w:w="1680"/>
          </w:tcPr>
          <w:p>
            <w:r>
              <w:t>5-year JIF</w:t>
            </w:r>
          </w:p>
        </w:tc>
        <w:tc>
          <w:tcPr>
            <w:tcW w:type="dxa" w:w="1680"/>
          </w:tcPr>
          <w:p>
            <w:r>
              <w:t>Strict 20-50 fit</w:t>
            </w:r>
          </w:p>
        </w:tc>
        <w:tc>
          <w:tcPr>
            <w:tcW w:type="dxa" w:w="1680"/>
          </w:tcPr>
          <w:p>
            <w:r>
              <w:t>Current route</w:t>
            </w:r>
          </w:p>
        </w:tc>
        <w:tc>
          <w:tcPr>
            <w:tcW w:type="dxa" w:w="1680"/>
          </w:tcPr>
          <w:p>
            <w:r>
              <w:t>Current fit</w:t>
            </w:r>
          </w:p>
        </w:tc>
      </w:tr>
      <w:tr>
        <w:tc>
          <w:tcPr>
            <w:tcW w:type="dxa" w:w="1680"/>
          </w:tcPr>
          <w:p>
            <w:r>
              <w:t>Nature Methods</w:t>
            </w:r>
          </w:p>
        </w:tc>
        <w:tc>
          <w:tcPr>
            <w:tcW w:type="dxa" w:w="1680"/>
          </w:tcPr>
          <w:p>
            <w:r>
              <w:t>32.1</w:t>
            </w:r>
          </w:p>
        </w:tc>
        <w:tc>
          <w:tcPr>
            <w:tcW w:type="dxa" w:w="1680"/>
          </w:tcPr>
          <w:p>
            <w:r>
              <w:t>51.7</w:t>
            </w:r>
          </w:p>
        </w:tc>
        <w:tc>
          <w:tcPr>
            <w:tcW w:type="dxa" w:w="1680"/>
          </w:tcPr>
          <w:p>
            <w:r>
              <w:t>yes</w:t>
            </w:r>
          </w:p>
        </w:tc>
        <w:tc>
          <w:tcPr>
            <w:tcW w:type="dxa" w:w="1680"/>
          </w:tcPr>
          <w:p>
            <w:r>
              <w:t>primary_target_on_hold</w:t>
            </w:r>
          </w:p>
        </w:tc>
        <w:tc>
          <w:tcPr>
            <w:tcW w:type="dxa" w:w="1680"/>
          </w:tcPr>
          <w:p>
            <w:r>
              <w:t>only plausible strict 20-50 target; release is complete, but stability, benchmark, and biological-application blockers remain</w:t>
            </w:r>
          </w:p>
        </w:tc>
      </w:tr>
      <w:tr>
        <w:tc>
          <w:tcPr>
            <w:tcW w:type="dxa" w:w="1680"/>
          </w:tcPr>
          <w:p>
            <w:r>
              <w:t>Nature Biotechnology</w:t>
            </w:r>
          </w:p>
        </w:tc>
        <w:tc>
          <w:tcPr>
            <w:tcW w:type="dxa" w:w="1680"/>
          </w:tcPr>
          <w:p>
            <w:r>
              <w:t>41.7</w:t>
            </w:r>
          </w:p>
        </w:tc>
        <w:tc>
          <w:tcPr>
            <w:tcW w:type="dxa" w:w="1680"/>
          </w:tcPr>
          <w:p>
            <w:r>
              <w:t>59.5</w:t>
            </w:r>
          </w:p>
        </w:tc>
        <w:tc>
          <w:tcPr>
            <w:tcW w:type="dxa" w:w="1680"/>
          </w:tcPr>
          <w:p>
            <w:r>
              <w:t>yes</w:t>
            </w:r>
          </w:p>
        </w:tc>
        <w:tc>
          <w:tcPr>
            <w:tcW w:type="dxa" w:w="1680"/>
          </w:tcPr>
          <w:p>
            <w:r>
              <w:t>not_fit_for_current_scope</w:t>
            </w:r>
          </w:p>
        </w:tc>
        <w:tc>
          <w:tcPr>
            <w:tcW w:type="dxa" w:w="1680"/>
          </w:tcPr>
          <w:p>
            <w:r>
              <w:t>requires biotechnology platform or adoption-level advance beyond current workflow benchmark</w:t>
            </w:r>
          </w:p>
        </w:tc>
      </w:tr>
      <w:tr>
        <w:tc>
          <w:tcPr>
            <w:tcW w:type="dxa" w:w="1680"/>
          </w:tcPr>
          <w:p>
            <w:r>
              <w:t>Nature Communications</w:t>
            </w:r>
          </w:p>
        </w:tc>
        <w:tc>
          <w:tcPr>
            <w:tcW w:type="dxa" w:w="1680"/>
          </w:tcPr>
          <w:p>
            <w:r>
              <w:t>15.7</w:t>
            </w:r>
          </w:p>
        </w:tc>
        <w:tc>
          <w:tcPr>
            <w:tcW w:type="dxa" w:w="1680"/>
          </w:tcPr>
          <w:p>
            <w:r>
              <w:t>17.2</w:t>
            </w:r>
          </w:p>
        </w:tc>
        <w:tc>
          <w:tcPr>
            <w:tcW w:type="dxa" w:w="1680"/>
          </w:tcPr>
          <w:p>
            <w:r>
              <w:t>no</w:t>
            </w:r>
          </w:p>
        </w:tc>
        <w:tc>
          <w:tcPr>
            <w:tcW w:type="dxa" w:w="1680"/>
          </w:tcPr>
          <w:p>
            <w:r>
              <w:t>possible_if_biological_or_methods_impact_strengthens</w:t>
            </w:r>
          </w:p>
        </w:tc>
        <w:tc>
          <w:tcPr>
            <w:tcW w:type="dxa" w:w="1680"/>
          </w:tcPr>
          <w:p>
            <w:r>
              <w:t>below strict 20 JIF; requires stronger cross-field or biological application than current package</w:t>
            </w:r>
          </w:p>
        </w:tc>
      </w:tr>
      <w:tr>
        <w:tc>
          <w:tcPr>
            <w:tcW w:type="dxa" w:w="1680"/>
          </w:tcPr>
          <w:p>
            <w:r>
              <w:t>Genome Biology</w:t>
            </w:r>
          </w:p>
        </w:tc>
        <w:tc>
          <w:tcPr>
            <w:tcW w:type="dxa" w:w="1680"/>
          </w:tcPr>
          <w:p>
            <w:r>
              <w:t>9.4</w:t>
            </w:r>
          </w:p>
        </w:tc>
        <w:tc>
          <w:tcPr>
            <w:tcW w:type="dxa" w:w="1680"/>
          </w:tcPr>
          <w:p>
            <w:r>
              <w:t>16.3</w:t>
            </w:r>
          </w:p>
        </w:tc>
        <w:tc>
          <w:tcPr>
            <w:tcW w:type="dxa" w:w="1680"/>
          </w:tcPr>
          <w:p>
            <w:r>
              <w:t>no</w:t>
            </w:r>
          </w:p>
        </w:tc>
        <w:tc>
          <w:tcPr>
            <w:tcW w:type="dxa" w:w="1680"/>
          </w:tcPr>
          <w:p>
            <w:r>
              <w:t>most_realistic_high_quality_fallback</w:t>
            </w:r>
          </w:p>
        </w:tc>
        <w:tc>
          <w:tcPr>
            <w:tcW w:type="dxa" w:w="1680"/>
          </w:tcPr>
          <w:p>
            <w:r>
              <w:t>best realistic high-quality fallback after reframe, but not a 20-50 JIF journal by 2024 JIF</w:t>
            </w:r>
          </w:p>
        </w:tc>
      </w:tr>
      <w:tr>
        <w:tc>
          <w:tcPr>
            <w:tcW w:type="dxa" w:w="1680"/>
          </w:tcPr>
          <w:p>
            <w:r>
              <w:t>Cell Reports Medicine</w:t>
            </w:r>
          </w:p>
        </w:tc>
        <w:tc>
          <w:tcPr>
            <w:tcW w:type="dxa" w:w="1680"/>
          </w:tcPr>
          <w:p>
            <w:r>
              <w:t>10.6</w:t>
            </w:r>
          </w:p>
        </w:tc>
        <w:tc>
          <w:tcPr>
            <w:tcW w:type="dxa" w:w="1680"/>
          </w:tcPr>
          <w:p>
            <w:r>
              <w:t>10.8</w:t>
            </w:r>
          </w:p>
        </w:tc>
        <w:tc>
          <w:tcPr>
            <w:tcW w:type="dxa" w:w="1680"/>
          </w:tcPr>
          <w:p>
            <w:r>
              <w:t>no</w:t>
            </w:r>
          </w:p>
        </w:tc>
        <w:tc>
          <w:tcPr>
            <w:tcW w:type="dxa" w:w="1680"/>
          </w:tcPr>
          <w:p>
            <w:r>
              <w:t>low_fit_without_clinical_biology</w:t>
            </w:r>
          </w:p>
        </w:tc>
        <w:tc>
          <w:tcPr>
            <w:tcW w:type="dxa" w:w="1680"/>
          </w:tcPr>
          <w:p>
            <w:r>
              <w:t>needs disease or translational biology depth; current RMTGuard is primarily methods/software</w:t>
            </w:r>
          </w:p>
        </w:tc>
      </w:tr>
    </w:tbl>
    <w:p>
      <w:pPr>
        <w:pStyle w:val="Heading2"/>
      </w:pPr>
      <w:r>
        <w:t>What Is Still Missing</w:t>
      </w:r>
    </w:p>
    <w:p>
      <w:pPr>
        <w:pStyle w:val="ListNumber"/>
      </w:pPr>
      <w:r>
        <w:t>Release engineering is complete for v0.1.0; the remaining gap is scientific evidence, not public code availability.</w:t>
      </w:r>
    </w:p>
    <w:p>
      <w:pPr>
        <w:pStyle w:val="ListNumber"/>
      </w:pPr>
      <w:r>
        <w:t>Benchmark breadth, official Seurat/JackStraw baselines, paired statistics on the labeled subset, and label-free dataset boundaries are now controlled. Do not reopen this layer unless adding optional atlas-scale evidence.</w:t>
      </w:r>
    </w:p>
    <w:p>
      <w:pPr>
        <w:pStyle w:val="ListNumber"/>
      </w:pPr>
      <w:r>
        <w:t>Realistic-null and rare-state power repeat depth is complete at 50 repeats with CIs, and the low-prevalence/weak-effect claim boundary is documented.</w:t>
      </w:r>
    </w:p>
    <w:p>
      <w:pPr>
        <w:pStyle w:val="ListNumber"/>
      </w:pPr>
      <w:r>
        <w:t>Component ablation has reached the current 20-repeat synthetic and labeled real-data layer; realistic null and rare-state power have reached 50-repeat depth, and the low-prevalence/weak-effect limitation is now captured in a claim-boundary artifact.</w:t>
      </w:r>
    </w:p>
    <w:p>
      <w:pPr>
        <w:pStyle w:val="ListNumber"/>
      </w:pPr>
      <w:r>
        <w:t>PDAC/TME decision packet, dual-route preflight, runbook, first-pass deep validation, rank-based MSigDB Hallmark/Reactome enrichment, atlas marker citation mapping, and bounded Figure 4 wording freeze are complete; corresponding authors still need to acknowledge the bounded public-data showcase route.</w:t>
      </w:r>
    </w:p>
    <w:p>
      <w:pPr>
        <w:pStyle w:val="ListNumber"/>
      </w:pPr>
      <w:r>
        <w:t>Optional broader atlas-scale dataset if the Nature Methods route remains active after the current blockers are cleared.</w:t>
      </w:r>
    </w:p>
    <w:p>
      <w:pPr>
        <w:pStyle w:val="ListNumber"/>
      </w:pPr>
      <w:r>
        <w:t>Final source-data/caption/reporting-summary regeneration after benchmark freeze.</w:t>
      </w:r>
    </w:p>
    <w:p>
      <w:pPr>
        <w:pStyle w:val="Heading2"/>
      </w:pPr>
      <w:r>
        <w:t>What Can Be Added To Improve The Route</w:t>
      </w:r>
    </w:p>
    <w:p>
      <w:pPr>
        <w:pStyle w:val="ListBullet"/>
      </w:pPr>
      <w:r>
        <w:t>Rare-state claim boundary is controlled; add optional dropout/batch power grids only if the Nature Methods rare-state claim remains central.</w:t>
      </w:r>
    </w:p>
    <w:p>
      <w:pPr>
        <w:pStyle w:val="ListBullet"/>
      </w:pPr>
      <w:r>
        <w:t>Add a realistic null family that preserves library size, gene marginals, dropout, and batch structure.</w:t>
      </w:r>
    </w:p>
    <w:p>
      <w:pPr>
        <w:pStyle w:val="ListBullet"/>
      </w:pPr>
      <w:r>
        <w:t>Add a full callability map figure where no-call is treated as a validated decision, not a failure.</w:t>
      </w:r>
    </w:p>
    <w:p>
      <w:pPr>
        <w:pStyle w:val="ListBullet"/>
      </w:pPr>
      <w:r>
        <w:t>Keep PBMC3k and PDAC GSE154778 as label-free stability/runtime evidence unless reliable cell-state annotations are added.</w:t>
      </w:r>
    </w:p>
    <w:p>
      <w:pPr>
        <w:pStyle w:val="ListBullet"/>
      </w:pPr>
      <w:r>
        <w:t>Use docs/pdac_tme_deep_validation.md and docs/pdac_tme_pathway_atlas_validation.md as bounded PDAC/TME support; freeze only manuscript-interpretable pathway hits for Figure 4 and keep low-specificity translation/ribosomal hits in source data.</w:t>
      </w:r>
    </w:p>
    <w:p>
      <w:pPr>
        <w:pStyle w:val="Heading2"/>
      </w:pPr>
      <w:r>
        <w:t>Source Artifacts</w:t>
      </w:r>
    </w:p>
    <w:p>
      <w:pPr>
        <w:pStyle w:val="ListBullet"/>
      </w:pPr>
      <w:r>
        <w:t>Gap TSV: results/submission/jif20_50_gap_assessment.tsv</w:t>
      </w:r>
    </w:p>
    <w:p>
      <w:pPr>
        <w:pStyle w:val="ListBullet"/>
      </w:pPr>
      <w:r>
        <w:t>Journal TSV: results/submission/jif20_50_journal_route.tsv</w:t>
      </w:r>
    </w:p>
    <w:p>
      <w:pPr>
        <w:pStyle w:val="ListBullet"/>
      </w:pPr>
      <w:r>
        <w:t>Gate report: results/gates/gate_report.tsv</w:t>
      </w:r>
    </w:p>
    <w:p>
      <w:pPr>
        <w:pStyle w:val="ListBullet"/>
      </w:pPr>
      <w:r>
        <w:t>External action plan: results/submission/external_review_action_plan.tsv</w:t>
      </w:r>
    </w:p>
    <w:p>
      <w:pPr>
        <w:pStyle w:val="ListBullet"/>
      </w:pPr>
      <w:r>
        <w:t>Manuscript stability statistics: results/manuscript_stability_benchmarks/manuscript_stability_statistics.tsv</w:t>
      </w:r>
    </w:p>
    <w:p>
      <w:pPr>
        <w:pStyle w:val="ListBullet"/>
      </w:pPr>
      <w:r>
        <w:t>Component ablation evidence: results/ablation/component_ablation_evidence.tsv</w:t>
      </w:r>
    </w:p>
    <w:p>
      <w:pPr>
        <w:pStyle w:val="ListBullet"/>
      </w:pPr>
      <w:r>
        <w:t>Component ablation summary: results/ablation/component_ablation_summary.tsv</w:t>
      </w:r>
    </w:p>
    <w:p>
      <w:pPr>
        <w:pStyle w:val="ListBullet"/>
      </w:pPr>
      <w:r>
        <w:t>P0 science sprint status: results/submission/p0_science_sprint_status.tsv</w:t>
      </w:r>
    </w:p>
    <w:p>
      <w:pPr>
        <w:pStyle w:val="ListBullet"/>
      </w:pPr>
      <w:r>
        <w:t>Rare-state claim boundary: results/submission/rare_state_claim_boundary.tsv</w:t>
      </w:r>
    </w:p>
    <w:p>
      <w:pPr>
        <w:pStyle w:val="ListBullet"/>
      </w:pPr>
      <w:r>
        <w:t>PDAC/TME route decision packet: results/submission/pdac_tme_route_decision_packet.tsv</w:t>
      </w:r>
    </w:p>
    <w:p>
      <w:pPr>
        <w:pStyle w:val="ListBullet"/>
      </w:pPr>
      <w:r>
        <w:t>PDAC/TME dual-route preflight: results/submission/pdac_tme_dual_route_preflight.tsv</w:t>
      </w:r>
    </w:p>
    <w:p>
      <w:pPr>
        <w:pStyle w:val="ListBullet"/>
      </w:pPr>
      <w:r>
        <w:t>PDAC/TME dual-route runbook: results/submission/pdac_tme_dual_route_runbook.tsv</w:t>
      </w:r>
    </w:p>
    <w:p>
      <w:pPr>
        <w:pStyle w:val="ListBullet"/>
      </w:pPr>
      <w:r>
        <w:t>PDAC/TME pathway/atlas summary: results/pdac_tme/pathway_atlas_validation/pdac_pathway_atlas_validation_summary.tsv</w:t>
      </w:r>
    </w:p>
    <w:p>
      <w:pPr>
        <w:pStyle w:val="ListBullet"/>
      </w:pPr>
      <w:r>
        <w:t>Figure 4 PDAC/TME wording freeze: results/submission/figure4_pdac_tme_wording_freeze.tsv</w:t>
      </w:r>
    </w:p>
    <w:p>
      <w:pPr>
        <w:pStyle w:val="ListBullet"/>
      </w:pPr>
      <w:r>
        <w:t>Real-data ablation annotation summary: results/ablation/realdata_ablation_annotation_summary.tsv</w:t>
      </w:r>
    </w:p>
    <w:p>
      <w:pPr>
        <w:pStyle w:val="ListBullet"/>
      </w:pPr>
      <w:r>
        <w:t>Real-data ablation figure source data: results/figures/source_data/figure5_realdata_ablation_delta_summary.tsv</w:t>
      </w:r>
    </w:p>
    <w:p>
      <w:pPr>
        <w:pStyle w:val="ListBullet"/>
      </w:pPr>
      <w:r>
        <w:t>Matched baseline design: results/submission/matched_baseline_design.tsv</w:t>
      </w:r>
    </w:p>
    <w:p>
      <w:pPr>
        <w:pStyle w:val="ListBullet"/>
      </w:pPr>
      <w:r>
        <w:t>Matched baseline pilot summary: results/submission/matched_baseline_pilot_summary.tsv</w:t>
      </w:r>
    </w:p>
    <w:p>
      <w:pPr>
        <w:pStyle w:val="ListBullet"/>
      </w:pPr>
      <w:r>
        <w:t>Matched baseline external blockers: results/submission/matched_baseline_external_blockers.tsv</w:t>
      </w:r>
    </w:p>
    <w:p>
      <w:pPr>
        <w:pStyle w:val="ListBullet"/>
      </w:pPr>
      <w:r>
        <w:t>Official Seurat matched summary: results/submission/seurat_matched_baseline_summary.tsv</w:t>
      </w:r>
    </w:p>
    <w:p>
      <w:pPr>
        <w:pStyle w:val="ListBullet"/>
      </w:pPr>
      <w:r>
        <w:t>Official Seurat matched status: results/submission/seurat_matched_baseline_status.tsv</w:t>
      </w:r>
    </w:p>
    <w:p>
      <w:pPr>
        <w:pStyle w:val="ListBullet"/>
      </w:pPr>
      <w:r>
        <w:t>Official Seurat JackStraw feasibility summary: results/submission/seurat_jackstraw_feasibility_summary.tsv</w:t>
      </w:r>
    </w:p>
    <w:p>
      <w:pPr>
        <w:pStyle w:val="ListBullet"/>
      </w:pPr>
      <w:r>
        <w:t>Official Seurat JackStraw feasibility status: results/submission/seurat_jackstraw_feasibility_status.tsv</w:t>
      </w:r>
    </w:p>
    <w:p>
      <w:pPr>
        <w:pStyle w:val="ListBullet"/>
      </w:pPr>
      <w:r>
        <w:t>Paired RMTGuard-versus-official-Seurat statistics: results/submission/rmtguard_seurat_paired_stats.tsv</w:t>
      </w:r>
    </w:p>
    <w:p>
      <w:pPr>
        <w:pStyle w:val="ListBullet"/>
      </w:pPr>
      <w:r>
        <w:t>Paired RMTGuard-versus-official-Seurat status: results/submission/rmtguard_seurat_paired_status.tsv</w:t>
      </w:r>
    </w:p>
    <w:p>
      <w:pPr>
        <w:pStyle w:val="ListBullet"/>
      </w:pPr>
      <w:r>
        <w:t>Added-dataset annotation boundary: results/submission/added_dataset_annotation_boundary.tsv</w:t>
      </w:r>
    </w:p>
    <w:p>
      <w:pPr>
        <w:pStyle w:val="ListBullet"/>
      </w:pPr>
      <w:r>
        <w:t>Submission guard: results/submission/submission_guard.tsv</w:t>
      </w:r>
    </w:p>
    <w:p>
      <w:pPr>
        <w:pStyle w:val="Heading1"/>
      </w:pPr>
      <w:r>
        <w:t>Figure-caption-source audit</w:t>
      </w:r>
    </w:p>
    <w:p>
      <w:pPr>
        <w:pStyle w:val="Heading2"/>
      </w:pPr>
      <w:r>
        <w:t>Figure-caption-source audit</w:t>
      </w:r>
    </w:p>
    <w:p>
      <w:r>
        <w:t>Generated by python scripts/build_figure_caption_source_audit.py.</w:t>
      </w:r>
    </w:p>
    <w:p>
      <w:pPr>
        <w:pStyle w:val="Heading2"/>
      </w:pPr>
      <w:r>
        <w:t>Boundary</w:t>
      </w:r>
    </w:p>
    <w:p>
      <w:r>
        <w:t>This audit checks consistency among rendered figure files, machine-readable source data, and freeze-aligned legends. It does not certify journal acceptance and does not change any scientific result.</w:t>
      </w:r>
    </w:p>
    <w:p>
      <w:pPr>
        <w:pStyle w:val="Heading2"/>
      </w:pPr>
      <w:r>
        <w:t>Status</w:t>
      </w:r>
    </w:p>
    <w:p>
      <w:pPr>
        <w:pStyle w:val="ListBullet"/>
      </w:pPr>
      <w:r>
        <w:t>Display items checked: 7.</w:t>
      </w:r>
    </w:p>
    <w:p>
      <w:pPr>
        <w:pStyle w:val="ListBullet"/>
      </w:pPr>
      <w:r>
        <w:t>Blocked missing-asset/legend rows: 0.</w:t>
      </w:r>
    </w:p>
    <w:p>
      <w:pPr>
        <w:pStyle w:val="ListBullet"/>
      </w:pPr>
      <w:r>
        <w:t>Status counts: ready_pending_author_ack=1, ready_with_boundary=6</w:t>
      </w:r>
    </w:p>
    <w:p>
      <w:pPr>
        <w:pStyle w:val="Heading2"/>
      </w:pPr>
      <w:r>
        <w:t>Remaining Actions</w:t>
      </w:r>
    </w:p>
    <w:p>
      <w:pPr>
        <w:pStyle w:val="ListBullet"/>
      </w:pPr>
      <w:r>
        <w:t>Figure 4 (ready_pending_author_ack): Obtain corresponding-author acknowledgement of bounded wording before external submission.</w:t>
      </w:r>
    </w:p>
    <w:p>
      <w:pPr>
        <w:pStyle w:val="Heading2"/>
      </w:pPr>
      <w:r>
        <w:t>Audit Table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Display item</w:t>
            </w:r>
          </w:p>
        </w:tc>
        <w:tc>
          <w:tcPr>
            <w:tcW w:type="dxa" w:w="1440"/>
          </w:tcPr>
          <w:p>
            <w:r>
              <w:t>Status</w:t>
            </w:r>
          </w:p>
        </w:tc>
        <w:tc>
          <w:tcPr>
            <w:tcW w:type="dxa" w:w="1440"/>
          </w:tcPr>
          <w:p>
            <w:r>
              <w:t>Assets</w:t>
            </w:r>
          </w:p>
        </w:tc>
        <w:tc>
          <w:tcPr>
            <w:tcW w:type="dxa" w:w="1440"/>
          </w:tcPr>
          <w:p>
            <w:r>
              <w:t>Source data</w:t>
            </w:r>
          </w:p>
        </w:tc>
        <w:tc>
          <w:tcPr>
            <w:tcW w:type="dxa" w:w="1440"/>
          </w:tcPr>
          <w:p>
            <w:r>
              <w:t>Legend</w:t>
            </w:r>
          </w:p>
        </w:tc>
        <w:tc>
          <w:tcPr>
            <w:tcW w:type="dxa" w:w="1440"/>
          </w:tcPr>
          <w:p>
            <w:r>
              <w:t>Claim boundary</w:t>
            </w:r>
          </w:p>
        </w:tc>
        <w:tc>
          <w:tcPr>
            <w:tcW w:type="dxa" w:w="1440"/>
          </w:tcPr>
          <w:p>
            <w:r>
              <w:t>Required action</w:t>
            </w:r>
          </w:p>
        </w:tc>
      </w:tr>
      <w:tr>
        <w:tc>
          <w:tcPr>
            <w:tcW w:type="dxa" w:w="1440"/>
          </w:tcPr>
          <w:p>
            <w:r>
              <w:t>Figure 1</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Workflow and diagnostic overview only; do not claim new random-matrix theory.</w:t>
            </w:r>
          </w:p>
        </w:tc>
        <w:tc>
          <w:tcPr>
            <w:tcW w:type="dxa" w:w="1440"/>
          </w:tcPr>
          <w:p>
            <w:r>
              <w:t>Verify final panel labels match both source-data tables before submission.</w:t>
            </w:r>
          </w:p>
        </w:tc>
      </w:tr>
      <w:tr>
        <w:tc>
          <w:tcPr>
            <w:tcW w:type="dxa" w:w="1440"/>
          </w:tcPr>
          <w:p>
            <w:r>
              <w:t>Figure 2</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Supports tested null and rare-state regimes only; lowest-prevalence weak-effect limitation must remain visible.</w:t>
            </w:r>
          </w:p>
        </w:tc>
        <w:tc>
          <w:tcPr>
            <w:tcW w:type="dxa" w:w="1440"/>
          </w:tcPr>
          <w:p>
            <w:r>
              <w:t>Final caption must keep the prevalence 0.02/effect 2.5 limitation.</w:t>
            </w:r>
          </w:p>
        </w:tc>
      </w:tr>
      <w:tr>
        <w:tc>
          <w:tcPr>
            <w:tcW w:type="dxa" w:w="1440"/>
          </w:tcPr>
          <w:p>
            <w:r>
              <w:t>Figure 3</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Does not support broad superiority over every fixed-PC or elbow baseline.</w:t>
            </w:r>
          </w:p>
        </w:tc>
        <w:tc>
          <w:tcPr>
            <w:tcW w:type="dxa" w:w="1440"/>
          </w:tcPr>
          <w:p>
            <w:r>
              <w:t>Decide whether no-call and Seurat paired panels are integrated into main Figure 3 or moved to Extended Data.</w:t>
            </w:r>
          </w:p>
        </w:tc>
      </w:tr>
      <w:tr>
        <w:tc>
          <w:tcPr>
            <w:tcW w:type="dxa" w:w="1440"/>
          </w:tcPr>
          <w:p>
            <w:r>
              <w:t>Figure 4</w:t>
            </w:r>
          </w:p>
        </w:tc>
        <w:tc>
          <w:tcPr>
            <w:tcW w:type="dxa" w:w="1440"/>
          </w:tcPr>
          <w:p>
            <w:r>
              <w:t>ready_pending_author_ack</w:t>
            </w:r>
          </w:p>
        </w:tc>
        <w:tc>
          <w:tcPr>
            <w:tcW w:type="dxa" w:w="1440"/>
          </w:tcPr>
          <w:p>
            <w:r>
              <w:t>True</w:t>
            </w:r>
          </w:p>
        </w:tc>
        <w:tc>
          <w:tcPr>
            <w:tcW w:type="dxa" w:w="1440"/>
          </w:tcPr>
          <w:p>
            <w:r>
              <w:t>True</w:t>
            </w:r>
          </w:p>
        </w:tc>
        <w:tc>
          <w:tcPr>
            <w:tcW w:type="dxa" w:w="1440"/>
          </w:tcPr>
          <w:p>
            <w:r>
              <w:t>True</w:t>
            </w:r>
          </w:p>
        </w:tc>
        <w:tc>
          <w:tcPr>
            <w:tcW w:type="dxa" w:w="1440"/>
          </w:tcPr>
          <w:p>
            <w:r>
              <w:t>Methods-paper public-data use case only; no new mechanism, prognosis, therapy-response, spatial or protein-validation claim.</w:t>
            </w:r>
          </w:p>
        </w:tc>
        <w:tc>
          <w:tcPr>
            <w:tcW w:type="dxa" w:w="1440"/>
          </w:tcPr>
          <w:p>
            <w:r>
              <w:t>Obtain corresponding-author acknowledgement of bounded wording before external submission.</w:t>
            </w:r>
          </w:p>
        </w:tc>
      </w:tr>
      <w:tr>
        <w:tc>
          <w:tcPr>
            <w:tcW w:type="dxa" w:w="1440"/>
          </w:tcPr>
          <w:p>
            <w:r>
              <w:t>Figure 5</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Component contribution only under tested datasets/repeats; post-release working branch requires a new DOI archive if cited.</w:t>
            </w:r>
          </w:p>
        </w:tc>
        <w:tc>
          <w:tcPr>
            <w:tcW w:type="dxa" w:w="1440"/>
          </w:tcPr>
          <w:p>
            <w:r>
              <w:t>Use this as the main Figure 5; keep the larger real-data ablation forest as Extended Data.</w:t>
            </w:r>
          </w:p>
        </w:tc>
      </w:tr>
      <w:tr>
        <w:tc>
          <w:tcPr>
            <w:tcW w:type="dxa" w:w="1440"/>
          </w:tcPr>
          <w:p>
            <w:r>
              <w:t>Extended Data - real-data ablation</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Supports component-sensitivity discussion under tested labeled datasets and repeats only.</w:t>
            </w:r>
          </w:p>
        </w:tc>
        <w:tc>
          <w:tcPr>
            <w:tcW w:type="dxa" w:w="1440"/>
          </w:tcPr>
          <w:p>
            <w:r>
              <w:t>Label as Extended Data or Supplementary Figure; do not use as universal component-necessity proof.</w:t>
            </w:r>
          </w:p>
        </w:tc>
      </w:tr>
      <w:tr>
        <w:tc>
          <w:tcPr>
            <w:tcW w:type="dxa" w:w="1440"/>
          </w:tcPr>
          <w:p>
            <w:r>
              <w:t>Extended Data - topology</w:t>
            </w:r>
          </w:p>
        </w:tc>
        <w:tc>
          <w:tcPr>
            <w:tcW w:type="dxa" w:w="1440"/>
          </w:tcPr>
          <w:p>
            <w:r>
              <w:t>ready_with_boundary</w:t>
            </w:r>
          </w:p>
        </w:tc>
        <w:tc>
          <w:tcPr>
            <w:tcW w:type="dxa" w:w="1440"/>
          </w:tcPr>
          <w:p>
            <w:r>
              <w:t>True</w:t>
            </w:r>
          </w:p>
        </w:tc>
        <w:tc>
          <w:tcPr>
            <w:tcW w:type="dxa" w:w="1440"/>
          </w:tcPr>
          <w:p>
            <w:r>
              <w:t>True</w:t>
            </w:r>
          </w:p>
        </w:tc>
        <w:tc>
          <w:tcPr>
            <w:tcW w:type="dxa" w:w="1440"/>
          </w:tcPr>
          <w:p>
            <w:r>
              <w:t>True</w:t>
            </w:r>
          </w:p>
        </w:tc>
        <w:tc>
          <w:tcPr>
            <w:tcW w:type="dxa" w:w="1440"/>
          </w:tcPr>
          <w:p>
            <w:r>
              <w:t>Topology monitoring with trade-offs only; not trajectory-method superiority.</w:t>
            </w:r>
          </w:p>
        </w:tc>
        <w:tc>
          <w:tcPr>
            <w:tcW w:type="dxa" w:w="1440"/>
          </w:tcPr>
          <w:p>
            <w:r>
              <w:t>Keep annotation-derived Paul15 limitation in the final legend.</w:t>
            </w:r>
          </w:p>
        </w:tc>
      </w:tr>
    </w:tbl>
    <w:p>
      <w:pPr>
        <w:pStyle w:val="Heading2"/>
      </w:pPr>
      <w:r>
        <w:t>Interpretation</w:t>
      </w:r>
    </w:p>
    <w:p>
      <w:pPr>
        <w:pStyle w:val="ListBullet"/>
      </w:pPr>
      <w:r>
        <w:t>ready_with_boundary means the assets, source data and frozen legend exist, but the claim boundary must still be preserved during final journal formatting.</w:t>
      </w:r>
    </w:p>
    <w:p>
      <w:pPr>
        <w:pStyle w:val="ListBullet"/>
      </w:pPr>
      <w:r>
        <w:t>ready_pending_author_ack means Codex can package the figure, but corresponding-author acknowledgement is still needed before external submission.</w:t>
      </w:r>
    </w:p>
    <w:p>
      <w:pPr>
        <w:pStyle w:val="ListBullet"/>
      </w:pPr>
      <w:r>
        <w:t>needs_layout_decision means all key evidence exists, but the final main/supplement figure layout has not been frozen.</w:t>
      </w:r>
    </w:p>
    <w:p>
      <w:pPr>
        <w:pStyle w:val="Heading1"/>
      </w:pPr>
      <w:r>
        <w:t>Post-release version coverage audit</w:t>
      </w:r>
    </w:p>
    <w:p>
      <w:pPr>
        <w:pStyle w:val="Heading2"/>
      </w:pPr>
      <w:r>
        <w:t>Post-release version coverage audit</w:t>
      </w:r>
    </w:p>
    <w:p>
      <w:r>
        <w:t>Generated: 2026-05-12</w:t>
      </w:r>
    </w:p>
    <w:p>
      <w:pPr>
        <w:pStyle w:val="Heading2"/>
      </w:pPr>
      <w:r>
        <w:t>Boundary</w:t>
      </w:r>
    </w:p>
    <w:p>
      <w:r>
        <w:t>This audit compares the archived v0.1.0 release with the current branch. It does not create a tag, push a release, or mint a new DOI.</w:t>
      </w:r>
    </w:p>
    <w:p>
      <w:pPr>
        <w:pStyle w:val="Heading2"/>
      </w:pPr>
      <w:r>
        <w:t>Bottom Line</w:t>
      </w:r>
    </w:p>
    <w:p>
      <w:pPr>
        <w:pStyle w:val="ListBullet"/>
      </w:pPr>
      <w:r>
        <w:t>Commits after v0.1.0: 52.</w:t>
      </w:r>
    </w:p>
    <w:p>
      <w:pPr>
        <w:pStyle w:val="ListBullet"/>
      </w:pPr>
      <w:r>
        <w:t>Changed files after v0.1.0: 267.</w:t>
      </w:r>
    </w:p>
    <w:p>
      <w:pPr>
        <w:pStyle w:val="ListBullet"/>
      </w:pPr>
      <w:r>
        <w:t>Manuscript-facing changed files: 257.</w:t>
      </w:r>
    </w:p>
    <w:p>
      <w:pPr>
        <w:pStyle w:val="ListBullet"/>
      </w:pPr>
      <w:r>
        <w:t>Recommendation: prepare_v0.1.1_after_author_ack.</w:t>
      </w:r>
    </w:p>
    <w:p>
      <w:pPr>
        <w:pStyle w:val="ListBullet"/>
      </w:pPr>
      <w:r>
        <w:t>Candidate next release: v0.1.1.</w:t>
      </w:r>
    </w:p>
    <w:p>
      <w:pPr>
        <w:pStyle w:val="Heading2"/>
      </w:pPr>
      <w:r>
        <w:t>Audit Rows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Audit ID</w:t>
            </w:r>
          </w:p>
        </w:tc>
        <w:tc>
          <w:tcPr>
            <w:tcW w:type="dxa" w:w="2016"/>
          </w:tcPr>
          <w:p>
            <w:r>
              <w:t>Status</w:t>
            </w:r>
          </w:p>
        </w:tc>
        <w:tc>
          <w:tcPr>
            <w:tcW w:type="dxa" w:w="2016"/>
          </w:tcPr>
          <w:p>
            <w:r>
              <w:t>Evidence</w:t>
            </w:r>
          </w:p>
        </w:tc>
        <w:tc>
          <w:tcPr>
            <w:tcW w:type="dxa" w:w="2016"/>
          </w:tcPr>
          <w:p>
            <w:r>
              <w:t>Required action</w:t>
            </w:r>
          </w:p>
        </w:tc>
        <w:tc>
          <w:tcPr>
            <w:tcW w:type="dxa" w:w="2016"/>
          </w:tcPr>
          <w:p>
            <w:r>
              <w:t>Notes</w:t>
            </w:r>
          </w:p>
        </w:tc>
      </w:tr>
      <w:tr>
        <w:tc>
          <w:tcPr>
            <w:tcW w:type="dxa" w:w="2016"/>
          </w:tcPr>
          <w:p>
            <w:r>
              <w:t>release_tag</w:t>
            </w:r>
          </w:p>
        </w:tc>
        <w:tc>
          <w:tcPr>
            <w:tcW w:type="dxa" w:w="2016"/>
          </w:tcPr>
          <w:p>
            <w:r>
              <w:t>present</w:t>
            </w:r>
          </w:p>
        </w:tc>
        <w:tc>
          <w:tcPr>
            <w:tcW w:type="dxa" w:w="2016"/>
          </w:tcPr>
          <w:p>
            <w:r>
              <w:t>v0.1.0</w:t>
            </w:r>
          </w:p>
        </w:tc>
        <w:tc>
          <w:tcPr>
            <w:tcW w:type="dxa" w:w="2016"/>
          </w:tcPr>
          <w:p>
            <w:r>
              <w:t>Keep v0.1.0 immutable.</w:t>
            </w:r>
          </w:p>
        </w:tc>
        <w:tc>
          <w:tcPr>
            <w:tcW w:type="dxa" w:w="2016"/>
          </w:tcPr>
          <w:p>
            <w:r>
              <w:t>v0.1.0 commit 053b84ad3bf04ebc1193b5fff420b770946a3845.</w:t>
            </w:r>
          </w:p>
        </w:tc>
      </w:tr>
      <w:tr>
        <w:tc>
          <w:tcPr>
            <w:tcW w:type="dxa" w:w="2016"/>
          </w:tcPr>
          <w:p>
            <w:r>
              <w:t>current_head</w:t>
            </w:r>
          </w:p>
        </w:tc>
        <w:tc>
          <w:tcPr>
            <w:tcW w:type="dxa" w:w="2016"/>
          </w:tcPr>
          <w:p>
            <w:r>
              <w:t>tracked</w:t>
            </w:r>
          </w:p>
        </w:tc>
        <w:tc>
          <w:tcPr>
            <w:tcW w:type="dxa" w:w="2016"/>
          </w:tcPr>
          <w:p>
            <w:r>
              <w:t>f6c3b2e918300d83462893beaf0048461e4e22f3</w:t>
            </w:r>
          </w:p>
        </w:tc>
        <w:tc>
          <w:tcPr>
            <w:tcW w:type="dxa" w:w="2016"/>
          </w:tcPr>
          <w:p>
            <w:r>
              <w:t>Use this commit or a later clean commit as the basis for any v0.1.1 release.</w:t>
            </w:r>
          </w:p>
        </w:tc>
        <w:tc>
          <w:tcPr>
            <w:tcW w:type="dxa" w:w="2016"/>
          </w:tcPr>
          <w:p>
            <w:r>
              <w:t>52 commits after v0.1.0.</w:t>
            </w:r>
          </w:p>
        </w:tc>
      </w:tr>
      <w:tr>
        <w:tc>
          <w:tcPr>
            <w:tcW w:type="dxa" w:w="2016"/>
          </w:tcPr>
          <w:p>
            <w:r>
              <w:t>worktree_cleanliness</w:t>
            </w:r>
          </w:p>
        </w:tc>
        <w:tc>
          <w:tcPr>
            <w:tcW w:type="dxa" w:w="2016"/>
          </w:tcPr>
          <w:p>
            <w:r>
              <w:t>clean</w:t>
            </w:r>
          </w:p>
        </w:tc>
        <w:tc>
          <w:tcPr>
            <w:tcW w:type="dxa" w:w="2016"/>
          </w:tcPr>
          <w:p>
            <w:r>
              <w:t>none</w:t>
            </w:r>
          </w:p>
        </w:tc>
        <w:tc>
          <w:tcPr>
            <w:tcW w:type="dxa" w:w="2016"/>
          </w:tcPr>
          <w:p>
            <w:r>
              <w:t>Commit or intentionally ignore all changes before release.</w:t>
            </w:r>
          </w:p>
        </w:tc>
        <w:tc>
          <w:tcPr>
            <w:tcW w:type="dxa" w:w="2016"/>
          </w:tcPr>
          <w:p>
            <w:r>
              <w:t>A clean worktree is required before tagging a new release.</w:t>
            </w:r>
          </w:p>
        </w:tc>
      </w:tr>
      <w:tr>
        <w:tc>
          <w:tcPr>
            <w:tcW w:type="dxa" w:w="2016"/>
          </w:tcPr>
          <w:p>
            <w:r>
              <w:t>manuscript_facing_delta</w:t>
            </w:r>
          </w:p>
        </w:tc>
        <w:tc>
          <w:tcPr>
            <w:tcW w:type="dxa" w:w="2016"/>
          </w:tcPr>
          <w:p>
            <w:r>
              <w:t>needs_new_release_if_submitted</w:t>
            </w:r>
          </w:p>
        </w:tc>
        <w:tc>
          <w:tcPr>
            <w:tcW w:type="dxa" w:w="2016"/>
          </w:tcPr>
          <w:p>
            <w:r>
              <w:t>257</w:t>
            </w:r>
          </w:p>
        </w:tc>
        <w:tc>
          <w:tcPr>
            <w:tcW w:type="dxa" w:w="2016"/>
          </w:tcPr>
          <w:p>
            <w:r>
              <w:t>Create v0.1.1 only after Figure 4 acknowledgement and final figure/source-data freeze if these post-release files are cited.</w:t>
            </w:r>
          </w:p>
        </w:tc>
        <w:tc>
          <w:tcPr>
            <w:tcW w:type="dxa" w:w="2016"/>
          </w:tcPr>
          <w:p>
            <w:r>
              <w:t>Manuscript-facing files changed after the archived v0.1.0 DOI.</w:t>
            </w:r>
          </w:p>
        </w:tc>
      </w:tr>
      <w:tr>
        <w:tc>
          <w:tcPr>
            <w:tcW w:type="dxa" w:w="2016"/>
          </w:tcPr>
          <w:p>
            <w:r>
              <w:t>figure_source_delta</w:t>
            </w:r>
          </w:p>
        </w:tc>
        <w:tc>
          <w:tcPr>
            <w:tcW w:type="dxa" w:w="2016"/>
          </w:tcPr>
          <w:p>
            <w:r>
              <w:t>changed</w:t>
            </w:r>
          </w:p>
        </w:tc>
        <w:tc>
          <w:tcPr>
            <w:tcW w:type="dxa" w:w="2016"/>
          </w:tcPr>
          <w:p>
            <w:r>
              <w:t>27</w:t>
            </w:r>
          </w:p>
        </w:tc>
        <w:tc>
          <w:tcPr>
            <w:tcW w:type="dxa" w:w="2016"/>
          </w:tcPr>
          <w:p>
            <w:r>
              <w:t>Ensure final figures and source data are included in the next release if used in submission.</w:t>
            </w:r>
          </w:p>
        </w:tc>
        <w:tc>
          <w:tcPr>
            <w:tcW w:type="dxa" w:w="2016"/>
          </w:tcPr>
          <w:p>
            <w:r>
              <w:t>Figure/source-data changes after v0.1.0 affect reproducibility coverage.</w:t>
            </w:r>
          </w:p>
        </w:tc>
      </w:tr>
      <w:tr>
        <w:tc>
          <w:tcPr>
            <w:tcW w:type="dxa" w:w="2016"/>
          </w:tcPr>
          <w:p>
            <w:r>
              <w:t>pipeline_code_delta</w:t>
            </w:r>
          </w:p>
        </w:tc>
        <w:tc>
          <w:tcPr>
            <w:tcW w:type="dxa" w:w="2016"/>
          </w:tcPr>
          <w:p>
            <w:r>
              <w:t>changed</w:t>
            </w:r>
          </w:p>
        </w:tc>
        <w:tc>
          <w:tcPr>
            <w:tcW w:type="dxa" w:w="2016"/>
          </w:tcPr>
          <w:p>
            <w:r>
              <w:t>52</w:t>
            </w:r>
          </w:p>
        </w:tc>
        <w:tc>
          <w:tcPr>
            <w:tcW w:type="dxa" w:w="2016"/>
          </w:tcPr>
          <w:p>
            <w:r>
              <w:t>Archive updated scripts/benchmarks in the same release as the submitted source data.</w:t>
            </w:r>
          </w:p>
        </w:tc>
        <w:tc>
          <w:tcPr>
            <w:tcW w:type="dxa" w:w="2016"/>
          </w:tcPr>
          <w:p>
            <w:r>
              <w:t>Code changes after v0.1.0 affect rerun parity.</w:t>
            </w:r>
          </w:p>
        </w:tc>
      </w:tr>
      <w:tr>
        <w:tc>
          <w:tcPr>
            <w:tcW w:type="dxa" w:w="2016"/>
          </w:tcPr>
          <w:p>
            <w:r>
              <w:t>release_recommendation</w:t>
            </w:r>
          </w:p>
        </w:tc>
        <w:tc>
          <w:tcPr>
            <w:tcW w:type="dxa" w:w="2016"/>
          </w:tcPr>
          <w:p>
            <w:r>
              <w:t>prepare_v0.1.1_after_author_ack</w:t>
            </w:r>
          </w:p>
        </w:tc>
        <w:tc>
          <w:tcPr>
            <w:tcW w:type="dxa" w:w="2016"/>
          </w:tcPr>
          <w:p>
            <w:r>
              <w:t>v0.1.1</w:t>
            </w:r>
          </w:p>
        </w:tc>
        <w:tc>
          <w:tcPr>
            <w:tcW w:type="dxa" w:w="2016"/>
          </w:tcPr>
          <w:p>
            <w:r>
              <w:t>Do not tag the new release until manual Figure 4 and author-declaration blockers are resolved.</w:t>
            </w:r>
          </w:p>
        </w:tc>
        <w:tc>
          <w:tcPr>
            <w:tcW w:type="dxa" w:w="2016"/>
          </w:tcPr>
          <w:p>
            <w:r>
              <w:t>The release refresh is a submission-readiness action, not a current scientific pass.</w:t>
            </w:r>
          </w:p>
        </w:tc>
      </w:tr>
    </w:tbl>
    <w:p>
      <w:pPr>
        <w:pStyle w:val="Heading2"/>
      </w:pPr>
      <w:r>
        <w:t>Changed File Classes</w:t>
      </w:r>
    </w:p>
    <w:tbl>
      <w:tblPr>
        <w:tblStyle w:val="TableGrid"/>
        <w:tblW w:type="auto" w:w="0"/>
        <w:tblLook w:firstColumn="1" w:firstRow="1" w:lastColumn="0" w:lastRow="0" w:noHBand="0" w:noVBand="1" w:val="04A0"/>
      </w:tblPr>
      <w:tblGrid>
        <w:gridCol w:w="5040"/>
        <w:gridCol w:w="5040"/>
      </w:tblGrid>
      <w:tr>
        <w:tc>
          <w:tcPr>
            <w:tcW w:type="dxa" w:w="5040"/>
          </w:tcPr>
          <w:p>
            <w:r>
              <w:t>Class</w:t>
            </w:r>
          </w:p>
        </w:tc>
        <w:tc>
          <w:tcPr>
            <w:tcW w:type="dxa" w:w="5040"/>
          </w:tcPr>
          <w:p>
            <w:r>
              <w:t>Count</w:t>
            </w:r>
          </w:p>
        </w:tc>
      </w:tr>
      <w:tr>
        <w:tc>
          <w:tcPr>
            <w:tcW w:type="dxa" w:w="5040"/>
          </w:tcPr>
          <w:p>
            <w:r>
              <w:t>ablation_result</w:t>
            </w:r>
          </w:p>
        </w:tc>
        <w:tc>
          <w:tcPr>
            <w:tcW w:type="dxa" w:w="5040"/>
          </w:tcPr>
          <w:p>
            <w:r>
              <w:t>5</w:t>
            </w:r>
          </w:p>
        </w:tc>
      </w:tr>
      <w:tr>
        <w:tc>
          <w:tcPr>
            <w:tcW w:type="dxa" w:w="5040"/>
          </w:tcPr>
          <w:p>
            <w:r>
              <w:t>benchmark_code</w:t>
            </w:r>
          </w:p>
        </w:tc>
        <w:tc>
          <w:tcPr>
            <w:tcW w:type="dxa" w:w="5040"/>
          </w:tcPr>
          <w:p>
            <w:r>
              <w:t>4</w:t>
            </w:r>
          </w:p>
        </w:tc>
      </w:tr>
      <w:tr>
        <w:tc>
          <w:tcPr>
            <w:tcW w:type="dxa" w:w="5040"/>
          </w:tcPr>
          <w:p>
            <w:r>
              <w:t>calibration_figure</w:t>
            </w:r>
          </w:p>
        </w:tc>
        <w:tc>
          <w:tcPr>
            <w:tcW w:type="dxa" w:w="5040"/>
          </w:tcPr>
          <w:p>
            <w:r>
              <w:t>3</w:t>
            </w:r>
          </w:p>
        </w:tc>
      </w:tr>
      <w:tr>
        <w:tc>
          <w:tcPr>
            <w:tcW w:type="dxa" w:w="5040"/>
          </w:tcPr>
          <w:p>
            <w:r>
              <w:t>calibration_result</w:t>
            </w:r>
          </w:p>
        </w:tc>
        <w:tc>
          <w:tcPr>
            <w:tcW w:type="dxa" w:w="5040"/>
          </w:tcPr>
          <w:p>
            <w:r>
              <w:t>5</w:t>
            </w:r>
          </w:p>
        </w:tc>
      </w:tr>
      <w:tr>
        <w:tc>
          <w:tcPr>
            <w:tcW w:type="dxa" w:w="5040"/>
          </w:tcPr>
          <w:p>
            <w:r>
              <w:t>competitor_result</w:t>
            </w:r>
          </w:p>
        </w:tc>
        <w:tc>
          <w:tcPr>
            <w:tcW w:type="dxa" w:w="5040"/>
          </w:tcPr>
          <w:p>
            <w:r>
              <w:t>26</w:t>
            </w:r>
          </w:p>
        </w:tc>
      </w:tr>
      <w:tr>
        <w:tc>
          <w:tcPr>
            <w:tcW w:type="dxa" w:w="5040"/>
          </w:tcPr>
          <w:p>
            <w:r>
              <w:t>figure_source_data</w:t>
            </w:r>
          </w:p>
        </w:tc>
        <w:tc>
          <w:tcPr>
            <w:tcW w:type="dxa" w:w="5040"/>
          </w:tcPr>
          <w:p>
            <w:r>
              <w:t>6</w:t>
            </w:r>
          </w:p>
        </w:tc>
      </w:tr>
      <w:tr>
        <w:tc>
          <w:tcPr>
            <w:tcW w:type="dxa" w:w="5040"/>
          </w:tcPr>
          <w:p>
            <w:r>
              <w:t>handoff_document</w:t>
            </w:r>
          </w:p>
        </w:tc>
        <w:tc>
          <w:tcPr>
            <w:tcW w:type="dxa" w:w="5040"/>
          </w:tcPr>
          <w:p>
            <w:r>
              <w:t>4</w:t>
            </w:r>
          </w:p>
        </w:tc>
      </w:tr>
      <w:tr>
        <w:tc>
          <w:tcPr>
            <w:tcW w:type="dxa" w:w="5040"/>
          </w:tcPr>
          <w:p>
            <w:r>
              <w:t>handoff_email</w:t>
            </w:r>
          </w:p>
        </w:tc>
        <w:tc>
          <w:tcPr>
            <w:tcW w:type="dxa" w:w="5040"/>
          </w:tcPr>
          <w:p>
            <w:r>
              <w:t>3</w:t>
            </w:r>
          </w:p>
        </w:tc>
      </w:tr>
      <w:tr>
        <w:tc>
          <w:tcPr>
            <w:tcW w:type="dxa" w:w="5040"/>
          </w:tcPr>
          <w:p>
            <w:r>
              <w:t>journal_figure</w:t>
            </w:r>
          </w:p>
        </w:tc>
        <w:tc>
          <w:tcPr>
            <w:tcW w:type="dxa" w:w="5040"/>
          </w:tcPr>
          <w:p>
            <w:r>
              <w:t>18</w:t>
            </w:r>
          </w:p>
        </w:tc>
      </w:tr>
      <w:tr>
        <w:tc>
          <w:tcPr>
            <w:tcW w:type="dxa" w:w="5040"/>
          </w:tcPr>
          <w:p>
            <w:r>
              <w:t>manuscript_text</w:t>
            </w:r>
          </w:p>
        </w:tc>
        <w:tc>
          <w:tcPr>
            <w:tcW w:type="dxa" w:w="5040"/>
          </w:tcPr>
          <w:p>
            <w:r>
              <w:t>16</w:t>
            </w:r>
          </w:p>
        </w:tc>
      </w:tr>
      <w:tr>
        <w:tc>
          <w:tcPr>
            <w:tcW w:type="dxa" w:w="5040"/>
          </w:tcPr>
          <w:p>
            <w:r>
              <w:t>metadata</w:t>
            </w:r>
          </w:p>
        </w:tc>
        <w:tc>
          <w:tcPr>
            <w:tcW w:type="dxa" w:w="5040"/>
          </w:tcPr>
          <w:p>
            <w:r>
              <w:t>4</w:t>
            </w:r>
          </w:p>
        </w:tc>
      </w:tr>
      <w:tr>
        <w:tc>
          <w:tcPr>
            <w:tcW w:type="dxa" w:w="5040"/>
          </w:tcPr>
          <w:p>
            <w:r>
              <w:t>other</w:t>
            </w:r>
          </w:p>
        </w:tc>
        <w:tc>
          <w:tcPr>
            <w:tcW w:type="dxa" w:w="5040"/>
          </w:tcPr>
          <w:p>
            <w:r>
              <w:t>9</w:t>
            </w:r>
          </w:p>
        </w:tc>
      </w:tr>
      <w:tr>
        <w:tc>
          <w:tcPr>
            <w:tcW w:type="dxa" w:w="5040"/>
          </w:tcPr>
          <w:p>
            <w:r>
              <w:t>pdac_result</w:t>
            </w:r>
          </w:p>
        </w:tc>
        <w:tc>
          <w:tcPr>
            <w:tcW w:type="dxa" w:w="5040"/>
          </w:tcPr>
          <w:p>
            <w:r>
              <w:t>10</w:t>
            </w:r>
          </w:p>
        </w:tc>
      </w:tr>
      <w:tr>
        <w:tc>
          <w:tcPr>
            <w:tcW w:type="dxa" w:w="5040"/>
          </w:tcPr>
          <w:p>
            <w:r>
              <w:t>pipeline_code</w:t>
            </w:r>
          </w:p>
        </w:tc>
        <w:tc>
          <w:tcPr>
            <w:tcW w:type="dxa" w:w="5040"/>
          </w:tcPr>
          <w:p>
            <w:r>
              <w:t>48</w:t>
            </w:r>
          </w:p>
        </w:tc>
      </w:tr>
      <w:tr>
        <w:tc>
          <w:tcPr>
            <w:tcW w:type="dxa" w:w="5040"/>
          </w:tcPr>
          <w:p>
            <w:r>
              <w:t>release_metadata</w:t>
            </w:r>
          </w:p>
        </w:tc>
        <w:tc>
          <w:tcPr>
            <w:tcW w:type="dxa" w:w="5040"/>
          </w:tcPr>
          <w:p>
            <w:r>
              <w:t>2</w:t>
            </w:r>
          </w:p>
        </w:tc>
      </w:tr>
      <w:tr>
        <w:tc>
          <w:tcPr>
            <w:tcW w:type="dxa" w:w="5040"/>
          </w:tcPr>
          <w:p>
            <w:r>
              <w:t>repository_doc</w:t>
            </w:r>
          </w:p>
        </w:tc>
        <w:tc>
          <w:tcPr>
            <w:tcW w:type="dxa" w:w="5040"/>
          </w:tcPr>
          <w:p>
            <w:r>
              <w:t>1</w:t>
            </w:r>
          </w:p>
        </w:tc>
      </w:tr>
      <w:tr>
        <w:tc>
          <w:tcPr>
            <w:tcW w:type="dxa" w:w="5040"/>
          </w:tcPr>
          <w:p>
            <w:r>
              <w:t>reproducibility_entrypoint</w:t>
            </w:r>
          </w:p>
        </w:tc>
        <w:tc>
          <w:tcPr>
            <w:tcW w:type="dxa" w:w="5040"/>
          </w:tcPr>
          <w:p>
            <w:r>
              <w:t>1</w:t>
            </w:r>
          </w:p>
        </w:tc>
      </w:tr>
      <w:tr>
        <w:tc>
          <w:tcPr>
            <w:tcW w:type="dxa" w:w="5040"/>
          </w:tcPr>
          <w:p>
            <w:r>
              <w:t>shared_export</w:t>
            </w:r>
          </w:p>
        </w:tc>
        <w:tc>
          <w:tcPr>
            <w:tcW w:type="dxa" w:w="5040"/>
          </w:tcPr>
          <w:p>
            <w:r>
              <w:t>1</w:t>
            </w:r>
          </w:p>
        </w:tc>
      </w:tr>
      <w:tr>
        <w:tc>
          <w:tcPr>
            <w:tcW w:type="dxa" w:w="5040"/>
          </w:tcPr>
          <w:p>
            <w:r>
              <w:t>submission_doc</w:t>
            </w:r>
          </w:p>
        </w:tc>
        <w:tc>
          <w:tcPr>
            <w:tcW w:type="dxa" w:w="5040"/>
          </w:tcPr>
          <w:p>
            <w:r>
              <w:t>55</w:t>
            </w:r>
          </w:p>
        </w:tc>
      </w:tr>
      <w:tr>
        <w:tc>
          <w:tcPr>
            <w:tcW w:type="dxa" w:w="5040"/>
          </w:tcPr>
          <w:p>
            <w:r>
              <w:t>submission_table</w:t>
            </w:r>
          </w:p>
        </w:tc>
        <w:tc>
          <w:tcPr>
            <w:tcW w:type="dxa" w:w="5040"/>
          </w:tcPr>
          <w:p>
            <w:r>
              <w:t>40</w:t>
            </w:r>
          </w:p>
        </w:tc>
      </w:tr>
      <w:tr>
        <w:tc>
          <w:tcPr>
            <w:tcW w:type="dxa" w:w="5040"/>
          </w:tcPr>
          <w:p>
            <w:r>
              <w:t>topology_result</w:t>
            </w:r>
          </w:p>
        </w:tc>
        <w:tc>
          <w:tcPr>
            <w:tcW w:type="dxa" w:w="5040"/>
          </w:tcPr>
          <w:p>
            <w:r>
              <w:t>6</w:t>
            </w:r>
          </w:p>
        </w:tc>
      </w:tr>
    </w:tbl>
    <w:p>
      <w:pPr>
        <w:pStyle w:val="Heading2"/>
      </w:pPr>
      <w:r>
        <w:t>Change Status Counts</w:t>
      </w:r>
    </w:p>
    <w:tbl>
      <w:tblPr>
        <w:tblStyle w:val="TableGrid"/>
        <w:tblW w:type="auto" w:w="0"/>
        <w:tblLook w:firstColumn="1" w:firstRow="1" w:lastColumn="0" w:lastRow="0" w:noHBand="0" w:noVBand="1" w:val="04A0"/>
      </w:tblPr>
      <w:tblGrid>
        <w:gridCol w:w="5040"/>
        <w:gridCol w:w="5040"/>
      </w:tblGrid>
      <w:tr>
        <w:tc>
          <w:tcPr>
            <w:tcW w:type="dxa" w:w="5040"/>
          </w:tcPr>
          <w:p>
            <w:r>
              <w:t>Git status</w:t>
            </w:r>
          </w:p>
        </w:tc>
        <w:tc>
          <w:tcPr>
            <w:tcW w:type="dxa" w:w="5040"/>
          </w:tcPr>
          <w:p>
            <w:r>
              <w:t>Count</w:t>
            </w:r>
          </w:p>
        </w:tc>
      </w:tr>
      <w:tr>
        <w:tc>
          <w:tcPr>
            <w:tcW w:type="dxa" w:w="5040"/>
          </w:tcPr>
          <w:p>
            <w:r>
              <w:t>A</w:t>
            </w:r>
          </w:p>
        </w:tc>
        <w:tc>
          <w:tcPr>
            <w:tcW w:type="dxa" w:w="5040"/>
          </w:tcPr>
          <w:p>
            <w:r>
              <w:t>225</w:t>
            </w:r>
          </w:p>
        </w:tc>
      </w:tr>
      <w:tr>
        <w:tc>
          <w:tcPr>
            <w:tcW w:type="dxa" w:w="5040"/>
          </w:tcPr>
          <w:p>
            <w:r>
              <w:t>M</w:t>
            </w:r>
          </w:p>
        </w:tc>
        <w:tc>
          <w:tcPr>
            <w:tcW w:type="dxa" w:w="5040"/>
          </w:tcPr>
          <w:p>
            <w:r>
              <w:t>42</w:t>
            </w:r>
          </w:p>
        </w:tc>
      </w:tr>
    </w:tbl>
    <w:p>
      <w:pPr>
        <w:pStyle w:val="Heading2"/>
      </w:pPr>
      <w:r>
        <w:t>Example Manuscript-facing Changed Files</w:t>
      </w:r>
    </w:p>
    <w:tbl>
      <w:tblPr>
        <w:tblStyle w:val="TableGrid"/>
        <w:tblW w:type="auto" w:w="0"/>
        <w:tblLook w:firstColumn="1" w:firstRow="1" w:lastColumn="0" w:lastRow="0" w:noHBand="0" w:noVBand="1" w:val="04A0"/>
      </w:tblPr>
      <w:tblGrid>
        <w:gridCol w:w="3360"/>
        <w:gridCol w:w="3360"/>
        <w:gridCol w:w="3360"/>
      </w:tblGrid>
      <w:tr>
        <w:tc>
          <w:tcPr>
            <w:tcW w:type="dxa" w:w="3360"/>
          </w:tcPr>
          <w:p>
            <w:r>
              <w:t>Status</w:t>
            </w:r>
          </w:p>
        </w:tc>
        <w:tc>
          <w:tcPr>
            <w:tcW w:type="dxa" w:w="3360"/>
          </w:tcPr>
          <w:p>
            <w:r>
              <w:t>Class</w:t>
            </w:r>
          </w:p>
        </w:tc>
        <w:tc>
          <w:tcPr>
            <w:tcW w:type="dxa" w:w="3360"/>
          </w:tcPr>
          <w:p>
            <w:r>
              <w:t>Path</w:t>
            </w:r>
          </w:p>
        </w:tc>
      </w:tr>
      <w:tr>
        <w:tc>
          <w:tcPr>
            <w:tcW w:type="dxa" w:w="3360"/>
          </w:tcPr>
          <w:p>
            <w:r>
              <w:t>M</w:t>
            </w:r>
          </w:p>
        </w:tc>
        <w:tc>
          <w:tcPr>
            <w:tcW w:type="dxa" w:w="3360"/>
          </w:tcPr>
          <w:p>
            <w:r>
              <w:t>release_metadata</w:t>
            </w:r>
          </w:p>
        </w:tc>
        <w:tc>
          <w:tcPr>
            <w:tcW w:type="dxa" w:w="3360"/>
          </w:tcPr>
          <w:p>
            <w:r>
              <w:t>.zenodo.json</w:t>
            </w:r>
          </w:p>
        </w:tc>
      </w:tr>
      <w:tr>
        <w:tc>
          <w:tcPr>
            <w:tcW w:type="dxa" w:w="3360"/>
          </w:tcPr>
          <w:p>
            <w:r>
              <w:t>M</w:t>
            </w:r>
          </w:p>
        </w:tc>
        <w:tc>
          <w:tcPr>
            <w:tcW w:type="dxa" w:w="3360"/>
          </w:tcPr>
          <w:p>
            <w:r>
              <w:t>release_metadata</w:t>
            </w:r>
          </w:p>
        </w:tc>
        <w:tc>
          <w:tcPr>
            <w:tcW w:type="dxa" w:w="3360"/>
          </w:tcPr>
          <w:p>
            <w:r>
              <w:t>CITATION.cff</w:t>
            </w:r>
          </w:p>
        </w:tc>
      </w:tr>
      <w:tr>
        <w:tc>
          <w:tcPr>
            <w:tcW w:type="dxa" w:w="3360"/>
          </w:tcPr>
          <w:p>
            <w:r>
              <w:t>M</w:t>
            </w:r>
          </w:p>
        </w:tc>
        <w:tc>
          <w:tcPr>
            <w:tcW w:type="dxa" w:w="3360"/>
          </w:tcPr>
          <w:p>
            <w:r>
              <w:t>reproducibility_entrypoint</w:t>
            </w:r>
          </w:p>
        </w:tc>
        <w:tc>
          <w:tcPr>
            <w:tcW w:type="dxa" w:w="3360"/>
          </w:tcPr>
          <w:p>
            <w:r>
              <w:t>Makefile</w:t>
            </w:r>
          </w:p>
        </w:tc>
      </w:tr>
      <w:tr>
        <w:tc>
          <w:tcPr>
            <w:tcW w:type="dxa" w:w="3360"/>
          </w:tcPr>
          <w:p>
            <w:r>
              <w:t>M</w:t>
            </w:r>
          </w:p>
        </w:tc>
        <w:tc>
          <w:tcPr>
            <w:tcW w:type="dxa" w:w="3360"/>
          </w:tcPr>
          <w:p>
            <w:r>
              <w:t>repository_doc</w:t>
            </w:r>
          </w:p>
        </w:tc>
        <w:tc>
          <w:tcPr>
            <w:tcW w:type="dxa" w:w="3360"/>
          </w:tcPr>
          <w:p>
            <w:r>
              <w:t>README.md</w:t>
            </w:r>
          </w:p>
        </w:tc>
      </w:tr>
      <w:tr>
        <w:tc>
          <w:tcPr>
            <w:tcW w:type="dxa" w:w="3360"/>
          </w:tcPr>
          <w:p>
            <w:r>
              <w:t>A</w:t>
            </w:r>
          </w:p>
        </w:tc>
        <w:tc>
          <w:tcPr>
            <w:tcW w:type="dxa" w:w="3360"/>
          </w:tcPr>
          <w:p>
            <w:r>
              <w:t>benchmark_code</w:t>
            </w:r>
          </w:p>
        </w:tc>
        <w:tc>
          <w:tcPr>
            <w:tcW w:type="dxa" w:w="3360"/>
          </w:tcPr>
          <w:p>
            <w:r>
              <w:t>benchmarks/run_realdata_topology_benchmark.py</w:t>
            </w:r>
          </w:p>
        </w:tc>
      </w:tr>
      <w:tr>
        <w:tc>
          <w:tcPr>
            <w:tcW w:type="dxa" w:w="3360"/>
          </w:tcPr>
          <w:p>
            <w:r>
              <w:t>A</w:t>
            </w:r>
          </w:p>
        </w:tc>
        <w:tc>
          <w:tcPr>
            <w:tcW w:type="dxa" w:w="3360"/>
          </w:tcPr>
          <w:p>
            <w:r>
              <w:t>benchmark_code</w:t>
            </w:r>
          </w:p>
        </w:tc>
        <w:tc>
          <w:tcPr>
            <w:tcW w:type="dxa" w:w="3360"/>
          </w:tcPr>
          <w:p>
            <w:r>
              <w:t>benchmarks/run_sclens_h5ad_smoke.py</w:t>
            </w:r>
          </w:p>
        </w:tc>
      </w:tr>
      <w:tr>
        <w:tc>
          <w:tcPr>
            <w:tcW w:type="dxa" w:w="3360"/>
          </w:tcPr>
          <w:p>
            <w:r>
              <w:t>A</w:t>
            </w:r>
          </w:p>
        </w:tc>
        <w:tc>
          <w:tcPr>
            <w:tcW w:type="dxa" w:w="3360"/>
          </w:tcPr>
          <w:p>
            <w:r>
              <w:t>benchmark_code</w:t>
            </w:r>
          </w:p>
        </w:tc>
        <w:tc>
          <w:tcPr>
            <w:tcW w:type="dxa" w:w="3360"/>
          </w:tcPr>
          <w:p>
            <w:r>
              <w:t>benchmarks/run_sclens_stability_benchmark.py</w:t>
            </w:r>
          </w:p>
        </w:tc>
      </w:tr>
      <w:tr>
        <w:tc>
          <w:tcPr>
            <w:tcW w:type="dxa" w:w="3360"/>
          </w:tcPr>
          <w:p>
            <w:r>
              <w:t>A</w:t>
            </w:r>
          </w:p>
        </w:tc>
        <w:tc>
          <w:tcPr>
            <w:tcW w:type="dxa" w:w="3360"/>
          </w:tcPr>
          <w:p>
            <w:r>
              <w:t>benchmark_code</w:t>
            </w:r>
          </w:p>
        </w:tc>
        <w:tc>
          <w:tcPr>
            <w:tcW w:type="dxa" w:w="3360"/>
          </w:tcPr>
          <w:p>
            <w:r>
              <w:t>benchmarks/run_topology_stress_benchmark.py</w:t>
            </w:r>
          </w:p>
        </w:tc>
      </w:tr>
      <w:tr>
        <w:tc>
          <w:tcPr>
            <w:tcW w:type="dxa" w:w="3360"/>
          </w:tcPr>
          <w:p>
            <w:r>
              <w:t>A</w:t>
            </w:r>
          </w:p>
        </w:tc>
        <w:tc>
          <w:tcPr>
            <w:tcW w:type="dxa" w:w="3360"/>
          </w:tcPr>
          <w:p>
            <w:r>
              <w:t>submission_doc</w:t>
            </w:r>
          </w:p>
        </w:tc>
        <w:tc>
          <w:tcPr>
            <w:tcW w:type="dxa" w:w="3360"/>
          </w:tcPr>
          <w:p>
            <w:r>
              <w:t>docs/added_dataset_annotation_boundary.md</w:t>
            </w:r>
          </w:p>
        </w:tc>
      </w:tr>
      <w:tr>
        <w:tc>
          <w:tcPr>
            <w:tcW w:type="dxa" w:w="3360"/>
          </w:tcPr>
          <w:p>
            <w:r>
              <w:t>A</w:t>
            </w:r>
          </w:p>
        </w:tc>
        <w:tc>
          <w:tcPr>
            <w:tcW w:type="dxa" w:w="3360"/>
          </w:tcPr>
          <w:p>
            <w:r>
              <w:t>submission_doc</w:t>
            </w:r>
          </w:p>
        </w:tc>
        <w:tc>
          <w:tcPr>
            <w:tcW w:type="dxa" w:w="3360"/>
          </w:tcPr>
          <w:p>
            <w:r>
              <w:t>docs/author_declaration_confirmation_packet.md</w:t>
            </w:r>
          </w:p>
        </w:tc>
      </w:tr>
      <w:tr>
        <w:tc>
          <w:tcPr>
            <w:tcW w:type="dxa" w:w="3360"/>
          </w:tcPr>
          <w:p>
            <w:r>
              <w:t>M</w:t>
            </w:r>
          </w:p>
        </w:tc>
        <w:tc>
          <w:tcPr>
            <w:tcW w:type="dxa" w:w="3360"/>
          </w:tcPr>
          <w:p>
            <w:r>
              <w:t>submission_doc</w:t>
            </w:r>
          </w:p>
        </w:tc>
        <w:tc>
          <w:tcPr>
            <w:tcW w:type="dxa" w:w="3360"/>
          </w:tcPr>
          <w:p>
            <w:r>
              <w:t>docs/author_declarations_and_credit_roles.md</w:t>
            </w:r>
          </w:p>
        </w:tc>
      </w:tr>
      <w:tr>
        <w:tc>
          <w:tcPr>
            <w:tcW w:type="dxa" w:w="3360"/>
          </w:tcPr>
          <w:p>
            <w:r>
              <w:t>M</w:t>
            </w:r>
          </w:p>
        </w:tc>
        <w:tc>
          <w:tcPr>
            <w:tcW w:type="dxa" w:w="3360"/>
          </w:tcPr>
          <w:p>
            <w:r>
              <w:t>submission_doc</w:t>
            </w:r>
          </w:p>
        </w:tc>
        <w:tc>
          <w:tcPr>
            <w:tcW w:type="dxa" w:w="3360"/>
          </w:tcPr>
          <w:p>
            <w:r>
              <w:t>docs/author_metadata_status.md</w:t>
            </w:r>
          </w:p>
        </w:tc>
      </w:tr>
      <w:tr>
        <w:tc>
          <w:tcPr>
            <w:tcW w:type="dxa" w:w="3360"/>
          </w:tcPr>
          <w:p>
            <w:r>
              <w:t>M</w:t>
            </w:r>
          </w:p>
        </w:tc>
        <w:tc>
          <w:tcPr>
            <w:tcW w:type="dxa" w:w="3360"/>
          </w:tcPr>
          <w:p>
            <w:r>
              <w:t>submission_doc</w:t>
            </w:r>
          </w:p>
        </w:tc>
        <w:tc>
          <w:tcPr>
            <w:tcW w:type="dxa" w:w="3360"/>
          </w:tcPr>
          <w:p>
            <w:r>
              <w:t>docs/author_release_execution_packet.md</w:t>
            </w:r>
          </w:p>
        </w:tc>
      </w:tr>
      <w:tr>
        <w:tc>
          <w:tcPr>
            <w:tcW w:type="dxa" w:w="3360"/>
          </w:tcPr>
          <w:p>
            <w:r>
              <w:t>A</w:t>
            </w:r>
          </w:p>
        </w:tc>
        <w:tc>
          <w:tcPr>
            <w:tcW w:type="dxa" w:w="3360"/>
          </w:tcPr>
          <w:p>
            <w:r>
              <w:t>submission_doc</w:t>
            </w:r>
          </w:p>
        </w:tc>
        <w:tc>
          <w:tcPr>
            <w:tcW w:type="dxa" w:w="3360"/>
          </w:tcPr>
          <w:p>
            <w:r>
              <w:t>docs/benchmark_upgrade_from_concord_sclens_2026-05-12.md</w:t>
            </w:r>
          </w:p>
        </w:tc>
      </w:tr>
      <w:tr>
        <w:tc>
          <w:tcPr>
            <w:tcW w:type="dxa" w:w="3360"/>
          </w:tcPr>
          <w:p>
            <w:r>
              <w:t>M</w:t>
            </w:r>
          </w:p>
        </w:tc>
        <w:tc>
          <w:tcPr>
            <w:tcW w:type="dxa" w:w="3360"/>
          </w:tcPr>
          <w:p>
            <w:r>
              <w:t>submission_doc</w:t>
            </w:r>
          </w:p>
        </w:tc>
        <w:tc>
          <w:tcPr>
            <w:tcW w:type="dxa" w:w="3360"/>
          </w:tcPr>
          <w:p>
            <w:r>
              <w:t>docs/claim_boundary_lint.md</w:t>
            </w:r>
          </w:p>
        </w:tc>
      </w:tr>
      <w:tr>
        <w:tc>
          <w:tcPr>
            <w:tcW w:type="dxa" w:w="3360"/>
          </w:tcPr>
          <w:p>
            <w:r>
              <w:t>M</w:t>
            </w:r>
          </w:p>
        </w:tc>
        <w:tc>
          <w:tcPr>
            <w:tcW w:type="dxa" w:w="3360"/>
          </w:tcPr>
          <w:p>
            <w:r>
              <w:t>submission_doc</w:t>
            </w:r>
          </w:p>
        </w:tc>
        <w:tc>
          <w:tcPr>
            <w:tcW w:type="dxa" w:w="3360"/>
          </w:tcPr>
          <w:p>
            <w:r>
              <w:t>docs/claim_traceability.md</w:t>
            </w:r>
          </w:p>
        </w:tc>
      </w:tr>
      <w:tr>
        <w:tc>
          <w:tcPr>
            <w:tcW w:type="dxa" w:w="3360"/>
          </w:tcPr>
          <w:p>
            <w:r>
              <w:t>A</w:t>
            </w:r>
          </w:p>
        </w:tc>
        <w:tc>
          <w:tcPr>
            <w:tcW w:type="dxa" w:w="3360"/>
          </w:tcPr>
          <w:p>
            <w:r>
              <w:t>submission_doc</w:t>
            </w:r>
          </w:p>
        </w:tc>
        <w:tc>
          <w:tcPr>
            <w:tcW w:type="dxa" w:w="3360"/>
          </w:tcPr>
          <w:p>
            <w:r>
              <w:t>docs/competitor_positioning_concord_sclens_2026-05-12.md</w:t>
            </w:r>
          </w:p>
        </w:tc>
      </w:tr>
      <w:tr>
        <w:tc>
          <w:tcPr>
            <w:tcW w:type="dxa" w:w="3360"/>
          </w:tcPr>
          <w:p>
            <w:r>
              <w:t>M</w:t>
            </w:r>
          </w:p>
        </w:tc>
        <w:tc>
          <w:tcPr>
            <w:tcW w:type="dxa" w:w="3360"/>
          </w:tcPr>
          <w:p>
            <w:r>
              <w:t>submission_doc</w:t>
            </w:r>
          </w:p>
        </w:tc>
        <w:tc>
          <w:tcPr>
            <w:tcW w:type="dxa" w:w="3360"/>
          </w:tcPr>
          <w:p>
            <w:r>
              <w:t>docs/component_ablation_benchmark.md</w:t>
            </w:r>
          </w:p>
        </w:tc>
      </w:tr>
      <w:tr>
        <w:tc>
          <w:tcPr>
            <w:tcW w:type="dxa" w:w="3360"/>
          </w:tcPr>
          <w:p>
            <w:r>
              <w:t>A</w:t>
            </w:r>
          </w:p>
        </w:tc>
        <w:tc>
          <w:tcPr>
            <w:tcW w:type="dxa" w:w="3360"/>
          </w:tcPr>
          <w:p>
            <w:r>
              <w:t>submission_doc</w:t>
            </w:r>
          </w:p>
        </w:tc>
        <w:tc>
          <w:tcPr>
            <w:tcW w:type="dxa" w:w="3360"/>
          </w:tcPr>
          <w:p>
            <w:r>
              <w:t>docs/corresponding_author_proxy_assumption.md</w:t>
            </w:r>
          </w:p>
        </w:tc>
      </w:tr>
      <w:tr>
        <w:tc>
          <w:tcPr>
            <w:tcW w:type="dxa" w:w="3360"/>
          </w:tcPr>
          <w:p>
            <w:r>
              <w:t>A</w:t>
            </w:r>
          </w:p>
        </w:tc>
        <w:tc>
          <w:tcPr>
            <w:tcW w:type="dxa" w:w="3360"/>
          </w:tcPr>
          <w:p>
            <w:r>
              <w:t>submission_doc</w:t>
            </w:r>
          </w:p>
        </w:tc>
        <w:tc>
          <w:tcPr>
            <w:tcW w:type="dxa" w:w="3360"/>
          </w:tcPr>
          <w:p>
            <w:r>
              <w:t>docs/corresponding_author_reply_intake_runbook.md</w:t>
            </w:r>
          </w:p>
        </w:tc>
      </w:tr>
      <w:tr>
        <w:tc>
          <w:tcPr>
            <w:tcW w:type="dxa" w:w="3360"/>
          </w:tcPr>
          <w:p>
            <w:r>
              <w:t>A</w:t>
            </w:r>
          </w:p>
        </w:tc>
        <w:tc>
          <w:tcPr>
            <w:tcW w:type="dxa" w:w="3360"/>
          </w:tcPr>
          <w:p>
            <w:r>
              <w:t>submission_doc</w:t>
            </w:r>
          </w:p>
        </w:tc>
        <w:tc>
          <w:tcPr>
            <w:tcW w:type="dxa" w:w="3360"/>
          </w:tcPr>
          <w:p>
            <w:r>
              <w:t>docs/corresponding_author_signoff_tracker.md</w:t>
            </w:r>
          </w:p>
        </w:tc>
      </w:tr>
      <w:tr>
        <w:tc>
          <w:tcPr>
            <w:tcW w:type="dxa" w:w="3360"/>
          </w:tcPr>
          <w:p>
            <w:r>
              <w:t>A</w:t>
            </w:r>
          </w:p>
        </w:tc>
        <w:tc>
          <w:tcPr>
            <w:tcW w:type="dxa" w:w="3360"/>
          </w:tcPr>
          <w:p>
            <w:r>
              <w:t>submission_doc</w:t>
            </w:r>
          </w:p>
        </w:tc>
        <w:tc>
          <w:tcPr>
            <w:tcW w:type="dxa" w:w="3360"/>
          </w:tcPr>
          <w:p>
            <w:r>
              <w:t>docs/current_evidence_freeze_2026-05-12.md</w:t>
            </w:r>
          </w:p>
        </w:tc>
      </w:tr>
      <w:tr>
        <w:tc>
          <w:tcPr>
            <w:tcW w:type="dxa" w:w="3360"/>
          </w:tcPr>
          <w:p>
            <w:r>
              <w:t>M</w:t>
            </w:r>
          </w:p>
        </w:tc>
        <w:tc>
          <w:tcPr>
            <w:tcW w:type="dxa" w:w="3360"/>
          </w:tcPr>
          <w:p>
            <w:r>
              <w:t>submission_doc</w:t>
            </w:r>
          </w:p>
        </w:tc>
        <w:tc>
          <w:tcPr>
            <w:tcW w:type="dxa" w:w="3360"/>
          </w:tcPr>
          <w:p>
            <w:r>
              <w:t>docs/editorial_presubmission_packet.md</w:t>
            </w:r>
          </w:p>
        </w:tc>
      </w:tr>
      <w:tr>
        <w:tc>
          <w:tcPr>
            <w:tcW w:type="dxa" w:w="3360"/>
          </w:tcPr>
          <w:p>
            <w:r>
              <w:t>A</w:t>
            </w:r>
          </w:p>
        </w:tc>
        <w:tc>
          <w:tcPr>
            <w:tcW w:type="dxa" w:w="3360"/>
          </w:tcPr>
          <w:p>
            <w:r>
              <w:t>submission_doc</w:t>
            </w:r>
          </w:p>
        </w:tc>
        <w:tc>
          <w:tcPr>
            <w:tcW w:type="dxa" w:w="3360"/>
          </w:tcPr>
          <w:p>
            <w:r>
              <w:t>docs/figure4_pdac_tme_wording_freeze.md</w:t>
            </w:r>
          </w:p>
        </w:tc>
      </w:tr>
      <w:tr>
        <w:tc>
          <w:tcPr>
            <w:tcW w:type="dxa" w:w="3360"/>
          </w:tcPr>
          <w:p>
            <w:r>
              <w:t>A</w:t>
            </w:r>
          </w:p>
        </w:tc>
        <w:tc>
          <w:tcPr>
            <w:tcW w:type="dxa" w:w="3360"/>
          </w:tcPr>
          <w:p>
            <w:r>
              <w:t>submission_doc</w:t>
            </w:r>
          </w:p>
        </w:tc>
        <w:tc>
          <w:tcPr>
            <w:tcW w:type="dxa" w:w="3360"/>
          </w:tcPr>
          <w:p>
            <w:r>
              <w:t>docs/figure4_strengthened_text_audit.md</w:t>
            </w:r>
          </w:p>
        </w:tc>
      </w:tr>
      <w:tr>
        <w:tc>
          <w:tcPr>
            <w:tcW w:type="dxa" w:w="3360"/>
          </w:tcPr>
          <w:p>
            <w:r>
              <w:t>A</w:t>
            </w:r>
          </w:p>
        </w:tc>
        <w:tc>
          <w:tcPr>
            <w:tcW w:type="dxa" w:w="3360"/>
          </w:tcPr>
          <w:p>
            <w:r>
              <w:t>submission_doc</w:t>
            </w:r>
          </w:p>
        </w:tc>
        <w:tc>
          <w:tcPr>
            <w:tcW w:type="dxa" w:w="3360"/>
          </w:tcPr>
          <w:p>
            <w:r>
              <w:t>docs/figure_caption_source_audit.md</w:t>
            </w:r>
          </w:p>
        </w:tc>
      </w:tr>
      <w:tr>
        <w:tc>
          <w:tcPr>
            <w:tcW w:type="dxa" w:w="3360"/>
          </w:tcPr>
          <w:p>
            <w:r>
              <w:t>A</w:t>
            </w:r>
          </w:p>
        </w:tc>
        <w:tc>
          <w:tcPr>
            <w:tcW w:type="dxa" w:w="3360"/>
          </w:tcPr>
          <w:p>
            <w:r>
              <w:t>submission_doc</w:t>
            </w:r>
          </w:p>
        </w:tc>
        <w:tc>
          <w:tcPr>
            <w:tcW w:type="dxa" w:w="3360"/>
          </w:tcPr>
          <w:p>
            <w:r>
              <w:t>docs/genome_biology_fallback_v2_packet.md</w:t>
            </w:r>
          </w:p>
        </w:tc>
      </w:tr>
      <w:tr>
        <w:tc>
          <w:tcPr>
            <w:tcW w:type="dxa" w:w="3360"/>
          </w:tcPr>
          <w:p>
            <w:r>
              <w:t>A</w:t>
            </w:r>
          </w:p>
        </w:tc>
        <w:tc>
          <w:tcPr>
            <w:tcW w:type="dxa" w:w="3360"/>
          </w:tcPr>
          <w:p>
            <w:r>
              <w:t>submission_doc</w:t>
            </w:r>
          </w:p>
        </w:tc>
        <w:tc>
          <w:tcPr>
            <w:tcW w:type="dxa" w:w="3360"/>
          </w:tcPr>
          <w:p>
            <w:r>
              <w:t>docs/high_impact_submission_dashboard.md</w:t>
            </w:r>
          </w:p>
        </w:tc>
      </w:tr>
      <w:tr>
        <w:tc>
          <w:tcPr>
            <w:tcW w:type="dxa" w:w="3360"/>
          </w:tcPr>
          <w:p>
            <w:r>
              <w:t>M</w:t>
            </w:r>
          </w:p>
        </w:tc>
        <w:tc>
          <w:tcPr>
            <w:tcW w:type="dxa" w:w="3360"/>
          </w:tcPr>
          <w:p>
            <w:r>
              <w:t>submission_doc</w:t>
            </w:r>
          </w:p>
        </w:tc>
        <w:tc>
          <w:tcPr>
            <w:tcW w:type="dxa" w:w="3360"/>
          </w:tcPr>
          <w:p>
            <w:r>
              <w:t>docs/jif20_50_gap_assessment.md</w:t>
            </w:r>
          </w:p>
        </w:tc>
      </w:tr>
      <w:tr>
        <w:tc>
          <w:tcPr>
            <w:tcW w:type="dxa" w:w="3360"/>
          </w:tcPr>
          <w:p>
            <w:r>
              <w:t>M</w:t>
            </w:r>
          </w:p>
        </w:tc>
        <w:tc>
          <w:tcPr>
            <w:tcW w:type="dxa" w:w="3360"/>
          </w:tcPr>
          <w:p>
            <w:r>
              <w:t>submission_doc</w:t>
            </w:r>
          </w:p>
        </w:tc>
        <w:tc>
          <w:tcPr>
            <w:tcW w:type="dxa" w:w="3360"/>
          </w:tcPr>
          <w:p>
            <w:r>
              <w:t>docs/manual_author_execution_steps.md</w:t>
            </w:r>
          </w:p>
        </w:tc>
      </w:tr>
      <w:tr>
        <w:tc>
          <w:tcPr>
            <w:tcW w:type="dxa" w:w="3360"/>
          </w:tcPr>
          <w:p>
            <w:r>
              <w:t>A</w:t>
            </w:r>
          </w:p>
        </w:tc>
        <w:tc>
          <w:tcPr>
            <w:tcW w:type="dxa" w:w="3360"/>
          </w:tcPr>
          <w:p>
            <w:r>
              <w:t>submission_doc</w:t>
            </w:r>
          </w:p>
        </w:tc>
        <w:tc>
          <w:tcPr>
            <w:tcW w:type="dxa" w:w="3360"/>
          </w:tcPr>
          <w:p>
            <w:r>
              <w:t>docs/manual_next_actions_20_50.md</w:t>
            </w:r>
          </w:p>
        </w:tc>
      </w:tr>
      <w:tr>
        <w:tc>
          <w:tcPr>
            <w:tcW w:type="dxa" w:w="3360"/>
          </w:tcPr>
          <w:p>
            <w:r>
              <w:t>A</w:t>
            </w:r>
          </w:p>
        </w:tc>
        <w:tc>
          <w:tcPr>
            <w:tcW w:type="dxa" w:w="3360"/>
          </w:tcPr>
          <w:p>
            <w:r>
              <w:t>submission_doc</w:t>
            </w:r>
          </w:p>
        </w:tc>
        <w:tc>
          <w:tcPr>
            <w:tcW w:type="dxa" w:w="3360"/>
          </w:tcPr>
          <w:p>
            <w:r>
              <w:t>docs/manuscript_grade_null_power_grid_design.md</w:t>
            </w:r>
          </w:p>
        </w:tc>
      </w:tr>
      <w:tr>
        <w:tc>
          <w:tcPr>
            <w:tcW w:type="dxa" w:w="3360"/>
          </w:tcPr>
          <w:p>
            <w:r>
              <w:t>A</w:t>
            </w:r>
          </w:p>
        </w:tc>
        <w:tc>
          <w:tcPr>
            <w:tcW w:type="dxa" w:w="3360"/>
          </w:tcPr>
          <w:p>
            <w:r>
              <w:t>submission_doc</w:t>
            </w:r>
          </w:p>
        </w:tc>
        <w:tc>
          <w:tcPr>
            <w:tcW w:type="dxa" w:w="3360"/>
          </w:tcPr>
          <w:p>
            <w:r>
              <w:t>docs/mentor_journal_decision_2026-05-10.md</w:t>
            </w:r>
          </w:p>
        </w:tc>
      </w:tr>
      <w:tr>
        <w:tc>
          <w:tcPr>
            <w:tcW w:type="dxa" w:w="3360"/>
          </w:tcPr>
          <w:p>
            <w:r>
              <w:t>A</w:t>
            </w:r>
          </w:p>
        </w:tc>
        <w:tc>
          <w:tcPr>
            <w:tcW w:type="dxa" w:w="3360"/>
          </w:tcPr>
          <w:p>
            <w:r>
              <w:t>submission_doc</w:t>
            </w:r>
          </w:p>
        </w:tc>
        <w:tc>
          <w:tcPr>
            <w:tcW w:type="dxa" w:w="3360"/>
          </w:tcPr>
          <w:p>
            <w:r>
              <w:t>docs/nature_methods_48h_execution_packet.md</w:t>
            </w:r>
          </w:p>
        </w:tc>
      </w:tr>
      <w:tr>
        <w:tc>
          <w:tcPr>
            <w:tcW w:type="dxa" w:w="3360"/>
          </w:tcPr>
          <w:p>
            <w:r>
              <w:t>A</w:t>
            </w:r>
          </w:p>
        </w:tc>
        <w:tc>
          <w:tcPr>
            <w:tcW w:type="dxa" w:w="3360"/>
          </w:tcPr>
          <w:p>
            <w:r>
              <w:t>submission_doc</w:t>
            </w:r>
          </w:p>
        </w:tc>
        <w:tc>
          <w:tcPr>
            <w:tcW w:type="dxa" w:w="3360"/>
          </w:tcPr>
          <w:p>
            <w:r>
              <w:t>docs/nature_methods_go_no_go_final.md</w:t>
            </w:r>
          </w:p>
        </w:tc>
      </w:tr>
      <w:tr>
        <w:tc>
          <w:tcPr>
            <w:tcW w:type="dxa" w:w="3360"/>
          </w:tcPr>
          <w:p>
            <w:r>
              <w:t>A</w:t>
            </w:r>
          </w:p>
        </w:tc>
        <w:tc>
          <w:tcPr>
            <w:tcW w:type="dxa" w:w="3360"/>
          </w:tcPr>
          <w:p>
            <w:r>
              <w:t>submission_doc</w:t>
            </w:r>
          </w:p>
        </w:tc>
        <w:tc>
          <w:tcPr>
            <w:tcW w:type="dxa" w:w="3360"/>
          </w:tcPr>
          <w:p>
            <w:r>
              <w:t>docs/nature_methods_next_round_gate_board.md</w:t>
            </w:r>
          </w:p>
        </w:tc>
      </w:tr>
      <w:tr>
        <w:tc>
          <w:tcPr>
            <w:tcW w:type="dxa" w:w="3360"/>
          </w:tcPr>
          <w:p>
            <w:r>
              <w:t>A</w:t>
            </w:r>
          </w:p>
        </w:tc>
        <w:tc>
          <w:tcPr>
            <w:tcW w:type="dxa" w:w="3360"/>
          </w:tcPr>
          <w:p>
            <w:r>
              <w:t>submission_doc</w:t>
            </w:r>
          </w:p>
        </w:tc>
        <w:tc>
          <w:tcPr>
            <w:tcW w:type="dxa" w:w="3360"/>
          </w:tcPr>
          <w:p>
            <w:r>
              <w:t>docs/nature_methods_official_route_verification.md</w:t>
            </w:r>
          </w:p>
        </w:tc>
      </w:tr>
      <w:tr>
        <w:tc>
          <w:tcPr>
            <w:tcW w:type="dxa" w:w="3360"/>
          </w:tcPr>
          <w:p>
            <w:r>
              <w:t>A</w:t>
            </w:r>
          </w:p>
        </w:tc>
        <w:tc>
          <w:tcPr>
            <w:tcW w:type="dxa" w:w="3360"/>
          </w:tcPr>
          <w:p>
            <w:r>
              <w:t>submission_doc</w:t>
            </w:r>
          </w:p>
        </w:tc>
        <w:tc>
          <w:tcPr>
            <w:tcW w:type="dxa" w:w="3360"/>
          </w:tcPr>
          <w:p>
            <w:r>
              <w:t>docs/nature_methods_presubmission_send_runbook.md</w:t>
            </w:r>
          </w:p>
        </w:tc>
      </w:tr>
      <w:tr>
        <w:tc>
          <w:tcPr>
            <w:tcW w:type="dxa" w:w="3360"/>
          </w:tcPr>
          <w:p>
            <w:r>
              <w:t>M</w:t>
            </w:r>
          </w:p>
        </w:tc>
        <w:tc>
          <w:tcPr>
            <w:tcW w:type="dxa" w:w="3360"/>
          </w:tcPr>
          <w:p>
            <w:r>
              <w:t>submission_doc</w:t>
            </w:r>
          </w:p>
        </w:tc>
        <w:tc>
          <w:tcPr>
            <w:tcW w:type="dxa" w:w="3360"/>
          </w:tcPr>
          <w:p>
            <w:r>
              <w:t>docs/nature_reporting_summary_draft.md</w:t>
            </w:r>
          </w:p>
        </w:tc>
      </w:tr>
      <w:tr>
        <w:tc>
          <w:tcPr>
            <w:tcW w:type="dxa" w:w="3360"/>
          </w:tcPr>
          <w:p>
            <w:r>
              <w:t>M</w:t>
            </w:r>
          </w:p>
        </w:tc>
        <w:tc>
          <w:tcPr>
            <w:tcW w:type="dxa" w:w="3360"/>
          </w:tcPr>
          <w:p>
            <w:r>
              <w:t>submission_doc</w:t>
            </w:r>
          </w:p>
        </w:tc>
        <w:tc>
          <w:tcPr>
            <w:tcW w:type="dxa" w:w="3360"/>
          </w:tcPr>
          <w:p>
            <w:r>
              <w:t>docs/no_call_decision_map.md</w:t>
            </w:r>
          </w:p>
        </w:tc>
      </w:tr>
    </w:tbl>
    <w:p>
      <w:pPr>
        <w:pStyle w:val="Heading2"/>
      </w:pPr>
      <w:r>
        <w:t>Interpretation</w:t>
      </w:r>
    </w:p>
    <w:p>
      <w:pPr>
        <w:pStyle w:val="ListBullet"/>
      </w:pPr>
      <w:r>
        <w:t>The existing DOI covers v0.1.0. It should not be described as covering later manuscript-facing changes unless a new release is made.</w:t>
      </w:r>
    </w:p>
    <w:p>
      <w:pPr>
        <w:pStyle w:val="ListBullet"/>
      </w:pPr>
      <w:r>
        <w:t>If the submitted manuscript cites current figures, source data, reporting-summary worksheets or post-release scripts, prepare v0.1.1 after all author-controlled blockers are resolved.</w:t>
      </w:r>
    </w:p>
    <w:p>
      <w:pPr>
        <w:pStyle w:val="ListBullet"/>
      </w:pPr>
      <w:r>
        <w:t>Do not create the new release before Figure 4 bounded wording and author declarations are confirmed, because a release should archive the exact submission state.</w:t>
      </w:r>
    </w:p>
    <w:p>
      <w:pPr>
        <w:pStyle w:val="Heading1"/>
      </w:pPr>
      <w:r>
        <w:t>v0.1.1 release preflight</w:t>
      </w:r>
    </w:p>
    <w:p>
      <w:pPr>
        <w:pStyle w:val="Heading2"/>
      </w:pPr>
      <w:r>
        <w:t>RMTGuard v0.1.1 release preflight</w:t>
      </w:r>
    </w:p>
    <w:p>
      <w:r>
        <w:t>Generated by python scripts/build_v0_1_1_release_preflight.py.</w:t>
      </w:r>
    </w:p>
    <w:p>
      <w:pPr>
        <w:pStyle w:val="Heading2"/>
      </w:pPr>
      <w:r>
        <w:t>Boundary</w:t>
      </w:r>
    </w:p>
    <w:p>
      <w:r>
        <w:t>This is a no-action preflight. It does not create a Git tag, GitHub Release, or Zenodo DOI. Its purpose is to prevent a premature release before the manuscript-facing files and author-controlled statements are frozen.</w:t>
      </w:r>
    </w:p>
    <w:p>
      <w:pPr>
        <w:pStyle w:val="Heading2"/>
      </w:pPr>
      <w:r>
        <w:t>Decision</w:t>
      </w:r>
    </w:p>
    <w:p>
      <w:pPr>
        <w:pStyle w:val="ListBullet"/>
      </w:pPr>
      <w:r>
        <w:t>Release decision: do_not_release.</w:t>
      </w:r>
    </w:p>
    <w:p>
      <w:pPr>
        <w:pStyle w:val="ListBullet"/>
      </w:pPr>
      <w:r>
        <w:t>Blocking or holding gates: author_declarations;corresponding_author_figure4_ack;figure_caption_source_audit.</w:t>
      </w:r>
    </w:p>
    <w:p>
      <w:pPr>
        <w:pStyle w:val="ListBullet"/>
      </w:pPr>
      <w:r>
        <w:t>Candidate release: v0.1.1.</w:t>
      </w:r>
    </w:p>
    <w:p>
      <w:pPr>
        <w:pStyle w:val="Heading2"/>
      </w:pPr>
      <w:r>
        <w:t>Status Counts</w:t>
      </w:r>
    </w:p>
    <w:p>
      <w:pPr>
        <w:pStyle w:val="ListBullet"/>
      </w:pPr>
      <w:r>
        <w:t>blocked: 3</w:t>
      </w:r>
    </w:p>
    <w:p>
      <w:pPr>
        <w:pStyle w:val="ListBullet"/>
      </w:pPr>
      <w:r>
        <w:t>pass: 3</w:t>
      </w:r>
    </w:p>
    <w:p>
      <w:pPr>
        <w:pStyle w:val="ListBullet"/>
      </w:pPr>
      <w:r>
        <w:t>pending_author_verification: 1</w:t>
      </w:r>
    </w:p>
    <w:p>
      <w:pPr>
        <w:pStyle w:val="ListBullet"/>
      </w:pPr>
      <w:r>
        <w:t>ready_after_manual_blockers: 1</w:t>
      </w:r>
    </w:p>
    <w:p>
      <w:pPr>
        <w:pStyle w:val="Heading2"/>
      </w:pPr>
      <w:r>
        <w:t>Gate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Gate</w:t>
            </w:r>
          </w:p>
        </w:tc>
        <w:tc>
          <w:tcPr>
            <w:tcW w:type="dxa" w:w="2016"/>
          </w:tcPr>
          <w:p>
            <w:r>
              <w:t>Status</w:t>
            </w:r>
          </w:p>
        </w:tc>
        <w:tc>
          <w:tcPr>
            <w:tcW w:type="dxa" w:w="2016"/>
          </w:tcPr>
          <w:p>
            <w:r>
              <w:t>Severity</w:t>
            </w:r>
          </w:p>
        </w:tc>
        <w:tc>
          <w:tcPr>
            <w:tcW w:type="dxa" w:w="2016"/>
          </w:tcPr>
          <w:p>
            <w:r>
              <w:t>Required action</w:t>
            </w:r>
          </w:p>
        </w:tc>
        <w:tc>
          <w:tcPr>
            <w:tcW w:type="dxa" w:w="2016"/>
          </w:tcPr>
          <w:p>
            <w:r>
              <w:t>Notes</w:t>
            </w:r>
          </w:p>
        </w:tc>
      </w:tr>
      <w:tr>
        <w:tc>
          <w:tcPr>
            <w:tcW w:type="dxa" w:w="2016"/>
          </w:tcPr>
          <w:p>
            <w:r>
              <w:t>author_declarations</w:t>
            </w:r>
          </w:p>
        </w:tc>
        <w:tc>
          <w:tcPr>
            <w:tcW w:type="dxa" w:w="2016"/>
          </w:tcPr>
          <w:p>
            <w:r>
              <w:t>blocked</w:t>
            </w:r>
          </w:p>
        </w:tc>
        <w:tc>
          <w:tcPr>
            <w:tcW w:type="dxa" w:w="2016"/>
          </w:tcPr>
          <w:p>
            <w:r>
              <w:t>manual_blocker</w:t>
            </w:r>
          </w:p>
        </w:tc>
        <w:tc>
          <w:tcPr>
            <w:tcW w:type="dxa" w:w="2016"/>
          </w:tcPr>
          <w:p>
            <w:r>
              <w:t>Use the author declaration confirmation packet to confirm funding, competing interests, public-data ethics, postal code, CRediT roles, and title-page metadata before release.</w:t>
            </w:r>
          </w:p>
        </w:tc>
        <w:tc>
          <w:tcPr>
            <w:tcW w:type="dxa" w:w="2016"/>
          </w:tcPr>
          <w:p>
            <w:r>
              <w:t>pending=postal_code_author_provided:author_provided_conflicts_public_sources;postal_code_public_source_candidate:external_source_candidate;credit_roles_draft:drafted_needs_author_confirmation;funding_statement:pending_author_content;competing_interests_statement:drafted_needs_author_confirmation;packet_exists=True</w:t>
            </w:r>
          </w:p>
        </w:tc>
      </w:tr>
      <w:tr>
        <w:tc>
          <w:tcPr>
            <w:tcW w:type="dxa" w:w="2016"/>
          </w:tcPr>
          <w:p>
            <w:r>
              <w:t>corresponding_author_figure4_ack</w:t>
            </w:r>
          </w:p>
        </w:tc>
        <w:tc>
          <w:tcPr>
            <w:tcW w:type="dxa" w:w="2016"/>
          </w:tcPr>
          <w:p>
            <w:r>
              <w:t>blocked</w:t>
            </w:r>
          </w:p>
        </w:tc>
        <w:tc>
          <w:tcPr>
            <w:tcW w:type="dxa" w:w="2016"/>
          </w:tcPr>
          <w:p>
            <w:r>
              <w:t>manual_blocker</w:t>
            </w:r>
          </w:p>
        </w:tc>
        <w:tc>
          <w:tcPr>
            <w:tcW w:type="dxa" w:w="2016"/>
          </w:tcPr>
          <w:p>
            <w:r>
              <w:t>Save written replies under metadata/author_reply_evidence/ and record them with scripts/record_corresponding_author_signoff.py.</w:t>
            </w:r>
          </w:p>
        </w:tc>
        <w:tc>
          <w:tcPr>
            <w:tcW w:type="dxa" w:w="2016"/>
          </w:tcPr>
          <w:p>
            <w:r>
              <w:t>Yi Miao:proxy_authorized_working_assumption;Han Yan:proxy_authorized_working_assumption</w:t>
            </w:r>
          </w:p>
        </w:tc>
      </w:tr>
      <w:tr>
        <w:tc>
          <w:tcPr>
            <w:tcW w:type="dxa" w:w="2016"/>
          </w:tcPr>
          <w:p>
            <w:r>
              <w:t>figure_caption_source_audit</w:t>
            </w:r>
          </w:p>
        </w:tc>
        <w:tc>
          <w:tcPr>
            <w:tcW w:type="dxa" w:w="2016"/>
          </w:tcPr>
          <w:p>
            <w:r>
              <w:t>blocked</w:t>
            </w:r>
          </w:p>
        </w:tc>
        <w:tc>
          <w:tcPr>
            <w:tcW w:type="dxa" w:w="2016"/>
          </w:tcPr>
          <w:p>
            <w:r>
              <w:t>manual_blocker</w:t>
            </w:r>
          </w:p>
        </w:tc>
        <w:tc>
          <w:tcPr>
            <w:tcW w:type="dxa" w:w="2016"/>
          </w:tcPr>
          <w:p>
            <w:r>
              <w:t>Resolve Figure 4 corresponding-author acknowledgement before release.</w:t>
            </w:r>
          </w:p>
        </w:tc>
        <w:tc>
          <w:tcPr>
            <w:tcW w:type="dxa" w:w="2016"/>
          </w:tcPr>
          <w:p>
            <w:r>
              <w:t>Figure 4</w:t>
            </w:r>
          </w:p>
        </w:tc>
      </w:tr>
      <w:tr>
        <w:tc>
          <w:tcPr>
            <w:tcW w:type="dxa" w:w="2016"/>
          </w:tcPr>
          <w:p>
            <w:r>
              <w:t>reporting_summary</w:t>
            </w:r>
          </w:p>
        </w:tc>
        <w:tc>
          <w:tcPr>
            <w:tcW w:type="dxa" w:w="2016"/>
          </w:tcPr>
          <w:p>
            <w:r>
              <w:t>pending_author_verification</w:t>
            </w:r>
          </w:p>
        </w:tc>
        <w:tc>
          <w:tcPr>
            <w:tcW w:type="dxa" w:w="2016"/>
          </w:tcPr>
          <w:p>
            <w:r>
              <w:t>manual_blocker</w:t>
            </w:r>
          </w:p>
        </w:tc>
        <w:tc>
          <w:tcPr>
            <w:tcW w:type="dxa" w:w="2016"/>
          </w:tcPr>
          <w:p>
            <w:r>
              <w:t>Have the corresponding author verify the reporting-summary worksheet before official submission.</w:t>
            </w:r>
          </w:p>
        </w:tc>
        <w:tc>
          <w:tcPr>
            <w:tcW w:type="dxa" w:w="2016"/>
          </w:tcPr>
          <w:p>
            <w:r>
              <w:t>Statistics/Multiple testing and uncertainty;Reporting summary/Official form status</w:t>
            </w:r>
          </w:p>
        </w:tc>
      </w:tr>
      <w:tr>
        <w:tc>
          <w:tcPr>
            <w:tcW w:type="dxa" w:w="2016"/>
          </w:tcPr>
          <w:p>
            <w:r>
              <w:t>claim_integrity</w:t>
            </w:r>
          </w:p>
        </w:tc>
        <w:tc>
          <w:tcPr>
            <w:tcW w:type="dxa" w:w="2016"/>
          </w:tcPr>
          <w:p>
            <w:r>
              <w:t>pass</w:t>
            </w:r>
          </w:p>
        </w:tc>
        <w:tc>
          <w:tcPr>
            <w:tcW w:type="dxa" w:w="2016"/>
          </w:tcPr>
          <w:p>
            <w:r>
              <w:t>controlled</w:t>
            </w:r>
          </w:p>
        </w:tc>
        <w:tc>
          <w:tcPr>
            <w:tcW w:type="dxa" w:w="2016"/>
          </w:tcPr>
          <w:p>
            <w:r>
              <w:t>No action.</w:t>
            </w:r>
          </w:p>
        </w:tc>
        <w:tc>
          <w:tcPr>
            <w:tcW w:type="dxa" w:w="2016"/>
          </w:tcPr>
          <w:p>
            <w:r>
              <w:t>lint_violations=0;trace_violations=0;lint_rows=215;trace_rows=21</w:t>
            </w:r>
          </w:p>
        </w:tc>
      </w:tr>
      <w:tr>
        <w:tc>
          <w:tcPr>
            <w:tcW w:type="dxa" w:w="2016"/>
          </w:tcPr>
          <w:p>
            <w:r>
              <w:t>version_coverage</w:t>
            </w:r>
          </w:p>
        </w:tc>
        <w:tc>
          <w:tcPr>
            <w:tcW w:type="dxa" w:w="2016"/>
          </w:tcPr>
          <w:p>
            <w:r>
              <w:t>ready_after_manual_blockers</w:t>
            </w:r>
          </w:p>
        </w:tc>
        <w:tc>
          <w:tcPr>
            <w:tcW w:type="dxa" w:w="2016"/>
          </w:tcPr>
          <w:p>
            <w:r>
              <w:t>release_blocker</w:t>
            </w:r>
          </w:p>
        </w:tc>
        <w:tc>
          <w:tcPr>
            <w:tcW w:type="dxa" w:w="2016"/>
          </w:tcPr>
          <w:p>
            <w:r>
              <w:t>After author blockers are resolved, tag and archive v0.1.1 so DOI covers the submitted files.</w:t>
            </w:r>
          </w:p>
        </w:tc>
        <w:tc>
          <w:tcPr>
            <w:tcW w:type="dxa" w:w="2016"/>
          </w:tcPr>
          <w:p>
            <w:r>
              <w:t>recommendation=prepare_v0.1.1_after_author_ack;worktree=clean</w:t>
            </w:r>
          </w:p>
        </w:tc>
      </w:tr>
      <w:tr>
        <w:tc>
          <w:tcPr>
            <w:tcW w:type="dxa" w:w="2016"/>
          </w:tcPr>
          <w:p>
            <w:r>
              <w:t>evidence_freeze_manifest</w:t>
            </w:r>
          </w:p>
        </w:tc>
        <w:tc>
          <w:tcPr>
            <w:tcW w:type="dxa" w:w="2016"/>
          </w:tcPr>
          <w:p>
            <w:r>
              <w:t>pass</w:t>
            </w:r>
          </w:p>
        </w:tc>
        <w:tc>
          <w:tcPr>
            <w:tcW w:type="dxa" w:w="2016"/>
          </w:tcPr>
          <w:p>
            <w:r>
              <w:t>controlled</w:t>
            </w:r>
          </w:p>
        </w:tc>
        <w:tc>
          <w:tcPr>
            <w:tcW w:type="dxa" w:w="2016"/>
          </w:tcPr>
          <w:p>
            <w:r>
              <w:t>No action.</w:t>
            </w:r>
          </w:p>
        </w:tc>
        <w:tc>
          <w:tcPr>
            <w:tcW w:type="dxa" w:w="2016"/>
          </w:tcPr>
          <w:p>
            <w:r>
              <w:t>33 frozen evidence items exist.</w:t>
            </w:r>
          </w:p>
        </w:tc>
      </w:tr>
      <w:tr>
        <w:tc>
          <w:tcPr>
            <w:tcW w:type="dxa" w:w="2016"/>
          </w:tcPr>
          <w:p>
            <w:r>
              <w:t>git_worktree_clean</w:t>
            </w:r>
          </w:p>
        </w:tc>
        <w:tc>
          <w:tcPr>
            <w:tcW w:type="dxa" w:w="2016"/>
          </w:tcPr>
          <w:p>
            <w:r>
              <w:t>pass</w:t>
            </w:r>
          </w:p>
        </w:tc>
        <w:tc>
          <w:tcPr>
            <w:tcW w:type="dxa" w:w="2016"/>
          </w:tcPr>
          <w:p>
            <w:r>
              <w:t>controlled</w:t>
            </w:r>
          </w:p>
        </w:tc>
        <w:tc>
          <w:tcPr>
            <w:tcW w:type="dxa" w:w="2016"/>
          </w:tcPr>
          <w:p>
            <w:r>
              <w:t>No action.</w:t>
            </w:r>
          </w:p>
        </w:tc>
        <w:tc>
          <w:tcPr>
            <w:tcW w:type="dxa" w:w="2016"/>
          </w:tcPr>
          <w:p>
            <w:r>
              <w:t>Worktree is clean except self-generated preflight outputs.</w:t>
            </w:r>
          </w:p>
        </w:tc>
      </w:tr>
    </w:tbl>
    <w:p>
      <w:pPr>
        <w:pStyle w:val="Heading2"/>
      </w:pPr>
      <w:r>
        <w:t>Interpretation</w:t>
      </w:r>
    </w:p>
    <w:p>
      <w:pPr>
        <w:pStyle w:val="ListBullet"/>
      </w:pPr>
      <w:r>
        <w:t>do_not_release means at least one hard blocker remains; do not create a release.</w:t>
      </w:r>
    </w:p>
    <w:p>
      <w:pPr>
        <w:pStyle w:val="ListBullet"/>
      </w:pPr>
      <w:r>
        <w:t>hold_for_manual_confirmation means the technical package is close, but author-controlled confirmations or final version coverage still hold the release.</w:t>
      </w:r>
    </w:p>
    <w:p>
      <w:pPr>
        <w:pStyle w:val="ListBullet"/>
      </w:pPr>
      <w:r>
        <w:t>ready_to_tag_v0.1.1 should occur only after all author confirmations, final figure/source-data freeze, clean worktree, and claim-integrity checks pass.</w:t>
      </w:r>
    </w:p>
    <w:p>
      <w:pPr>
        <w:pStyle w:val="Heading1"/>
      </w:pPr>
      <w:r>
        <w:t>Author declaration confirmation packet</w:t>
      </w:r>
    </w:p>
    <w:p>
      <w:pPr>
        <w:pStyle w:val="Heading2"/>
      </w:pPr>
      <w:r>
        <w:t>RMTGuard author declaration confirmation packet</w:t>
      </w:r>
    </w:p>
    <w:p>
      <w:r>
        <w:t>Generated: 2026-05-12</w:t>
      </w:r>
    </w:p>
    <w:p>
      <w:r>
        <w:t>Generated by python scripts/build_author_declaration_confirmation_packet.py.</w:t>
      </w:r>
    </w:p>
    <w:p>
      <w:pPr>
        <w:pStyle w:val="Heading2"/>
      </w:pPr>
      <w:r>
        <w:t>Purpose</w:t>
      </w:r>
    </w:p>
    <w:p>
      <w:r>
        <w:t>This packet converts the remaining author-controlled manuscript blockers into exact confirmation questions. It is not a substitute for author approval and should not be treated as a journal-ready declaration until written confirmations are saved.</w:t>
      </w:r>
    </w:p>
    <w:p>
      <w:pPr>
        <w:pStyle w:val="Heading2"/>
      </w:pPr>
      <w:r>
        <w:t>Current Decision</w:t>
      </w:r>
    </w:p>
    <w:p>
      <w:pPr>
        <w:pStyle w:val="ListBullet"/>
      </w:pPr>
      <w:r>
        <w:t>Status: manual_confirmation_required.</w:t>
      </w:r>
    </w:p>
    <w:p>
      <w:pPr>
        <w:pStyle w:val="ListBullet"/>
      </w:pPr>
      <w:r>
        <w:t>Checklist: results/submission/author_declaration_confirmation_checklist.tsv</w:t>
      </w:r>
    </w:p>
    <w:p>
      <w:pPr>
        <w:pStyle w:val="ListBullet"/>
      </w:pPr>
      <w:r>
        <w:t>Word packet: output/doc/RMTGuard_author_declaration_confirmation_packet.docx</w:t>
      </w:r>
    </w:p>
    <w:p>
      <w:pPr>
        <w:pStyle w:val="ListBullet"/>
      </w:pPr>
      <w:r>
        <w:t>Confirmation items: 8</w:t>
      </w:r>
    </w:p>
    <w:p>
      <w:pPr>
        <w:pStyle w:val="ListBullet"/>
      </w:pPr>
      <w:r>
        <w:t>Stop-rule items: 8</w:t>
      </w:r>
    </w:p>
    <w:p>
      <w:pPr>
        <w:pStyle w:val="Heading2"/>
      </w:pPr>
      <w:r>
        <w:t>Confirmation Checklist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Item</w:t>
            </w:r>
          </w:p>
        </w:tc>
        <w:tc>
          <w:tcPr>
            <w:tcW w:type="dxa" w:w="2016"/>
          </w:tcPr>
          <w:p>
            <w:r>
              <w:t>Owner</w:t>
            </w:r>
          </w:p>
        </w:tc>
        <w:tc>
          <w:tcPr>
            <w:tcW w:type="dxa" w:w="2016"/>
          </w:tcPr>
          <w:p>
            <w:r>
              <w:t>Current status</w:t>
            </w:r>
          </w:p>
        </w:tc>
        <w:tc>
          <w:tcPr>
            <w:tcW w:type="dxa" w:w="2016"/>
          </w:tcPr>
          <w:p>
            <w:r>
              <w:t>Required action</w:t>
            </w:r>
          </w:p>
        </w:tc>
        <w:tc>
          <w:tcPr>
            <w:tcW w:type="dxa" w:w="2016"/>
          </w:tcPr>
          <w:p>
            <w:r>
              <w:t>Gate unblocked</w:t>
            </w:r>
          </w:p>
        </w:tc>
      </w:tr>
      <w:tr>
        <w:tc>
          <w:tcPr>
            <w:tcW w:type="dxa" w:w="2016"/>
          </w:tcPr>
          <w:p>
            <w:r>
              <w:t>postal_code_final</w:t>
            </w:r>
          </w:p>
        </w:tc>
        <w:tc>
          <w:tcPr>
            <w:tcW w:type="dxa" w:w="2016"/>
          </w:tcPr>
          <w:p>
            <w:r>
              <w:t>Chongfa Chen and corresponding authors</w:t>
            </w:r>
          </w:p>
        </w:tc>
        <w:tc>
          <w:tcPr>
            <w:tcW w:type="dxa" w:w="2016"/>
          </w:tcPr>
          <w:p>
            <w:r>
              <w:t>author_provided_conflicts_public_sources</w:t>
            </w:r>
          </w:p>
        </w:tc>
        <w:tc>
          <w:tcPr>
            <w:tcW w:type="dxa" w:w="2016"/>
          </w:tcPr>
          <w:p>
            <w:r>
              <w:t>Confirm the final postal code in writing; if 350000 is correct, explicitly state that it should override the public-source candidate.</w:t>
            </w:r>
          </w:p>
        </w:tc>
        <w:tc>
          <w:tcPr>
            <w:tcW w:type="dxa" w:w="2016"/>
          </w:tcPr>
          <w:p>
            <w:r>
              <w:t>author_declarations</w:t>
            </w:r>
          </w:p>
        </w:tc>
      </w:tr>
      <w:tr>
        <w:tc>
          <w:tcPr>
            <w:tcW w:type="dxa" w:w="2016"/>
          </w:tcPr>
          <w:p>
            <w:r>
              <w:t>credit_roles_all_authors</w:t>
            </w:r>
          </w:p>
        </w:tc>
        <w:tc>
          <w:tcPr>
            <w:tcW w:type="dxa" w:w="2016"/>
          </w:tcPr>
          <w:p>
            <w:r>
              <w:t>All authors</w:t>
            </w:r>
          </w:p>
        </w:tc>
        <w:tc>
          <w:tcPr>
            <w:tcW w:type="dxa" w:w="2016"/>
          </w:tcPr>
          <w:p>
            <w:r>
              <w:t>21 rows pending author confirmation</w:t>
            </w:r>
          </w:p>
        </w:tc>
        <w:tc>
          <w:tcPr>
            <w:tcW w:type="dxa" w:w="2016"/>
          </w:tcPr>
          <w:p>
            <w:r>
              <w:t>Each author should approve or edit their own role list before submission.</w:t>
            </w:r>
          </w:p>
        </w:tc>
        <w:tc>
          <w:tcPr>
            <w:tcW w:type="dxa" w:w="2016"/>
          </w:tcPr>
          <w:p>
            <w:r>
              <w:t>author_declarations</w:t>
            </w:r>
          </w:p>
        </w:tc>
      </w:tr>
      <w:tr>
        <w:tc>
          <w:tcPr>
            <w:tcW w:type="dxa" w:w="2016"/>
          </w:tcPr>
          <w:p>
            <w:r>
              <w:t>funding_statement_final</w:t>
            </w:r>
          </w:p>
        </w:tc>
        <w:tc>
          <w:tcPr>
            <w:tcW w:type="dxa" w:w="2016"/>
          </w:tcPr>
          <w:p>
            <w:r>
              <w:t>Corresponding authors</w:t>
            </w:r>
          </w:p>
        </w:tc>
        <w:tc>
          <w:tcPr>
            <w:tcW w:type="dxa" w:w="2016"/>
          </w:tcPr>
          <w:p>
            <w:r>
              <w:t>pending_author_content</w:t>
            </w:r>
          </w:p>
        </w:tc>
        <w:tc>
          <w:tcPr>
            <w:tcW w:type="dxa" w:w="2016"/>
          </w:tcPr>
          <w:p>
            <w:r>
              <w:t>Provide exact funder names and grant numbers, or confirm the no-specific-funding wording.</w:t>
            </w:r>
          </w:p>
        </w:tc>
        <w:tc>
          <w:tcPr>
            <w:tcW w:type="dxa" w:w="2016"/>
          </w:tcPr>
          <w:p>
            <w:r>
              <w:t>author_declarations</w:t>
            </w:r>
          </w:p>
        </w:tc>
      </w:tr>
      <w:tr>
        <w:tc>
          <w:tcPr>
            <w:tcW w:type="dxa" w:w="2016"/>
          </w:tcPr>
          <w:p>
            <w:r>
              <w:t>competing_interests_final</w:t>
            </w:r>
          </w:p>
        </w:tc>
        <w:tc>
          <w:tcPr>
            <w:tcW w:type="dxa" w:w="2016"/>
          </w:tcPr>
          <w:p>
            <w:r>
              <w:t>All authors</w:t>
            </w:r>
          </w:p>
        </w:tc>
        <w:tc>
          <w:tcPr>
            <w:tcW w:type="dxa" w:w="2016"/>
          </w:tcPr>
          <w:p>
            <w:r>
              <w:t>drafted_needs_author_confirmation</w:t>
            </w:r>
          </w:p>
        </w:tc>
        <w:tc>
          <w:tcPr>
            <w:tcW w:type="dxa" w:w="2016"/>
          </w:tcPr>
          <w:p>
            <w:r>
              <w:t>All authors should confirm or disclose conflicts before the statement is used.</w:t>
            </w:r>
          </w:p>
        </w:tc>
        <w:tc>
          <w:tcPr>
            <w:tcW w:type="dxa" w:w="2016"/>
          </w:tcPr>
          <w:p>
            <w:r>
              <w:t>author_declarations</w:t>
            </w:r>
          </w:p>
        </w:tc>
      </w:tr>
      <w:tr>
        <w:tc>
          <w:tcPr>
            <w:tcW w:type="dxa" w:w="2016"/>
          </w:tcPr>
          <w:p>
            <w:r>
              <w:t>ethics_public_data_final</w:t>
            </w:r>
          </w:p>
        </w:tc>
        <w:tc>
          <w:tcPr>
            <w:tcW w:type="dxa" w:w="2016"/>
          </w:tcPr>
          <w:p>
            <w:r>
              <w:t>Corresponding authors</w:t>
            </w:r>
          </w:p>
        </w:tc>
        <w:tc>
          <w:tcPr>
            <w:tcW w:type="dxa" w:w="2016"/>
          </w:tcPr>
          <w:p>
            <w:r>
              <w:t>drafted_from_project_scope</w:t>
            </w:r>
          </w:p>
        </w:tc>
        <w:tc>
          <w:tcPr>
            <w:tcW w:type="dxa" w:w="2016"/>
          </w:tcPr>
          <w:p>
            <w:r>
              <w:t>Confirm the final dataset list is public-data-only and that original studies reported consent/ethics where applicable.</w:t>
            </w:r>
          </w:p>
        </w:tc>
        <w:tc>
          <w:tcPr>
            <w:tcW w:type="dxa" w:w="2016"/>
          </w:tcPr>
          <w:p>
            <w:r>
              <w:t>author_declarations; reporting_summary</w:t>
            </w:r>
          </w:p>
        </w:tc>
      </w:tr>
      <w:tr>
        <w:tc>
          <w:tcPr>
            <w:tcW w:type="dxa" w:w="2016"/>
          </w:tcPr>
          <w:p>
            <w:r>
              <w:t>figure4_bounded_wording_ack</w:t>
            </w:r>
          </w:p>
        </w:tc>
        <w:tc>
          <w:tcPr>
            <w:tcW w:type="dxa" w:w="2016"/>
          </w:tcPr>
          <w:p>
            <w:r>
              <w:t>Yi Miao and Han Yan</w:t>
            </w:r>
          </w:p>
        </w:tc>
        <w:tc>
          <w:tcPr>
            <w:tcW w:type="dxa" w:w="2016"/>
          </w:tcPr>
          <w:p>
            <w:r>
              <w:t>proxy_authorized_working_assumption</w:t>
            </w:r>
          </w:p>
        </w:tc>
        <w:tc>
          <w:tcPr>
            <w:tcW w:type="dxa" w:w="2016"/>
          </w:tcPr>
          <w:p>
            <w:r>
              <w:t>Save written approval and record it with scripts/record_corresponding_author_signoff.py.</w:t>
            </w:r>
          </w:p>
        </w:tc>
        <w:tc>
          <w:tcPr>
            <w:tcW w:type="dxa" w:w="2016"/>
          </w:tcPr>
          <w:p>
            <w:r>
              <w:t>corresponding_author_figure4_ack; figure_caption_source_audit</w:t>
            </w:r>
          </w:p>
        </w:tc>
      </w:tr>
      <w:tr>
        <w:tc>
          <w:tcPr>
            <w:tcW w:type="dxa" w:w="2016"/>
          </w:tcPr>
          <w:p>
            <w:r>
              <w:t>reporting_summary_author_check</w:t>
            </w:r>
          </w:p>
        </w:tc>
        <w:tc>
          <w:tcPr>
            <w:tcW w:type="dxa" w:w="2016"/>
          </w:tcPr>
          <w:p>
            <w:r>
              <w:t>Corresponding authors</w:t>
            </w:r>
          </w:p>
        </w:tc>
        <w:tc>
          <w:tcPr>
            <w:tcW w:type="dxa" w:w="2016"/>
          </w:tcPr>
          <w:p>
            <w:r>
              <w:t>pending_author_verification</w:t>
            </w:r>
          </w:p>
        </w:tc>
        <w:tc>
          <w:tcPr>
            <w:tcW w:type="dxa" w:w="2016"/>
          </w:tcPr>
          <w:p>
            <w:r>
              <w:t>Check statistics, multiple testing, software, data availability, ethics, and AI-use entries against the final manuscript.</w:t>
            </w:r>
          </w:p>
        </w:tc>
        <w:tc>
          <w:tcPr>
            <w:tcW w:type="dxa" w:w="2016"/>
          </w:tcPr>
          <w:p>
            <w:r>
              <w:t>reporting_summary</w:t>
            </w:r>
          </w:p>
        </w:tc>
      </w:tr>
      <w:tr>
        <w:tc>
          <w:tcPr>
            <w:tcW w:type="dxa" w:w="2016"/>
          </w:tcPr>
          <w:p>
            <w:r>
              <w:t>title_page_author_metadata_check</w:t>
            </w:r>
          </w:p>
        </w:tc>
        <w:tc>
          <w:tcPr>
            <w:tcW w:type="dxa" w:w="2016"/>
          </w:tcPr>
          <w:p>
            <w:r>
              <w:t>All authors</w:t>
            </w:r>
          </w:p>
        </w:tc>
        <w:tc>
          <w:tcPr>
            <w:tcW w:type="dxa" w:w="2016"/>
          </w:tcPr>
          <w:p>
            <w:r>
              <w:t>author_provided_with_pending_checks</w:t>
            </w:r>
          </w:p>
        </w:tc>
        <w:tc>
          <w:tcPr>
            <w:tcW w:type="dxa" w:w="2016"/>
          </w:tcPr>
          <w:p>
            <w:r>
              <w:t>Confirm final author order, corresponding-author order, institutional name, emails, and ORCID IDs.</w:t>
            </w:r>
          </w:p>
        </w:tc>
        <w:tc>
          <w:tcPr>
            <w:tcW w:type="dxa" w:w="2016"/>
          </w:tcPr>
          <w:p>
            <w:r>
              <w:t>author_declarations</w:t>
            </w:r>
          </w:p>
        </w:tc>
      </w:tr>
    </w:tbl>
    <w:p>
      <w:pPr>
        <w:pStyle w:val="Heading2"/>
      </w:pPr>
      <w:r>
        <w:t>Exact Confirmation Text To Send</w:t>
      </w:r>
    </w:p>
    <w:p>
      <w:r>
        <w:t>Authors can reply by editing the text below or by sending written confirmation. Save replies under metadata/author_reply_evidence/.</w:t>
      </w:r>
    </w:p>
    <w:p>
      <w:pPr>
        <w:pStyle w:val="Heading3"/>
      </w:pPr>
      <w:r>
        <w:t>postal_code_final</w:t>
      </w:r>
    </w:p>
    <w:p>
      <w:r>
        <w:t>Owner: Chongfa Chen and corresponding authors</w:t>
      </w:r>
    </w:p>
    <w:p>
      <w:r>
        <w:t>Question: Which postal code should appear in the title page and submission metadata?</w:t>
      </w:r>
    </w:p>
    <w:p>
      <w:r>
        <w:t>Current value: author_provided=350000; public_candidate=210019</w:t>
      </w:r>
    </w:p>
    <w:p>
      <w:r>
        <w:t>Confirmation response:</w:t>
      </w:r>
    </w:p>
    <w:p>
      <w:r>
        <w:rPr>
          <w:rFonts w:ascii="Courier New" w:hAnsi="Courier New"/>
          <w:sz w:val="17"/>
        </w:rPr>
        <w:t>I confirm this item as written.</w:t>
      </w:r>
    </w:p>
    <w:p>
      <w:r>
        <w:rPr>
          <w:rFonts w:ascii="Courier New" w:hAnsi="Courier New"/>
          <w:sz w:val="17"/>
        </w:rPr>
        <w:t>OR</w:t>
      </w:r>
    </w:p>
    <w:p>
      <w:r>
        <w:rPr>
          <w:rFonts w:ascii="Courier New" w:hAnsi="Courier New"/>
          <w:sz w:val="17"/>
        </w:rPr>
        <w:t>Please revise this item as follows: [author edits here].</w:t>
      </w:r>
    </w:p>
    <w:p>
      <w:r>
        <w:t>Evidence to save: metadata/author_reply_evidence/postal_code_confirmation.*</w:t>
      </w:r>
    </w:p>
    <w:p>
      <w:pPr>
        <w:pStyle w:val="Heading3"/>
      </w:pPr>
      <w:r>
        <w:t>credit_roles_all_authors</w:t>
      </w:r>
    </w:p>
    <w:p>
      <w:r>
        <w:t>Owner: All authors</w:t>
      </w:r>
    </w:p>
    <w:p>
      <w:r>
        <w:t>Question: Do all authors approve these CRediT roles and contribution levels?</w:t>
      </w:r>
    </w:p>
    <w:p>
      <w:r>
        <w:t>Current value: Chongfa Chen: Conceptualization (lead), Methodology (lead), Software (lead), Formal analysis (lead), Data curation (lead), Validation (lead), Visualization (lead), Writing - original draft (lead), Writing - review &amp; editing (lead) | Han Yan: Conceptualization (supporting), Methodology (supporting), Resources (supporting), Supervision (supporting), Validation (supporting), Writing - review &amp; editing (supporting) | Yi Miao: Conceptualization (supporting), Resources (lead), Supervision (lead), Project administration (lead), Writing - review &amp; editing (supporting), Funding acquisition (unknown)</w:t>
      </w:r>
    </w:p>
    <w:p>
      <w:r>
        <w:t>Confirmation response:</w:t>
      </w:r>
    </w:p>
    <w:p>
      <w:r>
        <w:rPr>
          <w:rFonts w:ascii="Courier New" w:hAnsi="Courier New"/>
          <w:sz w:val="17"/>
        </w:rPr>
        <w:t>I confirm this item as written.</w:t>
      </w:r>
    </w:p>
    <w:p>
      <w:r>
        <w:rPr>
          <w:rFonts w:ascii="Courier New" w:hAnsi="Courier New"/>
          <w:sz w:val="17"/>
        </w:rPr>
        <w:t>OR</w:t>
      </w:r>
    </w:p>
    <w:p>
      <w:r>
        <w:rPr>
          <w:rFonts w:ascii="Courier New" w:hAnsi="Courier New"/>
          <w:sz w:val="17"/>
        </w:rPr>
        <w:t>Please revise this item as follows: [author edits here].</w:t>
      </w:r>
    </w:p>
    <w:p>
      <w:r>
        <w:t>Evidence to save: metadata/author_reply_evidence/credit_roles_confirmation.*</w:t>
      </w:r>
    </w:p>
    <w:p>
      <w:pPr>
        <w:pStyle w:val="Heading3"/>
      </w:pPr>
      <w:r>
        <w:t>funding_statement_final</w:t>
      </w:r>
    </w:p>
    <w:p>
      <w:r>
        <w:t>Owner: Corresponding authors</w:t>
      </w:r>
    </w:p>
    <w:p>
      <w:r>
        <w:t>Question: Was this work supported by specific grants or should we state that no specific funding was received?</w:t>
      </w:r>
    </w:p>
    <w:p>
      <w:r>
        <w:t>Current value: TO CONFIRM: grant details or no specific funding.</w:t>
      </w:r>
    </w:p>
    <w:p>
      <w:r>
        <w:t>Confirmation response:</w:t>
      </w:r>
    </w:p>
    <w:p>
      <w:r>
        <w:rPr>
          <w:rFonts w:ascii="Courier New" w:hAnsi="Courier New"/>
          <w:sz w:val="17"/>
        </w:rPr>
        <w:t>I confirm this item as written.</w:t>
      </w:r>
    </w:p>
    <w:p>
      <w:r>
        <w:rPr>
          <w:rFonts w:ascii="Courier New" w:hAnsi="Courier New"/>
          <w:sz w:val="17"/>
        </w:rPr>
        <w:t>OR</w:t>
      </w:r>
    </w:p>
    <w:p>
      <w:r>
        <w:rPr>
          <w:rFonts w:ascii="Courier New" w:hAnsi="Courier New"/>
          <w:sz w:val="17"/>
        </w:rPr>
        <w:t>Please revise this item as follows: [author edits here].</w:t>
      </w:r>
    </w:p>
    <w:p>
      <w:r>
        <w:t>Evidence to save: metadata/author_reply_evidence/funding_statement_confirmation.*</w:t>
      </w:r>
    </w:p>
    <w:p>
      <w:pPr>
        <w:pStyle w:val="Heading3"/>
      </w:pPr>
      <w:r>
        <w:t>competing_interests_final</w:t>
      </w:r>
    </w:p>
    <w:p>
      <w:r>
        <w:t>Owner: All authors</w:t>
      </w:r>
    </w:p>
    <w:p>
      <w:r>
        <w:t>Question: Can all authors confirm that there are no financial or non-financial competing interests?</w:t>
      </w:r>
    </w:p>
    <w:p>
      <w:r>
        <w:t>Current value: The authors declare no competing interests.</w:t>
      </w:r>
    </w:p>
    <w:p>
      <w:r>
        <w:t>Confirmation response:</w:t>
      </w:r>
    </w:p>
    <w:p>
      <w:r>
        <w:rPr>
          <w:rFonts w:ascii="Courier New" w:hAnsi="Courier New"/>
          <w:sz w:val="17"/>
        </w:rPr>
        <w:t>I confirm this item as written.</w:t>
      </w:r>
    </w:p>
    <w:p>
      <w:r>
        <w:rPr>
          <w:rFonts w:ascii="Courier New" w:hAnsi="Courier New"/>
          <w:sz w:val="17"/>
        </w:rPr>
        <w:t>OR</w:t>
      </w:r>
    </w:p>
    <w:p>
      <w:r>
        <w:rPr>
          <w:rFonts w:ascii="Courier New" w:hAnsi="Courier New"/>
          <w:sz w:val="17"/>
        </w:rPr>
        <w:t>Please revise this item as follows: [author edits here].</w:t>
      </w:r>
    </w:p>
    <w:p>
      <w:r>
        <w:t>Evidence to save: metadata/author_reply_evidence/competing_interests_confirmation.*</w:t>
      </w:r>
    </w:p>
    <w:p>
      <w:pPr>
        <w:pStyle w:val="Heading3"/>
      </w:pPr>
      <w:r>
        <w:t>ethics_public_data_final</w:t>
      </w:r>
    </w:p>
    <w:p>
      <w:r>
        <w:t>Owner: Corresponding authors</w:t>
      </w:r>
    </w:p>
    <w:p>
      <w:r>
        <w:t>Question: Can the corresponding authors confirm that the manuscript uses only public, de-identified datasets and no new private clinical data?</w:t>
      </w:r>
    </w:p>
    <w:p>
      <w:r>
        <w:t>Current value: This study uses public, de-identified datasets and does not include newly collected private clinical data. Dataset-specific consent and ethics approvals were reported by the original studies.</w:t>
      </w:r>
    </w:p>
    <w:p>
      <w:r>
        <w:t>Confirmation response:</w:t>
      </w:r>
    </w:p>
    <w:p>
      <w:r>
        <w:rPr>
          <w:rFonts w:ascii="Courier New" w:hAnsi="Courier New"/>
          <w:sz w:val="17"/>
        </w:rPr>
        <w:t>I confirm this item as written.</w:t>
      </w:r>
    </w:p>
    <w:p>
      <w:r>
        <w:rPr>
          <w:rFonts w:ascii="Courier New" w:hAnsi="Courier New"/>
          <w:sz w:val="17"/>
        </w:rPr>
        <w:t>OR</w:t>
      </w:r>
    </w:p>
    <w:p>
      <w:r>
        <w:rPr>
          <w:rFonts w:ascii="Courier New" w:hAnsi="Courier New"/>
          <w:sz w:val="17"/>
        </w:rPr>
        <w:t>Please revise this item as follows: [author edits here].</w:t>
      </w:r>
    </w:p>
    <w:p>
      <w:r>
        <w:t>Evidence to save: metadata/author_reply_evidence/ethics_public_data_confirmation.*</w:t>
      </w:r>
    </w:p>
    <w:p>
      <w:pPr>
        <w:pStyle w:val="Heading3"/>
      </w:pPr>
      <w:r>
        <w:t>figure4_bounded_wording_ack</w:t>
      </w:r>
    </w:p>
    <w:p>
      <w:r>
        <w:t>Owner: Yi Miao and Han Yan</w:t>
      </w:r>
    </w:p>
    <w:p>
      <w:r>
        <w:t>Question: Do the corresponding authors approve the bounded Figure 4 wording as a public-data use case with no mechanism or clinical claim?</w:t>
      </w:r>
    </w:p>
    <w:p>
      <w:pPr>
        <w:pStyle w:val="Heading1"/>
      </w:pPr>
      <w:r>
        <w:t>Nature reporting-summary worksheet</w:t>
      </w:r>
    </w:p>
    <w:p>
      <w:pPr>
        <w:pStyle w:val="Heading2"/>
      </w:pPr>
      <w:r>
        <w:t>Nature Reporting Summary Draft</w:t>
      </w:r>
    </w:p>
    <w:p>
      <w:r>
        <w:t>This file is generated by python scripts/build_reporting_summary_draft.py.</w:t>
      </w:r>
    </w:p>
    <w:p>
      <w:pPr>
        <w:pStyle w:val="Heading2"/>
      </w:pPr>
      <w:r>
        <w:t>Boundary</w:t>
      </w:r>
    </w:p>
    <w:p>
      <w:r>
        <w:t>This is a draft worksheet, not the official Nature Portfolio reporting summary form. The corresponding author must verify and transfer the final answers during submission.</w:t>
      </w:r>
    </w:p>
    <w:p>
      <w:pPr>
        <w:pStyle w:val="Heading2"/>
      </w:pPr>
      <w:r>
        <w:t>Status</w:t>
      </w:r>
    </w:p>
    <w:p>
      <w:pPr>
        <w:pStyle w:val="ListBullet"/>
      </w:pPr>
      <w:r>
        <w:t>Blocked rows: 0.</w:t>
      </w:r>
    </w:p>
    <w:p>
      <w:pPr>
        <w:pStyle w:val="ListBullet"/>
      </w:pPr>
      <w:r>
        <w:t>Manual/author-completion rows: 3.</w:t>
      </w:r>
    </w:p>
    <w:p>
      <w:pPr>
        <w:pStyle w:val="ListBullet"/>
      </w:pPr>
      <w:r>
        <w:t>Acceptance guarantee: impossible; this worksheet only reduces reporting omission risk.</w:t>
      </w:r>
    </w:p>
    <w:p>
      <w:pPr>
        <w:pStyle w:val="Heading2"/>
      </w:pPr>
      <w:r>
        <w:t>Blocked Rows</w:t>
      </w:r>
    </w:p>
    <w:p>
      <w:pPr>
        <w:pStyle w:val="ListBullet"/>
      </w:pPr>
      <w:r>
        <w:t>none</w:t>
      </w:r>
    </w:p>
    <w:p>
      <w:pPr>
        <w:pStyle w:val="Heading2"/>
      </w:pPr>
      <w:r>
        <w:t>Manual Or Release-Refresh Rows</w:t>
      </w:r>
    </w:p>
    <w:p>
      <w:pPr>
        <w:pStyle w:val="ListBullet"/>
      </w:pPr>
      <w:r>
        <w:t>Statistics / Multiple testing and uncertainty (needs_author_completion): Add final marker/pathway multiple-testing details if those analyses enter the main text.</w:t>
      </w:r>
    </w:p>
    <w:p>
      <w:pPr>
        <w:pStyle w:val="ListBullet"/>
      </w:pPr>
      <w:r>
        <w:t>Software / Code DOI (needs_release_refresh): Create a new GitHub Release/Zenodo archive if the final manuscript depends on post-v0.1.0 files.</w:t>
      </w:r>
    </w:p>
    <w:p>
      <w:pPr>
        <w:pStyle w:val="ListBullet"/>
      </w:pPr>
      <w:r>
        <w:t>Reporting summary / Official form status (pending_manual): Transfer verified answers into the official submission system.</w:t>
      </w:r>
    </w:p>
    <w:p>
      <w:pPr>
        <w:pStyle w:val="Heading2"/>
      </w:pPr>
      <w:r>
        <w:t>Draft Responses</w:t>
      </w:r>
    </w:p>
    <w:p>
      <w:pPr>
        <w:pStyle w:val="Heading3"/>
      </w:pPr>
      <w:r>
        <w:t>Data - Public dataset sources</w:t>
      </w:r>
    </w:p>
    <w:p>
      <w:pPr>
        <w:pStyle w:val="ListBullet"/>
      </w:pPr>
      <w:r>
        <w:t>Status: ready_for_author_check</w:t>
      </w:r>
    </w:p>
    <w:p>
      <w:pPr>
        <w:pStyle w:val="ListBullet"/>
      </w:pPr>
      <w:r>
        <w:t>Draft response: All datasets are public scRNA-seq datasets listed in metadata/datasets.tsv: pbmc3k_10x, pbmc68k_zheng2017, kang_ifnb_pbmc, baron_pancreas, tabula_sapiens_selected, pdac_gse154778, pdac_gse263733, pbmc_multisite.</w:t>
      </w:r>
    </w:p>
    <w:p>
      <w:pPr>
        <w:pStyle w:val="ListBullet"/>
      </w:pPr>
      <w:r>
        <w:t>Evidence: metadata/datasets.tsv</w:t>
      </w:r>
    </w:p>
    <w:p>
      <w:pPr>
        <w:pStyle w:val="ListBullet"/>
      </w:pPr>
      <w:r>
        <w:t>Author action required: Verify every accession and URL before submission.</w:t>
      </w:r>
    </w:p>
    <w:p>
      <w:pPr>
        <w:pStyle w:val="ListBullet"/>
      </w:pPr>
      <w:r>
        <w:t>Notes: Accessions listed: SRP073767, GSE96583, GSE84133, Tabula Sapiens, GSE154778, GSE263733, TBD.</w:t>
      </w:r>
    </w:p>
    <w:p>
      <w:pPr>
        <w:pStyle w:val="Heading3"/>
      </w:pPr>
      <w:r>
        <w:t>Data - Human data privacy and ethics</w:t>
      </w:r>
    </w:p>
    <w:p>
      <w:pPr>
        <w:pStyle w:val="ListBullet"/>
      </w:pPr>
      <w:r>
        <w:t>Status: ready_for_author_check</w:t>
      </w:r>
    </w:p>
    <w:p>
      <w:pPr>
        <w:pStyle w:val="ListBullet"/>
      </w:pPr>
      <w:r>
        <w:t>Draft response: No private clinical data are used in the current manuscript package; all main evidence is derived from public datasets.</w:t>
      </w:r>
    </w:p>
    <w:p>
      <w:pPr>
        <w:pStyle w:val="ListBullet"/>
      </w:pPr>
      <w:r>
        <w:t>Evidence: metadata/datasets.tsv</w:t>
      </w:r>
    </w:p>
    <w:p>
      <w:pPr>
        <w:pStyle w:val="ListBullet"/>
      </w:pPr>
      <w:r>
        <w:t>Author action required: Confirm no controlled-access or identifiable patient-level data were added outside this repository.</w:t>
      </w:r>
    </w:p>
    <w:p>
      <w:pPr>
        <w:pStyle w:val="ListBullet"/>
      </w:pPr>
      <w:r>
        <w:t>Notes: This is an analysis/privacy statement, not an IRB determination.</w:t>
      </w:r>
    </w:p>
    <w:p>
      <w:pPr>
        <w:pStyle w:val="Heading3"/>
      </w:pPr>
      <w:r>
        <w:t>Data - Data exclusion and preprocessing</w:t>
      </w:r>
    </w:p>
    <w:p>
      <w:pPr>
        <w:pStyle w:val="ListBullet"/>
      </w:pPr>
      <w:r>
        <w:t>Status: ready_for_author_check</w:t>
      </w:r>
    </w:p>
    <w:p>
      <w:pPr>
        <w:pStyle w:val="ListBullet"/>
      </w:pPr>
      <w:r>
        <w:t>Draft response: Large raw and processed matrices are excluded from GitHub; datasets are regenerated from public accessions and scripts. QC/filtering, normalization, HVG selection, RMT spectrum diagnostics, and benchmark outputs are recorded in scripts and result manifests.</w:t>
      </w:r>
    </w:p>
    <w:p>
      <w:pPr>
        <w:pStyle w:val="ListBullet"/>
      </w:pPr>
      <w:r>
        <w:t>Evidence: scripts/prepare_phase1_datasets.py; benchmarks/run_phase1_benchmark.py; metadata/datasets.tsv</w:t>
      </w:r>
    </w:p>
    <w:p>
      <w:pPr>
        <w:pStyle w:val="ListBullet"/>
      </w:pPr>
      <w:r>
        <w:t>Author action required: Confirm the Methods section lists final QC thresholds and any dataset-specific exclusions.</w:t>
      </w:r>
    </w:p>
    <w:p>
      <w:pPr>
        <w:pStyle w:val="ListBullet"/>
      </w:pPr>
      <w:r>
        <w:t>Notes: Do not leave QC decisions implicit in the reporting summary.</w:t>
      </w:r>
    </w:p>
    <w:p>
      <w:pPr>
        <w:pStyle w:val="Heading3"/>
      </w:pPr>
      <w:r>
        <w:t>Statistics - Randomization and blinding</w:t>
      </w:r>
    </w:p>
    <w:p>
      <w:pPr>
        <w:pStyle w:val="ListBullet"/>
      </w:pPr>
      <w:r>
        <w:t>Status: ready_for_author_check</w:t>
      </w:r>
    </w:p>
    <w:p>
      <w:pPr>
        <w:pStyle w:val="ListBullet"/>
      </w:pPr>
      <w:r>
        <w:t>Draft response: This is a computational methods study using public datasets and simulations. Experimental randomization/blinding is not applicable; computational randomness is controlled with explicit random_state values and repeated subsampling benchmarks.</w:t>
      </w:r>
    </w:p>
    <w:p>
      <w:pPr>
        <w:pStyle w:val="ListBullet"/>
      </w:pPr>
      <w:r>
        <w:t>Evidence: results/gates/gate_evidence.tsv</w:t>
      </w:r>
    </w:p>
    <w:p>
      <w:pPr>
        <w:pStyle w:val="ListBullet"/>
      </w:pPr>
      <w:r>
        <w:t>Author action required: Confirm this wording fits the official form's available options.</w:t>
      </w:r>
    </w:p>
    <w:p>
      <w:pPr>
        <w:pStyle w:val="ListBullet"/>
      </w:pPr>
      <w:r>
        <w:t>Notes: For benchmark comparisons, report seed/repeat settings rather than experimental blinding.</w:t>
      </w:r>
    </w:p>
    <w:p>
      <w:pPr>
        <w:pStyle w:val="Heading3"/>
      </w:pPr>
      <w:r>
        <w:t>Statistics - Sample size and replication</w:t>
      </w:r>
    </w:p>
    <w:p>
      <w:pPr>
        <w:pStyle w:val="ListBullet"/>
      </w:pPr>
      <w:r>
        <w:t>Status: ready_for_author_check</w:t>
      </w:r>
    </w:p>
    <w:p>
      <w:pPr>
        <w:pStyle w:val="ListBullet"/>
      </w:pPr>
      <w:r>
        <w:t>Draft response: No prospective sample-size calculation was performed. The method is evaluated by 50-repeat realistic-null and rare-state calibration, repeated-subsampling real-data benchmarks, official Seurat/JackStraw comparator rows, scLENSpy comparator rows, topology stress tests, and public PDAC/TME application data.</w:t>
      </w:r>
    </w:p>
    <w:p>
      <w:pPr>
        <w:pStyle w:val="ListBullet"/>
      </w:pPr>
      <w:r>
        <w:t>Evidence: docs/current_evidence_freeze_2026-05-12.md</w:t>
      </w:r>
    </w:p>
    <w:p>
      <w:pPr>
        <w:pStyle w:val="ListBullet"/>
      </w:pPr>
      <w:r>
        <w:t>Author action required: Confirm final manuscript still uses the same benchmark set.</w:t>
      </w:r>
    </w:p>
    <w:p>
      <w:pPr>
        <w:pStyle w:val="ListBullet"/>
      </w:pPr>
      <w:r>
        <w:t>Notes: This supports computational reproducibility, not prospective clinical power.</w:t>
      </w:r>
    </w:p>
    <w:p>
      <w:pPr>
        <w:pStyle w:val="Heading3"/>
      </w:pPr>
      <w:r>
        <w:t>Statistics - Multiple testing and uncertainty</w:t>
      </w:r>
    </w:p>
    <w:p>
      <w:pPr>
        <w:pStyle w:val="ListBullet"/>
      </w:pPr>
      <w:r>
        <w:t>Status: needs_author_completion</w:t>
      </w:r>
    </w:p>
    <w:p>
      <w:pPr>
        <w:pStyle w:val="ListBullet"/>
      </w:pPr>
      <w:r>
        <w:t>Draft response: The primary benchmarks use pre-specified gate thresholds for false signal PCs, rare-state ARI, stability/no-call behavior, annotation noninferiority, and PDAC/TME interpretability. If gene-level marker or pathway tests are added to the final manuscript, report the p-value adjustment method explicitly.</w:t>
      </w:r>
    </w:p>
    <w:p>
      <w:pPr>
        <w:pStyle w:val="ListBullet"/>
      </w:pPr>
      <w:r>
        <w:t>Evidence: results/manuscript/claim_evidence_matrix.tsv</w:t>
      </w:r>
    </w:p>
    <w:p>
      <w:pPr>
        <w:pStyle w:val="ListBullet"/>
      </w:pPr>
      <w:r>
        <w:t>Author action required: Add final marker/pathway multiple-testing details if those analyses enter the main text.</w:t>
      </w:r>
    </w:p>
    <w:p>
      <w:pPr>
        <w:pStyle w:val="ListBullet"/>
      </w:pPr>
      <w:r>
        <w:t>Notes: Current method gates are threshold-based; marker/pathway testing may need FDR control.</w:t>
      </w:r>
    </w:p>
    <w:p>
      <w:pPr>
        <w:pStyle w:val="Heading3"/>
      </w:pPr>
      <w:r>
        <w:t>Method validation - Noise-control and rare-state claims</w:t>
      </w:r>
    </w:p>
    <w:p>
      <w:pPr>
        <w:pStyle w:val="ListBullet"/>
      </w:pPr>
      <w:r>
        <w:t>Status: ready_for_author_check</w:t>
      </w:r>
    </w:p>
    <w:p>
      <w:pPr>
        <w:pStyle w:val="ListBullet"/>
      </w:pPr>
      <w:r>
        <w:t>Draft response: Across the current 50-repeat count-preserving null families, the maximum observed false-signal rate was 0.0%. Rare-state power was bounded by prevalence and effect size: all tested prevalence &gt;=0.04 settings reached power &gt;=84% (6 settings), whereas prevalence 0.02/effect 2.5 had power 0.12 and mean rare-state F1 0.151.</w:t>
      </w:r>
    </w:p>
    <w:p>
      <w:pPr>
        <w:pStyle w:val="ListBullet"/>
      </w:pPr>
      <w:r>
        <w:t>Evidence: results/calibration/realistic_null_summary.tsv; results/calibration/rare_state_power_summary.tsv</w:t>
      </w:r>
    </w:p>
    <w:p>
      <w:pPr>
        <w:pStyle w:val="ListBullet"/>
      </w:pPr>
      <w:r>
        <w:t>Author action required: Confirm exact benchmark numbers match final figures.</w:t>
      </w:r>
    </w:p>
    <w:p>
      <w:pPr>
        <w:pStyle w:val="ListBullet"/>
      </w:pPr>
      <w:r>
        <w:t>Notes: Avoid exact type-I calibration claims beyond the tested null families and preprocessing regime.</w:t>
      </w:r>
    </w:p>
    <w:p>
      <w:pPr>
        <w:pStyle w:val="Heading3"/>
      </w:pPr>
      <w:r>
        <w:t>Method validation - Callability and no-call boundary</w:t>
      </w:r>
    </w:p>
    <w:p>
      <w:pPr>
        <w:pStyle w:val="ListBullet"/>
      </w:pPr>
      <w:r>
        <w:t>Status: ready_for_author_check</w:t>
      </w:r>
    </w:p>
    <w:p>
      <w:pPr>
        <w:pStyle w:val="ListBullet"/>
      </w:pPr>
      <w:r>
        <w:t>Draft response: Callability-aware multi-dataset diagnostics: baron_pancreas: fail_below_best_baseline RMTGuard=0.859187 best=elbow_rule 0.980448; kang_ifnb_pbmc: fail_below_best_baseline RMTGuard=0.826068 best=elbow_rule 0.880112; pbmc3k_10x: fail_below_best_baseline RMTGuard=0.891308 best=elbow_rule 0.986578; pbmc68k_zheng2017: diagnostic_no_call RMTGuard=0.600000 best=fixed_pcs_30 0.805652. PBMC3k mean pairwise ARI: RMTGuard=0.8913076392119752, Scanpy-like=0.8210209608290601, fixed30=0.9083477856918997; PBMC68k is reported as a diagnostic no-call, not as a positive discovery.</w:t>
      </w:r>
    </w:p>
    <w:p>
      <w:pPr>
        <w:pStyle w:val="ListBullet"/>
      </w:pPr>
      <w:r>
        <w:t>Evidence: results/manuscript/claim_evidence_matrix.tsv</w:t>
      </w:r>
    </w:p>
    <w:p>
      <w:pPr>
        <w:pStyle w:val="ListBullet"/>
      </w:pPr>
      <w:r>
        <w:t>Author action required: Keep PBMC68k as diagnostic no-call and avoid broad stability-superiority wording.</w:t>
      </w:r>
    </w:p>
    <w:p>
      <w:pPr>
        <w:pStyle w:val="ListBullet"/>
      </w:pPr>
      <w:r>
        <w:t>Notes: The reporting summary can be completed, but the Nature Methods scientific claim remains gated by the stability_advantage result.</w:t>
      </w:r>
    </w:p>
    <w:p>
      <w:pPr>
        <w:pStyle w:val="Heading3"/>
      </w:pPr>
      <w:r>
        <w:t>Biological application - PDAC/TME public showcase</w:t>
      </w:r>
    </w:p>
    <w:p>
      <w:pPr>
        <w:pStyle w:val="ListBullet"/>
      </w:pPr>
      <w:r>
        <w:t>Status: ready_for_author_check</w:t>
      </w:r>
    </w:p>
    <w:p>
      <w:pPr>
        <w:pStyle w:val="ListBullet"/>
      </w:pPr>
      <w:r>
        <w:t>Draft response: GSE154778 signatures: ['ductal_malignant_context', 'immune_myeloid']; GSE263733 validation ARI=0.5680419676901498, NMI=0.6866858928242938.</w:t>
      </w:r>
    </w:p>
    <w:p>
      <w:pPr>
        <w:pStyle w:val="ListBullet"/>
      </w:pPr>
      <w:r>
        <w:t>Evidence: results/manuscript/claim_evidence_matrix.tsv</w:t>
      </w:r>
    </w:p>
    <w:p>
      <w:pPr>
        <w:pStyle w:val="ListBullet"/>
      </w:pPr>
      <w:r>
        <w:t>Author action required: Confirm final text does not claim standalone CAF/fibroblast discovery.</w:t>
      </w:r>
    </w:p>
    <w:p>
      <w:pPr>
        <w:pStyle w:val="ListBullet"/>
      </w:pPr>
      <w:r>
        <w:t>Notes: Use as public application evidence, not clinical decision support.</w:t>
      </w:r>
    </w:p>
    <w:p>
      <w:pPr>
        <w:pStyle w:val="Heading3"/>
      </w:pPr>
      <w:r>
        <w:t>Software - Code availability</w:t>
      </w:r>
    </w:p>
    <w:p>
      <w:pPr>
        <w:pStyle w:val="ListBullet"/>
      </w:pPr>
      <w:r>
        <w:t>Status: ready_for_author_check</w:t>
      </w:r>
    </w:p>
    <w:p>
      <w:pPr>
        <w:pStyle w:val="ListBullet"/>
      </w:pPr>
      <w:r>
        <w:t>Draft response: Public code is available at https://github.com/healthgreat/rmtguard. The repository includes local code, tests, CI, Dockerfile, release manifests, dataset metadata and regeneration scripts. Post-release working-branch changes should not be described as part of the immutable release unless a new release is issued.</w:t>
      </w:r>
    </w:p>
    <w:p>
      <w:pPr>
        <w:pStyle w:val="ListBullet"/>
      </w:pPr>
      <w:r>
        <w:t>Evidence: results/release/release_readiness.tsv</w:t>
      </w:r>
    </w:p>
    <w:p>
      <w:pPr>
        <w:pStyle w:val="ListBullet"/>
      </w:pPr>
      <w:r>
        <w:t>Author action required: Before submission, verify that the final submitted code corresponds to an archived release.</w:t>
      </w:r>
    </w:p>
    <w:p>
      <w:pPr>
        <w:pStyle w:val="ListBullet"/>
      </w:pPr>
      <w:r>
        <w:t>Notes: Code availability is no longer the hard P0 blocker; final release coverage remains author-controlled.</w:t>
      </w:r>
    </w:p>
    <w:p>
      <w:pPr>
        <w:pStyle w:val="Heading3"/>
      </w:pPr>
      <w:r>
        <w:t>Software - Code DOI</w:t>
      </w:r>
    </w:p>
    <w:p>
      <w:pPr>
        <w:pStyle w:val="ListBullet"/>
      </w:pPr>
      <w:r>
        <w:t>Status: needs_release_refresh</w:t>
      </w:r>
    </w:p>
    <w:p>
      <w:pPr>
        <w:pStyle w:val="ListBullet"/>
      </w:pPr>
      <w:r>
        <w:t>Draft response: The archived software DOI recorded in .zenodo.json and CITATION.cff is 10.5281/zenodo.20012350. The current working branch contains post-release changes; if these are cited in the submitted manuscript, create and archive a new release before submission.</w:t>
      </w:r>
    </w:p>
    <w:p>
      <w:pPr>
        <w:pStyle w:val="ListBullet"/>
      </w:pPr>
      <w:r>
        <w:t>Evidence: results/release/release_readiness.tsv</w:t>
      </w:r>
    </w:p>
    <w:p>
      <w:pPr>
        <w:pStyle w:val="ListBullet"/>
      </w:pPr>
      <w:r>
        <w:t>Author action required: Create a new GitHub Release/Zenodo archive if the final manuscript depends on post-v0.1.0 files.</w:t>
      </w:r>
    </w:p>
    <w:p>
      <w:pPr>
        <w:pStyle w:val="ListBullet"/>
      </w:pPr>
      <w:r>
        <w:t>Notes: The DOI exists; the remaining issue is exact version coverage, not absence of DOI.</w:t>
      </w:r>
    </w:p>
    <w:p>
      <w:pPr>
        <w:pStyle w:val="Heading3"/>
      </w:pPr>
      <w:r>
        <w:t>Reporting summary - Official form status</w:t>
      </w:r>
    </w:p>
    <w:p>
      <w:pPr>
        <w:pStyle w:val="ListBullet"/>
      </w:pPr>
      <w:r>
        <w:t>Status: pending_manual</w:t>
      </w:r>
    </w:p>
    <w:p>
      <w:pPr>
        <w:pStyle w:val="ListBullet"/>
      </w:pPr>
      <w:r>
        <w:t>Draft response: This draft pre-fills reporting-summary content, but the official Nature Portfolio reporting summary must be completed and verified by the corresponding author.</w:t>
      </w:r>
    </w:p>
    <w:p>
      <w:pPr>
        <w:pStyle w:val="ListBullet"/>
      </w:pPr>
      <w:r>
        <w:t>Evidence: results/submission/nature_methods_compliance_audit.tsv</w:t>
      </w:r>
    </w:p>
    <w:p>
      <w:pPr>
        <w:pStyle w:val="ListBullet"/>
      </w:pPr>
      <w:r>
        <w:t>Author action required: Transfer verified answers into the official submission system.</w:t>
      </w:r>
    </w:p>
    <w:p>
      <w:pPr>
        <w:pStyle w:val="ListBullet"/>
      </w:pPr>
      <w:r>
        <w:t>Notes: Codex can assist but cannot truthfully certify the official form without author review.</w:t>
      </w:r>
    </w:p>
    <w:p>
      <w:pPr>
        <w:pStyle w:val="Heading1"/>
      </w:pPr>
      <w:r>
        <w:t>Freeze-aligned Results draft</w:t>
      </w:r>
    </w:p>
    <w:p>
      <w:pPr>
        <w:pStyle w:val="Heading2"/>
      </w:pPr>
      <w:r>
        <w:t>Freeze-aligned Results draft</w:t>
      </w:r>
    </w:p>
    <w:p>
      <w:r>
        <w:t>Generated: 2026-05-12</w:t>
      </w:r>
    </w:p>
    <w:p>
      <w:r>
        <w:t>Status: draft text for manuscript assembly; not a submission-ready final Results section.</w:t>
      </w:r>
    </w:p>
    <w:p>
      <w:pPr>
        <w:pStyle w:val="Heading2"/>
      </w:pPr>
      <w:r>
        <w:t>RMTGuard implements a diagnostic random-matrix callability workflow</w:t>
      </w:r>
    </w:p>
    <w:p>
      <w:r>
        <w:t>RMTGuard was evaluated as a callability-aware random-matrix workflow rather than as a universal replacement for fixed-parameter single-cell analysis. The current evidence freeze contains 28 manuscript-facing items with 0 missing files, linking algorithm figures, source-data tables, release evidence, public benchmarks, topology monitors and manual author blockers. This freeze defines the Results boundary used below: supported structures may be reported, but diagnostic no-call and caveated-call outcomes are not relabelled as biological discoveries. [Evidence: docs/current_evidence_freeze_2026-05-12.md]</w:t>
      </w:r>
    </w:p>
    <w:p>
      <w:pPr>
        <w:pStyle w:val="Heading2"/>
      </w:pPr>
      <w:r>
        <w:t>Null and rare-state calibration support bounded noise-control claims</w:t>
      </w:r>
    </w:p>
    <w:p>
      <w:r>
        <w:t>Across 50-repeat realistic null experiments covering gene_permutation_null, library_multinomial_null, library_stratified_gene_null, the maximum observed false-signal rate was 0%. These results support a bounded false-signal-control claim under the tested count-preserving null families, not universal type-I-error calibration for every scRNA-seq preprocessing regime. [Evidence: results/calibration/realistic_null_summary.tsv]</w:t>
      </w:r>
    </w:p>
    <w:p>
      <w:r>
        <w:t>Rare-state simulations also showed a clear operating boundary. Power was high in the tested prevalence 0.02 setting only at effect size 6.0, and all tested prevalence &gt;=0.04 settings had power at least 84%; the weakest setting, prevalence 0.02 and effect size 2.5, had power 12% and mean rare-state F1 0.151. The manuscript should therefore describe rare-state retention as supported for tested moderate settings and explicitly limited in the lowest-prevalence, weak-effect regime. [Evidence: results/calibration/rare_state_power_summary.tsv]</w:t>
      </w:r>
    </w:p>
    <w:p>
      <w:pPr>
        <w:pStyle w:val="Heading2"/>
      </w:pPr>
      <w:r>
        <w:t>Public benchmarks support callability and caveat reporting, not broad superiority</w:t>
      </w:r>
    </w:p>
    <w:p>
      <w:r>
        <w:t>The callability decision map classified the current benchmark rows as 2 diagnostic no-call rows, 3 caveated real-data calls, 2 synthetic positive-control passes and 4 stress-monitor rows. PBMC68k/Zheng 2017 was kept as a diagnostic no-call with annotation ARI 0.081 and stability gap 0.206, whereas PBMC3k, Kang IFN-beta PBMC and Baron pancreas were retained only as caveated benchmark contexts. [Evidence: results/callability/no_call_decision_map.tsv]</w:t>
      </w:r>
    </w:p>
    <w:p>
      <w:r>
        <w:t>Specifically, PBMC3k showed RMTGuard stability 0.891 with a gap of 0.095 to the strongest comparator; Kang IFN-beta PBMC showed annotation ARI 0.785 and stability gap 0.054; Baron pancreas showed annotation ARI 0.752 and stability gap 0.121. These results support transparent reporting of when RMTGuard proceeds and when it refuses or caveats a result, but they do not support a statement that RMTGuard is always more stable than elbow or fixed-PC workflows. [Evidence: results/callability/no_call_decision_map.tsv]</w:t>
      </w:r>
    </w:p>
    <w:p>
      <w:r>
        <w:t>A direct scLENSpy comparison reduced the risk that the work lacks an RMT-like comparator. In 10-repeat subsampling, RMTGuard mean pairwise ARI was 0.867 on PBMC3k and 0.789 on Kang IFN-beta PBMC, compared with scLENSpy n_rand_matrix=20 values of 0.694 and 0.586, respectively. This comparison is limited to the tested Python scLENSpy configuration and two datasets. [Evidence: results/submission/sclens_vs_rmtguard_stability_nrand20.tsv]</w:t>
      </w:r>
    </w:p>
    <w:p>
      <w:pPr>
        <w:pStyle w:val="Heading2"/>
      </w:pPr>
      <w:r>
        <w:t>Topology benchmarks show monitored geometry preservation with real-data trade-offs</w:t>
      </w:r>
    </w:p>
    <w:p>
      <w:r>
        <w:t>Synthetic CONCORD-style topology stress tests showed that RMTGuard preserved line, branch and loop geometry under the tested simulations (branching_trajectory: trustworthiness 0.924, continuity 0.881, kNN recall 0.301; cyclic_loop: trustworthiness 0.951, continuity 0.933, kNN recall 0.422; linear_trajectory: trustworthiness 0.933, continuity 0.881, kNN recall 0.301). These simulations support topology monitoring as part of the benchmark arc, but they do not establish RMTGuard as a dedicated trajectory-inference method. [Evidence: results/submission/topology_stress_summary.tsv]</w:t>
      </w:r>
    </w:p>
    <w:p>
      <w:r>
        <w:t>On Paul15 hematopoiesis, an annotation-derived real-data topology monitor showed a mixed trade-off. RMTGuard had higher annotation ARI (0.270) than fixed 30 PCs (0.176) and fixed 50 PCs (0.088), and lower neighbor tree distance (1.153) than fixed 30 PCs (1.289) and fixed 50 PCs (1.435). However, fixed-PC baselines had higher centroid tree rho (0.246 and 0.236) than RMTGuard (0.232), and fixed 50 PCs had the highest reference edge recall (0.650 versus 0.600 for RMTGuard). This figure should be presented as a real-data topology monitor with explicit trade-offs, not as broad topology superiority. [Evidence: results/submission/realdata_topology_summary.tsv]</w:t>
      </w:r>
    </w:p>
    <w:p>
      <w:pPr>
        <w:pStyle w:val="Heading2"/>
      </w:pPr>
      <w:r>
        <w:t>PDAC/TME application and ablation evidence remain bounded</w:t>
      </w:r>
    </w:p>
    <w:p>
      <w:r>
        <w:t>The PDAC/TME analysis is retained as a public-data application that connects RMTGuard-selected structures to marker, pathway and atlas-context evidence. It should be described as a bounded methods-paper showcase and not as a new PDAC mechanism, prognosis marker, therapy-response model, spatial validation or protein-level validation. [Evidence: docs/figure4_pdac_tme_wording_freeze.md; results/figures/source_data/figure4_pdac_tme_strengthened_source.tsv]</w:t>
      </w:r>
    </w:p>
    <w:p>
      <w:r>
        <w:t>Component ablation and real-data annotation checks support discussion of the tested RMTGuard modules, but the manuscript should avoid universal component-necessity language. The correct wording is that MP/TW-style edge checks, near-edge stability, no-call logic and related safeguards contributed under the benchmark settings captured in the current source data. [Evidence: docs/component_ablation_benchmark.md; docs/realdata_ablation_annotation.md]</w:t>
      </w:r>
    </w:p>
    <w:p>
      <w:pPr>
        <w:pStyle w:val="Heading1"/>
      </w:pPr>
      <w:r>
        <w:t>Freeze-aligned figure legends</w:t>
      </w:r>
    </w:p>
    <w:p>
      <w:pPr>
        <w:pStyle w:val="Heading2"/>
      </w:pPr>
      <w:r>
        <w:t>Freeze-aligned figure legends draft</w:t>
      </w:r>
    </w:p>
    <w:p>
      <w:r>
        <w:t>Generated: 2026-05-12</w:t>
      </w:r>
    </w:p>
    <w:p>
      <w:r>
        <w:t>Status: draft legends for manuscript assembly; not final journal artwork captions.</w:t>
      </w:r>
    </w:p>
    <w:p>
      <w:pPr>
        <w:pStyle w:val="Heading2"/>
      </w:pPr>
      <w:r>
        <w:t>Figure 1. RMTGuard random-matrix callability workflow.</w:t>
      </w:r>
    </w:p>
    <w:p>
      <w:r>
        <w:t>Schematic and diagnostic outputs for the RMTGuard workflow. The method uses random-matrix spectral diagnostics, adaptive embedding decisions and explicit callability outputs to separate supported signal from high-dimensional noise. This figure should be read as a workflow and diagnostic overview, not as a claim of new random-matrix theory. Source data: results/figures/source_data/figure1_algorithm_diagnostics.tsv.</w:t>
      </w:r>
    </w:p>
    <w:p>
      <w:pPr>
        <w:pStyle w:val="Heading2"/>
      </w:pPr>
      <w:r>
        <w:t>Figure 2. Synthetic calibration of false-signal and rare-state behavior.</w:t>
      </w:r>
    </w:p>
    <w:p>
      <w:r>
        <w:t>Synthetic null, planted-signal and rare-state scenarios evaluate whether the workflow controls false signal under tested null families while retaining detectable rare states. Realistic null simulations covered gene-permutation, library-multinomial and library-stratified gene nulls; the maximum observed false-signal rate in the current 50-repeat summary was 0%. Rare-state power is claim-bounded: moderate prevalence/effect regimes are supported, whereas prevalence 0.02/effect size 2.5 remains weak. Source data: results/calibration/realistic_null_summary.tsv and results/calibration/rare_state_power_summary.tsv.</w:t>
      </w:r>
    </w:p>
    <w:p>
      <w:pPr>
        <w:pStyle w:val="Heading2"/>
      </w:pPr>
      <w:r>
        <w:t>Figure 3. Public benchmark callability, caveats and no-call decisions.</w:t>
      </w:r>
    </w:p>
    <w:p>
      <w:r>
        <w:t>Public benchmark panels report RMTGuard performance alongside fixed-PC, elbow, Scanpy-like, Seurat and scLENSpy comparators where available. The callability map includes PBMC68k/Zheng 2017 as a diagnostic no-call (annotation ARI 0.081), not a biological discovery. PBMC3k, Kang IFN-beta PBMC and Baron pancreas are retained as caveated benchmark contexts. The legend must not state that RMTGuard outperforms all fixed-PC or elbow baselines. Source data: results/callability/no_call_decision_map.tsv, results/submission/sclens_vs_rmtguard_stability_nrand20.tsv and related Figure 3 source-data tables.</w:t>
      </w:r>
    </w:p>
    <w:p>
      <w:pPr>
        <w:pStyle w:val="Heading2"/>
      </w:pPr>
      <w:r>
        <w:t>Figure 4. Bounded PDAC/TME public-data application.</w:t>
      </w:r>
    </w:p>
    <w:p>
      <w:r>
        <w:t>RMTGuard is applied to public PDAC/TME datasets to illustrate marker, pathway and atlas-context interpretation under the current callability framework. The figure supports a methods-paper use case only. It does not establish a new PDAC mechanism, clinical biomarker, prognosis model, therapy-response predictor, spatial validation or protein-level validation. Source data: results/figures/source_data/figure4_pdac_tme_strengthened_source.tsv.</w:t>
      </w:r>
    </w:p>
    <w:p>
      <w:pPr>
        <w:pStyle w:val="Heading2"/>
      </w:pPr>
      <w:r>
        <w:t>Figure 5. Ablation, reproducibility and release readiness.</w:t>
      </w:r>
    </w:p>
    <w:p>
      <w:r>
        <w:t>Main Figure 5 summarizes runtime, memory, submission-gate status and the PBMC3k stability-ablation panel used for software/reproducibility reporting. The public repository, GitHub Release and Zenodo DOI support code availability for the archived release, while post-release working-branch changes should not be described as part of the immutable DOI snapshot unless a new release is issued. Source data: results/figures/source_data/figure5_runtime_memory_summary.tsv, results/figures/source_data/figure5_gate_evidence.tsv, results/figures/source_data/figure5_ablation_stability_summary.tsv and release manifests.</w:t>
      </w:r>
    </w:p>
    <w:p>
      <w:pPr>
        <w:pStyle w:val="Heading2"/>
      </w:pPr>
      <w:r>
        <w:t>Extended Data Figure. Real-data ablation annotation monitor.</w:t>
      </w:r>
    </w:p>
    <w:p>
      <w:r>
        <w:t>The real-data ablation forest plot summarizes annotation-ARI and batch-ARI deltas for tested RMTGuard component variants across labeled public datasets. This panel supports component-sensitivity discussion under the tested datasets and repeats, but it should not be described as proving universal component necessity. Source data: results/figures/source_data/figure5_realdata_ablation_delta_summary.tsv.</w:t>
      </w:r>
    </w:p>
    <w:p>
      <w:pPr>
        <w:pStyle w:val="Heading2"/>
      </w:pPr>
      <w:r>
        <w:t>Extended Data Figure. Topology stress and Paul15 real-data topology monitor.</w:t>
      </w:r>
    </w:p>
    <w:p>
      <w:r>
        <w:t>Synthetic topology stress tests evaluate line, branch and loop geometry (branching_trajectory, trustworthiness 0.924; cyclic_loop, trustworthiness 0.951; linear_trajectory, trustworthiness 0.933). The Paul15 hematopoiesis monitor uses an annotation-derived cluster graph rather than experimentally measured pseudotime. RMTGuard had higher annotation ARI (0.270) and lower neighbor tree distance (1.153) than fixed 30 PCs (1.289) and fixed 50 PCs (1.435), but fixed-PC baselines had higher centroid tree rho/reference edge recall. This extended figure should therefore be described as topology monitoring with trade-offs, not as trajectory-method superiority. Source data: results/submission/topology_stress_summary.tsv and results/submission/realdata_topology_summary.tsv.</w:t>
      </w:r>
    </w:p>
    <w:p>
      <w:pPr>
        <w:pStyle w:val="Heading1"/>
      </w:pPr>
      <w:r>
        <w:t>Machine-readable claim audit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section</w:t>
            </w:r>
          </w:p>
        </w:tc>
        <w:tc>
          <w:tcPr>
            <w:tcW w:type="dxa" w:w="2520"/>
          </w:tcPr>
          <w:p>
            <w:r>
              <w:t>claim_boundary</w:t>
            </w:r>
          </w:p>
        </w:tc>
        <w:tc>
          <w:tcPr>
            <w:tcW w:type="dxa" w:w="2520"/>
          </w:tcPr>
          <w:p>
            <w:r>
              <w:t>evidence_source</w:t>
            </w:r>
          </w:p>
        </w:tc>
        <w:tc>
          <w:tcPr>
            <w:tcW w:type="dxa" w:w="2520"/>
          </w:tcPr>
          <w:p>
            <w:r>
              <w:t>status</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r>
        <w:tc>
          <w:tcPr>
            <w:tcW w:type="dxa" w:w="2520"/>
            <w:vAlign w:val="top"/>
          </w:tcPr>
          <w:p>
            <w:r/>
          </w:p>
        </w:tc>
        <w:tc>
          <w:tcPr>
            <w:tcW w:type="dxa" w:w="2520"/>
            <w:vAlign w:val="top"/>
          </w:tcPr>
          <w:p>
            <w:r/>
          </w:p>
        </w:tc>
        <w:tc>
          <w:tcPr>
            <w:tcW w:type="dxa" w:w="2520"/>
            <w:vAlign w:val="top"/>
          </w:tcPr>
          <w:p>
            <w:r/>
          </w:p>
        </w:tc>
        <w:tc>
          <w:tcPr>
            <w:tcW w:type="dxa" w:w="2520"/>
            <w:vAlign w:val="top"/>
          </w:tcPr>
          <w:p>
            <w:r>
              <w:t>controlled</w:t>
            </w:r>
          </w:p>
        </w:tc>
      </w:tr>
    </w:tbl>
    <w:p>
      <w:pPr>
        <w:pStyle w:val="Heading1"/>
      </w:pPr>
      <w:r>
        <w:t>Questions for external reviewers</w:t>
      </w:r>
    </w:p>
    <w:p>
      <w:pPr>
        <w:pStyle w:val="ListNumber"/>
      </w:pPr>
      <w:r>
        <w:t>Is the central claim best framed as random-matrix callability/noise control rather than broad stability superiority?</w:t>
      </w:r>
    </w:p>
    <w:p>
      <w:pPr>
        <w:pStyle w:val="ListNumber"/>
      </w:pPr>
      <w:r>
        <w:t>Which benchmark result would most likely trigger reviewer skepticism, and what extra analysis would reduce that risk?</w:t>
      </w:r>
    </w:p>
    <w:p>
      <w:pPr>
        <w:pStyle w:val="ListNumber"/>
      </w:pPr>
      <w:r>
        <w:t>Does the no-call decision map look like a useful methodological feature, or does it read as underperformance?</w:t>
      </w:r>
    </w:p>
    <w:p>
      <w:pPr>
        <w:pStyle w:val="ListNumber"/>
      </w:pPr>
      <w:r>
        <w:t>Is the PDAC/TME public-data application strong enough for a main figure, or should it move to supplementary material?</w:t>
      </w:r>
    </w:p>
    <w:p>
      <w:pPr>
        <w:pStyle w:val="ListNumber"/>
      </w:pPr>
      <w:r>
        <w:t>For journal routing, should the next live target remain Nature Methods presubmission, or should the manuscript be reframed directly for Genome Biology?</w:t>
      </w:r>
    </w:p>
    <w:p>
      <w:pPr>
        <w:pStyle w:val="Heading1"/>
      </w:pPr>
      <w:r>
        <w:t>Manual author-owned tasks</w:t>
      </w:r>
    </w:p>
    <w:p>
      <w:pPr>
        <w:pStyle w:val="Heading2"/>
      </w:pPr>
      <w:r>
        <w:t>Manual Next Actions For The RMTGuard 20-50 JIF Route</w:t>
      </w:r>
    </w:p>
    <w:p>
      <w:r>
        <w:t>Last updated: 2026-05-04.</w:t>
      </w:r>
    </w:p>
    <w:p>
      <w:r>
        <w:t>This checklist separates author-owned external actions from Codex-owned local</w:t>
      </w:r>
    </w:p>
    <w:p>
      <w:r>
        <w:t>analysis work. It does not guarantee acceptance; it is a risk-control list for</w:t>
      </w:r>
    </w:p>
    <w:p>
      <w:r>
        <w:t>raising the manuscript toward a strict Nature Methods / 20-50 JIF route.</w:t>
      </w:r>
    </w:p>
    <w:p>
      <w:pPr>
        <w:pStyle w:val="Heading2"/>
      </w:pPr>
      <w:r>
        <w:t>1. ORCID Profile Cleanup</w:t>
      </w:r>
    </w:p>
    <w:p>
      <w:r>
        <w:t>Status: required but not blocking for code release.</w:t>
      </w:r>
    </w:p>
    <w:p>
      <w:r>
        <w:t>Confirmed primary ORCID:</w:t>
      </w:r>
    </w:p>
    <w:p>
      <w:pPr>
        <w:pStyle w:val="ListBullet"/>
      </w:pPr>
      <w:r>
        <w:t>Chongfa Chen: https://orcid.org/0000-0001-6597-5181</w:t>
      </w:r>
    </w:p>
    <w:p>
      <w:r>
        <w:t>Possible duplicate not currently used:</w:t>
      </w:r>
    </w:p>
    <w:p>
      <w:pPr>
        <w:pStyle w:val="ListBullet"/>
      </w:pPr>
      <w:r>
        <w:t>https://orcid.org/0000-0001-7367-9972</w:t>
      </w:r>
    </w:p>
    <w:p>
      <w:r>
        <w:t>Manual steps:</w:t>
      </w:r>
    </w:p>
    <w:p>
      <w:pPr>
        <w:pStyle w:val="ListNumber"/>
      </w:pPr>
      <w:r>
        <w:t>Open https://orcid.org/signin.</w:t>
      </w:r>
    </w:p>
    <w:p>
      <w:pPr>
        <w:pStyle w:val="ListNumber"/>
      </w:pPr>
      <w:r>
        <w:t>Log in to 0000-0001-6597-5181.</w:t>
      </w:r>
    </w:p>
    <w:p>
      <w:pPr>
        <w:pStyle w:val="ListNumber"/>
      </w:pPr>
      <w:r>
        <w:t>Open the public preview and confirm the visible name is Chongfa Chen.</w:t>
      </w:r>
    </w:p>
    <w:p>
      <w:pPr>
        <w:pStyle w:val="ListNumber"/>
      </w:pPr>
      <w:r>
        <w:t>Add Employment:</w:t>
      </w:r>
    </w:p>
    <w:p>
      <w:r>
        <w:t xml:space="preserve">   - Organization: The Affiliated BenQ Hospital of Nanjing Medical University</w:t>
      </w:r>
    </w:p>
    <w:p>
      <w:r>
        <w:t xml:space="preserve">   - Department: Pancreas Center</w:t>
      </w:r>
    </w:p>
    <w:p>
      <w:r>
        <w:t xml:space="preserve">   - City: Nanjing</w:t>
      </w:r>
    </w:p>
    <w:p>
      <w:r>
        <w:t xml:space="preserve">   - Country: China</w:t>
      </w:r>
    </w:p>
    <w:p>
      <w:r>
        <w:t xml:space="preserve">   - Visibility: Everyone</w:t>
      </w:r>
    </w:p>
    <w:p>
      <w:pPr>
        <w:pStyle w:val="ListNumber"/>
      </w:pPr>
      <w:r>
        <w:t>Add Works:</w:t>
      </w:r>
    </w:p>
    <w:p>
      <w:r>
        <w:t xml:space="preserve">   - Use Add works -&gt; Search &amp; link -&gt; Crossref Metadata Search.</w:t>
      </w:r>
    </w:p>
    <w:p>
      <w:r>
        <w:t xml:space="preserve">   - Search by Chongfa Chen and import only your own papers.</w:t>
      </w:r>
    </w:p>
    <w:p>
      <w:r>
        <w:t xml:space="preserve">   - If a paper is missing, add it by DOI.</w:t>
      </w:r>
    </w:p>
    <w:p>
      <w:r>
        <w:t xml:space="preserve">   - Set visibility to Everyone.</w:t>
      </w:r>
    </w:p>
    <w:p>
      <w:pPr>
        <w:pStyle w:val="ListNumber"/>
      </w:pPr>
      <w:r>
        <w:t>If you can also log in to 0000-0001-7367-9972, treat it as a duplicate:</w:t>
      </w:r>
    </w:p>
    <w:p>
      <w:r>
        <w:t xml:space="preserve">   - Open https://orcid.org/account.</w:t>
      </w:r>
    </w:p>
    <w:p>
      <w:r>
        <w:t xml:space="preserve">   - Go to Account actions.</w:t>
      </w:r>
    </w:p>
    <w:p>
      <w:r>
        <w:t xml:space="preserve">   - Choose Remove a duplicate record.</w:t>
      </w:r>
    </w:p>
    <w:p>
      <w:r>
        <w:t xml:space="preserve">   - Keep 0000-0001-6597-5181 as the primary account unless ORCID support advises otherwise.</w:t>
      </w:r>
    </w:p>
    <w:p>
      <w:pPr>
        <w:pStyle w:val="ListNumber"/>
      </w:pPr>
      <w:r>
        <w:t>If you cannot access the possible duplicate, do not use it in the manuscript.</w:t>
      </w:r>
    </w:p>
    <w:p>
      <w:pPr>
        <w:pStyle w:val="Heading2"/>
      </w:pPr>
      <w:r>
        <w:t>2. Postal Code Confirmation</w:t>
      </w:r>
    </w:p>
    <w:p>
      <w:r>
        <w:t>Status: required before final title page.</w:t>
      </w:r>
    </w:p>
    <w:p>
      <w:r>
        <w:t>Current conflict:</w:t>
      </w:r>
    </w:p>
    <w:p>
      <w:pPr>
        <w:pStyle w:val="ListBullet"/>
      </w:pPr>
      <w:r>
        <w:t>Author-provided postal code: 350000</w:t>
      </w:r>
    </w:p>
    <w:p>
      <w:pPr>
        <w:pStyle w:val="ListBullet"/>
      </w:pPr>
      <w:r>
        <w:t>Public-source candidate for the Nanjing BenQ Hospital / Hexi Street address: 210019</w:t>
      </w:r>
    </w:p>
    <w:p>
      <w:r>
        <w:t>Manual steps:</w:t>
      </w:r>
    </w:p>
    <w:p>
      <w:pPr>
        <w:pStyle w:val="ListNumber"/>
      </w:pPr>
      <w:r>
        <w:t>Check the hospital official English address page or internal hospital letterhead.</w:t>
      </w:r>
    </w:p>
    <w:p>
      <w:pPr>
        <w:pStyle w:val="ListNumber"/>
      </w:pPr>
      <w:r>
        <w:t>Confirm whether the journal submission metadata should use:</w:t>
      </w:r>
    </w:p>
    <w:p>
      <w:r>
        <w:t xml:space="preserve">   - 350000, or</w:t>
      </w:r>
    </w:p>
    <w:p>
      <w:r>
        <w:t xml:space="preserve">   - 210019.</w:t>
      </w:r>
    </w:p>
    <w:p>
      <w:pPr>
        <w:pStyle w:val="ListNumber"/>
      </w:pPr>
      <w:r>
        <w:t>Send the final value back to Codex with this sentence:</w:t>
      </w:r>
    </w:p>
    <w:p>
      <w:r>
        <w:rPr>
          <w:rFonts w:ascii="Courier New" w:hAnsi="Courier New"/>
          <w:sz w:val="17"/>
        </w:rPr>
        <w:t>Use postal code &lt;FINAL_POSTAL_CODE&gt; for both Yi Miao and Han Yan correspondence addresses.</w:t>
      </w:r>
    </w:p>
    <w:p>
      <w:r>
        <w:t>Do not finalize the title page until this is confirmed.</w:t>
      </w:r>
    </w:p>
    <w:p>
      <w:pPr>
        <w:pStyle w:val="Heading2"/>
      </w:pPr>
      <w:r>
        <w:t>3. Author Declarations</w:t>
      </w:r>
    </w:p>
    <w:p>
      <w:r>
        <w:t>Status: required before submission.</w:t>
      </w:r>
    </w:p>
    <w:p>
      <w:r>
        <w:t>Manual steps:</w:t>
      </w:r>
    </w:p>
    <w:p>
      <w:pPr>
        <w:pStyle w:val="ListNumber"/>
      </w:pPr>
      <w:r>
        <w:t>CRediT roles:</w:t>
      </w:r>
    </w:p>
    <w:p>
      <w:r>
        <w:t xml:space="preserve">   - Open metadata/credit_roles.tsv.</w:t>
      </w:r>
    </w:p>
    <w:p>
      <w:r>
        <w:t xml:space="preserve">   - Confirm whether each role is correct.</w:t>
      </w:r>
    </w:p>
    <w:p>
      <w:r>
        <w:t xml:space="preserve">   - If a role is wrong, tell Codex the corrected role list for each author.</w:t>
      </w:r>
    </w:p>
    <w:p>
      <w:pPr>
        <w:pStyle w:val="ListNumber"/>
      </w:pPr>
      <w:r>
        <w:t>Funding:</w:t>
      </w:r>
    </w:p>
    <w:p>
      <w:r>
        <w:t xml:space="preserve">   - If funded, provide exact funder names and grant numbers.</w:t>
      </w:r>
    </w:p>
    <w:p>
      <w:r>
        <w:t xml:space="preserve">   - If not funded, confirm this sentence:</w:t>
      </w:r>
    </w:p>
    <w:p>
      <w:r>
        <w:rPr>
          <w:rFonts w:ascii="Courier New" w:hAnsi="Courier New"/>
          <w:sz w:val="17"/>
        </w:rPr>
        <w:t>This research received no specific grant from any funding agency in the public, commercial, or not-for-profit sectors.</w:t>
      </w:r>
    </w:p>
    <w:p>
      <w:pPr>
        <w:pStyle w:val="ListNumber"/>
      </w:pPr>
      <w:r>
        <w:t>Competing interests:</w:t>
      </w:r>
    </w:p>
    <w:p>
      <w:r>
        <w:t xml:space="preserve">   - Ask all authors to confirm whether financial or non-financial conflicts exist.</w:t>
      </w:r>
    </w:p>
    <w:p>
      <w:r>
        <w:t xml:space="preserve">   - If none, confirm:</w:t>
      </w:r>
    </w:p>
    <w:p>
      <w:r>
        <w:rPr>
          <w:rFonts w:ascii="Courier New" w:hAnsi="Courier New"/>
          <w:sz w:val="17"/>
        </w:rPr>
        <w:t>The authors declare no competing interests.</w:t>
      </w:r>
    </w:p>
    <w:p>
      <w:pPr>
        <w:pStyle w:val="ListNumber"/>
      </w:pPr>
      <w:r>
        <w:t>Ethics / public data:</w:t>
      </w:r>
    </w:p>
    <w:p>
      <w:r>
        <w:t xml:space="preserve">   - Confirm that the manuscript uses only public, de-identified datasets.</w:t>
      </w:r>
    </w:p>
    <w:p>
      <w:r>
        <w:t xml:space="preserve">   - If no private clinical data are added, confirm:</w:t>
      </w:r>
    </w:p>
    <w:p>
      <w:r>
        <w:rPr>
          <w:rFonts w:ascii="Courier New" w:hAnsi="Courier New"/>
          <w:sz w:val="17"/>
        </w:rPr>
        <w:t>This study analyzed publicly available, de-identified datasets and did not involve newly collected private clinical data or direct contact with human participants.</w:t>
      </w:r>
    </w:p>
    <w:p>
      <w:pPr>
        <w:pStyle w:val="Heading2"/>
      </w:pPr>
      <w:r>
        <w:t>4. Journal Metrics, CAS Zone, And Warning List Verification</w:t>
      </w:r>
    </w:p>
    <w:p>
      <w:r>
        <w:t>Status: required immediately before submission because metrics and warning</w:t>
      </w:r>
    </w:p>
    <w:p>
      <w:r>
        <w:t>lists change.</w:t>
      </w:r>
    </w:p>
    <w:p>
      <w:r>
        <w:t>Official / near-official links:</w:t>
      </w:r>
    </w:p>
    <w:p>
      <w:pPr>
        <w:pStyle w:val="ListBullet"/>
      </w:pPr>
      <w:r>
        <w:t>Nature Methods metrics: https://www.nature.com/nmeth/journal-impact</w:t>
      </w:r>
    </w:p>
    <w:p>
      <w:pPr>
        <w:pStyle w:val="ListBullet"/>
      </w:pPr>
      <w:r>
        <w:t>Nature Communications metrics: https://www.nature.com/ncomms/journal-impact</w:t>
      </w:r>
    </w:p>
    <w:p>
      <w:pPr>
        <w:pStyle w:val="ListBullet"/>
      </w:pPr>
      <w:r>
        <w:t>Genome Biology metrics: https://genomebiology.biomedcentral.com/about</w:t>
      </w:r>
    </w:p>
    <w:p>
      <w:pPr>
        <w:pStyle w:val="ListBullet"/>
      </w:pPr>
      <w:r>
        <w:t>Cell Genomics metrics: https://www.sciencedirect.com/journal/cell-genomics/about/insights</w:t>
      </w:r>
    </w:p>
    <w:p>
      <w:pPr>
        <w:pStyle w:val="ListBullet"/>
      </w:pPr>
      <w:r>
        <w:t>Journal Citation Reports: https://jcr.clarivate.com</w:t>
      </w:r>
    </w:p>
    <w:p>
      <w:pPr>
        <w:pStyle w:val="ListBullet"/>
      </w:pPr>
      <w:r>
        <w:t>CAS partition table login/query: https://www.fenqubiao.com</w:t>
      </w:r>
    </w:p>
    <w:p>
      <w:pPr>
        <w:pStyle w:val="ListBullet"/>
      </w:pPr>
      <w:r>
        <w:t>CAS warning list portal: https://ewl.fenqubiao.com</w:t>
      </w:r>
    </w:p>
    <w:p>
      <w:r>
        <w:t>Manual steps:</w:t>
      </w:r>
    </w:p>
    <w:p>
      <w:pPr>
        <w:pStyle w:val="ListNumber"/>
      </w:pPr>
      <w:r>
        <w:t>Use your institution library/VPN to open https://jcr.clarivate.com.</w:t>
      </w:r>
    </w:p>
    <w:p>
      <w:pPr>
        <w:pStyle w:val="ListNumber"/>
      </w:pPr>
      <w:r>
        <w:t>Search each candidate journal:</w:t>
      </w:r>
    </w:p>
    <w:p>
      <w:r>
        <w:t xml:space="preserve">   - Nature Methods</w:t>
      </w:r>
    </w:p>
    <w:p>
      <w:r>
        <w:t xml:space="preserve">   - Nature Communications</w:t>
      </w:r>
    </w:p>
    <w:p>
      <w:r>
        <w:t xml:space="preserve">   - Genome Biology</w:t>
      </w:r>
    </w:p>
    <w:p>
      <w:r>
        <w:t xml:space="preserve">   - Cell Genomics</w:t>
      </w:r>
    </w:p>
    <w:p>
      <w:r>
        <w:t xml:space="preserve">   - Bioinformatics</w:t>
      </w:r>
    </w:p>
    <w:p>
      <w:pPr>
        <w:pStyle w:val="ListNumber"/>
      </w:pPr>
      <w:r>
        <w:t>Record:</w:t>
      </w:r>
    </w:p>
    <w:p>
      <w:r>
        <w:t xml:space="preserve">   - 2024 Journal Impact Factor</w:t>
      </w:r>
    </w:p>
    <w:p>
      <w:r>
        <w:t xml:space="preserve">   - 5-year Journal Impact Factor</w:t>
      </w:r>
    </w:p>
    <w:p>
      <w:r>
        <w:t xml:space="preserve">   - JCR category and quartile</w:t>
      </w:r>
    </w:p>
    <w:p>
      <w:pPr>
        <w:pStyle w:val="ListNumber"/>
      </w:pPr>
      <w:r>
        <w:t>Open https://www.fenqubiao.com.</w:t>
      </w:r>
    </w:p>
    <w:p>
      <w:pPr>
        <w:pStyle w:val="ListNumber"/>
      </w:pPr>
      <w:r>
        <w:t>Search the same journals and record: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