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RMTGuard Corresponding Author Sign-off Packet</w:t>
      </w:r>
    </w:p>
    <w:p>
      <w:pPr>
        <w:jc w:val="center"/>
      </w:pPr>
      <w:r>
        <w:t>Nature Methods presubmission route control - generated 2026-05-10</w:t>
      </w:r>
    </w:p>
    <w:p>
      <w:pPr>
        <w:pStyle w:val="Heading1"/>
      </w:pPr>
      <w:r>
        <w:t>Mentor Decision</w:t>
      </w:r>
    </w:p>
    <w:p>
      <w:pPr>
        <w:pStyle w:val="ListBullet"/>
      </w:pPr>
      <w:r>
        <w:t>Full Nature Methods submission: NO-GO.</w:t>
      </w:r>
    </w:p>
    <w:p>
      <w:pPr>
        <w:pStyle w:val="ListBullet"/>
      </w:pPr>
      <w:r>
        <w:t>Nature Methods presubmission inquiry: conditional go after corresponding-author acknowledgement.</w:t>
      </w:r>
    </w:p>
    <w:p>
      <w:pPr>
        <w:pStyle w:val="ListBullet"/>
      </w:pPr>
      <w:r>
        <w:t>Genome Biology fallback: ready if Nature Methods presubmission is not encouraging.</w:t>
      </w:r>
    </w:p>
    <w:p>
      <w:pPr>
        <w:pStyle w:val="ListBullet"/>
      </w:pPr>
      <w:r>
        <w:t>Acceptance guarantee: impossible.</w:t>
      </w:r>
    </w:p>
    <w:p>
      <w:pPr>
        <w:pStyle w:val="Heading1"/>
      </w:pPr>
      <w:r>
        <w:t>Required Confirmation</w:t>
      </w:r>
    </w:p>
    <w:p>
      <w:r>
        <w:rPr>
          <w:b/>
        </w:rPr>
        <w:t>I confirm that Figure 4 will be presented only as a bounded public-data PDAC/TME showcase of RMTGuard callability, not as a new PDAC mechanism, CAF discovery, prognosis, therapy-response, clinical-validation, or patient-level claim.</w:t>
      </w:r>
    </w:p>
    <w:p>
      <w:pPr>
        <w:pStyle w:val="Heading1"/>
      </w:pPr>
      <w:r>
        <w:t>Exact Figure 4 Caption Draft</w:t>
      </w:r>
    </w:p>
    <w:p>
      <w:r>
        <w:t>**Figure 4 | Bounded PDAC/TME public-data showcase of RMTGuard callability.** Public PDAC/TME scRNA-seq datasets were used as a bounded application to illustrate how RMTGuard reports callable cell-state structure together with pathway and atlas-marker support. Rank-based pathway testing identified 189 Hallmark and 1466 Reactome significant rows, with 215 retained as manuscript-interpretable pathway hits after excluding low-specificity labels. Representative hits include pdac_gse154778 cluster 2: HALLMARK_EPITHELIAL_MESENCHYMAL_TRANSITION (BH-FDR=6.20e-26); pdac_gse263733 cluster 0: REACTOME_CYTOKINE_SIGNALING_IN_IMMUNE_SYSTEM (BH-FDR=1.31e-24); pdac_gse263733 cluster 2: HALLMARK_TNFA_SIGNALING_VIA_NFKB (BH-FDR=2.16e-20); pdac_gse263733 cluster 3: REACTOME_CYTOKINE_SIGNALING_IN_IMMUNE_SYSTEM (BH-FDR=1.15e-19); pdac_gse263733 cluster 2: REACTOME_CYTOKINE_SIGNALING_IN_IMMUNE_SYSTEM (BH-FDR=1.80e-15). Atlas-marker comparison supported 7 cluster/signature rows with at least two overlapping published markers. Representative supported labels include pdac_gse154778 cluster 0: ductal/malignant-context (Peng et al., Cell Research 2019, overlap=7); pdac_gse154778 cluster 1: ductal/malignant-context (Peng et al., Cell Research 2019, overlap=3); pdac_gse154778 cluster 3: myeloid/macrophage (Peng et al., Cell Research 2019, overlap=10); pdac_gse263733 cluster 0: T/NK cell (Oh et al., Nature Communications 2023, overlap=9); pdac_gse263733 cluster 1: ductal/malignant-context (Peng et al., Cell Research 2019, overlap=8); pdac_gse263733 cluster 2: myeloid/macrophage (Peng et al., Cell Research 2019, overlap=10). All PDAC/TME interpretations are public-data, non-clinical, and hypothesis-generating.</w:t>
      </w:r>
    </w:p>
    <w:p>
      <w:pPr>
        <w:pStyle w:val="Heading1"/>
      </w:pPr>
      <w:r>
        <w:t>Sign-off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Item</w:t>
            </w:r>
          </w:p>
        </w:tc>
        <w:tc>
          <w:tcPr>
            <w:tcW w:type="dxa" w:w="2016"/>
          </w:tcPr>
          <w:p>
            <w:r>
              <w:t>Status</w:t>
            </w:r>
          </w:p>
        </w:tc>
        <w:tc>
          <w:tcPr>
            <w:tcW w:type="dxa" w:w="2016"/>
          </w:tcPr>
          <w:p>
            <w:r>
              <w:t>Text</w:t>
            </w:r>
          </w:p>
        </w:tc>
        <w:tc>
          <w:tcPr>
            <w:tcW w:type="dxa" w:w="2016"/>
          </w:tcPr>
          <w:p>
            <w:r>
              <w:t>Evidence</w:t>
            </w:r>
          </w:p>
        </w:tc>
        <w:tc>
          <w:tcPr>
            <w:tcW w:type="dxa" w:w="2016"/>
          </w:tcPr>
          <w:p>
            <w:r>
              <w:t>Risk if not confirmed</w:t>
            </w:r>
          </w:p>
        </w:tc>
      </w:tr>
      <w:tr>
        <w:tc>
          <w:tcPr>
            <w:tcW w:type="dxa" w:w="2016"/>
          </w:tcPr>
          <w:p>
            <w:r>
              <w:t>required_decision</w:t>
            </w:r>
          </w:p>
        </w:tc>
        <w:tc>
          <w:tcPr>
            <w:tcW w:type="dxa" w:w="2016"/>
          </w:tcPr>
          <w:p>
            <w:r>
              <w:t>author_action_needed</w:t>
            </w:r>
          </w:p>
        </w:tc>
        <w:tc>
          <w:tcPr>
            <w:tcW w:type="dxa" w:w="2016"/>
          </w:tcPr>
          <w:p>
            <w:r>
              <w:t>I confirm that Figure 4 will be presented only as a bounded public-data PDAC/TME showcase of RMTGuard callability, not as a new PDAC mechanism, CAF discovery, prognosis, therapy-response, clinical-validation, or patient-level claim.</w:t>
            </w:r>
          </w:p>
        </w:tc>
        <w:tc>
          <w:tcPr>
            <w:tcW w:type="dxa" w:w="2016"/>
          </w:tcPr>
          <w:p>
            <w:r>
              <w:t>docs/figure4_pdac_tme_wording_freeze.md</w:t>
            </w:r>
          </w:p>
        </w:tc>
        <w:tc>
          <w:tcPr>
            <w:tcW w:type="dxa" w:w="2016"/>
          </w:tcPr>
          <w:p>
            <w:r>
              <w:t>Nature Methods presubmission inquiry remains blocked.</w:t>
            </w:r>
          </w:p>
        </w:tc>
      </w:tr>
      <w:tr>
        <w:tc>
          <w:tcPr>
            <w:tcW w:type="dxa" w:w="2016"/>
          </w:tcPr>
          <w:p>
            <w:r>
              <w:t>full_submission_status</w:t>
            </w:r>
          </w:p>
        </w:tc>
        <w:tc>
          <w:tcPr>
            <w:tcW w:type="dxa" w:w="2016"/>
          </w:tcPr>
          <w:p>
            <w:r>
              <w:t>no_go</w:t>
            </w:r>
          </w:p>
        </w:tc>
        <w:tc>
          <w:tcPr>
            <w:tcW w:type="dxa" w:w="2016"/>
          </w:tcPr>
          <w:p>
            <w:r>
              <w:t>Full Nature Methods submission remains no-go.</w:t>
            </w:r>
          </w:p>
        </w:tc>
        <w:tc>
          <w:tcPr>
            <w:tcW w:type="dxa" w:w="2016"/>
          </w:tcPr>
          <w:p>
            <w:r>
              <w:t>docs/nature_methods_go_no_go_final.md</w:t>
            </w:r>
          </w:p>
        </w:tc>
        <w:tc>
          <w:tcPr>
            <w:tcW w:type="dxa" w:w="2016"/>
          </w:tcPr>
          <w:p>
            <w:r>
              <w:t>Submitting a full manuscript now would overrun current evidence.</w:t>
            </w:r>
          </w:p>
        </w:tc>
      </w:tr>
      <w:tr>
        <w:tc>
          <w:tcPr>
            <w:tcW w:type="dxa" w:w="2016"/>
          </w:tcPr>
          <w:p>
            <w:r>
              <w:t>presubmission_status</w:t>
            </w:r>
          </w:p>
        </w:tc>
        <w:tc>
          <w:tcPr>
            <w:tcW w:type="dxa" w:w="2016"/>
          </w:tcPr>
          <w:p>
            <w:r>
              <w:t>conditional_go_after_author_ack</w:t>
            </w:r>
          </w:p>
        </w:tc>
        <w:tc>
          <w:tcPr>
            <w:tcW w:type="dxa" w:w="2016"/>
          </w:tcPr>
          <w:p>
            <w:r>
              <w:t>Nature Methods presubmission inquiry can proceed only after corresponding-author acknowledgement and final wording review.</w:t>
            </w:r>
          </w:p>
        </w:tc>
        <w:tc>
          <w:tcPr>
            <w:tcW w:type="dxa" w:w="2016"/>
          </w:tcPr>
          <w:p>
            <w:r>
              <w:t>manuscript/nature_methods_presubmission_inquiry.md</w:t>
            </w:r>
          </w:p>
        </w:tc>
        <w:tc>
          <w:tcPr>
            <w:tcW w:type="dxa" w:w="2016"/>
          </w:tcPr>
          <w:p>
            <w:r>
              <w:t>Do not send the inquiry.</w:t>
            </w:r>
          </w:p>
        </w:tc>
      </w:tr>
      <w:tr>
        <w:tc>
          <w:tcPr>
            <w:tcW w:type="dxa" w:w="2016"/>
          </w:tcPr>
          <w:p>
            <w:r>
              <w:t>forbidden_claims</w:t>
            </w:r>
          </w:p>
        </w:tc>
        <w:tc>
          <w:tcPr>
            <w:tcW w:type="dxa" w:w="2016"/>
          </w:tcPr>
          <w:p>
            <w:r>
              <w:t>hard_stop</w:t>
            </w:r>
          </w:p>
        </w:tc>
        <w:tc>
          <w:tcPr>
            <w:tcW w:type="dxa" w:w="2016"/>
          </w:tcPr>
          <w:p>
            <w:r>
              <w:t>Do not describe Figure 4 as a new PDAC mechanism, CAF discovery, prognosis, therapy-response, clinical-validation, or patient-level finding.</w:t>
            </w:r>
          </w:p>
        </w:tc>
        <w:tc>
          <w:tcPr>
            <w:tcW w:type="dxa" w:w="2016"/>
          </w:tcPr>
          <w:p>
            <w:r>
              <w:t>docs/figure4_pdac_tme_wording_freeze.md</w:t>
            </w:r>
          </w:p>
        </w:tc>
        <w:tc>
          <w:tcPr>
            <w:tcW w:type="dxa" w:w="2016"/>
          </w:tcPr>
          <w:p>
            <w:r>
              <w:t>High desk-reject or reviewer-attack risk.</w:t>
            </w:r>
          </w:p>
        </w:tc>
      </w:tr>
    </w:tbl>
    <w:p>
      <w:pPr>
        <w:pStyle w:val="Heading1"/>
      </w:pPr>
      <w:r>
        <w:t>Signature / Written Confirmation</w:t>
      </w:r>
    </w:p>
    <w:p>
      <w:r>
        <w:t>Yi Miao, MD, PhD: ____________________  Date: __________</w:t>
      </w:r>
    </w:p>
    <w:p>
      <w:r>
        <w:t>Han Yan, MD, PhD: ____________________  Date: __________</w:t>
      </w:r>
    </w:p>
    <w:p>
      <w:pPr>
        <w:pStyle w:val="Heading1"/>
      </w:pPr>
      <w:r>
        <w:t>Written Reply Template</w:t>
      </w:r>
    </w:p>
    <w:p>
      <w:r>
        <w:t>We confirm the bounded Figure 4 wording for RMTGuard.</w:t>
      </w:r>
    </w:p>
    <w:p>
      <w:r>
        <w:t>I confirm that Figure 4 will be presented only as a bounded public-data PDAC/TME showcase of RMTGuard callability, not as a new PDAC mechanism, CAF discovery, prognosis, therapy-response, clinical-validation, or patient-level claim.</w:t>
      </w:r>
    </w:p>
    <w:p>
      <w:r>
        <w:t>Yi Miao, MD, PhD: confirmed / not confirmed</w:t>
      </w:r>
    </w:p>
    <w:p>
      <w:r>
        <w:t>Han Yan, MD, PhD: confirmed / not confirmed</w:t>
      </w:r>
    </w:p>
    <w:p>
      <w:r>
        <w:t>Date:</w:t>
      </w:r>
    </w:p>
    <w:p>
      <w:r>
        <w:t>Notes: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