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12:52:37</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7680192"/>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7680192"/>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26</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9</w:t>
      </w:r>
    </w:p>
    <w:p>
      <w:pPr>
        <w:pStyle w:val="ListBullet"/>
      </w:pPr>
      <w:r>
        <w:t>journal_route: 2</w:t>
      </w:r>
    </w:p>
    <w:p>
      <w:pPr>
        <w:pStyle w:val="ListBullet"/>
      </w:pPr>
      <w:r>
        <w:t>manual_blocker: 1</w:t>
      </w:r>
    </w:p>
    <w:p>
      <w:pPr>
        <w:pStyle w:val="ListBullet"/>
      </w:pPr>
      <w:r>
        <w:t>manuscript_text: 3</w:t>
      </w:r>
    </w:p>
    <w:p>
      <w:pPr>
        <w:pStyle w:val="ListBullet"/>
      </w:pPr>
      <w:r>
        <w:t>project_management: 1</w:t>
      </w:r>
    </w:p>
    <w:p>
      <w:pPr>
        <w:pStyle w:val="ListBullet"/>
      </w:pPr>
      <w:r>
        <w:t>release: 1</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2"/>
      </w:pPr>
      <w:r>
        <w:t>Frozen Items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ID</w:t>
            </w:r>
          </w:p>
        </w:tc>
        <w:tc>
          <w:tcPr>
            <w:tcW w:type="dxa" w:w="1680"/>
          </w:tcPr>
          <w:p>
            <w:r>
              <w:t>Category</w:t>
            </w:r>
          </w:p>
        </w:tc>
        <w:tc>
          <w:tcPr>
            <w:tcW w:type="dxa" w:w="1680"/>
          </w:tcPr>
          <w:p>
            <w:r>
              <w:t>Exists</w:t>
            </w:r>
          </w:p>
        </w:tc>
        <w:tc>
          <w:tcPr>
            <w:tcW w:type="dxa" w:w="1680"/>
          </w:tcPr>
          <w:p>
            <w:r>
              <w:t>Role</w:t>
            </w:r>
          </w:p>
        </w:tc>
        <w:tc>
          <w:tcPr>
            <w:tcW w:type="dxa" w:w="1680"/>
          </w:tcPr>
          <w:p>
            <w:r>
              <w:t>Claim boundary</w:t>
            </w:r>
          </w:p>
        </w:tc>
        <w:tc>
          <w:tcPr>
            <w:tcW w:type="dxa" w:w="1680"/>
          </w:tcPr>
          <w:p>
            <w:r>
              <w:t>Next action</w:t>
            </w:r>
          </w:p>
        </w:tc>
      </w:tr>
      <w:tr>
        <w:tc>
          <w:tcPr>
            <w:tcW w:type="dxa" w:w="1680"/>
          </w:tcPr>
          <w:p>
            <w:r>
              <w:t>release_github_zenodo</w:t>
            </w:r>
          </w:p>
        </w:tc>
        <w:tc>
          <w:tcPr>
            <w:tcW w:type="dxa" w:w="1680"/>
          </w:tcPr>
          <w:p>
            <w:r>
              <w:t>release</w:t>
            </w:r>
          </w:p>
        </w:tc>
        <w:tc>
          <w:tcPr>
            <w:tcW w:type="dxa" w:w="1680"/>
          </w:tcPr>
          <w:p>
            <w:r>
              <w:t>True</w:t>
            </w:r>
          </w:p>
        </w:tc>
        <w:tc>
          <w:tcPr>
            <w:tcW w:type="dxa" w:w="1680"/>
          </w:tcPr>
          <w:p>
            <w:r>
              <w:t>Public code/release evidence</w:t>
            </w:r>
          </w:p>
        </w:tc>
        <w:tc>
          <w:tcPr>
            <w:tcW w:type="dxa" w:w="1680"/>
          </w:tcPr>
          <w:p>
            <w:r>
              <w:t>Supports code availability only; does not prove scientific acceptance.</w:t>
            </w:r>
          </w:p>
        </w:tc>
        <w:tc>
          <w:tcPr>
            <w:tcW w:type="dxa" w:w="1680"/>
          </w:tcPr>
          <w:p>
            <w:r>
              <w:t>Re-check repository, release, and DOI immediately before submission.</w:t>
            </w:r>
          </w:p>
        </w:tc>
      </w:tr>
      <w:tr>
        <w:tc>
          <w:tcPr>
            <w:tcW w:type="dxa" w:w="1680"/>
          </w:tcPr>
          <w:p>
            <w:r>
              <w:t>nature_go_no_go</w:t>
            </w:r>
          </w:p>
        </w:tc>
        <w:tc>
          <w:tcPr>
            <w:tcW w:type="dxa" w:w="1680"/>
          </w:tcPr>
          <w:p>
            <w:r>
              <w:t>journal_route</w:t>
            </w:r>
          </w:p>
        </w:tc>
        <w:tc>
          <w:tcPr>
            <w:tcW w:type="dxa" w:w="1680"/>
          </w:tcPr>
          <w:p>
            <w:r>
              <w:t>True</w:t>
            </w:r>
          </w:p>
        </w:tc>
        <w:tc>
          <w:tcPr>
            <w:tcW w:type="dxa" w:w="1680"/>
          </w:tcPr>
          <w:p>
            <w:r>
              <w:t>Nature Methods go/no-go control packet</w:t>
            </w:r>
          </w:p>
        </w:tc>
        <w:tc>
          <w:tcPr>
            <w:tcW w:type="dxa" w:w="1680"/>
          </w:tcPr>
          <w:p>
            <w:r>
              <w:t>Presubmission may be considered; full submission remains gated.</w:t>
            </w:r>
          </w:p>
        </w:tc>
        <w:tc>
          <w:tcPr>
            <w:tcW w:type="dxa" w:w="1680"/>
          </w:tcPr>
          <w:p>
            <w:r>
              <w:t>Update after final author acknowledgement and figure freeze.</w:t>
            </w:r>
          </w:p>
        </w:tc>
      </w:tr>
      <w:tr>
        <w:tc>
          <w:tcPr>
            <w:tcW w:type="dxa" w:w="1680"/>
          </w:tcPr>
          <w:p>
            <w:r>
              <w:t>genome_biology_fallback</w:t>
            </w:r>
          </w:p>
        </w:tc>
        <w:tc>
          <w:tcPr>
            <w:tcW w:type="dxa" w:w="1680"/>
          </w:tcPr>
          <w:p>
            <w:r>
              <w:t>journal_route</w:t>
            </w:r>
          </w:p>
        </w:tc>
        <w:tc>
          <w:tcPr>
            <w:tcW w:type="dxa" w:w="1680"/>
          </w:tcPr>
          <w:p>
            <w:r>
              <w:t>True</w:t>
            </w:r>
          </w:p>
        </w:tc>
        <w:tc>
          <w:tcPr>
            <w:tcW w:type="dxa" w:w="1680"/>
          </w:tcPr>
          <w:p>
            <w:r>
              <w:t>Genome Biology fallback packet</w:t>
            </w:r>
          </w:p>
        </w:tc>
        <w:tc>
          <w:tcPr>
            <w:tcW w:type="dxa" w:w="1680"/>
          </w:tcPr>
          <w:p>
            <w:r>
              <w:t>Fallback route if Nature Methods novelty/stability bar is not met.</w:t>
            </w:r>
          </w:p>
        </w:tc>
        <w:tc>
          <w:tcPr>
            <w:tcW w:type="dxa" w:w="1680"/>
          </w:tcPr>
          <w:p>
            <w:r>
              <w:t>Refresh after any editorial feedback.</w:t>
            </w:r>
          </w:p>
        </w:tc>
      </w:tr>
      <w:tr>
        <w:tc>
          <w:tcPr>
            <w:tcW w:type="dxa" w:w="1680"/>
          </w:tcPr>
          <w:p>
            <w:r>
              <w:t>figure1_algorithm</w:t>
            </w:r>
          </w:p>
        </w:tc>
        <w:tc>
          <w:tcPr>
            <w:tcW w:type="dxa" w:w="1680"/>
          </w:tcPr>
          <w:p>
            <w:r>
              <w:t>figure</w:t>
            </w:r>
          </w:p>
        </w:tc>
        <w:tc>
          <w:tcPr>
            <w:tcW w:type="dxa" w:w="1680"/>
          </w:tcPr>
          <w:p>
            <w:r>
              <w:t>True</w:t>
            </w:r>
          </w:p>
        </w:tc>
        <w:tc>
          <w:tcPr>
            <w:tcW w:type="dxa" w:w="1680"/>
          </w:tcPr>
          <w:p>
            <w:r>
              <w:t>Figure 1 algorithm diagnostics PDF</w:t>
            </w:r>
          </w:p>
        </w:tc>
        <w:tc>
          <w:tcPr>
            <w:tcW w:type="dxa" w:w="1680"/>
          </w:tcPr>
          <w:p>
            <w:r>
              <w:t>Algorithm overview and diagnostic logic; avoid claiming mathematical novelty beyond RMT-guarded workflow.</w:t>
            </w:r>
          </w:p>
        </w:tc>
        <w:tc>
          <w:tcPr>
            <w:tcW w:type="dxa" w:w="1680"/>
          </w:tcPr>
          <w:p>
            <w:r>
              <w:t>Regenerate after final algorithm text freeze.</w:t>
            </w:r>
          </w:p>
        </w:tc>
      </w:tr>
      <w:tr>
        <w:tc>
          <w:tcPr>
            <w:tcW w:type="dxa" w:w="1680"/>
          </w:tcPr>
          <w:p>
            <w:r>
              <w:t>figure1_source</w:t>
            </w:r>
          </w:p>
        </w:tc>
        <w:tc>
          <w:tcPr>
            <w:tcW w:type="dxa" w:w="1680"/>
          </w:tcPr>
          <w:p>
            <w:r>
              <w:t>source_data</w:t>
            </w:r>
          </w:p>
        </w:tc>
        <w:tc>
          <w:tcPr>
            <w:tcW w:type="dxa" w:w="1680"/>
          </w:tcPr>
          <w:p>
            <w:r>
              <w:t>True</w:t>
            </w:r>
          </w:p>
        </w:tc>
        <w:tc>
          <w:tcPr>
            <w:tcW w:type="dxa" w:w="1680"/>
          </w:tcPr>
          <w:p>
            <w:r>
              <w:t>Figure 1 source data</w:t>
            </w:r>
          </w:p>
        </w:tc>
        <w:tc>
          <w:tcPr>
            <w:tcW w:type="dxa" w:w="1680"/>
          </w:tcPr>
          <w:p>
            <w:r>
              <w:t>Supports plotted diagnostic examples only.</w:t>
            </w:r>
          </w:p>
        </w:tc>
        <w:tc>
          <w:tcPr>
            <w:tcW w:type="dxa" w:w="1680"/>
          </w:tcPr>
          <w:p>
            <w:r>
              <w:t>Verify exact panel mapping before submission.</w:t>
            </w:r>
          </w:p>
        </w:tc>
      </w:tr>
      <w:tr>
        <w:tc>
          <w:tcPr>
            <w:tcW w:type="dxa" w:w="1680"/>
          </w:tcPr>
          <w:p>
            <w:r>
              <w:t>figure2_synthetic</w:t>
            </w:r>
          </w:p>
        </w:tc>
        <w:tc>
          <w:tcPr>
            <w:tcW w:type="dxa" w:w="1680"/>
          </w:tcPr>
          <w:p>
            <w:r>
              <w:t>figure</w:t>
            </w:r>
          </w:p>
        </w:tc>
        <w:tc>
          <w:tcPr>
            <w:tcW w:type="dxa" w:w="1680"/>
          </w:tcPr>
          <w:p>
            <w:r>
              <w:t>True</w:t>
            </w:r>
          </w:p>
        </w:tc>
        <w:tc>
          <w:tcPr>
            <w:tcW w:type="dxa" w:w="1680"/>
          </w:tcPr>
          <w:p>
            <w:r>
              <w:t>Figure 2 synthetic benchmark PDF</w:t>
            </w:r>
          </w:p>
        </w:tc>
        <w:tc>
          <w:tcPr>
            <w:tcW w:type="dxa" w:w="1680"/>
          </w:tcPr>
          <w:p>
            <w:r>
              <w:t>Supports null/rare-state and synthetic behavior claims under tested settings.</w:t>
            </w:r>
          </w:p>
        </w:tc>
        <w:tc>
          <w:tcPr>
            <w:tcW w:type="dxa" w:w="1680"/>
          </w:tcPr>
          <w:p>
            <w:r>
              <w:t>Cross-check against 50-repeat calibration before final text.</w:t>
            </w:r>
          </w:p>
        </w:tc>
      </w:tr>
      <w:tr>
        <w:tc>
          <w:tcPr>
            <w:tcW w:type="dxa" w:w="1680"/>
          </w:tcPr>
          <w:p>
            <w:r>
              <w:t>realistic_null_calibration</w:t>
            </w:r>
          </w:p>
        </w:tc>
        <w:tc>
          <w:tcPr>
            <w:tcW w:type="dxa" w:w="1680"/>
          </w:tcPr>
          <w:p>
            <w:r>
              <w:t>statistics</w:t>
            </w:r>
          </w:p>
        </w:tc>
        <w:tc>
          <w:tcPr>
            <w:tcW w:type="dxa" w:w="1680"/>
          </w:tcPr>
          <w:p>
            <w:r>
              <w:t>True</w:t>
            </w:r>
          </w:p>
        </w:tc>
        <w:tc>
          <w:tcPr>
            <w:tcW w:type="dxa" w:w="1680"/>
          </w:tcPr>
          <w:p>
            <w:r>
              <w:t>50-repeat realistic null and rare-state calibration report</w:t>
            </w:r>
          </w:p>
        </w:tc>
        <w:tc>
          <w:tcPr>
            <w:tcW w:type="dxa" w:w="1680"/>
          </w:tcPr>
          <w:p>
            <w:r>
              <w:t>Supports controlled false-signal behavior in tested null families; weak rare-state setting remains a limitation.</w:t>
            </w:r>
          </w:p>
        </w:tc>
        <w:tc>
          <w:tcPr>
            <w:tcW w:type="dxa" w:w="1680"/>
          </w:tcPr>
          <w:p>
            <w:r>
              <w:t>Keep low-prevalence weak-effect limitation visible.</w:t>
            </w:r>
          </w:p>
        </w:tc>
      </w:tr>
      <w:tr>
        <w:tc>
          <w:tcPr>
            <w:tcW w:type="dxa" w:w="1680"/>
          </w:tcPr>
          <w:p>
            <w:r>
              <w:t>figure3_public_benchmark</w:t>
            </w:r>
          </w:p>
        </w:tc>
        <w:tc>
          <w:tcPr>
            <w:tcW w:type="dxa" w:w="1680"/>
          </w:tcPr>
          <w:p>
            <w:r>
              <w:t>figure</w:t>
            </w:r>
          </w:p>
        </w:tc>
        <w:tc>
          <w:tcPr>
            <w:tcW w:type="dxa" w:w="1680"/>
          </w:tcPr>
          <w:p>
            <w:r>
              <w:t>True</w:t>
            </w:r>
          </w:p>
        </w:tc>
        <w:tc>
          <w:tcPr>
            <w:tcW w:type="dxa" w:w="1680"/>
          </w:tcPr>
          <w:p>
            <w:r>
              <w:t>Figure 3 public benchmark PDF</w:t>
            </w:r>
          </w:p>
        </w:tc>
        <w:tc>
          <w:tcPr>
            <w:tcW w:type="dxa" w:w="1680"/>
          </w:tcPr>
          <w:p>
            <w:r>
              <w:t>Does not support broad stability superiority against all baselines.</w:t>
            </w:r>
          </w:p>
        </w:tc>
        <w:tc>
          <w:tcPr>
            <w:tcW w:type="dxa" w:w="1680"/>
          </w:tcPr>
          <w:p>
            <w:r>
              <w:t>Use bounded language and include no-call decision map.</w:t>
            </w:r>
          </w:p>
        </w:tc>
      </w:tr>
      <w:tr>
        <w:tc>
          <w:tcPr>
            <w:tcW w:type="dxa" w:w="1680"/>
          </w:tcPr>
          <w:p>
            <w:r>
              <w:t>figure3_seurat_paired</w:t>
            </w:r>
          </w:p>
        </w:tc>
        <w:tc>
          <w:tcPr>
            <w:tcW w:type="dxa" w:w="1680"/>
          </w:tcPr>
          <w:p>
            <w:r>
              <w:t>figure</w:t>
            </w:r>
          </w:p>
        </w:tc>
        <w:tc>
          <w:tcPr>
            <w:tcW w:type="dxa" w:w="1680"/>
          </w:tcPr>
          <w:p>
            <w:r>
              <w:t>True</w:t>
            </w:r>
          </w:p>
        </w:tc>
        <w:tc>
          <w:tcPr>
            <w:tcW w:type="dxa" w:w="1680"/>
          </w:tcPr>
          <w:p>
            <w:r>
              <w:t>Official Seurat paired comparison forest plot</w:t>
            </w:r>
          </w:p>
        </w:tc>
        <w:tc>
          <w:tcPr>
            <w:tcW w:type="dxa" w:w="1680"/>
          </w:tcPr>
          <w:p>
            <w:r>
              <w:t>Supports paired comparison reporting; not a universal RMTGuard win.</w:t>
            </w:r>
          </w:p>
        </w:tc>
        <w:tc>
          <w:tcPr>
            <w:tcW w:type="dxa" w:w="1680"/>
          </w:tcPr>
          <w:p>
            <w:r>
              <w:t>Ensure comparator methods and paired-test assumptions are stated.</w:t>
            </w:r>
          </w:p>
        </w:tc>
      </w:tr>
      <w:tr>
        <w:tc>
          <w:tcPr>
            <w:tcW w:type="dxa" w:w="1680"/>
          </w:tcPr>
          <w:p>
            <w:r>
              <w:t>no_call_decision_map</w:t>
            </w:r>
          </w:p>
        </w:tc>
        <w:tc>
          <w:tcPr>
            <w:tcW w:type="dxa" w:w="1680"/>
          </w:tcPr>
          <w:p>
            <w:r>
              <w:t>figure</w:t>
            </w:r>
          </w:p>
        </w:tc>
        <w:tc>
          <w:tcPr>
            <w:tcW w:type="dxa" w:w="1680"/>
          </w:tcPr>
          <w:p>
            <w:r>
              <w:t>True</w:t>
            </w:r>
          </w:p>
        </w:tc>
        <w:tc>
          <w:tcPr>
            <w:tcW w:type="dxa" w:w="1680"/>
          </w:tcPr>
          <w:p>
            <w:r>
              <w:t>Figure 3 callability/no-call decision map</w:t>
            </w:r>
          </w:p>
        </w:tc>
        <w:tc>
          <w:tcPr>
            <w:tcW w:type="dxa" w:w="1680"/>
          </w:tcPr>
          <w:p>
            <w:r>
              <w:t>Supports transparent no-call/caveat behavior; no-call rows cannot be converted into discovery claims.</w:t>
            </w:r>
          </w:p>
        </w:tc>
        <w:tc>
          <w:tcPr>
            <w:tcW w:type="dxa" w:w="1680"/>
          </w:tcPr>
          <w:p>
            <w:r>
              <w:t>Keep in main or supplement depending on final Figure 3 layout.</w:t>
            </w:r>
          </w:p>
        </w:tc>
      </w:tr>
      <w:tr>
        <w:tc>
          <w:tcPr>
            <w:tcW w:type="dxa" w:w="1680"/>
          </w:tcPr>
          <w:p>
            <w:r>
              <w:t>no_call_source</w:t>
            </w:r>
          </w:p>
        </w:tc>
        <w:tc>
          <w:tcPr>
            <w:tcW w:type="dxa" w:w="1680"/>
          </w:tcPr>
          <w:p>
            <w:r>
              <w:t>source_data</w:t>
            </w:r>
          </w:p>
        </w:tc>
        <w:tc>
          <w:tcPr>
            <w:tcW w:type="dxa" w:w="1680"/>
          </w:tcPr>
          <w:p>
            <w:r>
              <w:t>True</w:t>
            </w:r>
          </w:p>
        </w:tc>
        <w:tc>
          <w:tcPr>
            <w:tcW w:type="dxa" w:w="1680"/>
          </w:tcPr>
          <w:p>
            <w:r>
              <w:t>Figure 3 no-call source data</w:t>
            </w:r>
          </w:p>
        </w:tc>
        <w:tc>
          <w:tcPr>
            <w:tcW w:type="dxa" w:w="1680"/>
          </w:tcPr>
          <w:p>
            <w:r>
              <w:t>Machine-readable basis for no-call/caveat decisions.</w:t>
            </w:r>
          </w:p>
        </w:tc>
        <w:tc>
          <w:tcPr>
            <w:tcW w:type="dxa" w:w="1680"/>
          </w:tcPr>
          <w:p>
            <w:r>
              <w:t>Verify thresholds remain consistent with Methods.</w:t>
            </w:r>
          </w:p>
        </w:tc>
      </w:tr>
      <w:tr>
        <w:tc>
          <w:tcPr>
            <w:tcW w:type="dxa" w:w="1680"/>
          </w:tcPr>
          <w:p>
            <w:r>
              <w:t>topology_stress</w:t>
            </w:r>
          </w:p>
        </w:tc>
        <w:tc>
          <w:tcPr>
            <w:tcW w:type="dxa" w:w="1680"/>
          </w:tcPr>
          <w:p>
            <w:r>
              <w:t>figure</w:t>
            </w:r>
          </w:p>
        </w:tc>
        <w:tc>
          <w:tcPr>
            <w:tcW w:type="dxa" w:w="1680"/>
          </w:tcPr>
          <w:p>
            <w:r>
              <w:t>True</w:t>
            </w:r>
          </w:p>
        </w:tc>
        <w:tc>
          <w:tcPr>
            <w:tcW w:type="dxa" w:w="1680"/>
          </w:tcPr>
          <w:p>
            <w:r>
              <w:t>Synthetic topology stress benchmark PDF</w:t>
            </w:r>
          </w:p>
        </w:tc>
        <w:tc>
          <w:tcPr>
            <w:tcW w:type="dxa" w:w="1680"/>
          </w:tcPr>
          <w:p>
            <w:r>
              <w:t>Supports synthetic topology preservation monitor; not proof of real trajectory correctness.</w:t>
            </w:r>
          </w:p>
        </w:tc>
        <w:tc>
          <w:tcPr>
            <w:tcW w:type="dxa" w:w="1680"/>
          </w:tcPr>
          <w:p>
            <w:r>
              <w:t>Keep together with real-data topology monitor.</w:t>
            </w:r>
          </w:p>
        </w:tc>
      </w:tr>
      <w:tr>
        <w:tc>
          <w:tcPr>
            <w:tcW w:type="dxa" w:w="1680"/>
          </w:tcPr>
          <w:p>
            <w:r>
              <w:t>topology_stress_source</w:t>
            </w:r>
          </w:p>
        </w:tc>
        <w:tc>
          <w:tcPr>
            <w:tcW w:type="dxa" w:w="1680"/>
          </w:tcPr>
          <w:p>
            <w:r>
              <w:t>source_data</w:t>
            </w:r>
          </w:p>
        </w:tc>
        <w:tc>
          <w:tcPr>
            <w:tcW w:type="dxa" w:w="1680"/>
          </w:tcPr>
          <w:p>
            <w:r>
              <w:t>True</w:t>
            </w:r>
          </w:p>
        </w:tc>
        <w:tc>
          <w:tcPr>
            <w:tcW w:type="dxa" w:w="1680"/>
          </w:tcPr>
          <w:p>
            <w:r>
              <w:t>Synthetic topology stress summary</w:t>
            </w:r>
          </w:p>
        </w:tc>
        <w:tc>
          <w:tcPr>
            <w:tcW w:type="dxa" w:w="1680"/>
          </w:tcPr>
          <w:p>
            <w:r>
              <w:t>20-repeat synthetic line/branch/loop evidence.</w:t>
            </w:r>
          </w:p>
        </w:tc>
        <w:tc>
          <w:tcPr>
            <w:tcW w:type="dxa" w:w="1680"/>
          </w:tcPr>
          <w:p>
            <w:r>
              <w:t>Mention CONCORD-style inspiration without claiming CONCORD reimplementation.</w:t>
            </w:r>
          </w:p>
        </w:tc>
      </w:tr>
      <w:tr>
        <w:tc>
          <w:tcPr>
            <w:tcW w:type="dxa" w:w="1680"/>
          </w:tcPr>
          <w:p>
            <w:r>
              <w:t>realdata_topology</w:t>
            </w:r>
          </w:p>
        </w:tc>
        <w:tc>
          <w:tcPr>
            <w:tcW w:type="dxa" w:w="1680"/>
          </w:tcPr>
          <w:p>
            <w:r>
              <w:t>figure</w:t>
            </w:r>
          </w:p>
        </w:tc>
        <w:tc>
          <w:tcPr>
            <w:tcW w:type="dxa" w:w="1680"/>
          </w:tcPr>
          <w:p>
            <w:r>
              <w:t>True</w:t>
            </w:r>
          </w:p>
        </w:tc>
        <w:tc>
          <w:tcPr>
            <w:tcW w:type="dxa" w:w="1680"/>
          </w:tcPr>
          <w:p>
            <w:r>
              <w:t>Paul15 real-data topology monitor PDF</w:t>
            </w:r>
          </w:p>
        </w:tc>
        <w:tc>
          <w:tcPr>
            <w:tcW w:type="dxa" w:w="1680"/>
          </w:tcPr>
          <w:p>
            <w:r>
              <w:t>Mixed trade-off evidence; supports topology monitoring, not broad topology superiority.</w:t>
            </w:r>
          </w:p>
        </w:tc>
        <w:tc>
          <w:tcPr>
            <w:tcW w:type="dxa" w:w="1680"/>
          </w:tcPr>
          <w:p>
            <w:r>
              <w:t>Optional: add second real trajectory/perturbation dataset if targeting Nature Methods.</w:t>
            </w:r>
          </w:p>
        </w:tc>
      </w:tr>
      <w:tr>
        <w:tc>
          <w:tcPr>
            <w:tcW w:type="dxa" w:w="1680"/>
          </w:tcPr>
          <w:p>
            <w:r>
              <w:t>realdata_topology_source</w:t>
            </w:r>
          </w:p>
        </w:tc>
        <w:tc>
          <w:tcPr>
            <w:tcW w:type="dxa" w:w="1680"/>
          </w:tcPr>
          <w:p>
            <w:r>
              <w:t>source_data</w:t>
            </w:r>
          </w:p>
        </w:tc>
        <w:tc>
          <w:tcPr>
            <w:tcW w:type="dxa" w:w="1680"/>
          </w:tcPr>
          <w:p>
            <w:r>
              <w:t>True</w:t>
            </w:r>
          </w:p>
        </w:tc>
        <w:tc>
          <w:tcPr>
            <w:tcW w:type="dxa" w:w="1680"/>
          </w:tcPr>
          <w:p>
            <w:r>
              <w:t>Paul15 real-data topology source data</w:t>
            </w:r>
          </w:p>
        </w:tc>
        <w:tc>
          <w:tcPr>
            <w:tcW w:type="dxa" w:w="1680"/>
          </w:tcPr>
          <w:p>
            <w:r>
              <w:t>Annotation-derived topology metrics only; not experimentally measured pseudotime.</w:t>
            </w:r>
          </w:p>
        </w:tc>
        <w:tc>
          <w:tcPr>
            <w:tcW w:type="dxa" w:w="1680"/>
          </w:tcPr>
          <w:p>
            <w:r>
              <w:t>Keep limitation in legend and Results.</w:t>
            </w:r>
          </w:p>
        </w:tc>
      </w:tr>
      <w:tr>
        <w:tc>
          <w:tcPr>
            <w:tcW w:type="dxa" w:w="1680"/>
          </w:tcPr>
          <w:p>
            <w:r>
              <w:t>sclens_direct_comparator</w:t>
            </w:r>
          </w:p>
        </w:tc>
        <w:tc>
          <w:tcPr>
            <w:tcW w:type="dxa" w:w="1680"/>
          </w:tcPr>
          <w:p>
            <w:r>
              <w:t>competitor</w:t>
            </w:r>
          </w:p>
        </w:tc>
        <w:tc>
          <w:tcPr>
            <w:tcW w:type="dxa" w:w="1680"/>
          </w:tcPr>
          <w:p>
            <w:r>
              <w:t>True</w:t>
            </w:r>
          </w:p>
        </w:tc>
        <w:tc>
          <w:tcPr>
            <w:tcW w:type="dxa" w:w="1680"/>
          </w:tcPr>
          <w:p>
            <w:r>
              <w:t>Direct scLENSpy n_rand_matrix=20 comparator report</w:t>
            </w:r>
          </w:p>
        </w:tc>
        <w:tc>
          <w:tcPr>
            <w:tcW w:type="dxa" w:w="1680"/>
          </w:tcPr>
          <w:p>
            <w:r>
              <w:t>Supports direct competitor coverage on PBMC3k/Kang only.</w:t>
            </w:r>
          </w:p>
        </w:tc>
        <w:tc>
          <w:tcPr>
            <w:tcW w:type="dxa" w:w="1680"/>
          </w:tcPr>
          <w:p>
            <w:r>
              <w:t>Avoid claiming all scLENS variants or all datasets are covered.</w:t>
            </w:r>
          </w:p>
        </w:tc>
      </w:tr>
      <w:tr>
        <w:tc>
          <w:tcPr>
            <w:tcW w:type="dxa" w:w="1680"/>
          </w:tcPr>
          <w:p>
            <w:r>
              <w:t>figure4_strengthened</w:t>
            </w:r>
          </w:p>
        </w:tc>
        <w:tc>
          <w:tcPr>
            <w:tcW w:type="dxa" w:w="1680"/>
          </w:tcPr>
          <w:p>
            <w:r>
              <w:t>figure</w:t>
            </w:r>
          </w:p>
        </w:tc>
        <w:tc>
          <w:tcPr>
            <w:tcW w:type="dxa" w:w="1680"/>
          </w:tcPr>
          <w:p>
            <w:r>
              <w:t>True</w:t>
            </w:r>
          </w:p>
        </w:tc>
        <w:tc>
          <w:tcPr>
            <w:tcW w:type="dxa" w:w="1680"/>
          </w:tcPr>
          <w:p>
            <w:r>
              <w:t>Strengthened PDAC/TME Figure 4 PDF</w:t>
            </w:r>
          </w:p>
        </w:tc>
        <w:tc>
          <w:tcPr>
            <w:tcW w:type="dxa" w:w="1680"/>
          </w:tcPr>
          <w:p>
            <w:r>
              <w:t>Bounded public-data application; no mechanism, prognosis, therapy-response, spatial, or protein-validation claim.</w:t>
            </w:r>
          </w:p>
        </w:tc>
        <w:tc>
          <w:tcPr>
            <w:tcW w:type="dxa" w:w="1680"/>
          </w:tcPr>
          <w:p>
            <w:r>
              <w:t>Needs corresponding-author acknowledgement before external use.</w:t>
            </w:r>
          </w:p>
        </w:tc>
      </w:tr>
      <w:tr>
        <w:tc>
          <w:tcPr>
            <w:tcW w:type="dxa" w:w="1680"/>
          </w:tcPr>
          <w:p>
            <w:r>
              <w:t>figure4_source</w:t>
            </w:r>
          </w:p>
        </w:tc>
        <w:tc>
          <w:tcPr>
            <w:tcW w:type="dxa" w:w="1680"/>
          </w:tcPr>
          <w:p>
            <w:r>
              <w:t>source_data</w:t>
            </w:r>
          </w:p>
        </w:tc>
        <w:tc>
          <w:tcPr>
            <w:tcW w:type="dxa" w:w="1680"/>
          </w:tcPr>
          <w:p>
            <w:r>
              <w:t>True</w:t>
            </w:r>
          </w:p>
        </w:tc>
        <w:tc>
          <w:tcPr>
            <w:tcW w:type="dxa" w:w="1680"/>
          </w:tcPr>
          <w:p>
            <w:r>
              <w:t>Strengthened Figure 4 source data</w:t>
            </w:r>
          </w:p>
        </w:tc>
        <w:tc>
          <w:tcPr>
            <w:tcW w:type="dxa" w:w="1680"/>
          </w:tcPr>
          <w:p>
            <w:r>
              <w:t>Supports marker/pathway/atlas-use-case panels only.</w:t>
            </w:r>
          </w:p>
        </w:tc>
        <w:tc>
          <w:tcPr>
            <w:tcW w:type="dxa" w:w="1680"/>
          </w:tcPr>
          <w:p>
            <w:r>
              <w:t>Confirm caption wording with authors.</w:t>
            </w:r>
          </w:p>
        </w:tc>
      </w:tr>
      <w:tr>
        <w:tc>
          <w:tcPr>
            <w:tcW w:type="dxa" w:w="1680"/>
          </w:tcPr>
          <w:p>
            <w:r>
              <w:t>figure5_ablation</w:t>
            </w:r>
          </w:p>
        </w:tc>
        <w:tc>
          <w:tcPr>
            <w:tcW w:type="dxa" w:w="1680"/>
          </w:tcPr>
          <w:p>
            <w:r>
              <w:t>figure</w:t>
            </w:r>
          </w:p>
        </w:tc>
        <w:tc>
          <w:tcPr>
            <w:tcW w:type="dxa" w:w="1680"/>
          </w:tcPr>
          <w:p>
            <w:r>
              <w:t>True</w:t>
            </w:r>
          </w:p>
        </w:tc>
        <w:tc>
          <w:tcPr>
            <w:tcW w:type="dxa" w:w="1680"/>
          </w:tcPr>
          <w:p>
            <w:r>
              <w:t>Real-data ablation forest plot</w:t>
            </w:r>
          </w:p>
        </w:tc>
        <w:tc>
          <w:tcPr>
            <w:tcW w:type="dxa" w:w="1680"/>
          </w:tcPr>
          <w:p>
            <w:r>
              <w:t>Supports component contribution discussion with tested datasets and repeats only.</w:t>
            </w:r>
          </w:p>
        </w:tc>
        <w:tc>
          <w:tcPr>
            <w:tcW w:type="dxa" w:w="1680"/>
          </w:tcPr>
          <w:p>
            <w:r>
              <w:t>Avoid universal component-necessity wording.</w:t>
            </w:r>
          </w:p>
        </w:tc>
      </w:tr>
      <w:tr>
        <w:tc>
          <w:tcPr>
            <w:tcW w:type="dxa" w:w="1680"/>
          </w:tcPr>
          <w:p>
            <w:r>
              <w:t>component_ablation_report</w:t>
            </w:r>
          </w:p>
        </w:tc>
        <w:tc>
          <w:tcPr>
            <w:tcW w:type="dxa" w:w="1680"/>
          </w:tcPr>
          <w:p>
            <w:r>
              <w:t>statistics</w:t>
            </w:r>
          </w:p>
        </w:tc>
        <w:tc>
          <w:tcPr>
            <w:tcW w:type="dxa" w:w="1680"/>
          </w:tcPr>
          <w:p>
            <w:r>
              <w:t>True</w:t>
            </w:r>
          </w:p>
        </w:tc>
        <w:tc>
          <w:tcPr>
            <w:tcW w:type="dxa" w:w="1680"/>
          </w:tcPr>
          <w:p>
            <w:r>
              <w:t>20-repeat synthetic component ablation report</w:t>
            </w:r>
          </w:p>
        </w:tc>
        <w:tc>
          <w:tcPr>
            <w:tcW w:type="dxa" w:w="1680"/>
          </w:tcPr>
          <w:p>
            <w:r>
              <w:t>Supports marginal component discussion for tested synthetic settings.</w:t>
            </w:r>
          </w:p>
        </w:tc>
        <w:tc>
          <w:tcPr>
            <w:tcW w:type="dxa" w:w="1680"/>
          </w:tcPr>
          <w:p>
            <w:r>
              <w:t>Pair with real-data ablation annotation report.</w:t>
            </w:r>
          </w:p>
        </w:tc>
      </w:tr>
      <w:tr>
        <w:tc>
          <w:tcPr>
            <w:tcW w:type="dxa" w:w="1680"/>
          </w:tcPr>
          <w:p>
            <w:r>
              <w:t>realdata_ablation_report</w:t>
            </w:r>
          </w:p>
        </w:tc>
        <w:tc>
          <w:tcPr>
            <w:tcW w:type="dxa" w:w="1680"/>
          </w:tcPr>
          <w:p>
            <w:r>
              <w:t>statistics</w:t>
            </w:r>
          </w:p>
        </w:tc>
        <w:tc>
          <w:tcPr>
            <w:tcW w:type="dxa" w:w="1680"/>
          </w:tcPr>
          <w:p>
            <w:r>
              <w:t>True</w:t>
            </w:r>
          </w:p>
        </w:tc>
        <w:tc>
          <w:tcPr>
            <w:tcW w:type="dxa" w:w="1680"/>
          </w:tcPr>
          <w:p>
            <w:r>
              <w:t>Real-data ablation annotation report</w:t>
            </w:r>
          </w:p>
        </w:tc>
        <w:tc>
          <w:tcPr>
            <w:tcW w:type="dxa" w:w="1680"/>
          </w:tcPr>
          <w:p>
            <w:r>
              <w:t>Supports annotation/batch ablation checks on included labeled datasets.</w:t>
            </w:r>
          </w:p>
        </w:tc>
        <w:tc>
          <w:tcPr>
            <w:tcW w:type="dxa" w:w="1680"/>
          </w:tcPr>
          <w:p>
            <w:r>
              <w:t>Keep dataset coverage explicit.</w:t>
            </w:r>
          </w:p>
        </w:tc>
      </w:tr>
      <w:tr>
        <w:tc>
          <w:tcPr>
            <w:tcW w:type="dxa" w:w="1680"/>
          </w:tcPr>
          <w:p>
            <w:r>
              <w:t>gantt</w:t>
            </w:r>
          </w:p>
        </w:tc>
        <w:tc>
          <w:tcPr>
            <w:tcW w:type="dxa" w:w="1680"/>
          </w:tcPr>
          <w:p>
            <w:r>
              <w:t>project_management</w:t>
            </w:r>
          </w:p>
        </w:tc>
        <w:tc>
          <w:tcPr>
            <w:tcW w:type="dxa" w:w="1680"/>
          </w:tcPr>
          <w:p>
            <w:r>
              <w:t>True</w:t>
            </w:r>
          </w:p>
        </w:tc>
        <w:tc>
          <w:tcPr>
            <w:tcW w:type="dxa" w:w="1680"/>
          </w:tcPr>
          <w:p>
            <w:r>
              <w:t>Current project Gantt chart</w:t>
            </w:r>
          </w:p>
        </w:tc>
        <w:tc>
          <w:tcPr>
            <w:tcW w:type="dxa" w:w="1680"/>
          </w:tcPr>
          <w:p>
            <w:r>
              <w:t>Project-management status only; not scientific evidence.</w:t>
            </w:r>
          </w:p>
        </w:tc>
        <w:tc>
          <w:tcPr>
            <w:tcW w:type="dxa" w:w="1680"/>
          </w:tcPr>
          <w:p>
            <w:r>
              <w:t>Refresh after each major benchmark addition.</w:t>
            </w:r>
          </w:p>
        </w:tc>
      </w:tr>
      <w:tr>
        <w:tc>
          <w:tcPr>
            <w:tcW w:type="dxa" w:w="1680"/>
          </w:tcPr>
          <w:p>
            <w:r>
              <w:t>manual_author_actions</w:t>
            </w:r>
          </w:p>
        </w:tc>
        <w:tc>
          <w:tcPr>
            <w:tcW w:type="dxa" w:w="1680"/>
          </w:tcPr>
          <w:p>
            <w:r>
              <w:t>manual_blocker</w:t>
            </w:r>
          </w:p>
        </w:tc>
        <w:tc>
          <w:tcPr>
            <w:tcW w:type="dxa" w:w="1680"/>
          </w:tcPr>
          <w:p>
            <w:r>
              <w:t>True</w:t>
            </w:r>
          </w:p>
        </w:tc>
        <w:tc>
          <w:tcPr>
            <w:tcW w:type="dxa" w:w="1680"/>
          </w:tcPr>
          <w:p>
            <w:r>
              <w:t>Manual author action checklist</w:t>
            </w:r>
          </w:p>
        </w:tc>
        <w:tc>
          <w:tcPr>
            <w:tcW w:type="dxa" w:w="1680"/>
          </w:tcPr>
          <w:p>
            <w:r>
              <w:t>Tracks actions Codex cannot certify alone.</w:t>
            </w:r>
          </w:p>
        </w:tc>
        <w:tc>
          <w:tcPr>
            <w:tcW w:type="dxa" w:w="1680"/>
          </w:tcPr>
          <w:p>
            <w:r>
              <w:t>Authors must verify funding, COI, ethics, and Figure 4 acknowledgement.</w:t>
            </w:r>
          </w:p>
        </w:tc>
      </w:tr>
      <w:tr>
        <w:tc>
          <w:tcPr>
            <w:tcW w:type="dxa" w:w="1680"/>
          </w:tcPr>
          <w:p>
            <w:r>
              <w:t>results_freeze_aligned_draft</w:t>
            </w:r>
          </w:p>
        </w:tc>
        <w:tc>
          <w:tcPr>
            <w:tcW w:type="dxa" w:w="1680"/>
          </w:tcPr>
          <w:p>
            <w:r>
              <w:t>manuscript_text</w:t>
            </w:r>
          </w:p>
        </w:tc>
        <w:tc>
          <w:tcPr>
            <w:tcW w:type="dxa" w:w="1680"/>
          </w:tcPr>
          <w:p>
            <w:r>
              <w:t>True</w:t>
            </w:r>
          </w:p>
        </w:tc>
        <w:tc>
          <w:tcPr>
            <w:tcW w:type="dxa" w:w="1680"/>
          </w:tcPr>
          <w:p>
            <w:r>
              <w:t>Freeze-aligned Results draft</w:t>
            </w:r>
          </w:p>
        </w:tc>
        <w:tc>
          <w:tcPr>
            <w:tcW w:type="dxa" w:w="1680"/>
          </w:tcPr>
          <w:p>
            <w:r>
              <w:t>Draft Results text only; every paragraph remains bounded by current evidence and is not final journal prose.</w:t>
            </w:r>
          </w:p>
        </w:tc>
        <w:tc>
          <w:tcPr>
            <w:tcW w:type="dxa" w:w="1680"/>
          </w:tcPr>
          <w:p>
            <w:r>
              <w:t>Use as source-controlled starting text for the next manuscript assembly pass.</w:t>
            </w:r>
          </w:p>
        </w:tc>
      </w:tr>
      <w:tr>
        <w:tc>
          <w:tcPr>
            <w:tcW w:type="dxa" w:w="1680"/>
          </w:tcPr>
          <w:p>
            <w:r>
              <w:t>figure_legends_freeze_aligned</w:t>
            </w:r>
          </w:p>
        </w:tc>
        <w:tc>
          <w:tcPr>
            <w:tcW w:type="dxa" w:w="1680"/>
          </w:tcPr>
          <w:p>
            <w:r>
              <w:t>manuscript_text</w:t>
            </w:r>
          </w:p>
        </w:tc>
        <w:tc>
          <w:tcPr>
            <w:tcW w:type="dxa" w:w="1680"/>
          </w:tcPr>
          <w:p>
            <w:r>
              <w:t>True</w:t>
            </w:r>
          </w:p>
        </w:tc>
        <w:tc>
          <w:tcPr>
            <w:tcW w:type="dxa" w:w="1680"/>
          </w:tcPr>
          <w:p>
            <w:r>
              <w:t>Freeze-aligned figure legends draft</w:t>
            </w:r>
          </w:p>
        </w:tc>
        <w:tc>
          <w:tcPr>
            <w:tcW w:type="dxa" w:w="1680"/>
          </w:tcPr>
          <w:p>
            <w:r>
              <w:t>Draft captions only; legends must not upgrade caveated or no-call evidence.</w:t>
            </w:r>
          </w:p>
        </w:tc>
        <w:tc>
          <w:tcPr>
            <w:tcW w:type="dxa" w:w="1680"/>
          </w:tcPr>
          <w:p>
            <w:r>
              <w:t>Use as caption source and revise only after final figure layout is chosen.</w:t>
            </w:r>
          </w:p>
        </w:tc>
      </w:tr>
      <w:tr>
        <w:tc>
          <w:tcPr>
            <w:tcW w:type="dxa" w:w="1680"/>
          </w:tcPr>
          <w:p>
            <w:r>
              <w:t>freeze_aligned_text_audit</w:t>
            </w:r>
          </w:p>
        </w:tc>
        <w:tc>
          <w:tcPr>
            <w:tcW w:type="dxa" w:w="1680"/>
          </w:tcPr>
          <w:p>
            <w:r>
              <w:t>manuscript_text</w:t>
            </w:r>
          </w:p>
        </w:tc>
        <w:tc>
          <w:tcPr>
            <w:tcW w:type="dxa" w:w="1680"/>
          </w:tcPr>
          <w:p>
            <w:r>
              <w:t>True</w:t>
            </w:r>
          </w:p>
        </w:tc>
        <w:tc>
          <w:tcPr>
            <w:tcW w:type="dxa" w:w="1680"/>
          </w:tcPr>
          <w:p>
            <w:r>
              <w:t>Machine-readable claim audit for freeze-aligned text</w:t>
            </w:r>
          </w:p>
        </w:tc>
        <w:tc>
          <w:tcPr>
            <w:tcW w:type="dxa" w:w="1680"/>
          </w:tcPr>
          <w:p>
            <w:r>
              <w:t>Controls wording boundaries; does not certify journal acceptance.</w:t>
            </w:r>
          </w:p>
        </w:tc>
        <w:tc>
          <w:tcPr>
            <w:tcW w:type="dxa" w:w="1680"/>
          </w:tcPr>
          <w:p>
            <w:r>
              <w:t>Re-run after any Results or legend change.</w:t>
            </w:r>
          </w:p>
        </w:tc>
      </w:tr>
    </w:tbl>
    <w:p>
      <w:pPr>
        <w:pStyle w:val="Heading2"/>
      </w:pPr>
      <w:r>
        <w:t>Use In Manuscript Planning</w:t>
      </w:r>
    </w:p>
    <w:p>
      <w:r>
        <w:t>Use this file as the source-of-truth checklist before drafting Results,</w:t>
      </w:r>
    </w:p>
    <w:p>
      <w:r>
        <w:t>figure legends, cover letter claims, and response-to-reviewer language.</w:t>
      </w:r>
    </w:p>
    <w:p>
      <w:r>
        <w:t>Any claim not represented here should be treated as unsupported until a</w:t>
      </w:r>
    </w:p>
    <w:p>
      <w:r>
        <w:t>new evidence item is added and this freeze is regenerated.</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23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Ablation and reproducibility panels summarize the tested contributions of RMTGuard components, runtime/memory reporting and release artifacts.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results/figures/source_data/figure5_realdata_ablation_delta_summary.tsv and release manifests.</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