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13:01:50</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7993418"/>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7993418"/>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28</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9</w:t>
      </w:r>
    </w:p>
    <w:p>
      <w:pPr>
        <w:pStyle w:val="ListBullet"/>
      </w:pPr>
      <w:r>
        <w:t>journal_route: 3</w:t>
      </w:r>
    </w:p>
    <w:p>
      <w:pPr>
        <w:pStyle w:val="ListBullet"/>
      </w:pPr>
      <w:r>
        <w:t>manual_blocker: 1</w:t>
      </w:r>
    </w:p>
    <w:p>
      <w:pPr>
        <w:pStyle w:val="ListBullet"/>
      </w:pPr>
      <w:r>
        <w:t>manuscript_text: 4</w:t>
      </w:r>
    </w:p>
    <w:p>
      <w:pPr>
        <w:pStyle w:val="ListBullet"/>
      </w:pPr>
      <w:r>
        <w:t>project_management: 1</w:t>
      </w:r>
    </w:p>
    <w:p>
      <w:pPr>
        <w:pStyle w:val="ListBullet"/>
      </w:pPr>
      <w:r>
        <w:t>release: 1</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23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Ablation and reproducibility panels summarize the tested contributions of RMTGuard components, runtime/memory reporting and release artifacts.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results/figures/source_data/figure5_realdata_ablation_delta_summary.tsv and release manifests.</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