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RMTGuard Corresponding Author Sign-off Packet</w:t>
      </w:r>
    </w:p>
    <w:p>
      <w:pPr>
        <w:jc w:val="center"/>
      </w:pPr>
      <w:r>
        <w:t>Nature Methods presubmission route control - generated 2026-05-11</w:t>
      </w:r>
    </w:p>
    <w:p>
      <w:pPr>
        <w:pStyle w:val="Heading1"/>
      </w:pPr>
      <w:r>
        <w:t>Mentor Decision</w:t>
      </w:r>
    </w:p>
    <w:p>
      <w:pPr>
        <w:pStyle w:val="ListBullet"/>
      </w:pPr>
      <w:r>
        <w:t>Full Nature Methods submission: NO-GO.</w:t>
      </w:r>
    </w:p>
    <w:p>
      <w:pPr>
        <w:pStyle w:val="ListBullet"/>
      </w:pPr>
      <w:r>
        <w:t>Nature Methods presubmission inquiry: conditional go after corresponding-author acknowledgement.</w:t>
      </w:r>
    </w:p>
    <w:p>
      <w:pPr>
        <w:pStyle w:val="ListBullet"/>
      </w:pPr>
      <w:r>
        <w:t>Genome Biology fallback: ready if Nature Methods presubmission is not encouraging.</w:t>
      </w:r>
    </w:p>
    <w:p>
      <w:pPr>
        <w:pStyle w:val="ListBullet"/>
      </w:pPr>
      <w:r>
        <w:t>Acceptance guarantee: impossible.</w:t>
      </w:r>
    </w:p>
    <w:p>
      <w:pPr>
        <w:pStyle w:val="Heading1"/>
      </w:pPr>
      <w:r>
        <w:t>Required Confirmation</w:t>
      </w:r>
    </w:p>
    <w:p>
      <w:r>
        <w:rPr>
          <w:b/>
        </w:rPr>
        <w:t>I confirm that Figure 4 will be presented only as a bounded public-data PDAC/TME showcase of RMTGuard callability, not as a new PDAC mechanism, CAF discovery, prognosis, therapy-response, clinical-validation, or patient-level claim.</w:t>
      </w:r>
    </w:p>
    <w:p>
      <w:pPr>
        <w:pStyle w:val="Heading1"/>
      </w:pPr>
      <w:r>
        <w:t>Exact Figure 4 Caption Draft</w:t>
      </w:r>
    </w:p>
    <w:p>
      <w:r>
        <w:t>**Figure 4 | Bounded public-data PDAC/TME application of RMTGuard.** (A) Evidence board summarizing the claim-bounded PDAC/TME application layers and the corresponding stop rules. (B) Marker-program heatmap for RMTGuard clusters in GSE154778 and GSE263733, highlighting ductal/malignant-context, myeloid, T/NK, B/plasma, CAF/fibroblast, and endothelial marker families. (C) External signature transfer layer; 5 primary signatures matched expected public labels; 4 matched validation RMTGuard cluster signatures; shared families: ductal/malignant-context, immune-myeloid. (D) Rank-based pathway layer; 189 Hallmark and 1466 Reactome pathways pass BH-FDR &lt;=0.05 with positive rank effect. (E) Published atlas-marker overlap layer; 7 cluster-signature rows have &gt;=2 marker overlaps with cited PDAC atlas/reference marker families. (F) Stability boundary layer; GSE154778 RMTGuard ARI=0.619 vs best baseline scanpy_default_like=0.793; GSE263733 RMTGuard ARI=0.704 vs best baseline scanpy_default_like=0.785. Marker evidence: 9802 positive cluster-marker rows at BH-FDR &lt;=0.05; 3 tiny clusters skipped by rule. All analyses use public scRNA-seq datasets and are presented as a hypothesis-generating methods showcase. No panel is used to claim a new PDAC mechanism, a new CAF subtype, clinical validation, prognosis, therapy-response prediction, patient-level utility, spatial validation, or protein validation.</w:t>
      </w:r>
    </w:p>
    <w:p>
      <w:pPr>
        <w:pStyle w:val="Heading1"/>
      </w:pPr>
      <w:r>
        <w:t>Sign-off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t>Item</w:t>
            </w:r>
          </w:p>
        </w:tc>
        <w:tc>
          <w:tcPr>
            <w:tcW w:type="dxa" w:w="2016"/>
          </w:tcPr>
          <w:p>
            <w:r>
              <w:t>Status</w:t>
            </w:r>
          </w:p>
        </w:tc>
        <w:tc>
          <w:tcPr>
            <w:tcW w:type="dxa" w:w="2016"/>
          </w:tcPr>
          <w:p>
            <w:r>
              <w:t>Text</w:t>
            </w:r>
          </w:p>
        </w:tc>
        <w:tc>
          <w:tcPr>
            <w:tcW w:type="dxa" w:w="2016"/>
          </w:tcPr>
          <w:p>
            <w:r>
              <w:t>Evidence</w:t>
            </w:r>
          </w:p>
        </w:tc>
        <w:tc>
          <w:tcPr>
            <w:tcW w:type="dxa" w:w="2016"/>
          </w:tcPr>
          <w:p>
            <w:r>
              <w:t>Risk if not confirmed</w:t>
            </w:r>
          </w:p>
        </w:tc>
      </w:tr>
      <w:tr>
        <w:tc>
          <w:tcPr>
            <w:tcW w:type="dxa" w:w="2016"/>
          </w:tcPr>
          <w:p>
            <w:r>
              <w:t>required_decision</w:t>
            </w:r>
          </w:p>
        </w:tc>
        <w:tc>
          <w:tcPr>
            <w:tcW w:type="dxa" w:w="2016"/>
          </w:tcPr>
          <w:p>
            <w:r>
              <w:t>author_action_needed</w:t>
            </w:r>
          </w:p>
        </w:tc>
        <w:tc>
          <w:tcPr>
            <w:tcW w:type="dxa" w:w="2016"/>
          </w:tcPr>
          <w:p>
            <w:r>
              <w:t>I confirm that Figure 4 will be presented only as a bounded public-data PDAC/TME showcase of RMTGuard callability, not as a new PDAC mechanism, CAF discovery, prognosis, therapy-response, clinical-validation, or patient-level claim.</w:t>
            </w:r>
          </w:p>
        </w:tc>
        <w:tc>
          <w:tcPr>
            <w:tcW w:type="dxa" w:w="2016"/>
          </w:tcPr>
          <w:p>
            <w:r>
              <w:t>docs/figure4_pdac_tme_wording_freeze.md</w:t>
            </w:r>
          </w:p>
        </w:tc>
        <w:tc>
          <w:tcPr>
            <w:tcW w:type="dxa" w:w="2016"/>
          </w:tcPr>
          <w:p>
            <w:r>
              <w:t>Nature Methods presubmission inquiry remains blocked.</w:t>
            </w:r>
          </w:p>
        </w:tc>
      </w:tr>
      <w:tr>
        <w:tc>
          <w:tcPr>
            <w:tcW w:type="dxa" w:w="2016"/>
          </w:tcPr>
          <w:p>
            <w:r>
              <w:t>full_submission_status</w:t>
            </w:r>
          </w:p>
        </w:tc>
        <w:tc>
          <w:tcPr>
            <w:tcW w:type="dxa" w:w="2016"/>
          </w:tcPr>
          <w:p>
            <w:r>
              <w:t>no_go</w:t>
            </w:r>
          </w:p>
        </w:tc>
        <w:tc>
          <w:tcPr>
            <w:tcW w:type="dxa" w:w="2016"/>
          </w:tcPr>
          <w:p>
            <w:r>
              <w:t>Full Nature Methods submission remains no-go.</w:t>
            </w:r>
          </w:p>
        </w:tc>
        <w:tc>
          <w:tcPr>
            <w:tcW w:type="dxa" w:w="2016"/>
          </w:tcPr>
          <w:p>
            <w:r>
              <w:t>docs/nature_methods_go_no_go_final.md</w:t>
            </w:r>
          </w:p>
        </w:tc>
        <w:tc>
          <w:tcPr>
            <w:tcW w:type="dxa" w:w="2016"/>
          </w:tcPr>
          <w:p>
            <w:r>
              <w:t>Submitting a full manuscript now would overrun current evidence.</w:t>
            </w:r>
          </w:p>
        </w:tc>
      </w:tr>
      <w:tr>
        <w:tc>
          <w:tcPr>
            <w:tcW w:type="dxa" w:w="2016"/>
          </w:tcPr>
          <w:p>
            <w:r>
              <w:t>presubmission_status</w:t>
            </w:r>
          </w:p>
        </w:tc>
        <w:tc>
          <w:tcPr>
            <w:tcW w:type="dxa" w:w="2016"/>
          </w:tcPr>
          <w:p>
            <w:r>
              <w:t>conditional_go_after_author_ack</w:t>
            </w:r>
          </w:p>
        </w:tc>
        <w:tc>
          <w:tcPr>
            <w:tcW w:type="dxa" w:w="2016"/>
          </w:tcPr>
          <w:p>
            <w:r>
              <w:t>Nature Methods presubmission inquiry can proceed only after corresponding-author acknowledgement and final wording review.</w:t>
            </w:r>
          </w:p>
        </w:tc>
        <w:tc>
          <w:tcPr>
            <w:tcW w:type="dxa" w:w="2016"/>
          </w:tcPr>
          <w:p>
            <w:r>
              <w:t>manuscript/nature_methods_presubmission_inquiry.md</w:t>
            </w:r>
          </w:p>
        </w:tc>
        <w:tc>
          <w:tcPr>
            <w:tcW w:type="dxa" w:w="2016"/>
          </w:tcPr>
          <w:p>
            <w:r>
              <w:t>Do not send the inquiry.</w:t>
            </w:r>
          </w:p>
        </w:tc>
      </w:tr>
      <w:tr>
        <w:tc>
          <w:tcPr>
            <w:tcW w:type="dxa" w:w="2016"/>
          </w:tcPr>
          <w:p>
            <w:r>
              <w:t>forbidden_claims</w:t>
            </w:r>
          </w:p>
        </w:tc>
        <w:tc>
          <w:tcPr>
            <w:tcW w:type="dxa" w:w="2016"/>
          </w:tcPr>
          <w:p>
            <w:r>
              <w:t>hard_stop</w:t>
            </w:r>
          </w:p>
        </w:tc>
        <w:tc>
          <w:tcPr>
            <w:tcW w:type="dxa" w:w="2016"/>
          </w:tcPr>
          <w:p>
            <w:r>
              <w:t>Do not describe Figure 4 as a new PDAC mechanism, CAF discovery, prognosis, therapy-response, clinical-validation, or patient-level finding.</w:t>
            </w:r>
          </w:p>
        </w:tc>
        <w:tc>
          <w:tcPr>
            <w:tcW w:type="dxa" w:w="2016"/>
          </w:tcPr>
          <w:p>
            <w:r>
              <w:t>docs/figure4_pdac_tme_wording_freeze.md</w:t>
            </w:r>
          </w:p>
        </w:tc>
        <w:tc>
          <w:tcPr>
            <w:tcW w:type="dxa" w:w="2016"/>
          </w:tcPr>
          <w:p>
            <w:r>
              <w:t>High desk-reject or reviewer-attack risk.</w:t>
            </w:r>
          </w:p>
        </w:tc>
      </w:tr>
    </w:tbl>
    <w:p>
      <w:pPr>
        <w:pStyle w:val="Heading1"/>
      </w:pPr>
      <w:r>
        <w:t>Signature / Written Confirmation</w:t>
      </w:r>
    </w:p>
    <w:p>
      <w:r>
        <w:t>Yi Miao, MD, PhD: ____________________  Date: __________</w:t>
      </w:r>
    </w:p>
    <w:p>
      <w:r>
        <w:t>Han Yan, MD, PhD: ____________________  Date: __________</w:t>
      </w:r>
    </w:p>
    <w:p>
      <w:pPr>
        <w:pStyle w:val="Heading1"/>
      </w:pPr>
      <w:r>
        <w:t>Written Reply Template</w:t>
      </w:r>
    </w:p>
    <w:p>
      <w:r>
        <w:t>We confirm the bounded Figure 4 wording for RMTGuard.</w:t>
      </w:r>
    </w:p>
    <w:p>
      <w:r>
        <w:t>I confirm that Figure 4 will be presented only as a bounded public-data PDAC/TME showcase of RMTGuard callability, not as a new PDAC mechanism, CAF discovery, prognosis, therapy-response, clinical-validation, or patient-level claim.</w:t>
      </w:r>
    </w:p>
    <w:p>
      <w:r>
        <w:t>Yi Miao, MD, PhD: confirmed / not confirmed</w:t>
      </w:r>
    </w:p>
    <w:p>
      <w:r>
        <w:t>Han Yan, MD, PhD: confirmed / not confirmed</w:t>
      </w:r>
    </w:p>
    <w:p>
      <w:r>
        <w:t>Date:</w:t>
      </w:r>
    </w:p>
    <w:p>
      <w:r>
        <w:t>Notes: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