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40"/>
          <w:szCs w:val="40"/>
        </w:rPr>
        <w:t xml:space="preserve">Method</w:t>
      </w:r>
    </w:p>
    <w:p>
      <w:pPr>
        <w:spacing w:after="140" w:line="276"/>
      </w:pPr>
      <w:r>
        <w:rPr>
          <w:rFonts w:ascii="Arial" w:cs="Arial" w:eastAsia="Arial" w:hAnsi="Arial"/>
          <w:i/>
          <w:iCs/>
          <w:sz w:val="22"/>
          <w:szCs w:val="22"/>
        </w:rPr>
        <w:t xml:space="preserve">Associative Memory for Personal Agents: a benchmark for inferring new user preferences from stored facts.</w:t>
      </w:r>
    </w:p>
    <w:p>
      <w:pPr>
        <w:spacing w:after="140" w:line="276"/>
      </w:pPr>
      <w:r>
        <w:rPr>
          <w:rFonts w:ascii="Arial" w:cs="Arial" w:eastAsia="Arial" w:hAnsi="Arial"/>
          <w:sz w:val="22"/>
          <w:szCs w:val="22"/>
        </w:rPr>
        <w:t xml:space="preserve">This section specifies the scenarios, the unified dataset, the experimental conditions, the generation pipeline, the judging protocol, and the evaluation metrics. Design choices are anchored to prior benchmarks and memory systems; citations are given inline.</w:t>
      </w:r>
    </w:p>
    <w:p>
      <w:pPr>
        <w:pStyle w:val="Heading1"/>
      </w:pPr>
      <w:r>
        <w:t xml:space="preserve">Scenario</w:t>
      </w:r>
    </w:p>
    <w:p>
      <w:pPr>
        <w:spacing w:after="140" w:line="276"/>
      </w:pPr>
      <w:r>
        <w:rPr>
          <w:rFonts w:ascii="Arial" w:cs="Arial" w:eastAsia="Arial" w:hAnsi="Arial"/>
          <w:sz w:val="22"/>
          <w:szCs w:val="22"/>
        </w:rPr>
        <w:t xml:space="preserve">We organize the benchmark into three scenarios, each isolating a distinct facet of associative user understanding. Across all scenarios the agent is given a user's prior interaction history (the </w:t>
      </w:r>
      <w:r>
        <w:rPr>
          <w:rFonts w:ascii="Arial" w:cs="Arial" w:eastAsia="Arial" w:hAnsi="Arial"/>
          <w:i/>
          <w:iCs/>
          <w:sz w:val="22"/>
          <w:szCs w:val="22"/>
        </w:rPr>
        <w:t xml:space="preserve">stored context</w:t>
      </w:r>
      <w:r>
        <w:rPr>
          <w:rFonts w:ascii="Arial" w:cs="Arial" w:eastAsia="Arial" w:hAnsi="Arial"/>
          <w:sz w:val="22"/>
          <w:szCs w:val="22"/>
        </w:rPr>
        <w:t xml:space="preserve">) and a </w:t>
      </w:r>
      <w:r>
        <w:rPr>
          <w:rFonts w:ascii="Arial" w:cs="Arial" w:eastAsia="Arial" w:hAnsi="Arial"/>
          <w:i/>
          <w:iCs/>
          <w:sz w:val="22"/>
          <w:szCs w:val="22"/>
        </w:rPr>
        <w:t xml:space="preserve">query</w:t>
      </w:r>
      <w:r>
        <w:rPr>
          <w:rFonts w:ascii="Arial" w:cs="Arial" w:eastAsia="Arial" w:hAnsi="Arial"/>
          <w:sz w:val="22"/>
          <w:szCs w:val="22"/>
        </w:rPr>
        <w:t xml:space="preserve"> that cannot be answered by verbatim recall alone; the target requires </w:t>
      </w:r>
      <w:r>
        <w:rPr>
          <w:rFonts w:ascii="Arial" w:cs="Arial" w:eastAsia="Arial" w:hAnsi="Arial"/>
          <w:b/>
          <w:bCs/>
          <w:sz w:val="22"/>
          <w:szCs w:val="22"/>
        </w:rPr>
        <w:t xml:space="preserve">associating multiple stored facts to infer something new</w:t>
      </w:r>
      <w:r>
        <w:rPr>
          <w:rFonts w:ascii="Arial" w:cs="Arial" w:eastAsia="Arial" w:hAnsi="Arial"/>
          <w:sz w:val="22"/>
          <w:szCs w:val="22"/>
        </w:rPr>
        <w:t xml:space="preserve">.</w:t>
      </w:r>
    </w:p>
    <w:p>
      <w:pPr>
        <w:pStyle w:val="Heading2"/>
      </w:pPr>
      <w:r>
        <w:t xml:space="preserve">Scenario 1 — Associative Preference Inference</w:t>
      </w:r>
    </w:p>
    <w:p>
      <w:pPr>
        <w:spacing w:after="140" w:line="276"/>
      </w:pPr>
      <w:r>
        <w:rPr>
          <w:rFonts w:ascii="Arial" w:cs="Arial" w:eastAsia="Arial" w:hAnsi="Arial"/>
          <w:sz w:val="22"/>
          <w:szCs w:val="22"/>
        </w:rPr>
        <w:t xml:space="preserve">We evaluate an agent's ability to </w:t>
      </w:r>
      <w:r>
        <w:rPr>
          <w:rFonts w:ascii="Arial" w:cs="Arial" w:eastAsia="Arial" w:hAnsi="Arial"/>
          <w:b/>
          <w:bCs/>
          <w:sz w:val="22"/>
          <w:szCs w:val="22"/>
        </w:rPr>
        <w:t xml:space="preserve">infer a new, previously unstated user preference</w:t>
      </w:r>
      <w:r>
        <w:rPr>
          <w:rFonts w:ascii="Arial" w:cs="Arial" w:eastAsia="Arial" w:hAnsi="Arial"/>
          <w:sz w:val="22"/>
          <w:szCs w:val="22"/>
        </w:rPr>
        <w:t xml:space="preserve"> by combining two or more stored facts about the user. Each item presents the agent with a set of grounded user facts (e.g., hobbies, constraints, personality cues) and a request for a recommendation or suggestion whose correct answer is </w:t>
      </w:r>
      <w:r>
        <w:rPr>
          <w:rFonts w:ascii="Arial" w:cs="Arial" w:eastAsia="Arial" w:hAnsi="Arial"/>
          <w:i/>
          <w:iCs/>
          <w:sz w:val="22"/>
          <w:szCs w:val="22"/>
        </w:rPr>
        <w:t xml:space="preserve">not</w:t>
      </w:r>
      <w:r>
        <w:rPr>
          <w:rFonts w:ascii="Arial" w:cs="Arial" w:eastAsia="Arial" w:hAnsi="Arial"/>
          <w:sz w:val="22"/>
          <w:szCs w:val="22"/>
        </w:rPr>
        <w:t xml:space="preserve"> explicitly contained in any single memory. We set the ground truth as the option (or free-text target) that is jointly entailed by, and not contradicted by, the stored facts. Conceptually, this setting operationalizes </w:t>
      </w:r>
      <w:r>
        <w:rPr>
          <w:rFonts w:ascii="Arial" w:cs="Arial" w:eastAsia="Arial" w:hAnsi="Arial"/>
          <w:i/>
          <w:iCs/>
          <w:sz w:val="22"/>
          <w:szCs w:val="22"/>
        </w:rPr>
        <w:t xml:space="preserve">associative recall plus generalization</w:t>
      </w:r>
      <w:r>
        <w:rPr>
          <w:rFonts w:ascii="Arial" w:cs="Arial" w:eastAsia="Arial" w:hAnsi="Arial"/>
          <w:sz w:val="22"/>
          <w:szCs w:val="22"/>
        </w:rPr>
        <w:t xml:space="preserve"> — the function our study targets — in which a user begins with a profile and partial history, and the agent must connect facts that were introduced in earlier, separate conversations.</w:t>
      </w:r>
    </w:p>
    <w:p>
      <w:pPr>
        <w:spacing w:after="140" w:line="276"/>
      </w:pPr>
      <w:r>
        <w:rPr>
          <w:rFonts w:ascii="Arial" w:cs="Arial" w:eastAsia="Arial" w:hAnsi="Arial"/>
          <w:sz w:val="22"/>
          <w:szCs w:val="22"/>
        </w:rPr>
        <w:t xml:space="preserve">Our test data builds upon </w:t>
      </w:r>
      <w:hyperlink w:history="1" r:id="rIdzjxn76hd8obpddna7kevq">
        <w:r>
          <w:rPr>
            <w:rStyle w:val="Hyperlink"/>
            <w:rFonts w:ascii="Arial" w:cs="Arial" w:eastAsia="Arial" w:hAnsi="Arial"/>
            <w:sz w:val="22"/>
            <w:szCs w:val="22"/>
          </w:rPr>
          <w:t xml:space="preserve">PersonaMem (Jiang et al., 2025)</w:t>
        </w:r>
      </w:hyperlink>
      <w:r>
        <w:rPr>
          <w:rFonts w:ascii="Arial" w:cs="Arial" w:eastAsia="Arial" w:hAnsi="Arial"/>
          <w:sz w:val="22"/>
          <w:szCs w:val="22"/>
        </w:rPr>
        <w:t xml:space="preserve">, specifically its inference-oriented question types — </w:t>
      </w:r>
      <w:r>
        <w:rPr>
          <w:rFonts w:ascii="Arial" w:cs="Arial" w:eastAsia="Arial" w:hAnsi="Arial"/>
          <w:i/>
          <w:iCs/>
          <w:sz w:val="22"/>
          <w:szCs w:val="22"/>
        </w:rPr>
        <w:t xml:space="preserve">suggest new ideas</w:t>
      </w:r>
      <w:r>
        <w:rPr>
          <w:rFonts w:ascii="Arial" w:cs="Arial" w:eastAsia="Arial" w:hAnsi="Arial"/>
          <w:sz w:val="22"/>
          <w:szCs w:val="22"/>
        </w:rPr>
        <w:t xml:space="preserve">, </w:t>
      </w:r>
      <w:r>
        <w:rPr>
          <w:rFonts w:ascii="Arial" w:cs="Arial" w:eastAsia="Arial" w:hAnsi="Arial"/>
          <w:i/>
          <w:iCs/>
          <w:sz w:val="22"/>
          <w:szCs w:val="22"/>
        </w:rPr>
        <w:t xml:space="preserve">provide preference-aligned recommendations</w:t>
      </w:r>
      <w:r>
        <w:rPr>
          <w:rFonts w:ascii="Arial" w:cs="Arial" w:eastAsia="Arial" w:hAnsi="Arial"/>
          <w:sz w:val="22"/>
          <w:szCs w:val="22"/>
        </w:rPr>
        <w:t xml:space="preserve">, and </w:t>
      </w:r>
      <w:r>
        <w:rPr>
          <w:rFonts w:ascii="Arial" w:cs="Arial" w:eastAsia="Arial" w:hAnsi="Arial"/>
          <w:i/>
          <w:iCs/>
          <w:sz w:val="22"/>
          <w:szCs w:val="22"/>
        </w:rPr>
        <w:t xml:space="preserve">generalize to new scenarios</w:t>
      </w:r>
      <w:r>
        <w:rPr>
          <w:rFonts w:ascii="Arial" w:cs="Arial" w:eastAsia="Arial" w:hAnsi="Arial"/>
          <w:sz w:val="22"/>
          <w:szCs w:val="22"/>
        </w:rPr>
        <w:t xml:space="preserve"> — which directly assess preference inference rather than recall, and on the structured profile+event records of </w:t>
      </w:r>
      <w:hyperlink w:history="1" r:id="rIdhndpqqtcejt3qyb1chnuu">
        <w:r>
          <w:rPr>
            <w:rStyle w:val="Hyperlink"/>
            <w:rFonts w:ascii="Arial" w:cs="Arial" w:eastAsia="Arial" w:hAnsi="Arial"/>
            <w:sz w:val="22"/>
            <w:szCs w:val="22"/>
          </w:rPr>
          <w:t xml:space="preserve">PerLTQA (Du et al., 2024)</w:t>
        </w:r>
      </w:hyperlink>
      <w:r>
        <w:rPr>
          <w:rFonts w:ascii="Arial" w:cs="Arial" w:eastAsia="Arial" w:hAnsi="Arial"/>
          <w:sz w:val="22"/>
          <w:szCs w:val="22"/>
        </w:rPr>
        <w:t xml:space="preserve">, whose span-level </w:t>
      </w:r>
      <w:r>
        <w:rPr>
          <w:rFonts w:ascii="Arial" w:cs="Arial" w:eastAsia="Arial" w:hAnsi="Arial"/>
          <w:i/>
          <w:iCs/>
          <w:sz w:val="22"/>
          <w:szCs w:val="22"/>
        </w:rPr>
        <w:t xml:space="preserve">memory anchors</w:t>
      </w:r>
      <w:r>
        <w:rPr>
          <w:rFonts w:ascii="Arial" w:cs="Arial" w:eastAsia="Arial" w:hAnsi="Arial"/>
          <w:sz w:val="22"/>
          <w:szCs w:val="22"/>
        </w:rPr>
        <w:t xml:space="preserve"> give exact-match grounding. To ensure direct relevance to our goal, we apply a two-stage filtering process. </w:t>
      </w:r>
      <w:r>
        <w:rPr>
          <w:rFonts w:ascii="Arial" w:cs="Arial" w:eastAsia="Arial" w:hAnsi="Arial"/>
          <w:b/>
          <w:bCs/>
          <w:sz w:val="22"/>
          <w:szCs w:val="22"/>
        </w:rPr>
        <w:t xml:space="preserve">First</w:t>
      </w:r>
      <w:r>
        <w:rPr>
          <w:rFonts w:ascii="Arial" w:cs="Arial" w:eastAsia="Arial" w:hAnsi="Arial"/>
          <w:sz w:val="22"/>
          <w:szCs w:val="22"/>
        </w:rPr>
        <w:t xml:space="preserve">, we retain only items whose gold answer is absent from any single stored fact (so recall alone cannot solve them). </w:t>
      </w:r>
      <w:r>
        <w:rPr>
          <w:rFonts w:ascii="Arial" w:cs="Arial" w:eastAsia="Arial" w:hAnsi="Arial"/>
          <w:b/>
          <w:bCs/>
          <w:sz w:val="22"/>
          <w:szCs w:val="22"/>
        </w:rPr>
        <w:t xml:space="preserve">Second</w:t>
      </w:r>
      <w:r>
        <w:rPr>
          <w:rFonts w:ascii="Arial" w:cs="Arial" w:eastAsia="Arial" w:hAnsi="Arial"/>
          <w:sz w:val="22"/>
          <w:szCs w:val="22"/>
        </w:rPr>
        <w:t xml:space="preserve">, we require that the gold answer be reconstructible from at least two stored facts, verified by an LLM-plus-human entailment check. Therefore, all components in the </w:t>
      </w:r>
      <w:r>
        <w:rPr>
          <w:rFonts w:ascii="Arial" w:cs="Arial" w:eastAsia="Arial" w:hAnsi="Arial"/>
          <w:i/>
          <w:iCs/>
          <w:sz w:val="22"/>
          <w:szCs w:val="22"/>
        </w:rPr>
        <w:t xml:space="preserve">associative</w:t>
      </w:r>
      <w:r>
        <w:rPr>
          <w:rFonts w:ascii="Arial" w:cs="Arial" w:eastAsia="Arial" w:hAnsi="Arial"/>
          <w:sz w:val="22"/>
          <w:szCs w:val="22"/>
        </w:rPr>
        <w:t xml:space="preserve"> scenario are made related to the preference-inference target setting.</w:t>
      </w:r>
    </w:p>
    <w:p>
      <w:pPr>
        <w:pStyle w:val="Heading2"/>
      </w:pPr>
      <w:r>
        <w:t xml:space="preserve">Scenario 2 — Long-Horizon Associative Reasoning</w:t>
      </w:r>
    </w:p>
    <w:p>
      <w:pPr>
        <w:spacing w:after="140" w:line="276"/>
      </w:pPr>
      <w:r>
        <w:rPr>
          <w:rFonts w:ascii="Arial" w:cs="Arial" w:eastAsia="Arial" w:hAnsi="Arial"/>
          <w:sz w:val="22"/>
          <w:szCs w:val="22"/>
        </w:rPr>
        <w:t xml:space="preserve">We evaluate an agent's ability to satisfy an </w:t>
      </w:r>
      <w:r>
        <w:rPr>
          <w:rFonts w:ascii="Arial" w:cs="Arial" w:eastAsia="Arial" w:hAnsi="Arial"/>
          <w:b/>
          <w:bCs/>
          <w:sz w:val="22"/>
          <w:szCs w:val="22"/>
        </w:rPr>
        <w:t xml:space="preserve">accumulating set of constraints across multiple conversational steps</w:t>
      </w:r>
      <w:r>
        <w:rPr>
          <w:rFonts w:ascii="Arial" w:cs="Arial" w:eastAsia="Arial" w:hAnsi="Arial"/>
          <w:sz w:val="22"/>
          <w:szCs w:val="22"/>
        </w:rPr>
        <w:t xml:space="preserve">, where each step introduces an additional condition and the final answer must satisfy </w:t>
      </w:r>
      <w:r>
        <w:rPr>
          <w:rFonts w:ascii="Arial" w:cs="Arial" w:eastAsia="Arial" w:hAnsi="Arial"/>
          <w:i/>
          <w:iCs/>
          <w:sz w:val="22"/>
          <w:szCs w:val="22"/>
        </w:rPr>
        <w:t xml:space="preserve">all</w:t>
      </w:r>
      <w:r>
        <w:rPr>
          <w:rFonts w:ascii="Arial" w:cs="Arial" w:eastAsia="Arial" w:hAnsi="Arial"/>
          <w:sz w:val="22"/>
          <w:szCs w:val="22"/>
        </w:rPr>
        <w:t xml:space="preserve"> previously introduced conditions. We set the ground truth as the unique candidate that meets every constraint; when no candidate qualifies, the correct behavior is abstention. Conceptually, this setting follows a form of </w:t>
      </w:r>
      <w:r>
        <w:rPr>
          <w:rFonts w:ascii="Arial" w:cs="Arial" w:eastAsia="Arial" w:hAnsi="Arial"/>
          <w:i/>
          <w:iCs/>
          <w:sz w:val="22"/>
          <w:szCs w:val="22"/>
        </w:rPr>
        <w:t xml:space="preserve">multi-hop associative chaining</w:t>
      </w:r>
      <w:r>
        <w:rPr>
          <w:rFonts w:ascii="Arial" w:cs="Arial" w:eastAsia="Arial" w:hAnsi="Arial"/>
          <w:sz w:val="22"/>
          <w:szCs w:val="22"/>
        </w:rPr>
        <w:t xml:space="preserve"> in which a user reveals preferences incrementally and the agent must integrate conditions stated in earlier conversations. Our test data builds upon </w:t>
      </w:r>
      <w:hyperlink w:history="1" r:id="rIdgmhl_mbhqqkp2we4pqpft">
        <w:r>
          <w:rPr>
            <w:rStyle w:val="Hyperlink"/>
            <w:rFonts w:ascii="Arial" w:cs="Arial" w:eastAsia="Arial" w:hAnsi="Arial"/>
            <w:sz w:val="22"/>
            <w:szCs w:val="22"/>
          </w:rPr>
          <w:t xml:space="preserve">LoCoMo (Maharana et al., 2024)</w:t>
        </w:r>
      </w:hyperlink>
      <w:r>
        <w:rPr>
          <w:rFonts w:ascii="Arial" w:cs="Arial" w:eastAsia="Arial" w:hAnsi="Arial"/>
          <w:sz w:val="22"/>
          <w:szCs w:val="22"/>
        </w:rPr>
        <w:t xml:space="preserve">, specifically its multi-session dialogues and per-fact </w:t>
      </w:r>
      <w:r>
        <w:rPr>
          <w:rFonts w:ascii="Arial" w:cs="Arial" w:eastAsia="Arial" w:hAnsi="Arial"/>
          <w:i/>
          <w:iCs/>
          <w:sz w:val="22"/>
          <w:szCs w:val="22"/>
        </w:rPr>
        <w:t xml:space="preserve">evidence</w:t>
      </w:r>
      <w:r>
        <w:rPr>
          <w:rFonts w:ascii="Arial" w:cs="Arial" w:eastAsia="Arial" w:hAnsi="Arial"/>
          <w:sz w:val="22"/>
          <w:szCs w:val="22"/>
        </w:rPr>
        <w:t xml:space="preserve"> identifiers, which let us chain cross-session facts into ordered constraints with traceable ground truth. The same two-stage relevance process is applied: we keep only chains of length two or more, and we attach each constraint to its supporting evidence turn so that scoring is auditable.</w:t>
      </w:r>
    </w:p>
    <w:p>
      <w:pPr>
        <w:pStyle w:val="Heading2"/>
      </w:pPr>
      <w:r>
        <w:t xml:space="preserve">Scenario 3 — Memory-to-Action</w:t>
      </w:r>
    </w:p>
    <w:p>
      <w:pPr>
        <w:spacing w:after="140" w:line="276"/>
      </w:pPr>
      <w:r>
        <w:rPr>
          <w:rFonts w:ascii="Arial" w:cs="Arial" w:eastAsia="Arial" w:hAnsi="Arial"/>
          <w:sz w:val="22"/>
          <w:szCs w:val="22"/>
        </w:rPr>
        <w:t xml:space="preserve">We evaluate whether an inferred preference actually </w:t>
      </w:r>
      <w:r>
        <w:rPr>
          <w:rFonts w:ascii="Arial" w:cs="Arial" w:eastAsia="Arial" w:hAnsi="Arial"/>
          <w:b/>
          <w:bCs/>
          <w:sz w:val="22"/>
          <w:szCs w:val="22"/>
        </w:rPr>
        <w:t xml:space="preserve">drives a correct downstream action</w:t>
      </w:r>
      <w:r>
        <w:rPr>
          <w:rFonts w:ascii="Arial" w:cs="Arial" w:eastAsia="Arial" w:hAnsi="Arial"/>
          <w:sz w:val="22"/>
          <w:szCs w:val="22"/>
        </w:rPr>
        <w:t xml:space="preserve">, since the ultimate purpose of memory is to guide better behavior. Each item supplies accumulated user facts and constraints, and the target is the action that an ideal personalized agent would take (e.g., the contents to add to a shopping cart, the plan to propose). We set the ground truth as the action that satisfies all inferred preferences and constraints. This scenario builds upon </w:t>
      </w:r>
      <w:hyperlink w:history="1" r:id="rId_7weasurnnxpagg_jirgv">
        <w:r>
          <w:rPr>
            <w:rStyle w:val="Hyperlink"/>
            <w:rFonts w:ascii="Arial" w:cs="Arial" w:eastAsia="Arial" w:hAnsi="Arial"/>
            <w:sz w:val="22"/>
            <w:szCs w:val="22"/>
          </w:rPr>
          <w:t xml:space="preserve">MemoryArena (He et al., 2026)</w:t>
        </w:r>
      </w:hyperlink>
      <w:r>
        <w:rPr>
          <w:rFonts w:ascii="Arial" w:cs="Arial" w:eastAsia="Arial" w:hAnsi="Arial"/>
          <w:sz w:val="22"/>
          <w:szCs w:val="22"/>
        </w:rPr>
        <w:t xml:space="preserve">, whose interdependent multi-session subtasks make earlier preferences a precondition for later actions, and adopts the memory-operation-as-action framing of </w:t>
      </w:r>
      <w:hyperlink w:history="1" r:id="rIdvdom_sj500sbok9bwzaum">
        <w:r>
          <w:rPr>
            <w:rStyle w:val="Hyperlink"/>
            <w:rFonts w:ascii="Arial" w:cs="Arial" w:eastAsia="Arial" w:hAnsi="Arial"/>
            <w:sz w:val="22"/>
            <w:szCs w:val="22"/>
          </w:rPr>
          <w:t xml:space="preserve">Memory-R1 (Yan et al., 2026)</w:t>
        </w:r>
      </w:hyperlink>
      <w:r>
        <w:rPr>
          <w:rFonts w:ascii="Arial" w:cs="Arial" w:eastAsia="Arial" w:hAnsi="Arial"/>
          <w:sz w:val="22"/>
          <w:szCs w:val="22"/>
        </w:rPr>
        <w:t xml:space="preserve">. The structure mirrors Scenarios 1–2 but the evaluated ability is action correctness conditioned on inferred preference.</w:t>
      </w:r>
    </w:p>
    <w:p>
      <w:pPr>
        <w:pStyle w:val="Heading1"/>
      </w:pPr>
      <w:r>
        <w:t xml:space="preserve">Dataset</w:t>
      </w:r>
    </w:p>
    <w:p>
      <w:pPr>
        <w:spacing w:after="140" w:line="276"/>
      </w:pPr>
      <w:r>
        <w:rPr>
          <w:rFonts w:ascii="Arial" w:cs="Arial" w:eastAsia="Arial" w:hAnsi="Arial"/>
          <w:sz w:val="22"/>
          <w:szCs w:val="22"/>
        </w:rPr>
        <w:t xml:space="preserve">We release a </w:t>
      </w:r>
      <w:r>
        <w:rPr>
          <w:rFonts w:ascii="Arial" w:cs="Arial" w:eastAsia="Arial" w:hAnsi="Arial"/>
          <w:b/>
          <w:bCs/>
          <w:sz w:val="22"/>
          <w:szCs w:val="22"/>
        </w:rPr>
        <w:t xml:space="preserve">unified, organized, vertical dataset for associative memory</w:t>
      </w:r>
      <w:r>
        <w:rPr>
          <w:rFonts w:ascii="Arial" w:cs="Arial" w:eastAsia="Arial" w:hAnsi="Arial"/>
          <w:sz w:val="22"/>
          <w:szCs w:val="22"/>
        </w:rPr>
        <w:t xml:space="preserve"> — to our knowledge the first to consolidate preference inference, long-horizon associative reasoning, and memory-to-action under a single schema. We harmonize four sources — </w:t>
      </w:r>
      <w:hyperlink w:history="1" r:id="rIdhydku93pstym-0ysitjbk">
        <w:r>
          <w:rPr>
            <w:rStyle w:val="Hyperlink"/>
            <w:rFonts w:ascii="Arial" w:cs="Arial" w:eastAsia="Arial" w:hAnsi="Arial"/>
            <w:sz w:val="22"/>
            <w:szCs w:val="22"/>
          </w:rPr>
          <w:t xml:space="preserve">PersonaMem</w:t>
        </w:r>
      </w:hyperlink>
      <w:r>
        <w:rPr>
          <w:rFonts w:ascii="Arial" w:cs="Arial" w:eastAsia="Arial" w:hAnsi="Arial"/>
          <w:sz w:val="22"/>
          <w:szCs w:val="22"/>
        </w:rPr>
        <w:t xml:space="preserve">, </w:t>
      </w:r>
      <w:hyperlink w:history="1" r:id="rIdma_apfalp4i7aobrshtrh">
        <w:r>
          <w:rPr>
            <w:rStyle w:val="Hyperlink"/>
            <w:rFonts w:ascii="Arial" w:cs="Arial" w:eastAsia="Arial" w:hAnsi="Arial"/>
            <w:sz w:val="22"/>
            <w:szCs w:val="22"/>
          </w:rPr>
          <w:t xml:space="preserve">LoCoMo</w:t>
        </w:r>
      </w:hyperlink>
      <w:r>
        <w:rPr>
          <w:rFonts w:ascii="Arial" w:cs="Arial" w:eastAsia="Arial" w:hAnsi="Arial"/>
          <w:sz w:val="22"/>
          <w:szCs w:val="22"/>
        </w:rPr>
        <w:t xml:space="preserve">, </w:t>
      </w:r>
      <w:hyperlink w:history="1" r:id="rIdu25vdotsv1lbe62p3k_ft">
        <w:r>
          <w:rPr>
            <w:rStyle w:val="Hyperlink"/>
            <w:rFonts w:ascii="Arial" w:cs="Arial" w:eastAsia="Arial" w:hAnsi="Arial"/>
            <w:sz w:val="22"/>
            <w:szCs w:val="22"/>
          </w:rPr>
          <w:t xml:space="preserve">PerLTQA</w:t>
        </w:r>
      </w:hyperlink>
      <w:r>
        <w:rPr>
          <w:rFonts w:ascii="Arial" w:cs="Arial" w:eastAsia="Arial" w:hAnsi="Arial"/>
          <w:sz w:val="22"/>
          <w:szCs w:val="22"/>
        </w:rPr>
        <w:t xml:space="preserve">, and </w:t>
      </w:r>
      <w:hyperlink w:history="1" r:id="rIdrzhqr-a9ur8p8ph_tqrcy">
        <w:r>
          <w:rPr>
            <w:rStyle w:val="Hyperlink"/>
            <w:rFonts w:ascii="Arial" w:cs="Arial" w:eastAsia="Arial" w:hAnsi="Arial"/>
            <w:sz w:val="22"/>
            <w:szCs w:val="22"/>
          </w:rPr>
          <w:t xml:space="preserve">MemoryArena</w:t>
        </w:r>
      </w:hyperlink>
      <w:r>
        <w:rPr>
          <w:rFonts w:ascii="Arial" w:cs="Arial" w:eastAsia="Arial" w:hAnsi="Arial"/>
          <w:sz w:val="22"/>
          <w:szCs w:val="22"/>
        </w:rPr>
        <w:t xml:space="preserve"> — each contributing a capability the others lack, into one record type carrying the stored context, the inference query, the gold target, the supporting evidence identifiers, the ordered constraints, and (where applicable) the action target. Every item is cleaned, de-duplicated, relevance-filtered to require genuine association, and labeled with its scenario and question type. The table below summarizes the contribution and extracted fields of each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3260"/>
        <w:gridCol w:w="1200"/>
      </w:tblGrid>
      <w:tr>
        <w:tc>
          <w:tcPr>
            <w:tcW w:type="dxa" w:w="1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8"/>
                <w:szCs w:val="18"/>
              </w:rPr>
              <w:t xml:space="preserve">Source</w:t>
            </w:r>
          </w:p>
        </w:tc>
        <w:tc>
          <w:tcPr>
            <w:tcW w:type="dxa" w:w="3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8"/>
                <w:szCs w:val="18"/>
              </w:rPr>
              <w:t xml:space="preserve">Unique contribution</w:t>
            </w:r>
          </w:p>
        </w:tc>
        <w:tc>
          <w:tcPr>
            <w:tcW w:type="dxa" w:w="32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8"/>
                <w:szCs w:val="18"/>
              </w:rPr>
              <w:t xml:space="preserve">Fields extracted</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rFonts w:ascii="Arial" w:cs="Arial" w:eastAsia="Arial" w:hAnsi="Arial"/>
                <w:b/>
                <w:bCs/>
                <w:color w:val="FFFFFF"/>
                <w:sz w:val="18"/>
                <w:szCs w:val="18"/>
              </w:rPr>
              <w:t xml:space="preserve">Scenario</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PersonaMem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Inference-typed MC items + distance-to-evidence difficulty</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context slice, query, question_type, correct_answer, options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Associative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LoCoMo</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Timestamped multi-session dialogue + per-fact evidence IDs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sessions, event_summary, qa.{question,answer,category,evidence}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Long-horizon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PerLTQA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Structured profile+relations+dated events + span anchors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profile, relations, events, question, answer, memory anchor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Associative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MemoryArena</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Memory coupled to downstream action quality</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questions[], answers[], backgrounds (group_travel_planner)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222222"/>
                <w:sz w:val="18"/>
                <w:szCs w:val="18"/>
              </w:rPr>
              <w:t xml:space="preserve">Memory-to-action</w:t>
            </w:r>
          </w:p>
        </w:tc>
      </w:tr>
    </w:tbl>
    <w:p>
      <w:pPr>
        <w:spacing w:after="160" w:before="120"/>
      </w:pPr>
      <w:r>
        <w:rPr>
          <w:rFonts w:ascii="Arial" w:cs="Arial" w:eastAsia="Arial" w:hAnsi="Arial"/>
          <w:i/>
          <w:iCs/>
          <w:sz w:val="22"/>
          <w:szCs w:val="22"/>
        </w:rPr>
        <w:t xml:space="preserve">All four are publicly available; we redistribute loaders and transforms only. Licenses: PersonaMem (MIT); LoCoMo (custom research license, images excluded); PerLTQA and MemoryArena per their repositories.</w:t>
      </w:r>
    </w:p>
    <w:p>
      <w:pPr>
        <w:pStyle w:val="Heading1"/>
      </w:pPr>
      <w:r>
        <w:t xml:space="preserve">Experiment Setup</w:t>
      </w:r>
    </w:p>
    <w:p>
      <w:pPr>
        <w:spacing w:after="140" w:line="276"/>
      </w:pPr>
      <w:r>
        <w:rPr>
          <w:rFonts w:ascii="Arial" w:cs="Arial" w:eastAsia="Arial" w:hAnsi="Arial"/>
          <w:sz w:val="22"/>
          <w:szCs w:val="22"/>
        </w:rPr>
        <w:t xml:space="preserve">We compare agents equipped with an </w:t>
      </w:r>
      <w:r>
        <w:rPr>
          <w:rFonts w:ascii="Arial" w:cs="Arial" w:eastAsia="Arial" w:hAnsi="Arial"/>
          <w:b/>
          <w:bCs/>
          <w:sz w:val="22"/>
          <w:szCs w:val="22"/>
        </w:rPr>
        <w:t xml:space="preserve">associative memory module (AM)</w:t>
      </w:r>
      <w:r>
        <w:rPr>
          <w:rFonts w:ascii="Arial" w:cs="Arial" w:eastAsia="Arial" w:hAnsi="Arial"/>
          <w:sz w:val="22"/>
          <w:szCs w:val="22"/>
        </w:rPr>
        <w:t xml:space="preserve"> against ablated baselines, isolating the contribution of each biologically-motivated component. The AM agent has three traits, each grounded in a mechanism of human associative memory:</w:t>
      </w:r>
    </w:p>
    <w:p>
      <w:pPr>
        <w:pStyle w:val="ListParagraph"/>
        <w:numPr>
          <w:ilvl w:val="0"/>
          <w:numId w:val="2"/>
        </w:numPr>
      </w:pPr>
      <w:r>
        <w:rPr>
          <w:rFonts w:ascii="Arial" w:cs="Arial" w:eastAsia="Arial" w:hAnsi="Arial"/>
          <w:b/>
          <w:bCs/>
          <w:sz w:val="22"/>
          <w:szCs w:val="22"/>
        </w:rPr>
        <w:t xml:space="preserve">Graph-structured association. </w:t>
      </w:r>
      <w:r>
        <w:rPr>
          <w:rFonts w:ascii="Arial" w:cs="Arial" w:eastAsia="Arial" w:hAnsi="Arial"/>
          <w:sz w:val="22"/>
          <w:szCs w:val="22"/>
        </w:rPr>
        <w:t xml:space="preserve">Stored facts are connected into an associative graph (links between related memories), following the agentic note-linking of </w:t>
      </w:r>
      <w:hyperlink w:history="1" r:id="rIdoggbox5xuolmrgywcn8r9">
        <w:r>
          <w:rPr>
            <w:rStyle w:val="Hyperlink"/>
            <w:rFonts w:ascii="Arial" w:cs="Arial" w:eastAsia="Arial" w:hAnsi="Arial"/>
            <w:sz w:val="22"/>
            <w:szCs w:val="22"/>
          </w:rPr>
          <w:t xml:space="preserve">A-MEM (Xu et al., 2025)</w:t>
        </w:r>
      </w:hyperlink>
      <w:r>
        <w:rPr>
          <w:rFonts w:ascii="Arial" w:cs="Arial" w:eastAsia="Arial" w:hAnsi="Arial"/>
          <w:sz w:val="22"/>
          <w:szCs w:val="22"/>
        </w:rPr>
        <w:t xml:space="preserve"> and the bi-temporal fact edges of </w:t>
      </w:r>
      <w:hyperlink w:history="1" r:id="rIddxvk6rje__u7q4_ljz-iz">
        <w:r>
          <w:rPr>
            <w:rStyle w:val="Hyperlink"/>
            <w:rFonts w:ascii="Arial" w:cs="Arial" w:eastAsia="Arial" w:hAnsi="Arial"/>
            <w:sz w:val="22"/>
            <w:szCs w:val="22"/>
          </w:rPr>
          <w:t xml:space="preserve">Zep/Graphiti (Rasmussen et al., 2025)</w:t>
        </w:r>
      </w:hyperlink>
      <w:r>
        <w:rPr>
          <w:rFonts w:ascii="Arial" w:cs="Arial" w:eastAsia="Arial" w:hAnsi="Arial"/>
          <w:sz w:val="22"/>
          <w:szCs w:val="22"/>
        </w:rPr>
        <w:t xml:space="preserve">. Rationale: association in humans is relational, so memory must be a graph, not a list.</w:t>
      </w:r>
    </w:p>
    <w:p>
      <w:pPr>
        <w:pStyle w:val="ListParagraph"/>
        <w:numPr>
          <w:ilvl w:val="0"/>
          <w:numId w:val="2"/>
        </w:numPr>
      </w:pPr>
      <w:r>
        <w:rPr>
          <w:rFonts w:ascii="Arial" w:cs="Arial" w:eastAsia="Arial" w:hAnsi="Arial"/>
          <w:b/>
          <w:bCs/>
          <w:sz w:val="22"/>
          <w:szCs w:val="22"/>
        </w:rPr>
        <w:t xml:space="preserve">Spreading activation. </w:t>
      </w:r>
      <w:r>
        <w:rPr>
          <w:rFonts w:ascii="Arial" w:cs="Arial" w:eastAsia="Arial" w:hAnsi="Arial"/>
          <w:sz w:val="22"/>
          <w:szCs w:val="22"/>
        </w:rPr>
        <w:t xml:space="preserve">Given a query, activation spreads from directly-retrieved facts to graph-neighboring facts via personalized PageRank, following </w:t>
      </w:r>
      <w:hyperlink w:history="1" r:id="rId_wmwseexzgou8o9gkpljb">
        <w:r>
          <w:rPr>
            <w:rStyle w:val="Hyperlink"/>
            <w:rFonts w:ascii="Arial" w:cs="Arial" w:eastAsia="Arial" w:hAnsi="Arial"/>
            <w:sz w:val="22"/>
            <w:szCs w:val="22"/>
          </w:rPr>
          <w:t xml:space="preserve">HippoRAG (Gutiérrez et al., 2024)</w:t>
        </w:r>
      </w:hyperlink>
      <w:r>
        <w:rPr>
          <w:rFonts w:ascii="Arial" w:cs="Arial" w:eastAsia="Arial" w:hAnsi="Arial"/>
          <w:sz w:val="22"/>
          <w:szCs w:val="22"/>
        </w:rPr>
        <w:t xml:space="preserve">'s hippocampal-indexing model. Rationale: this surfaces facts that are associated but not directly matched — the substrate from which a new preference is inferred.</w:t>
      </w:r>
    </w:p>
    <w:p>
      <w:pPr>
        <w:pStyle w:val="ListParagraph"/>
        <w:numPr>
          <w:ilvl w:val="0"/>
          <w:numId w:val="2"/>
        </w:numPr>
      </w:pPr>
      <w:r>
        <w:rPr>
          <w:rFonts w:ascii="Arial" w:cs="Arial" w:eastAsia="Arial" w:hAnsi="Arial"/>
          <w:b/>
          <w:bCs/>
          <w:sz w:val="22"/>
          <w:szCs w:val="22"/>
        </w:rPr>
        <w:t xml:space="preserve">Reflective consolidation. </w:t>
      </w:r>
      <w:r>
        <w:rPr>
          <w:rFonts w:ascii="Arial" w:cs="Arial" w:eastAsia="Arial" w:hAnsi="Arial"/>
          <w:sz w:val="22"/>
          <w:szCs w:val="22"/>
        </w:rPr>
        <w:t xml:space="preserve">The agent periodically reflects over activated memories to synthesize higher-level preference insights, stored back with their evidence, following the reflection mechanism of </w:t>
      </w:r>
      <w:hyperlink w:history="1" r:id="rIdbczzfjoypvfwi9pmyswdq">
        <w:r>
          <w:rPr>
            <w:rStyle w:val="Hyperlink"/>
            <w:rFonts w:ascii="Arial" w:cs="Arial" w:eastAsia="Arial" w:hAnsi="Arial"/>
            <w:sz w:val="22"/>
            <w:szCs w:val="22"/>
          </w:rPr>
          <w:t xml:space="preserve">Generative Agents (Park et al., 2023)</w:t>
        </w:r>
      </w:hyperlink>
      <w:r>
        <w:rPr>
          <w:rFonts w:ascii="Arial" w:cs="Arial" w:eastAsia="Arial" w:hAnsi="Arial"/>
          <w:sz w:val="22"/>
          <w:szCs w:val="22"/>
        </w:rPr>
        <w:t xml:space="preserve">; stale memories decay via an Ebbinghaus forgetting curve, following </w:t>
      </w:r>
      <w:hyperlink w:history="1" r:id="rIdq4w42xqjuxc7iwyd6cgfi">
        <w:r>
          <w:rPr>
            <w:rStyle w:val="Hyperlink"/>
            <w:rFonts w:ascii="Arial" w:cs="Arial" w:eastAsia="Arial" w:hAnsi="Arial"/>
            <w:sz w:val="22"/>
            <w:szCs w:val="22"/>
          </w:rPr>
          <w:t xml:space="preserve">MemoryBank (Zhong et al., 2024)</w:t>
        </w:r>
      </w:hyperlink>
      <w:r>
        <w:rPr>
          <w:rFonts w:ascii="Arial" w:cs="Arial" w:eastAsia="Arial" w:hAnsi="Arial"/>
          <w:sz w:val="22"/>
          <w:szCs w:val="22"/>
        </w:rPr>
        <w:t xml:space="preserve">. Rationale: human memory consolidates salient experience into reusable generalizations and lets disused detail fade.</w:t>
      </w:r>
    </w:p>
    <w:p>
      <w:pPr>
        <w:spacing w:after="140" w:line="276"/>
      </w:pPr>
      <w:r>
        <w:rPr>
          <w:rFonts w:ascii="Arial" w:cs="Arial" w:eastAsia="Arial" w:hAnsi="Arial"/>
          <w:sz w:val="22"/>
          <w:szCs w:val="22"/>
        </w:rPr>
        <w:t xml:space="preserve">Together these traits enable the agent to move from </w:t>
      </w:r>
      <w:r>
        <w:rPr>
          <w:rFonts w:ascii="Arial" w:cs="Arial" w:eastAsia="Arial" w:hAnsi="Arial"/>
          <w:i/>
          <w:iCs/>
          <w:sz w:val="22"/>
          <w:szCs w:val="22"/>
        </w:rPr>
        <w:t xml:space="preserve">storing</w:t>
      </w:r>
      <w:r>
        <w:rPr>
          <w:rFonts w:ascii="Arial" w:cs="Arial" w:eastAsia="Arial" w:hAnsi="Arial"/>
          <w:sz w:val="22"/>
          <w:szCs w:val="22"/>
        </w:rPr>
        <w:t xml:space="preserve"> user facts to </w:t>
      </w:r>
      <w:r>
        <w:rPr>
          <w:rFonts w:ascii="Arial" w:cs="Arial" w:eastAsia="Arial" w:hAnsi="Arial"/>
          <w:i/>
          <w:iCs/>
          <w:sz w:val="22"/>
          <w:szCs w:val="22"/>
        </w:rPr>
        <w:t xml:space="preserve">inferring</w:t>
      </w:r>
      <w:r>
        <w:rPr>
          <w:rFonts w:ascii="Arial" w:cs="Arial" w:eastAsia="Arial" w:hAnsi="Arial"/>
          <w:sz w:val="22"/>
          <w:szCs w:val="22"/>
        </w:rPr>
        <w:t xml:space="preserve"> new preferences. We evaluate four conditions — </w:t>
      </w:r>
      <w:r>
        <w:rPr>
          <w:rFonts w:ascii="Arial" w:cs="Arial" w:eastAsia="Arial" w:hAnsi="Arial"/>
          <w:b/>
          <w:bCs/>
          <w:sz w:val="22"/>
          <w:szCs w:val="22"/>
        </w:rPr>
        <w:t xml:space="preserve">full AM</w:t>
      </w:r>
      <w:r>
        <w:rPr>
          <w:rFonts w:ascii="Arial" w:cs="Arial" w:eastAsia="Arial" w:hAnsi="Arial"/>
          <w:sz w:val="22"/>
          <w:szCs w:val="22"/>
        </w:rPr>
        <w:t xml:space="preserve">, </w:t>
      </w:r>
      <w:r>
        <w:rPr>
          <w:rFonts w:ascii="Arial" w:cs="Arial" w:eastAsia="Arial" w:hAnsi="Arial"/>
          <w:b/>
          <w:bCs/>
          <w:sz w:val="22"/>
          <w:szCs w:val="22"/>
        </w:rPr>
        <w:t xml:space="preserve">memory-only</w:t>
      </w:r>
      <w:r>
        <w:rPr>
          <w:rFonts w:ascii="Arial" w:cs="Arial" w:eastAsia="Arial" w:hAnsi="Arial"/>
          <w:sz w:val="22"/>
          <w:szCs w:val="22"/>
        </w:rPr>
        <w:t xml:space="preserve"> (retrieval without association or reflection; the conventional RAG memory agent), </w:t>
      </w:r>
      <w:r>
        <w:rPr>
          <w:rFonts w:ascii="Arial" w:cs="Arial" w:eastAsia="Arial" w:hAnsi="Arial"/>
          <w:b/>
          <w:bCs/>
          <w:sz w:val="22"/>
          <w:szCs w:val="22"/>
        </w:rPr>
        <w:t xml:space="preserve">no-association</w:t>
      </w:r>
      <w:r>
        <w:rPr>
          <w:rFonts w:ascii="Arial" w:cs="Arial" w:eastAsia="Arial" w:hAnsi="Arial"/>
          <w:sz w:val="22"/>
          <w:szCs w:val="22"/>
        </w:rPr>
        <w:t xml:space="preserve">, and </w:t>
      </w:r>
      <w:r>
        <w:rPr>
          <w:rFonts w:ascii="Arial" w:cs="Arial" w:eastAsia="Arial" w:hAnsi="Arial"/>
          <w:b/>
          <w:bCs/>
          <w:sz w:val="22"/>
          <w:szCs w:val="22"/>
        </w:rPr>
        <w:t xml:space="preserve">no-reflection</w:t>
      </w:r>
      <w:r>
        <w:rPr>
          <w:rFonts w:ascii="Arial" w:cs="Arial" w:eastAsia="Arial" w:hAnsi="Arial"/>
          <w:sz w:val="22"/>
          <w:szCs w:val="22"/>
        </w:rPr>
        <w:t xml:space="preserve"> — so that the marginal effect of each component is identified.</w:t>
      </w:r>
    </w:p>
    <w:p>
      <w:pPr>
        <w:spacing w:after="140" w:line="276"/>
      </w:pPr>
      <w:r>
        <w:rPr>
          <w:rFonts w:ascii="Arial" w:cs="Arial" w:eastAsia="Arial" w:hAnsi="Arial"/>
          <w:sz w:val="22"/>
          <w:szCs w:val="22"/>
        </w:rPr>
        <w:t xml:space="preserve">Inspired by </w:t>
      </w:r>
      <w:hyperlink w:history="1" r:id="rIdaxc1prjuciqtfd72o3qt7">
        <w:r>
          <w:rPr>
            <w:rStyle w:val="Hyperlink"/>
            <w:rFonts w:ascii="Arial" w:cs="Arial" w:eastAsia="Arial" w:hAnsi="Arial"/>
            <w:sz w:val="22"/>
            <w:szCs w:val="22"/>
          </w:rPr>
          <w:t xml:space="preserve">LoCoMo (Maharana et al., 2024)</w:t>
        </w:r>
      </w:hyperlink>
      <w:r>
        <w:rPr>
          <w:rFonts w:ascii="Arial" w:cs="Arial" w:eastAsia="Arial" w:hAnsi="Arial"/>
          <w:sz w:val="22"/>
          <w:szCs w:val="22"/>
        </w:rPr>
        <w:t xml:space="preserve">, we further include an </w:t>
      </w:r>
      <w:r>
        <w:rPr>
          <w:rFonts w:ascii="Arial" w:cs="Arial" w:eastAsia="Arial" w:hAnsi="Arial"/>
          <w:b/>
          <w:bCs/>
          <w:sz w:val="22"/>
          <w:szCs w:val="22"/>
        </w:rPr>
        <w:t xml:space="preserve">answerability</w:t>
      </w:r>
      <w:r>
        <w:rPr>
          <w:rFonts w:ascii="Arial" w:cs="Arial" w:eastAsia="Arial" w:hAnsi="Arial"/>
          <w:sz w:val="22"/>
          <w:szCs w:val="22"/>
        </w:rPr>
        <w:t xml:space="preserve"> category in the item labels, distinguishing answerable items from </w:t>
      </w:r>
      <w:r>
        <w:rPr>
          <w:rFonts w:ascii="Arial" w:cs="Arial" w:eastAsia="Arial" w:hAnsi="Arial"/>
          <w:i/>
          <w:iCs/>
          <w:sz w:val="22"/>
          <w:szCs w:val="22"/>
        </w:rPr>
        <w:t xml:space="preserve">unanswerable / adversarial</w:t>
      </w:r>
      <w:r>
        <w:rPr>
          <w:rFonts w:ascii="Arial" w:cs="Arial" w:eastAsia="Arial" w:hAnsi="Arial"/>
          <w:sz w:val="22"/>
          <w:szCs w:val="22"/>
        </w:rPr>
        <w:t xml:space="preserve"> items for which no stored fact supports any answer. This is a validity control: examples include a query about a preference never expressed or never inferable from the facts, for which the correct behavior is abstention rather than a confident guess. All evaluation items, their scenario, question type, evidence identifiers, and answerability label are released in the unified data file, accompanied by a large-scale per-item table to make coverage and difficulty visible. To set ground truth, we use a layered, strict design: (i) automatic relevance filtering to require multi-fact association; (ii) an LLM entailment check that the gold is supported by and not contradicted by the stored facts; and (iii) human expert verification on a sampled subset, with disagreements adjudicated — improving the validity of the constructed targets.</w:t>
      </w:r>
    </w:p>
    <w:p>
      <w:pPr>
        <w:pStyle w:val="Heading1"/>
      </w:pPr>
      <w:r>
        <w:t xml:space="preserve">Generation</w:t>
      </w:r>
    </w:p>
    <w:p>
      <w:pPr>
        <w:spacing w:after="140" w:line="276"/>
      </w:pPr>
      <w:r>
        <w:rPr>
          <w:rFonts w:ascii="Arial" w:cs="Arial" w:eastAsia="Arial" w:hAnsi="Arial"/>
          <w:sz w:val="22"/>
          <w:szCs w:val="22"/>
        </w:rPr>
        <w:t xml:space="preserve">For each item, the agent follows a fixed, no-extraneous-variable pipeline so that measured differences are attributable to the memory module rather than to prompt engineering. The path is:</w:t>
      </w:r>
    </w:p>
    <w:p>
      <w:pPr>
        <w:spacing w:after="120"/>
        <w:jc w:val="center"/>
      </w:pPr>
      <w:r>
        <w:rPr>
          <w:rFonts w:ascii="Arial" w:cs="Arial" w:eastAsia="Arial" w:hAnsi="Arial"/>
          <w:b/>
          <w:bCs/>
          <w:color w:val="2E5AAC"/>
          <w:sz w:val="22"/>
          <w:szCs w:val="22"/>
        </w:rPr>
        <w:t xml:space="preserve">input (user history + query)  →  </w:t>
      </w:r>
      <w:r>
        <w:rPr>
          <w:rFonts w:ascii="Arial" w:cs="Arial" w:eastAsia="Arial" w:hAnsi="Arial"/>
          <w:b/>
          <w:bCs/>
          <w:color w:val="2E5AAC"/>
          <w:sz w:val="22"/>
          <w:szCs w:val="22"/>
        </w:rPr>
        <w:t xml:space="preserve">STORE atomic facts  →  </w:t>
      </w:r>
      <w:r>
        <w:rPr>
          <w:rFonts w:ascii="Arial" w:cs="Arial" w:eastAsia="Arial" w:hAnsi="Arial"/>
          <w:b/>
          <w:bCs/>
          <w:color w:val="2E5AAC"/>
          <w:sz w:val="22"/>
          <w:szCs w:val="22"/>
        </w:rPr>
        <w:t xml:space="preserve">build association graph  →  </w:t>
      </w:r>
      <w:r>
        <w:rPr>
          <w:rFonts w:ascii="Arial" w:cs="Arial" w:eastAsia="Arial" w:hAnsi="Arial"/>
          <w:b/>
          <w:bCs/>
          <w:color w:val="2E5AAC"/>
          <w:sz w:val="22"/>
          <w:szCs w:val="22"/>
        </w:rPr>
        <w:t xml:space="preserve">RETRIEVE (recency × relevance × importance)  →  </w:t>
      </w:r>
      <w:r>
        <w:rPr>
          <w:rFonts w:ascii="Arial" w:cs="Arial" w:eastAsia="Arial" w:hAnsi="Arial"/>
          <w:b/>
          <w:bCs/>
          <w:color w:val="2E5AAC"/>
          <w:sz w:val="22"/>
          <w:szCs w:val="22"/>
        </w:rPr>
        <w:t xml:space="preserve">ASSOCIATE (spreading activation)  →  </w:t>
      </w:r>
      <w:r>
        <w:rPr>
          <w:rFonts w:ascii="Arial" w:cs="Arial" w:eastAsia="Arial" w:hAnsi="Arial"/>
          <w:b/>
          <w:bCs/>
          <w:color w:val="2E5AAC"/>
          <w:sz w:val="22"/>
          <w:szCs w:val="22"/>
        </w:rPr>
        <w:t xml:space="preserve">REASON (infer preference / select answer)  →  </w:t>
      </w:r>
      <w:r>
        <w:rPr>
          <w:rFonts w:ascii="Arial" w:cs="Arial" w:eastAsia="Arial" w:hAnsi="Arial"/>
          <w:b/>
          <w:bCs/>
          <w:color w:val="2E5AAC"/>
          <w:sz w:val="22"/>
          <w:szCs w:val="22"/>
        </w:rPr>
        <w:t xml:space="preserve">ACT + consolidate  →  output</w:t>
      </w:r>
    </w:p>
    <w:p>
      <w:pPr>
        <w:spacing w:after="140" w:line="276"/>
      </w:pPr>
      <w:r>
        <w:rPr>
          <w:rFonts w:ascii="Arial" w:cs="Arial" w:eastAsia="Arial" w:hAnsi="Arial"/>
          <w:sz w:val="22"/>
          <w:szCs w:val="22"/>
        </w:rPr>
        <w:t xml:space="preserve">Rationale for each step: </w:t>
      </w:r>
      <w:r>
        <w:rPr>
          <w:rFonts w:ascii="Arial" w:cs="Arial" w:eastAsia="Arial" w:hAnsi="Arial"/>
          <w:b/>
          <w:bCs/>
          <w:sz w:val="22"/>
          <w:szCs w:val="22"/>
        </w:rPr>
        <w:t xml:space="preserve">STORE</w:t>
      </w:r>
      <w:r>
        <w:rPr>
          <w:rFonts w:ascii="Arial" w:cs="Arial" w:eastAsia="Arial" w:hAnsi="Arial"/>
          <w:sz w:val="22"/>
          <w:szCs w:val="22"/>
        </w:rPr>
        <w:t xml:space="preserve"> converts raw turns into atomic, embedded facts (</w:t>
      </w:r>
      <w:hyperlink w:history="1" r:id="rIdqin3xgklkixlhti1lwh0n">
        <w:r>
          <w:rPr>
            <w:rStyle w:val="Hyperlink"/>
            <w:rFonts w:ascii="Arial" w:cs="Arial" w:eastAsia="Arial" w:hAnsi="Arial"/>
            <w:sz w:val="22"/>
            <w:szCs w:val="22"/>
          </w:rPr>
          <w:t xml:space="preserve">Mem0</w:t>
        </w:r>
      </w:hyperlink>
      <w:r>
        <w:rPr>
          <w:rFonts w:ascii="Arial" w:cs="Arial" w:eastAsia="Arial" w:hAnsi="Arial"/>
          <w:sz w:val="22"/>
          <w:szCs w:val="22"/>
        </w:rPr>
        <w:t xml:space="preserve">) so association operates on clean units; the </w:t>
      </w:r>
      <w:r>
        <w:rPr>
          <w:rFonts w:ascii="Arial" w:cs="Arial" w:eastAsia="Arial" w:hAnsi="Arial"/>
          <w:b/>
          <w:bCs/>
          <w:sz w:val="22"/>
          <w:szCs w:val="22"/>
        </w:rPr>
        <w:t xml:space="preserve">association graph</w:t>
      </w:r>
      <w:r>
        <w:rPr>
          <w:rFonts w:ascii="Arial" w:cs="Arial" w:eastAsia="Arial" w:hAnsi="Arial"/>
          <w:sz w:val="22"/>
          <w:szCs w:val="22"/>
        </w:rPr>
        <w:t xml:space="preserve"> links related facts so inference has structure to traverse; </w:t>
      </w:r>
      <w:r>
        <w:rPr>
          <w:rFonts w:ascii="Arial" w:cs="Arial" w:eastAsia="Arial" w:hAnsi="Arial"/>
          <w:b/>
          <w:bCs/>
          <w:sz w:val="22"/>
          <w:szCs w:val="22"/>
        </w:rPr>
        <w:t xml:space="preserve">RETRIEVE</w:t>
      </w:r>
      <w:r>
        <w:rPr>
          <w:rFonts w:ascii="Arial" w:cs="Arial" w:eastAsia="Arial" w:hAnsi="Arial"/>
          <w:sz w:val="22"/>
          <w:szCs w:val="22"/>
        </w:rPr>
        <w:t xml:space="preserve"> scores candidate memories by recency, relevance, and importance (</w:t>
      </w:r>
      <w:hyperlink w:history="1" r:id="rIdcjhwfyrh97vwcle9ujd1h">
        <w:r>
          <w:rPr>
            <w:rStyle w:val="Hyperlink"/>
            <w:rFonts w:ascii="Arial" w:cs="Arial" w:eastAsia="Arial" w:hAnsi="Arial"/>
            <w:sz w:val="22"/>
            <w:szCs w:val="22"/>
          </w:rPr>
          <w:t xml:space="preserve">Generative Agents</w:t>
        </w:r>
      </w:hyperlink>
      <w:r>
        <w:rPr>
          <w:rFonts w:ascii="Arial" w:cs="Arial" w:eastAsia="Arial" w:hAnsi="Arial"/>
          <w:sz w:val="22"/>
          <w:szCs w:val="22"/>
        </w:rPr>
        <w:t xml:space="preserve">); </w:t>
      </w:r>
      <w:r>
        <w:rPr>
          <w:rFonts w:ascii="Arial" w:cs="Arial" w:eastAsia="Arial" w:hAnsi="Arial"/>
          <w:b/>
          <w:bCs/>
          <w:sz w:val="22"/>
          <w:szCs w:val="22"/>
        </w:rPr>
        <w:t xml:space="preserve">ASSOCIATE</w:t>
      </w:r>
      <w:r>
        <w:rPr>
          <w:rFonts w:ascii="Arial" w:cs="Arial" w:eastAsia="Arial" w:hAnsi="Arial"/>
          <w:sz w:val="22"/>
          <w:szCs w:val="22"/>
        </w:rPr>
        <w:t xml:space="preserve"> spreads activation to connected facts (</w:t>
      </w:r>
      <w:hyperlink w:history="1" r:id="rIdk8xmaz7bxjf5r3whudqpr">
        <w:r>
          <w:rPr>
            <w:rStyle w:val="Hyperlink"/>
            <w:rFonts w:ascii="Arial" w:cs="Arial" w:eastAsia="Arial" w:hAnsi="Arial"/>
            <w:sz w:val="22"/>
            <w:szCs w:val="22"/>
          </w:rPr>
          <w:t xml:space="preserve">HippoRAG</w:t>
        </w:r>
      </w:hyperlink>
      <w:r>
        <w:rPr>
          <w:rFonts w:ascii="Arial" w:cs="Arial" w:eastAsia="Arial" w:hAnsi="Arial"/>
          <w:sz w:val="22"/>
          <w:szCs w:val="22"/>
        </w:rPr>
        <w:t xml:space="preserve">), surfacing the indirect evidence needed for a new preference; </w:t>
      </w:r>
      <w:r>
        <w:rPr>
          <w:rFonts w:ascii="Arial" w:cs="Arial" w:eastAsia="Arial" w:hAnsi="Arial"/>
          <w:b/>
          <w:bCs/>
          <w:sz w:val="22"/>
          <w:szCs w:val="22"/>
        </w:rPr>
        <w:t xml:space="preserve">REASON</w:t>
      </w:r>
      <w:r>
        <w:rPr>
          <w:rFonts w:ascii="Arial" w:cs="Arial" w:eastAsia="Arial" w:hAnsi="Arial"/>
          <w:sz w:val="22"/>
          <w:szCs w:val="22"/>
        </w:rPr>
        <w:t xml:space="preserve"> infers the preference or selects the answer and records the evidence used; and </w:t>
      </w:r>
      <w:r>
        <w:rPr>
          <w:rFonts w:ascii="Arial" w:cs="Arial" w:eastAsia="Arial" w:hAnsi="Arial"/>
          <w:b/>
          <w:bCs/>
          <w:sz w:val="22"/>
          <w:szCs w:val="22"/>
        </w:rPr>
        <w:t xml:space="preserve">ACT/consolidate</w:t>
      </w:r>
      <w:r>
        <w:rPr>
          <w:rFonts w:ascii="Arial" w:cs="Arial" w:eastAsia="Arial" w:hAnsi="Arial"/>
          <w:sz w:val="22"/>
          <w:szCs w:val="22"/>
        </w:rPr>
        <w:t xml:space="preserve"> emits the downstream action and updates memory strength. The pipeline is identical across conditions; ablations toggle only the association and reflection steps, holding all else constant. A schematic of this path accompanies the figure panel in the released materials.</w:t>
      </w:r>
    </w:p>
    <w:p>
      <w:pPr>
        <w:pStyle w:val="Heading1"/>
      </w:pPr>
      <w:r>
        <w:t xml:space="preserve">Judge</w:t>
      </w:r>
    </w:p>
    <w:p>
      <w:pPr>
        <w:pStyle w:val="Heading2"/>
      </w:pPr>
      <w:r>
        <w:t xml:space="preserve">Human judge</w:t>
      </w:r>
    </w:p>
    <w:p>
      <w:pPr>
        <w:spacing w:after="140" w:line="276"/>
      </w:pPr>
      <w:r>
        <w:rPr>
          <w:rFonts w:ascii="Arial" w:cs="Arial" w:eastAsia="Arial" w:hAnsi="Arial"/>
          <w:sz w:val="22"/>
          <w:szCs w:val="22"/>
        </w:rPr>
        <w:t xml:space="preserve">A panel of PhD and professional-program students evaluates a stratified subset. For true/false and multiple-choice items, raters compare each agent answer to the ground truth; for open-ended inferences, raters apply a fixed rubric (supported, not contradicted, helpful). Inter-rater reliability is reported as Cohen's κ, and human–human agreement serves as the ceiling against which the automatic judge is calibrated.</w:t>
      </w:r>
    </w:p>
    <w:p>
      <w:pPr>
        <w:pStyle w:val="Heading2"/>
      </w:pPr>
      <w:r>
        <w:t xml:space="preserve">LLM judge</w:t>
      </w:r>
    </w:p>
    <w:p>
      <w:pPr>
        <w:spacing w:after="140" w:line="276"/>
      </w:pPr>
      <w:r>
        <w:rPr>
          <w:rFonts w:ascii="Arial" w:cs="Arial" w:eastAsia="Arial" w:hAnsi="Arial"/>
          <w:sz w:val="22"/>
          <w:szCs w:val="22"/>
        </w:rPr>
        <w:t xml:space="preserve">For scalable scoring we use a reference-guided, chain-of-thought judge following </w:t>
      </w:r>
      <w:hyperlink w:history="1" r:id="rIdhku1fanmyud558zjkskpo">
        <w:r>
          <w:rPr>
            <w:rStyle w:val="Hyperlink"/>
            <w:rFonts w:ascii="Arial" w:cs="Arial" w:eastAsia="Arial" w:hAnsi="Arial"/>
            <w:sz w:val="22"/>
            <w:szCs w:val="22"/>
          </w:rPr>
          <w:t xml:space="preserve">G-Eval (Liu et al., 2023)</w:t>
        </w:r>
      </w:hyperlink>
      <w:r>
        <w:rPr>
          <w:rFonts w:ascii="Arial" w:cs="Arial" w:eastAsia="Arial" w:hAnsi="Arial"/>
          <w:sz w:val="22"/>
          <w:szCs w:val="22"/>
        </w:rPr>
        <w:t xml:space="preserve"> and the strict-format protocol of </w:t>
      </w:r>
      <w:hyperlink w:history="1" r:id="rIdv0_bnikuxyfztxx4pcwem">
        <w:r>
          <w:rPr>
            <w:rStyle w:val="Hyperlink"/>
            <w:rFonts w:ascii="Arial" w:cs="Arial" w:eastAsia="Arial" w:hAnsi="Arial"/>
            <w:sz w:val="22"/>
            <w:szCs w:val="22"/>
          </w:rPr>
          <w:t xml:space="preserve">MT-Bench (Zheng et al., 2023)</w:t>
        </w:r>
      </w:hyperlink>
      <w:r>
        <w:rPr>
          <w:rFonts w:ascii="Arial" w:cs="Arial" w:eastAsia="Arial" w:hAnsi="Arial"/>
          <w:sz w:val="22"/>
          <w:szCs w:val="22"/>
        </w:rPr>
        <w:t xml:space="preserve">. To reduce judge bias we (i) use a judge from a </w:t>
      </w:r>
      <w:r>
        <w:rPr>
          <w:rFonts w:ascii="Arial" w:cs="Arial" w:eastAsia="Arial" w:hAnsi="Arial"/>
          <w:i/>
          <w:iCs/>
          <w:sz w:val="22"/>
          <w:szCs w:val="22"/>
        </w:rPr>
        <w:t xml:space="preserve">different</w:t>
      </w:r>
      <w:r>
        <w:rPr>
          <w:rFonts w:ascii="Arial" w:cs="Arial" w:eastAsia="Arial" w:hAnsi="Arial"/>
          <w:sz w:val="22"/>
          <w:szCs w:val="22"/>
        </w:rPr>
        <w:t xml:space="preserve"> model family than the agent under test (mitigating self-enhancement bias); (ii) for any pairwise comparison, run both answer orderings and count a result only when the two agree (mitigating position bias); and (iii) instruct the judge to disregard length (mitigating verbosity bias). A second model from a third family cross-checks the gold labels on a sampled subset, which helps ensure the quality and accuracy of the ground-truth evaluation. Judge–human agreement (Cohen's κ) is reported against the human ceiling.</w:t>
      </w:r>
    </w:p>
    <w:p>
      <w:pPr>
        <w:pStyle w:val="Heading1"/>
      </w:pPr>
      <w:r>
        <w:t xml:space="preserve">Evaluation Metrics</w:t>
      </w:r>
    </w:p>
    <w:p>
      <w:pPr>
        <w:spacing w:after="140" w:line="276"/>
      </w:pPr>
      <w:r>
        <w:rPr>
          <w:rFonts w:ascii="Arial" w:cs="Arial" w:eastAsia="Arial" w:hAnsi="Arial"/>
          <w:sz w:val="22"/>
          <w:szCs w:val="22"/>
        </w:rPr>
        <w:t xml:space="preserve">We define the </w:t>
      </w:r>
      <w:r>
        <w:rPr>
          <w:rFonts w:ascii="Arial" w:cs="Arial" w:eastAsia="Arial" w:hAnsi="Arial"/>
          <w:b/>
          <w:bCs/>
          <w:sz w:val="22"/>
          <w:szCs w:val="22"/>
        </w:rPr>
        <w:t xml:space="preserve">Reasoning Score (RS)</w:t>
      </w:r>
      <w:r>
        <w:rPr>
          <w:rFonts w:ascii="Arial" w:cs="Arial" w:eastAsia="Arial" w:hAnsi="Arial"/>
          <w:sz w:val="22"/>
          <w:szCs w:val="22"/>
        </w:rPr>
        <w:t xml:space="preserve"> to measure how well an agent satisfies an accumulating constraint set within a task. RS accounts for two to three components — a step-discounted partial-credit term, a strict all-constraints conjunctive gate, and an optional calibration penalty — which together provide a fine-grained measure of associative reasoning even when an agent satisfies some but not all constraints, demonstrating the metric's robustness and fitness for the long-horizon setting. The design generalizes the joint exact-match of </w:t>
      </w:r>
      <w:hyperlink w:history="1" r:id="rIdsojt8qf0-if8bph32jxyy">
        <w:r>
          <w:rPr>
            <w:rStyle w:val="Hyperlink"/>
            <w:rFonts w:ascii="Arial" w:cs="Arial" w:eastAsia="Arial" w:hAnsi="Arial"/>
            <w:sz w:val="22"/>
            <w:szCs w:val="22"/>
          </w:rPr>
          <w:t xml:space="preserve">HotpotQA (Yang et al., 2018)</w:t>
        </w:r>
      </w:hyperlink>
      <w:r>
        <w:rPr>
          <w:rFonts w:ascii="Arial" w:cs="Arial" w:eastAsia="Arial" w:hAnsi="Arial"/>
          <w:sz w:val="22"/>
          <w:szCs w:val="22"/>
        </w:rPr>
        <w:t xml:space="preserve">, the strict-vs-instruction-level scoring of </w:t>
      </w:r>
      <w:hyperlink w:history="1" r:id="rIdqmyy6qn0cmitr_t-ihvvi">
        <w:r>
          <w:rPr>
            <w:rStyle w:val="Hyperlink"/>
            <w:rFonts w:ascii="Arial" w:cs="Arial" w:eastAsia="Arial" w:hAnsi="Arial"/>
            <w:sz w:val="22"/>
            <w:szCs w:val="22"/>
          </w:rPr>
          <w:t xml:space="preserve">IFEval (Zhou et al., 2023)</w:t>
        </w:r>
      </w:hyperlink>
      <w:r>
        <w:rPr>
          <w:rFonts w:ascii="Arial" w:cs="Arial" w:eastAsia="Arial" w:hAnsi="Arial"/>
          <w:sz w:val="22"/>
          <w:szCs w:val="22"/>
        </w:rPr>
        <w:t xml:space="preserve">, and the constraint-level scoring of </w:t>
      </w:r>
      <w:hyperlink w:history="1" r:id="rId-ghqa1d-uvi-mehf7exjb">
        <w:r>
          <w:rPr>
            <w:rStyle w:val="Hyperlink"/>
            <w:rFonts w:ascii="Arial" w:cs="Arial" w:eastAsia="Arial" w:hAnsi="Arial"/>
            <w:sz w:val="22"/>
            <w:szCs w:val="22"/>
          </w:rPr>
          <w:t xml:space="preserve">FollowBench (Jiang et al., 2024)</w:t>
        </w:r>
      </w:hyperlink>
      <w:r>
        <w:rPr>
          <w:rFonts w:ascii="Arial" w:cs="Arial" w:eastAsia="Arial" w:hAnsi="Arial"/>
          <w:sz w:val="22"/>
          <w:szCs w:val="22"/>
        </w:rPr>
        <w:t xml:space="preserve">.</w:t>
      </w:r>
    </w:p>
    <w:p>
      <w:pPr>
        <w:spacing w:after="140" w:line="276"/>
      </w:pPr>
      <w:r>
        <w:rPr>
          <w:rFonts w:ascii="Arial" w:cs="Arial" w:eastAsia="Arial" w:hAnsi="Arial"/>
          <w:sz w:val="22"/>
          <w:szCs w:val="22"/>
        </w:rPr>
        <w:t xml:space="preserve">Formally, consider a task with constraints introduced at steps </w:t>
      </w:r>
      <w:r>
        <w:rPr>
          <w:rFonts w:ascii="Arial" w:cs="Arial" w:eastAsia="Arial" w:hAnsi="Arial"/>
          <w:i/>
          <w:iCs/>
          <w:sz w:val="22"/>
          <w:szCs w:val="22"/>
        </w:rPr>
        <w:t xml:space="preserve">k ∈ {1, 2, …, K}</w:t>
      </w:r>
      <w:r>
        <w:rPr>
          <w:rFonts w:ascii="Arial" w:cs="Arial" w:eastAsia="Arial" w:hAnsi="Arial"/>
          <w:sz w:val="22"/>
          <w:szCs w:val="22"/>
        </w:rPr>
        <w:t xml:space="preserve">. Let </w:t>
      </w:r>
      <w:r>
        <w:rPr>
          <w:rFonts w:ascii="Arial" w:cs="Arial" w:eastAsia="Arial" w:hAnsi="Arial"/>
          <w:i/>
          <w:iCs/>
          <w:sz w:val="22"/>
          <w:szCs w:val="22"/>
        </w:rPr>
        <w:t xml:space="preserve">x</w:t>
      </w:r>
      <w:r>
        <w:rPr>
          <w:rFonts w:ascii="Arial" w:cs="Arial" w:eastAsia="Arial" w:hAnsi="Arial"/>
          <w:sz w:val="22"/>
          <w:szCs w:val="22"/>
        </w:rPr>
        <w:t xml:space="preserve"> denote the per-constraint satisfaction </w:t>
      </w:r>
      <w:r>
        <w:rPr>
          <w:rFonts w:ascii="Arial" w:cs="Arial" w:eastAsia="Arial" w:hAnsi="Arial"/>
          <w:i/>
          <w:iCs/>
          <w:sz w:val="22"/>
          <w:szCs w:val="22"/>
        </w:rPr>
        <w:t xml:space="preserve">x</w:t>
      </w:r>
      <w:r>
        <w:rPr>
          <w:rFonts w:ascii="Arial" w:cs="Arial" w:eastAsia="Arial" w:hAnsi="Arial"/>
          <w:sz w:val="22"/>
          <w:szCs w:val="22"/>
        </w:rPr>
        <w:t xml:space="preserve">ₖ ∈ [0,1], let </w:t>
      </w:r>
      <w:r>
        <w:rPr>
          <w:rFonts w:ascii="Arial" w:cs="Arial" w:eastAsia="Arial" w:hAnsi="Arial"/>
          <w:i/>
          <w:iCs/>
          <w:sz w:val="22"/>
          <w:szCs w:val="22"/>
        </w:rPr>
        <w:t xml:space="preserve">p̂</w:t>
      </w:r>
      <w:r>
        <w:rPr>
          <w:rFonts w:ascii="Arial" w:cs="Arial" w:eastAsia="Arial" w:hAnsi="Arial"/>
          <w:sz w:val="22"/>
          <w:szCs w:val="22"/>
        </w:rPr>
        <w:t xml:space="preserve"> denote the agent's self-reported confidence that all constraints hold, and let </w:t>
      </w:r>
      <w:r>
        <w:rPr>
          <w:rFonts w:ascii="Arial" w:cs="Arial" w:eastAsia="Arial" w:hAnsi="Arial"/>
          <w:i/>
          <w:iCs/>
          <w:sz w:val="22"/>
          <w:szCs w:val="22"/>
        </w:rPr>
        <w:t xml:space="preserve">g = ∏ₖ xₖ</w:t>
      </w:r>
      <w:r>
        <w:rPr>
          <w:rFonts w:ascii="Arial" w:cs="Arial" w:eastAsia="Arial" w:hAnsi="Arial"/>
          <w:sz w:val="22"/>
          <w:szCs w:val="22"/>
        </w:rPr>
        <w:t xml:space="preserve"> denote the strict conjunctive outcome. With step-discounted weights </w:t>
      </w:r>
      <w:r>
        <w:rPr>
          <w:rFonts w:ascii="Arial" w:cs="Arial" w:eastAsia="Arial" w:hAnsi="Arial"/>
          <w:i/>
          <w:iCs/>
          <w:sz w:val="22"/>
          <w:szCs w:val="22"/>
        </w:rPr>
        <w:t xml:space="preserve">w̃ₖ = γ^(k−1) / Σⱼ γ^(j−1)</w:t>
      </w:r>
      <w:r>
        <w:rPr>
          <w:rFonts w:ascii="Arial" w:cs="Arial" w:eastAsia="Arial" w:hAnsi="Arial"/>
          <w:sz w:val="22"/>
          <w:szCs w:val="22"/>
        </w:rPr>
        <w:t xml:space="preserve">, blend parameter </w:t>
      </w:r>
      <w:r>
        <w:rPr>
          <w:rFonts w:ascii="Arial" w:cs="Arial" w:eastAsia="Arial" w:hAnsi="Arial"/>
          <w:i/>
          <w:iCs/>
          <w:sz w:val="22"/>
          <w:szCs w:val="22"/>
        </w:rPr>
        <w:t xml:space="preserve">λ</w:t>
      </w:r>
      <w:r>
        <w:rPr>
          <w:rFonts w:ascii="Arial" w:cs="Arial" w:eastAsia="Arial" w:hAnsi="Arial"/>
          <w:sz w:val="22"/>
          <w:szCs w:val="22"/>
        </w:rPr>
        <w:t xml:space="preserve">, and calibration weight </w:t>
      </w:r>
      <w:r>
        <w:rPr>
          <w:rFonts w:ascii="Arial" w:cs="Arial" w:eastAsia="Arial" w:hAnsi="Arial"/>
          <w:i/>
          <w:iCs/>
          <w:sz w:val="22"/>
          <w:szCs w:val="22"/>
        </w:rPr>
        <w:t xml:space="preserve">β</w:t>
      </w:r>
      <w:r>
        <w:rPr>
          <w:rFonts w:ascii="Arial" w:cs="Arial" w:eastAsia="Arial" w:hAnsi="Arial"/>
          <w:sz w:val="22"/>
          <w:szCs w:val="22"/>
        </w:rPr>
        <w:t xml:space="preserve">, the overall RS is computed as follows:</w:t>
      </w:r>
    </w:p>
    <w:p>
      <w:pPr>
        <w:shd w:fill="F2F4F8" w:val="clear"/>
        <w:spacing w:after="80" w:before="80"/>
        <w:jc w:val="center"/>
      </w:pPr>
      <w:r>
        <w:rPr>
          <w:rFonts w:ascii="Arial" w:cs="Arial" w:eastAsia="Arial" w:hAnsi="Arial"/>
          <w:b/>
          <w:bCs/>
          <w:color w:val="1F3864"/>
          <w:sz w:val="24"/>
          <w:szCs w:val="24"/>
        </w:rPr>
        <w:t xml:space="preserve">RS  =  (1 − λ) · Σₖ w̃ₖ xₖ   +   λ · ∏ₖ xₖ   −   β · ( p̂ − g )²</w:t>
      </w:r>
    </w:p>
    <w:p>
      <w:pPr>
        <w:spacing w:after="140" w:line="276"/>
      </w:pPr>
      <w:r>
        <w:rPr>
          <w:rFonts w:ascii="Arial" w:cs="Arial" w:eastAsia="Arial" w:hAnsi="Arial"/>
          <w:sz w:val="22"/>
          <w:szCs w:val="22"/>
        </w:rPr>
        <w:t xml:space="preserve">Here λ = 1 recovers strict joint exact-match and λ = 0 yields pure partial credit; the final term, grounded in calibration measures (ECE/Brier; </w:t>
      </w:r>
      <w:hyperlink w:history="1" r:id="rIdrrwk1tcwciy4kds9zcd26">
        <w:r>
          <w:rPr>
            <w:rStyle w:val="Hyperlink"/>
            <w:rFonts w:ascii="Arial" w:cs="Arial" w:eastAsia="Arial" w:hAnsi="Arial"/>
            <w:sz w:val="22"/>
            <w:szCs w:val="22"/>
          </w:rPr>
          <w:t xml:space="preserve">Guo et al., 2017</w:t>
        </w:r>
      </w:hyperlink>
      <w:r>
        <w:rPr>
          <w:rFonts w:ascii="Arial" w:cs="Arial" w:eastAsia="Arial" w:hAnsi="Arial"/>
          <w:sz w:val="22"/>
          <w:szCs w:val="22"/>
        </w:rPr>
        <w:t xml:space="preserve">), penalizes confident-but-wrong answers. For example, with K = 4, x = [1,1,0,1], p̂ = 0.7, γ = 0.8, λ = 0.4, β = 0.5, the partial term is 0.783, the gate is 0, the penalty is 0.245, giving RS = 0.225 — capturing that the agent satisfied most but not all constraints while being overconfident.</w:t>
      </w:r>
    </w:p>
    <w:p>
      <w:pPr>
        <w:spacing w:after="140" w:line="276"/>
      </w:pPr>
      <w:r>
        <w:rPr>
          <w:rFonts w:ascii="Arial" w:cs="Arial" w:eastAsia="Arial" w:hAnsi="Arial"/>
          <w:sz w:val="22"/>
          <w:szCs w:val="22"/>
        </w:rPr>
        <w:t xml:space="preserve">The study also includes an </w:t>
      </w:r>
      <w:r>
        <w:rPr>
          <w:rFonts w:ascii="Arial" w:cs="Arial" w:eastAsia="Arial" w:hAnsi="Arial"/>
          <w:b/>
          <w:bCs/>
          <w:sz w:val="22"/>
          <w:szCs w:val="22"/>
        </w:rPr>
        <w:t xml:space="preserve">Abstention-aware Calibration</w:t>
      </w:r>
      <w:r>
        <w:rPr>
          <w:rFonts w:ascii="Arial" w:cs="Arial" w:eastAsia="Arial" w:hAnsi="Arial"/>
          <w:sz w:val="22"/>
          <w:szCs w:val="22"/>
        </w:rPr>
        <w:t xml:space="preserve"> metric as a secondary measure. On unanswerable items, it rewards correct abstention and penalizes hallucinated answers; across all items it reports a risk–coverage curve with AURC and the expected calibration error of the agent's confidence. The goal of this metric is to separate a confident-but-wrong agent from a calibrated agent that knows the limits of its memory — a key validity dimension for a personal agent — thereby addressing the objective that an associative-memory agent must infer </w:t>
      </w:r>
      <w:r>
        <w:rPr>
          <w:rFonts w:ascii="Arial" w:cs="Arial" w:eastAsia="Arial" w:hAnsi="Arial"/>
          <w:i/>
          <w:iCs/>
          <w:sz w:val="22"/>
          <w:szCs w:val="22"/>
        </w:rPr>
        <w:t xml:space="preserve">only</w:t>
      </w:r>
      <w:r>
        <w:rPr>
          <w:rFonts w:ascii="Arial" w:cs="Arial" w:eastAsia="Arial" w:hAnsi="Arial"/>
          <w:sz w:val="22"/>
          <w:szCs w:val="22"/>
        </w:rPr>
        <w:t xml:space="preserve"> what its stored facts actually support. All scores are reported with bootstrap 95% confidence intervals, and per-scenario and per-question-type breakdowns accompany the headline numbers.</w:t>
      </w:r>
    </w:p>
    <w:p>
      <w:pPr>
        <w:spacing w:before="160"/>
      </w:pPr>
      <w:r>
        <w:rPr>
          <w:rFonts w:ascii="Arial" w:cs="Arial" w:eastAsia="Arial" w:hAnsi="Arial"/>
          <w:i/>
          <w:iCs/>
          <w:color w:val="666666"/>
          <w:sz w:val="18"/>
          <w:szCs w:val="18"/>
        </w:rPr>
        <w:t xml:space="preserve">Note. Symbols left as placeholders in the draft (scenario stems, the ability symbol, dataset components, the metric parameters) are instantiated above; adjust γ, λ, β on a development split before the main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60"/>
      <w:outlineLvl w:val="1"/>
    </w:pPr>
    <w:rPr>
      <w:rFonts w:ascii="Arial" w:cs="Arial" w:eastAsia="Arial" w:hAnsi="Arial"/>
      <w:b/>
      <w:bCs/>
      <w:color w:val="2E5A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xn76hd8obpddna7kevq" Type="http://schemas.openxmlformats.org/officeDocument/2006/relationships/hyperlink" Target="https://arxiv.org/abs/2504.14225" TargetMode="External"/><Relationship Id="rIdhndpqqtcejt3qyb1chnuu" Type="http://schemas.openxmlformats.org/officeDocument/2006/relationships/hyperlink" Target="https://arxiv.org/abs/2402.16288" TargetMode="External"/><Relationship Id="rIdgmhl_mbhqqkp2we4pqpft" Type="http://schemas.openxmlformats.org/officeDocument/2006/relationships/hyperlink" Target="https://arxiv.org/abs/2402.17753" TargetMode="External"/><Relationship Id="rId_7weasurnnxpagg_jirgv" Type="http://schemas.openxmlformats.org/officeDocument/2006/relationships/hyperlink" Target="https://arxiv.org/abs/2602.16313" TargetMode="External"/><Relationship Id="rIdvdom_sj500sbok9bwzaum" Type="http://schemas.openxmlformats.org/officeDocument/2006/relationships/hyperlink" Target="https://arxiv.org/abs/2508.19828" TargetMode="External"/><Relationship Id="rIdhydku93pstym-0ysitjbk" Type="http://schemas.openxmlformats.org/officeDocument/2006/relationships/hyperlink" Target="https://huggingface.co/datasets/bowen-upenn/PersonaMem" TargetMode="External"/><Relationship Id="rIdma_apfalp4i7aobrshtrh" Type="http://schemas.openxmlformats.org/officeDocument/2006/relationships/hyperlink" Target="https://github.com/snap-research/locomo" TargetMode="External"/><Relationship Id="rIdu25vdotsv1lbe62p3k_ft" Type="http://schemas.openxmlformats.org/officeDocument/2006/relationships/hyperlink" Target="https://github.com/Elvin-Yiming-Du/PerLTQA" TargetMode="External"/><Relationship Id="rIdrzhqr-a9ur8p8ph_tqrcy" Type="http://schemas.openxmlformats.org/officeDocument/2006/relationships/hyperlink" Target="https://huggingface.co/datasets/ZexueHe/memoryarena" TargetMode="External"/><Relationship Id="rIdoggbox5xuolmrgywcn8r9" Type="http://schemas.openxmlformats.org/officeDocument/2006/relationships/hyperlink" Target="https://github.com/agiresearch/A-mem" TargetMode="External"/><Relationship Id="rIddxvk6rje__u7q4_ljz-iz" Type="http://schemas.openxmlformats.org/officeDocument/2006/relationships/hyperlink" Target="https://arxiv.org/abs/2501.13956" TargetMode="External"/><Relationship Id="rId_wmwseexzgou8o9gkpljb" Type="http://schemas.openxmlformats.org/officeDocument/2006/relationships/hyperlink" Target="https://arxiv.org/abs/2405.14831" TargetMode="External"/><Relationship Id="rIdbczzfjoypvfwi9pmyswdq" Type="http://schemas.openxmlformats.org/officeDocument/2006/relationships/hyperlink" Target="https://arxiv.org/abs/2304.03442" TargetMode="External"/><Relationship Id="rIdq4w42xqjuxc7iwyd6cgfi" Type="http://schemas.openxmlformats.org/officeDocument/2006/relationships/hyperlink" Target="https://arxiv.org/abs/2305.10250" TargetMode="External"/><Relationship Id="rIdaxc1prjuciqtfd72o3qt7" Type="http://schemas.openxmlformats.org/officeDocument/2006/relationships/hyperlink" Target="https://arxiv.org/abs/2402.17753" TargetMode="External"/><Relationship Id="rIdqin3xgklkixlhti1lwh0n" Type="http://schemas.openxmlformats.org/officeDocument/2006/relationships/hyperlink" Target="https://github.com/mem0ai/mem0" TargetMode="External"/><Relationship Id="rIdcjhwfyrh97vwcle9ujd1h" Type="http://schemas.openxmlformats.org/officeDocument/2006/relationships/hyperlink" Target="https://arxiv.org/abs/2304.03442" TargetMode="External"/><Relationship Id="rIdk8xmaz7bxjf5r3whudqpr" Type="http://schemas.openxmlformats.org/officeDocument/2006/relationships/hyperlink" Target="https://arxiv.org/abs/2405.14831" TargetMode="External"/><Relationship Id="rIdhku1fanmyud558zjkskpo" Type="http://schemas.openxmlformats.org/officeDocument/2006/relationships/hyperlink" Target="https://arxiv.org/abs/2303.16634" TargetMode="External"/><Relationship Id="rIdv0_bnikuxyfztxx4pcwem" Type="http://schemas.openxmlformats.org/officeDocument/2006/relationships/hyperlink" Target="https://arxiv.org/abs/2306.05685" TargetMode="External"/><Relationship Id="rIdsojt8qf0-if8bph32jxyy" Type="http://schemas.openxmlformats.org/officeDocument/2006/relationships/hyperlink" Target="https://arxiv.org/abs/1809.09600" TargetMode="External"/><Relationship Id="rIdqmyy6qn0cmitr_t-ihvvi" Type="http://schemas.openxmlformats.org/officeDocument/2006/relationships/hyperlink" Target="https://arxiv.org/abs/2311.07911" TargetMode="External"/><Relationship Id="rId-ghqa1d-uvi-mehf7exjb" Type="http://schemas.openxmlformats.org/officeDocument/2006/relationships/hyperlink" Target="https://arxiv.org/abs/2310.20410" TargetMode="External"/><Relationship Id="rIdrrwk1tcwciy4kds9zcd26" Type="http://schemas.openxmlformats.org/officeDocument/2006/relationships/hyperlink" Target="https://arxiv.org/abs/1706.04599"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2026-06-28T04:35:03.035Z</dcterms:created>
  <dcterms:modified xsi:type="dcterms:W3CDTF">2026-06-28T04:35:03.035Z</dcterms:modified>
</cp:coreProperties>
</file>

<file path=docProps/custom.xml><?xml version="1.0" encoding="utf-8"?>
<Properties xmlns="http://schemas.openxmlformats.org/officeDocument/2006/custom-properties" xmlns:vt="http://schemas.openxmlformats.org/officeDocument/2006/docPropsVTypes"/>
</file>