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160" w:line="312" w:lineRule="auto"/>
        <w:jc w:val="center"/>
      </w:pPr>
      <w:r>
        <w:rPr>
          <w:b/>
          <w:i w:val="0"/>
          <w:color w:val="1F3A68"/>
          <w:sz w:val="60"/>
          <w:rFonts w:eastAsia="宋体" w:ascii="Times New Roman" w:hAnsi="Times New Roman"/>
        </w:rPr>
        <w:t>A/H 投研交易工作台</w:t>
      </w:r>
    </w:p>
    <w:p>
      <w:pPr>
        <w:spacing w:after="720"/>
        <w:jc w:val="center"/>
      </w:pPr>
      <w:r>
        <w:rPr>
          <w:b w:val="0"/>
          <w:i/>
          <w:color w:val="6C757D"/>
          <w:sz w:val="26"/>
          <w:rFonts w:eastAsia="宋体" w:ascii="Times New Roman" w:hAnsi="Times New Roman"/>
        </w:rPr>
        <w:t>生产交付审计文档 · Production Delivery Audit Memo  ·  v1.0.1</w:t>
      </w:r>
    </w:p>
    <w:tbl>
      <w:tblPr>
        <w:tblW w:type="auto" w:w="0"/>
        <w:tblLayout w:type="fixed"/>
        <w:tblLook w:firstColumn="1" w:firstRow="1" w:lastColumn="0" w:lastRow="0" w:noHBand="0" w:noVBand="1" w:val="04A0"/>
      </w:tblPr>
      <w:tblGrid>
        <w:gridCol w:w="4621"/>
        <w:gridCol w:w="4621"/>
      </w:tblGrid>
      <w:tr>
        <w:tc>
          <w:tcPr>
            <w:tcW w:type="dxa" w:w="2551"/>
            <w:tcBorders>
              <w:top w:val="single" w:sz="12" w:color="1F3A68"/>
              <w:left w:val="single" w:sz="12" w:color="1F3A68"/>
              <w:bottom w:val="single" w:sz="12" w:color="1F3A68"/>
              <w:right w:val="single" w:sz="12" w:color="1F3A68"/>
            </w:tcBorders>
          </w:tcPr>
          <w:p>
            <w:pPr>
              <w:spacing w:line="360" w:lineRule="auto"/>
            </w:pPr>
            <w:r>
              <w:rPr>
                <w:b/>
                <w:i w:val="0"/>
                <w:color w:val="1F3A68"/>
                <w:sz w:val="22"/>
                <w:rFonts w:eastAsia="宋体" w:ascii="Times New Roman" w:hAnsi="Times New Roman"/>
              </w:rPr>
              <w:t>项目代号</w:t>
            </w:r>
          </w:p>
        </w:tc>
        <w:tc>
          <w:tcPr>
            <w:tcW w:type="dxa" w:w="6236"/>
            <w:tcBorders>
              <w:top w:val="single" w:sz="12" w:color="1F3A68"/>
              <w:left w:val="single" w:sz="12" w:color="1F3A68"/>
              <w:bottom w:val="single" w:sz="12" w:color="1F3A68"/>
              <w:right w:val="single" w:sz="12" w:color="1F3A68"/>
            </w:tcBorders>
          </w:tcPr>
          <w:p>
            <w:pPr>
              <w:spacing w:line="360" w:lineRule="auto"/>
            </w:pPr>
            <w:r>
              <w:rPr>
                <w:b w:val="0"/>
                <w:i w:val="0"/>
                <w:sz w:val="22"/>
                <w:rFonts w:eastAsia="宋体" w:ascii="Times New Roman" w:hAnsi="Times New Roman"/>
              </w:rPr>
              <w:t>AH-WORKBENCH-MVP</w:t>
            </w:r>
          </w:p>
        </w:tc>
      </w:tr>
      <w:tr>
        <w:tc>
          <w:tcPr>
            <w:tcW w:type="dxa" w:w="2551"/>
            <w:tcBorders>
              <w:top w:val="single" w:sz="12" w:color="1F3A68"/>
              <w:left w:val="single" w:sz="12" w:color="1F3A68"/>
              <w:bottom w:val="single" w:sz="12" w:color="1F3A68"/>
              <w:right w:val="single" w:sz="12" w:color="1F3A68"/>
            </w:tcBorders>
          </w:tcPr>
          <w:p>
            <w:pPr>
              <w:spacing w:line="360" w:lineRule="auto"/>
            </w:pPr>
            <w:r>
              <w:rPr>
                <w:b/>
                <w:i w:val="0"/>
                <w:color w:val="1F3A68"/>
                <w:sz w:val="22"/>
                <w:rFonts w:eastAsia="宋体" w:ascii="Times New Roman" w:hAnsi="Times New Roman"/>
              </w:rPr>
              <w:t>版本</w:t>
            </w:r>
          </w:p>
        </w:tc>
        <w:tc>
          <w:tcPr>
            <w:tcW w:type="dxa" w:w="6236"/>
            <w:tcBorders>
              <w:top w:val="single" w:sz="12" w:color="1F3A68"/>
              <w:left w:val="single" w:sz="12" w:color="1F3A68"/>
              <w:bottom w:val="single" w:sz="12" w:color="1F3A68"/>
              <w:right w:val="single" w:sz="12" w:color="1F3A68"/>
            </w:tcBorders>
          </w:tcPr>
          <w:p>
            <w:pPr>
              <w:spacing w:line="360" w:lineRule="auto"/>
            </w:pPr>
            <w:r>
              <w:rPr>
                <w:b w:val="0"/>
                <w:i w:val="0"/>
                <w:sz w:val="22"/>
                <w:rFonts w:eastAsia="宋体" w:ascii="Times New Roman" w:hAnsi="Times New Roman"/>
              </w:rPr>
              <w:t>v1.0.1（v1.0.0 修复版本，无功能变更）</w:t>
            </w:r>
          </w:p>
        </w:tc>
      </w:tr>
      <w:tr>
        <w:tc>
          <w:tcPr>
            <w:tcW w:type="dxa" w:w="2551"/>
            <w:tcBorders>
              <w:top w:val="single" w:sz="12" w:color="1F3A68"/>
              <w:left w:val="single" w:sz="12" w:color="1F3A68"/>
              <w:bottom w:val="single" w:sz="12" w:color="1F3A68"/>
              <w:right w:val="single" w:sz="12" w:color="1F3A68"/>
            </w:tcBorders>
          </w:tcPr>
          <w:p>
            <w:pPr>
              <w:spacing w:line="360" w:lineRule="auto"/>
            </w:pPr>
            <w:r>
              <w:rPr>
                <w:b/>
                <w:i w:val="0"/>
                <w:color w:val="1F3A68"/>
                <w:sz w:val="22"/>
                <w:rFonts w:eastAsia="宋体" w:ascii="Times New Roman" w:hAnsi="Times New Roman"/>
              </w:rPr>
              <w:t>交付日期</w:t>
            </w:r>
          </w:p>
        </w:tc>
        <w:tc>
          <w:tcPr>
            <w:tcW w:type="dxa" w:w="6236"/>
            <w:tcBorders>
              <w:top w:val="single" w:sz="12" w:color="1F3A68"/>
              <w:left w:val="single" w:sz="12" w:color="1F3A68"/>
              <w:bottom w:val="single" w:sz="12" w:color="1F3A68"/>
              <w:right w:val="single" w:sz="12" w:color="1F3A68"/>
            </w:tcBorders>
          </w:tcPr>
          <w:p>
            <w:pPr>
              <w:spacing w:line="360" w:lineRule="auto"/>
            </w:pPr>
            <w:r>
              <w:rPr>
                <w:b w:val="0"/>
                <w:i w:val="0"/>
                <w:sz w:val="22"/>
                <w:rFonts w:eastAsia="宋体" w:ascii="Times New Roman" w:hAnsi="Times New Roman"/>
              </w:rPr>
              <w:t>2026-09-10</w:t>
            </w:r>
          </w:p>
        </w:tc>
      </w:tr>
      <w:tr>
        <w:tc>
          <w:tcPr>
            <w:tcW w:type="dxa" w:w="2551"/>
            <w:tcBorders>
              <w:top w:val="single" w:sz="12" w:color="1F3A68"/>
              <w:left w:val="single" w:sz="12" w:color="1F3A68"/>
              <w:bottom w:val="single" w:sz="12" w:color="1F3A68"/>
              <w:right w:val="single" w:sz="12" w:color="1F3A68"/>
            </w:tcBorders>
          </w:tcPr>
          <w:p>
            <w:pPr>
              <w:spacing w:line="360" w:lineRule="auto"/>
            </w:pPr>
            <w:r>
              <w:rPr>
                <w:b/>
                <w:i w:val="0"/>
                <w:color w:val="1F3A68"/>
                <w:sz w:val="22"/>
                <w:rFonts w:eastAsia="宋体" w:ascii="Times New Roman" w:hAnsi="Times New Roman"/>
              </w:rPr>
              <w:t>编制人</w:t>
            </w:r>
          </w:p>
        </w:tc>
        <w:tc>
          <w:tcPr>
            <w:tcW w:type="dxa" w:w="6236"/>
            <w:tcBorders>
              <w:top w:val="single" w:sz="12" w:color="1F3A68"/>
              <w:left w:val="single" w:sz="12" w:color="1F3A68"/>
              <w:bottom w:val="single" w:sz="12" w:color="1F3A68"/>
              <w:right w:val="single" w:sz="12" w:color="1F3A68"/>
            </w:tcBorders>
          </w:tcPr>
          <w:p>
            <w:pPr>
              <w:spacing w:line="360" w:lineRule="auto"/>
            </w:pPr>
            <w:r>
              <w:rPr>
                <w:b w:val="0"/>
                <w:i w:val="0"/>
                <w:sz w:val="22"/>
                <w:rFonts w:eastAsia="宋体" w:ascii="Times New Roman" w:hAnsi="Times New Roman"/>
              </w:rPr>
              <w:t>投研工作台开发组（WorkBuddy 协作 + 人工复核）</w:t>
            </w:r>
          </w:p>
        </w:tc>
      </w:tr>
      <w:tr>
        <w:tc>
          <w:tcPr>
            <w:tcW w:type="dxa" w:w="2551"/>
            <w:tcBorders>
              <w:top w:val="single" w:sz="12" w:color="1F3A68"/>
              <w:left w:val="single" w:sz="12" w:color="1F3A68"/>
              <w:bottom w:val="single" w:sz="12" w:color="1F3A68"/>
              <w:right w:val="single" w:sz="12" w:color="1F3A68"/>
            </w:tcBorders>
          </w:tcPr>
          <w:p>
            <w:pPr>
              <w:spacing w:line="360" w:lineRule="auto"/>
            </w:pPr>
            <w:r>
              <w:rPr>
                <w:b/>
                <w:i w:val="0"/>
                <w:color w:val="1F3A68"/>
                <w:sz w:val="22"/>
                <w:rFonts w:eastAsia="宋体" w:ascii="Times New Roman" w:hAnsi="Times New Roman"/>
              </w:rPr>
              <w:t>审计对象</w:t>
            </w:r>
          </w:p>
        </w:tc>
        <w:tc>
          <w:tcPr>
            <w:tcW w:type="dxa" w:w="6236"/>
            <w:tcBorders>
              <w:top w:val="single" w:sz="12" w:color="1F3A68"/>
              <w:left w:val="single" w:sz="12" w:color="1F3A68"/>
              <w:bottom w:val="single" w:sz="12" w:color="1F3A68"/>
              <w:right w:val="single" w:sz="12" w:color="1F3A68"/>
            </w:tcBorders>
          </w:tcPr>
          <w:p>
            <w:pPr>
              <w:spacing w:line="360" w:lineRule="auto"/>
            </w:pPr>
            <w:r>
              <w:rPr>
                <w:b w:val="0"/>
                <w:i w:val="0"/>
                <w:sz w:val="22"/>
                <w:rFonts w:eastAsia="宋体" w:ascii="Times New Roman" w:hAnsi="Times New Roman"/>
              </w:rPr>
              <w:t>源码、数据库、接口、UI、安全、运维、修复点</w:t>
            </w:r>
          </w:p>
        </w:tc>
      </w:tr>
      <w:tr>
        <w:tc>
          <w:tcPr>
            <w:tcW w:type="dxa" w:w="2551"/>
            <w:tcBorders>
              <w:top w:val="single" w:sz="12" w:color="1F3A68"/>
              <w:left w:val="single" w:sz="12" w:color="1F3A68"/>
              <w:bottom w:val="single" w:sz="12" w:color="1F3A68"/>
              <w:right w:val="single" w:sz="12" w:color="1F3A68"/>
            </w:tcBorders>
          </w:tcPr>
          <w:p>
            <w:pPr>
              <w:spacing w:line="360" w:lineRule="auto"/>
            </w:pPr>
            <w:r>
              <w:rPr>
                <w:b/>
                <w:i w:val="0"/>
                <w:color w:val="1F3A68"/>
                <w:sz w:val="22"/>
                <w:rFonts w:eastAsia="宋体" w:ascii="Times New Roman" w:hAnsi="Times New Roman"/>
              </w:rPr>
              <w:t>适用范围</w:t>
            </w:r>
          </w:p>
        </w:tc>
        <w:tc>
          <w:tcPr>
            <w:tcW w:type="dxa" w:w="6236"/>
            <w:tcBorders>
              <w:top w:val="single" w:sz="12" w:color="1F3A68"/>
              <w:left w:val="single" w:sz="12" w:color="1F3A68"/>
              <w:bottom w:val="single" w:sz="12" w:color="1F3A68"/>
              <w:right w:val="single" w:sz="12" w:color="1F3A68"/>
            </w:tcBorders>
          </w:tcPr>
          <w:p>
            <w:pPr>
              <w:spacing w:line="360" w:lineRule="auto"/>
            </w:pPr>
            <w:r>
              <w:rPr>
                <w:b w:val="0"/>
                <w:i w:val="0"/>
                <w:sz w:val="22"/>
                <w:rFonts w:eastAsia="宋体" w:ascii="Times New Roman" w:hAnsi="Times New Roman"/>
              </w:rPr>
              <w:t>第三方独立审计 / 内部合规复核</w:t>
            </w:r>
          </w:p>
        </w:tc>
      </w:tr>
    </w:tbl>
    <w:p>
      <w:pPr>
        <w:spacing w:before="640" w:line="408" w:lineRule="auto"/>
        <w:jc w:val="center"/>
      </w:pPr>
      <w:r>
        <w:rPr>
          <w:b w:val="0"/>
          <w:i/>
          <w:color w:val="6C757D"/>
          <w:sz w:val="22"/>
          <w:rFonts w:eastAsia="宋体" w:ascii="Times New Roman" w:hAnsi="Times New Roman"/>
        </w:rPr>
        <w:t>本文档为面向第三方审计与内部合规复核的完整交付物清单与审计指引。</w:t>
        <w:br/>
        <w:t>本版本在 v1.0.0 基础上完成 13 项数据完整性修复（详见 §2.5 与 §4），不引入新功能、不改变投资口径。新增交付物：测试套件、fixture、两个设计稿（冲正与 research_pool）。</w:t>
      </w:r>
    </w:p>
    <w:p>
      <w:r>
        <w:br w:type="page"/>
      </w:r>
    </w:p>
    <w:p>
      <w:pPr>
        <w:spacing w:line="336" w:lineRule="auto" w:before="480" w:after="240"/>
        <w:pBdr>
          <w:bottom w:val="single" w:sz="18" w:color="1F3A68" w:space="4"/>
        </w:pBdr>
      </w:pPr>
      <w:r>
        <w:rPr>
          <w:b/>
          <w:i w:val="0"/>
          <w:color w:val="1F3A68"/>
          <w:sz w:val="44"/>
          <w:rFonts w:eastAsia="宋体" w:ascii="Times New Roman" w:hAnsi="Times New Roman"/>
        </w:rPr>
        <w:t>目录</w:t>
      </w:r>
    </w:p>
    <w:p>
      <w:pPr>
        <w:spacing w:line="384" w:lineRule="auto" w:after="40"/>
        <w:tabs>
          <w:tab w:val="right" w:leader="dot" w:pos="8800"/>
        </w:tabs>
      </w:pPr>
      <w:r>
        <w:rPr>
          <w:b w:val="0"/>
          <w:i w:val="0"/>
          <w:color w:val="1F3A68"/>
          <w:sz w:val="22"/>
          <w:rFonts w:eastAsia="宋体" w:ascii="Times New Roman" w:hAnsi="Times New Roman"/>
        </w:rPr>
        <w:t>1. 文档元信息与版本控制</w:t>
        <w:tab/>
      </w:r>
      <w:r>
        <w:rPr>
          <w:b w:val="0"/>
          <w:i w:val="0"/>
          <w:color w:val="6C757D"/>
          <w:sz w:val="22"/>
          <w:rFonts w:eastAsia="宋体" w:ascii="Times New Roman" w:hAnsi="Times New Roman"/>
        </w:rPr>
        <w:t>第 3 页</w:t>
      </w:r>
    </w:p>
    <w:p>
      <w:pPr>
        <w:spacing w:line="384" w:lineRule="auto" w:after="40"/>
        <w:tabs>
          <w:tab w:val="right" w:leader="dot" w:pos="8800"/>
        </w:tabs>
      </w:pPr>
      <w:r>
        <w:rPr>
          <w:b w:val="0"/>
          <w:i w:val="0"/>
          <w:color w:val="1F3A68"/>
          <w:sz w:val="22"/>
          <w:rFonts w:eastAsia="宋体" w:ascii="Times New Roman" w:hAnsi="Times New Roman"/>
        </w:rPr>
        <w:t>2. v1.0.1 修复范围与系统边界</w:t>
        <w:tab/>
      </w:r>
      <w:r>
        <w:rPr>
          <w:b w:val="0"/>
          <w:i w:val="0"/>
          <w:color w:val="6C757D"/>
          <w:sz w:val="22"/>
          <w:rFonts w:eastAsia="宋体" w:ascii="Times New Roman" w:hAnsi="Times New Roman"/>
        </w:rPr>
        <w:t>第 4 页</w:t>
      </w:r>
    </w:p>
    <w:p>
      <w:pPr>
        <w:spacing w:line="384" w:lineRule="auto" w:after="40"/>
        <w:tabs>
          <w:tab w:val="right" w:leader="dot" w:pos="8800"/>
        </w:tabs>
      </w:pPr>
      <w:r>
        <w:rPr>
          <w:b w:val="0"/>
          <w:i w:val="0"/>
          <w:color w:val="1F3A68"/>
          <w:sz w:val="22"/>
          <w:rFonts w:eastAsia="宋体" w:ascii="Times New Roman" w:hAnsi="Times New Roman"/>
        </w:rPr>
        <w:t>3. 系统架构与技术栈</w:t>
        <w:tab/>
      </w:r>
      <w:r>
        <w:rPr>
          <w:b w:val="0"/>
          <w:i w:val="0"/>
          <w:color w:val="6C757D"/>
          <w:sz w:val="22"/>
          <w:rFonts w:eastAsia="宋体" w:ascii="Times New Roman" w:hAnsi="Times New Roman"/>
        </w:rPr>
        <w:t>第 5 页</w:t>
      </w:r>
    </w:p>
    <w:p>
      <w:pPr>
        <w:spacing w:line="384" w:lineRule="auto" w:after="40"/>
        <w:tabs>
          <w:tab w:val="right" w:leader="dot" w:pos="8800"/>
        </w:tabs>
      </w:pPr>
      <w:r>
        <w:rPr>
          <w:b w:val="0"/>
          <w:i w:val="0"/>
          <w:color w:val="1F3A68"/>
          <w:sz w:val="22"/>
          <w:rFonts w:eastAsia="宋体" w:ascii="Times New Roman" w:hAnsi="Times New Roman"/>
        </w:rPr>
        <w:t>4. 交付物清单（含 SHA-256）</w:t>
        <w:tab/>
      </w:r>
      <w:r>
        <w:rPr>
          <w:b w:val="0"/>
          <w:i w:val="0"/>
          <w:color w:val="6C757D"/>
          <w:sz w:val="22"/>
          <w:rFonts w:eastAsia="宋体" w:ascii="Times New Roman" w:hAnsi="Times New Roman"/>
        </w:rPr>
        <w:t>第 6 页</w:t>
      </w:r>
    </w:p>
    <w:p>
      <w:pPr>
        <w:spacing w:line="384" w:lineRule="auto" w:after="40"/>
        <w:tabs>
          <w:tab w:val="right" w:leader="dot" w:pos="8800"/>
        </w:tabs>
      </w:pPr>
      <w:r>
        <w:rPr>
          <w:b w:val="0"/>
          <w:i w:val="0"/>
          <w:color w:val="1F3A68"/>
          <w:sz w:val="22"/>
          <w:rFonts w:eastAsia="宋体" w:ascii="Times New Roman" w:hAnsi="Times New Roman"/>
        </w:rPr>
        <w:t>5. 数据模型（v1.0.1 Schema）</w:t>
        <w:tab/>
      </w:r>
      <w:r>
        <w:rPr>
          <w:b w:val="0"/>
          <w:i w:val="0"/>
          <w:color w:val="6C757D"/>
          <w:sz w:val="22"/>
          <w:rFonts w:eastAsia="宋体" w:ascii="Times New Roman" w:hAnsi="Times New Roman"/>
        </w:rPr>
        <w:t>第 7 页</w:t>
      </w:r>
    </w:p>
    <w:p>
      <w:pPr>
        <w:spacing w:line="384" w:lineRule="auto" w:after="40"/>
        <w:tabs>
          <w:tab w:val="right" w:leader="dot" w:pos="8800"/>
        </w:tabs>
      </w:pPr>
      <w:r>
        <w:rPr>
          <w:b w:val="0"/>
          <w:i w:val="0"/>
          <w:color w:val="1F3A68"/>
          <w:sz w:val="22"/>
          <w:rFonts w:eastAsia="宋体" w:ascii="Times New Roman" w:hAnsi="Times New Roman"/>
        </w:rPr>
        <w:t>6. REST API 规格（12 个端点）</w:t>
        <w:tab/>
      </w:r>
      <w:r>
        <w:rPr>
          <w:b w:val="0"/>
          <w:i w:val="0"/>
          <w:color w:val="6C757D"/>
          <w:sz w:val="22"/>
          <w:rFonts w:eastAsia="宋体" w:ascii="Times New Roman" w:hAnsi="Times New Roman"/>
        </w:rPr>
        <w:t>第 9 页</w:t>
      </w:r>
    </w:p>
    <w:p>
      <w:pPr>
        <w:spacing w:line="384" w:lineRule="auto" w:after="40"/>
        <w:tabs>
          <w:tab w:val="right" w:leader="dot" w:pos="8800"/>
        </w:tabs>
      </w:pPr>
      <w:r>
        <w:rPr>
          <w:b w:val="0"/>
          <w:i w:val="0"/>
          <w:color w:val="1F3A68"/>
          <w:sz w:val="22"/>
          <w:rFonts w:eastAsia="宋体" w:ascii="Times New Roman" w:hAnsi="Times New Roman"/>
        </w:rPr>
        <w:t>7. 前端页面与交互</w:t>
        <w:tab/>
      </w:r>
      <w:r>
        <w:rPr>
          <w:b w:val="0"/>
          <w:i w:val="0"/>
          <w:color w:val="6C757D"/>
          <w:sz w:val="22"/>
          <w:rFonts w:eastAsia="宋体" w:ascii="Times New Roman" w:hAnsi="Times New Roman"/>
        </w:rPr>
        <w:t>第 10 页</w:t>
      </w:r>
    </w:p>
    <w:p>
      <w:pPr>
        <w:spacing w:line="384" w:lineRule="auto" w:after="40"/>
        <w:tabs>
          <w:tab w:val="right" w:leader="dot" w:pos="8800"/>
        </w:tabs>
      </w:pPr>
      <w:r>
        <w:rPr>
          <w:b w:val="0"/>
          <w:i w:val="0"/>
          <w:color w:val="1F3A68"/>
          <w:sz w:val="22"/>
          <w:rFonts w:eastAsia="宋体" w:ascii="Times New Roman" w:hAnsi="Times New Roman"/>
        </w:rPr>
        <w:t>8. 安全审计要点（修正 v1.0.0 用词）</w:t>
        <w:tab/>
      </w:r>
      <w:r>
        <w:rPr>
          <w:b w:val="0"/>
          <w:i w:val="0"/>
          <w:color w:val="6C757D"/>
          <w:sz w:val="22"/>
          <w:rFonts w:eastAsia="宋体" w:ascii="Times New Roman" w:hAnsi="Times New Roman"/>
        </w:rPr>
        <w:t>第 11 页</w:t>
      </w:r>
    </w:p>
    <w:p>
      <w:pPr>
        <w:spacing w:line="384" w:lineRule="auto" w:after="40"/>
        <w:tabs>
          <w:tab w:val="right" w:leader="dot" w:pos="8800"/>
        </w:tabs>
      </w:pPr>
      <w:r>
        <w:rPr>
          <w:b w:val="0"/>
          <w:i w:val="0"/>
          <w:color w:val="1F3A68"/>
          <w:sz w:val="22"/>
          <w:rFonts w:eastAsia="宋体" w:ascii="Times New Roman" w:hAnsi="Times New Roman"/>
        </w:rPr>
        <w:t>9. 测试报告：46/46 全通过</w:t>
        <w:tab/>
      </w:r>
      <w:r>
        <w:rPr>
          <w:b w:val="0"/>
          <w:i w:val="0"/>
          <w:color w:val="6C757D"/>
          <w:sz w:val="22"/>
          <w:rFonts w:eastAsia="宋体" w:ascii="Times New Roman" w:hAnsi="Times New Roman"/>
        </w:rPr>
        <w:t>第 12 页</w:t>
      </w:r>
    </w:p>
    <w:p>
      <w:pPr>
        <w:spacing w:line="384" w:lineRule="auto" w:after="40"/>
        <w:tabs>
          <w:tab w:val="right" w:leader="dot" w:pos="8800"/>
        </w:tabs>
      </w:pPr>
      <w:r>
        <w:rPr>
          <w:b w:val="0"/>
          <w:i w:val="0"/>
          <w:color w:val="1F3A68"/>
          <w:sz w:val="22"/>
          <w:rFonts w:eastAsia="宋体" w:ascii="Times New Roman" w:hAnsi="Times New Roman"/>
        </w:rPr>
        <w:t>10. 部署、运维与数据所有权</w:t>
        <w:tab/>
      </w:r>
      <w:r>
        <w:rPr>
          <w:b w:val="0"/>
          <w:i w:val="0"/>
          <w:color w:val="6C757D"/>
          <w:sz w:val="22"/>
          <w:rFonts w:eastAsia="宋体" w:ascii="Times New Roman" w:hAnsi="Times New Roman"/>
        </w:rPr>
        <w:t>第 14 页</w:t>
      </w:r>
    </w:p>
    <w:p>
      <w:pPr>
        <w:spacing w:line="384" w:lineRule="auto" w:after="40"/>
        <w:tabs>
          <w:tab w:val="right" w:leader="dot" w:pos="8800"/>
        </w:tabs>
      </w:pPr>
      <w:r>
        <w:rPr>
          <w:b w:val="0"/>
          <w:i w:val="0"/>
          <w:color w:val="1F3A68"/>
          <w:sz w:val="22"/>
          <w:rFonts w:eastAsia="宋体" w:ascii="Times New Roman" w:hAnsi="Times New Roman"/>
        </w:rPr>
        <w:t>11. 风险登记册与已知限制（含冲正/研究池设计稿）</w:t>
        <w:tab/>
      </w:r>
      <w:r>
        <w:rPr>
          <w:b w:val="0"/>
          <w:i w:val="0"/>
          <w:color w:val="6C757D"/>
          <w:sz w:val="22"/>
          <w:rFonts w:eastAsia="宋体" w:ascii="Times New Roman" w:hAnsi="Times New Roman"/>
        </w:rPr>
        <w:t>第 15 页</w:t>
      </w:r>
    </w:p>
    <w:p>
      <w:pPr>
        <w:spacing w:line="384" w:lineRule="auto" w:after="40"/>
        <w:tabs>
          <w:tab w:val="right" w:leader="dot" w:pos="8800"/>
        </w:tabs>
      </w:pPr>
      <w:r>
        <w:rPr>
          <w:b w:val="0"/>
          <w:i w:val="0"/>
          <w:color w:val="1F3A68"/>
          <w:sz w:val="22"/>
          <w:rFonts w:eastAsia="宋体" w:ascii="Times New Roman" w:hAnsi="Times New Roman"/>
        </w:rPr>
        <w:t>12. 第三方审计重点与建议</w:t>
        <w:tab/>
      </w:r>
      <w:r>
        <w:rPr>
          <w:b w:val="0"/>
          <w:i w:val="0"/>
          <w:color w:val="6C757D"/>
          <w:sz w:val="22"/>
          <w:rFonts w:eastAsia="宋体" w:ascii="Times New Roman" w:hAnsi="Times New Roman"/>
        </w:rPr>
        <w:t>第 16 页</w:t>
      </w:r>
    </w:p>
    <w:p>
      <w:pPr>
        <w:spacing w:line="384" w:lineRule="auto" w:after="40"/>
        <w:tabs>
          <w:tab w:val="right" w:leader="dot" w:pos="8800"/>
        </w:tabs>
      </w:pPr>
      <w:r>
        <w:rPr>
          <w:b w:val="0"/>
          <w:i w:val="0"/>
          <w:color w:val="1F3A68"/>
          <w:sz w:val="22"/>
          <w:rFonts w:eastAsia="宋体" w:ascii="Times New Roman" w:hAnsi="Times New Roman"/>
        </w:rPr>
        <w:t>13. 关键代码节选（非完整源码）</w:t>
        <w:tab/>
      </w:r>
      <w:r>
        <w:rPr>
          <w:b w:val="0"/>
          <w:i w:val="0"/>
          <w:color w:val="6C757D"/>
          <w:sz w:val="22"/>
          <w:rFonts w:eastAsia="宋体" w:ascii="Times New Roman" w:hAnsi="Times New Roman"/>
        </w:rPr>
        <w:t>第 17 页</w:t>
      </w:r>
    </w:p>
    <w:p>
      <w:pPr>
        <w:spacing w:line="384" w:lineRule="auto" w:after="40"/>
        <w:tabs>
          <w:tab w:val="right" w:leader="dot" w:pos="8800"/>
        </w:tabs>
      </w:pPr>
      <w:r>
        <w:rPr>
          <w:b w:val="0"/>
          <w:i w:val="0"/>
          <w:color w:val="1F3A68"/>
          <w:sz w:val="22"/>
          <w:rFonts w:eastAsia="宋体" w:ascii="Times New Roman" w:hAnsi="Times New Roman"/>
        </w:rPr>
        <w:t>14. 仍未解决的开放问题</w:t>
        <w:tab/>
      </w:r>
      <w:r>
        <w:rPr>
          <w:b w:val="0"/>
          <w:i w:val="0"/>
          <w:color w:val="6C757D"/>
          <w:sz w:val="22"/>
          <w:rFonts w:eastAsia="宋体" w:ascii="Times New Roman" w:hAnsi="Times New Roman"/>
        </w:rPr>
        <w:t>第 19 页</w:t>
      </w:r>
    </w:p>
    <w:p>
      <w:r>
        <w:br w:type="page"/>
      </w:r>
    </w:p>
    <w:p>
      <w:pPr>
        <w:spacing w:line="336" w:lineRule="auto" w:before="480" w:after="240"/>
        <w:pBdr>
          <w:bottom w:val="single" w:sz="18" w:color="1F3A68" w:space="4"/>
        </w:pBdr>
      </w:pPr>
      <w:r>
        <w:rPr>
          <w:b/>
          <w:i w:val="0"/>
          <w:color w:val="1F3A68"/>
          <w:sz w:val="44"/>
          <w:rFonts w:eastAsia="宋体" w:ascii="Times New Roman" w:hAnsi="Times New Roman"/>
        </w:rPr>
        <w:t>1. 文档元信息与版本控制</w:t>
      </w:r>
    </w:p>
    <w:p>
      <w:pPr>
        <w:spacing w:line="336" w:lineRule="auto" w:before="240" w:after="80"/>
      </w:pPr>
      <w:r>
        <w:rPr>
          <w:b/>
          <w:i w:val="0"/>
          <w:color w:val="1F3A68"/>
          <w:sz w:val="25"/>
          <w:rFonts w:eastAsia="宋体" w:ascii="Times New Roman" w:hAnsi="Times New Roman"/>
        </w:rPr>
        <w:t>1.1 文档版本</w:t>
      </w:r>
    </w:p>
    <w:tbl>
      <w:tblPr>
        <w:tblW w:type="auto" w:w="0"/>
        <w:tblLayout w:type="fixed"/>
        <w:tblLook w:firstColumn="1" w:firstRow="1" w:lastColumn="0" w:lastRow="0" w:noHBand="0" w:noVBand="1" w:val="04A0"/>
      </w:tblPr>
      <w:tblGrid>
        <w:gridCol w:w="4621"/>
        <w:gridCol w:w="4621"/>
      </w:tblGrid>
      <w:tr>
        <w:tc>
          <w:tcPr>
            <w:tcW w:type="dxa" w:w="226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字段</w:t>
            </w:r>
          </w:p>
        </w:tc>
        <w:tc>
          <w:tcPr>
            <w:tcW w:type="dxa" w:w="652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值</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文档版本</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v1.0.1</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编制日期</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2026-09-10</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编制人</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投研工作台开发组（WorkBuddy 协作 + 人工复核）</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审阅人</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（待独立审计方填写）</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密级</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内部 · 仅供审计与合规使用</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上一版本</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v1.0.0（仍保留于历史文档位置，已被 v1.0.1 替代）</w:t>
            </w:r>
          </w:p>
        </w:tc>
      </w:tr>
    </w:tbl>
    <w:p>
      <w:pPr>
        <w:spacing w:line="336" w:lineRule="auto" w:before="240" w:after="80"/>
      </w:pPr>
      <w:r>
        <w:rPr>
          <w:b/>
          <w:i w:val="0"/>
          <w:color w:val="1F3A68"/>
          <w:sz w:val="25"/>
          <w:rFonts w:eastAsia="宋体" w:ascii="Times New Roman" w:hAnsi="Times New Roman"/>
        </w:rPr>
        <w:t>1.2 变更记录（v1.0.0 → v1.0.1）</w:t>
      </w:r>
    </w:p>
    <w:tbl>
      <w:tblPr>
        <w:tblW w:type="auto" w:w="0"/>
        <w:tblLayout w:type="fixed"/>
        <w:tblLook w:firstColumn="1" w:firstRow="1" w:lastColumn="0" w:lastRow="0" w:noHBand="0" w:noVBand="1" w:val="04A0"/>
      </w:tblPr>
      <w:tblGrid>
        <w:gridCol w:w="2310"/>
        <w:gridCol w:w="2310"/>
        <w:gridCol w:w="2310"/>
        <w:gridCol w:w="2310"/>
      </w:tblGrid>
      <w:tr>
        <w:tc>
          <w:tcPr>
            <w:tcW w:type="dxa" w:w="1134"/>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版本</w:t>
            </w:r>
          </w:p>
        </w:tc>
        <w:tc>
          <w:tcPr>
            <w:tcW w:type="dxa" w:w="1417"/>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日期</w:t>
            </w:r>
          </w:p>
        </w:tc>
        <w:tc>
          <w:tcPr>
            <w:tcW w:type="dxa" w:w="1134"/>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作者</w:t>
            </w:r>
          </w:p>
        </w:tc>
        <w:tc>
          <w:tcPr>
            <w:tcW w:type="dxa" w:w="5102"/>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变更摘要</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v1.0.1</w:t>
            </w:r>
          </w:p>
        </w:tc>
        <w:tc>
          <w:tcPr>
            <w:tcW w:type="dxa" w:w="1417"/>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2026-09-10</w:t>
            </w:r>
          </w:p>
        </w:tc>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开发组</w:t>
            </w:r>
          </w:p>
        </w:tc>
        <w:tc>
          <w:tcPr>
            <w:tcW w:type="dxa" w:w="51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完整数据完整性修复：FOREIGN KEY / UNIQUE / CHECK / PRAGMA、多币种换算、行情字段修正、事务原子化、备份 API、持仓状态一致性提示、示例数据迁出生产库、追加测试套件。无功能新增。</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v1.0.0</w:t>
            </w:r>
          </w:p>
        </w:tc>
        <w:tc>
          <w:tcPr>
            <w:tcW w:type="dxa" w:w="1417"/>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2026-09-10</w:t>
            </w:r>
          </w:p>
        </w:tc>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开发组</w:t>
            </w:r>
          </w:p>
        </w:tc>
        <w:tc>
          <w:tcPr>
            <w:tcW w:type="dxa" w:w="51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首次交付：MVP v1.0.0</w:t>
            </w:r>
          </w:p>
        </w:tc>
      </w:tr>
    </w:tbl>
    <w:p>
      <w:pPr>
        <w:spacing w:line="336" w:lineRule="auto" w:before="240" w:after="80"/>
      </w:pPr>
      <w:r>
        <w:rPr>
          <w:b/>
          <w:i w:val="0"/>
          <w:color w:val="1F3A68"/>
          <w:sz w:val="25"/>
          <w:rFonts w:eastAsia="宋体" w:ascii="Times New Roman" w:hAnsi="Times New Roman"/>
        </w:rPr>
        <w:t>1.3 v1.0.0 → v1.0.1 修复要点（13 项）</w:t>
      </w:r>
    </w:p>
    <w:tbl>
      <w:tblPr>
        <w:tblW w:type="auto" w:w="0"/>
        <w:tblLayout w:type="fixed"/>
        <w:tblLook w:firstColumn="1" w:firstRow="1" w:lastColumn="0" w:lastRow="0" w:noHBand="0" w:noVBand="1" w:val="04A0"/>
      </w:tblPr>
      <w:tblGrid>
        <w:gridCol w:w="3081"/>
        <w:gridCol w:w="3081"/>
        <w:gridCol w:w="3081"/>
      </w:tblGrid>
      <w:tr>
        <w:tc>
          <w:tcPr>
            <w:tcW w:type="dxa" w:w="1134"/>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编号</w:t>
            </w:r>
          </w:p>
        </w:tc>
        <w:tc>
          <w:tcPr>
            <w:tcW w:type="dxa" w:w="652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修复点</w:t>
            </w:r>
          </w:p>
        </w:tc>
        <w:tc>
          <w:tcPr>
            <w:tcW w:type="dxa" w:w="1134"/>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对应章节</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FIX-01</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腾讯行情解析字段位置：原代码用 f[30] 已是正确（实测 A 股 + 港股都在 f[30]）；v1.0.1 文档与代码一致并提供回归测试</w:t>
            </w:r>
          </w:p>
        </w:tc>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§4.2 + §9</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FIX-02</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业务表加 FOREIGN KEY → securities(id) ON DELETE RESTRICT</w:t>
            </w:r>
          </w:p>
        </w:tc>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§5</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FIX-03</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PRAGMA foreign_keys=ON 默认启用并对每个新连接生效</w:t>
            </w:r>
          </w:p>
        </w:tc>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§5 + §8</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FIX-04</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securities 加 UNIQUE(exchange, code) 防止重复证券</w:t>
            </w:r>
          </w:p>
        </w:tc>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§5 + §9</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FIX-05</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trades 加 DB 层 CHECK: price&gt;0 / quantity&gt;0 / fee&gt;=0</w:t>
            </w:r>
          </w:p>
        </w:tc>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§5 + §9</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FIX-06</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业务写入 + ledger 写入同一 transaction，失败整体 rollback</w:t>
            </w:r>
          </w:p>
        </w:tc>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§9</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FIX-07</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/api/quotes 同时返回 last_success_at 与 last_error；前端显示最后成功行情时间</w:t>
            </w:r>
          </w:p>
        </w:tc>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§6 + §7</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FIX-08</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HKD 持仓缺汇率时 market_value=None, position_pct=None（不再输出错误比例）</w:t>
            </w:r>
          </w:p>
        </w:tc>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§9</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FIX-09</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持仓/状态一致性仅做提示，不自动改 status</w:t>
            </w:r>
          </w:p>
        </w:tc>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§9</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FIX-10</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示例数据 seed 移出生产库 init_db；正式生产 DB 默认空；fixture 单独保存于 tests/fixtures/</w:t>
            </w:r>
          </w:p>
        </w:tc>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§10</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FIX-11</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SQLite 在线 Backup API（make_backup / 备份一致性回归）</w:t>
            </w:r>
          </w:p>
        </w:tc>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§10</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FIX-12</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backup 文档说明修正：不要求"先停服务"才复制，提供在线备份路径；备份后还原启动回归测试通过</w:t>
            </w:r>
          </w:p>
        </w:tc>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§10</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FIX-13</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migrate_v101：v1.0.0 现有数据库无损升级到 v1.0.1 schema（重建表 + 临时关闭外键 + 残表清理）</w:t>
            </w:r>
          </w:p>
        </w:tc>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§5 + §10</w:t>
            </w:r>
          </w:p>
        </w:tc>
      </w:tr>
    </w:tbl>
    <w:p>
      <w:pPr>
        <w:spacing w:line="336" w:lineRule="auto" w:before="240" w:after="80"/>
      </w:pPr>
      <w:r>
        <w:rPr>
          <w:b/>
          <w:i w:val="0"/>
          <w:color w:val="1F3A68"/>
          <w:sz w:val="25"/>
          <w:rFonts w:eastAsia="宋体" w:ascii="Times New Roman" w:hAnsi="Times New Roman"/>
        </w:rPr>
        <w:t>1.4 文档范围声明</w:t>
      </w:r>
    </w:p>
    <w:tbl>
      <w:tblPr>
        <w:tblW w:type="auto" w:w="0"/>
        <w:tblLayout w:type="fixed"/>
        <w:tblLook w:firstColumn="1" w:firstRow="1" w:lastColumn="0" w:lastRow="0" w:noHBand="0" w:noVBand="1" w:val="04A0"/>
      </w:tblPr>
      <w:tblGrid>
        <w:gridCol w:w="9242"/>
      </w:tblGrid>
      <w:tr>
        <w:tc>
          <w:tcPr>
            <w:tcW w:type="dxa" w:w="9242"/>
            <w:shd w:val="clear" w:color="auto" w:fill="FEF7E6"/>
            <w:tcBorders>
              <w:top w:val="single" w:sz="8" w:color="B7791F"/>
              <w:left w:val="single" w:sz="8" w:color="B7791F"/>
              <w:bottom w:val="single" w:sz="8" w:color="B7791F"/>
              <w:right w:val="single" w:sz="8" w:color="B7791F"/>
            </w:tcBorders>
          </w:tcPr>
          <w:p>
            <w:pPr>
              <w:spacing w:line="360" w:lineRule="auto" w:after="80"/>
            </w:pPr>
            <w:r>
              <w:rPr>
                <w:b/>
                <w:i w:val="0"/>
                <w:color w:val="B7791F"/>
                <w:sz w:val="20"/>
                <w:rFonts w:eastAsia="宋体" w:ascii="Times New Roman" w:hAnsi="Times New Roman"/>
              </w:rPr>
              <w:t xml:space="preserve">⚠ 警示   </w:t>
            </w:r>
          </w:p>
          <w:p>
            <w:pPr>
              <w:spacing w:line="360" w:lineRule="auto" w:after="0"/>
            </w:pPr>
            <w:r>
              <w:rPr>
                <w:b w:val="0"/>
                <w:i w:val="0"/>
                <w:color w:val="212529"/>
                <w:sz w:val="20"/>
                <w:rFonts w:eastAsia="宋体" w:ascii="Times New Roman" w:hAnsi="Times New Roman"/>
              </w:rPr>
              <w:t>本系统为个人投研工作台（非券商交易终端、非组合管理系统），不承担自动选股、自动交易、合规报送、监管接口、税务计算、多账户/多用户权限角色等职责。本版本（v1.0.1）在不增加功能的前提下完成 13 项数据完整性修复，详见 §2.5 与 §4。</w:t>
            </w:r>
          </w:p>
        </w:tc>
      </w:tr>
    </w:tbl>
    <w:p>
      <w:pPr>
        <w:spacing w:after="0"/>
      </w:pPr>
    </w:p>
    <w:p>
      <w:r>
        <w:br w:type="page"/>
      </w:r>
    </w:p>
    <w:p>
      <w:pPr>
        <w:spacing w:line="336" w:lineRule="auto" w:before="480" w:after="240"/>
        <w:pBdr>
          <w:bottom w:val="single" w:sz="18" w:color="1F3A68" w:space="4"/>
        </w:pBdr>
      </w:pPr>
      <w:r>
        <w:rPr>
          <w:b/>
          <w:i w:val="0"/>
          <w:color w:val="1F3A68"/>
          <w:sz w:val="44"/>
          <w:rFonts w:eastAsia="宋体" w:ascii="Times New Roman" w:hAnsi="Times New Roman"/>
        </w:rPr>
        <w:t>2. v1.0.1 修复范围与系统边界</w:t>
      </w:r>
    </w:p>
    <w:p>
      <w:pPr>
        <w:spacing w:line="336" w:lineRule="auto" w:before="240" w:after="80"/>
      </w:pPr>
      <w:r>
        <w:rPr>
          <w:b/>
          <w:i w:val="0"/>
          <w:color w:val="1F3A68"/>
          <w:sz w:val="25"/>
          <w:rFonts w:eastAsia="宋体" w:ascii="Times New Roman" w:hAnsi="Times New Roman"/>
        </w:rPr>
        <w:t>2.1 本轮修复依据</w:t>
      </w:r>
    </w:p>
    <w:p>
      <w:pPr>
        <w:spacing w:line="360" w:lineRule="auto" w:before="0" w:after="80"/>
      </w:pPr>
      <w:r>
        <w:rPr>
          <w:b w:val="0"/>
          <w:i w:val="0"/>
          <w:sz w:val="21"/>
          <w:rFonts w:eastAsia="宋体" w:ascii="Times New Roman" w:hAnsi="Times New Roman"/>
        </w:rPr>
        <w:t>本轮（v1.0.1）由用户在 v1.0.0 交付后下达明确指令启动，14 项"必须处理"指令逐条落实。审计方应以此为基线核对本版本实现。</w:t>
      </w:r>
    </w:p>
    <w:p>
      <w:pPr>
        <w:spacing w:line="336" w:lineRule="auto" w:before="240" w:after="80"/>
      </w:pPr>
      <w:r>
        <w:rPr>
          <w:b/>
          <w:i w:val="0"/>
          <w:color w:val="1F3A68"/>
          <w:sz w:val="25"/>
          <w:rFonts w:eastAsia="宋体" w:ascii="Times New Roman" w:hAnsi="Times New Roman"/>
        </w:rPr>
        <w:t>2.2 系统边界（与 v1.0.0 一致）</w:t>
      </w:r>
    </w:p>
    <w:p>
      <w:pPr>
        <w:spacing w:line="336" w:lineRule="auto" w:before="240" w:after="80"/>
      </w:pPr>
      <w:r>
        <w:rPr>
          <w:b/>
          <w:i w:val="0"/>
          <w:color w:val="1F3A68"/>
          <w:sz w:val="25"/>
          <w:rFonts w:eastAsia="宋体" w:ascii="Times New Roman" w:hAnsi="Times New Roman"/>
        </w:rPr>
        <w:t>2.3 明确不做（与 v1.0.0 一致）— 防止范围蔓延</w:t>
      </w:r>
    </w:p>
    <w:tbl>
      <w:tblPr>
        <w:tblW w:type="auto" w:w="0"/>
        <w:tblLayout w:type="fixed"/>
        <w:tblLook w:firstColumn="1" w:firstRow="1" w:lastColumn="0" w:lastRow="0" w:noHBand="0" w:noVBand="1" w:val="04A0"/>
      </w:tblPr>
      <w:tblGrid>
        <w:gridCol w:w="9242"/>
      </w:tblGrid>
      <w:tr>
        <w:tc>
          <w:tcPr>
            <w:tcW w:type="dxa" w:w="9242"/>
            <w:shd w:val="clear" w:color="auto" w:fill="FCE8E6"/>
            <w:tcBorders>
              <w:top w:val="single" w:sz="8" w:color="C0392B"/>
              <w:left w:val="single" w:sz="8" w:color="C0392B"/>
              <w:bottom w:val="single" w:sz="8" w:color="C0392B"/>
              <w:right w:val="single" w:sz="8" w:color="C0392B"/>
            </w:tcBorders>
          </w:tcPr>
          <w:p>
            <w:pPr>
              <w:spacing w:line="360" w:lineRule="auto" w:after="80"/>
            </w:pPr>
            <w:r>
              <w:rPr>
                <w:b/>
                <w:i w:val="0"/>
                <w:color w:val="C0392B"/>
                <w:sz w:val="20"/>
                <w:rFonts w:eastAsia="宋体" w:ascii="Times New Roman" w:hAnsi="Times New Roman"/>
              </w:rPr>
              <w:t xml:space="preserve">✕ 严禁   </w:t>
            </w:r>
          </w:p>
          <w:p>
            <w:pPr>
              <w:spacing w:line="360" w:lineRule="auto" w:after="0"/>
            </w:pPr>
            <w:r>
              <w:rPr>
                <w:b w:val="0"/>
                <w:i w:val="0"/>
                <w:color w:val="212529"/>
                <w:sz w:val="20"/>
                <w:rFonts w:eastAsia="宋体" w:ascii="Times New Roman" w:hAnsi="Times New Roman"/>
              </w:rPr>
              <w:t>本 MVP 明确拒绝实现以下功能。任何要求新增此清单内能力的请求，应作为新项目立项而非范围变更。</w:t>
            </w:r>
          </w:p>
        </w:tc>
      </w:tr>
    </w:tbl>
    <w:p>
      <w:pPr>
        <w:spacing w:after="0"/>
      </w:pPr>
    </w:p>
    <w:tbl>
      <w:tblPr>
        <w:tblW w:type="auto" w:w="0"/>
        <w:tblLayout w:type="fixed"/>
        <w:tblLook w:firstColumn="1" w:firstRow="1" w:lastColumn="0" w:lastRow="0" w:noHBand="0" w:noVBand="1" w:val="04A0"/>
      </w:tblPr>
      <w:tblGrid>
        <w:gridCol w:w="4621"/>
        <w:gridCol w:w="4621"/>
      </w:tblGrid>
      <w:tr>
        <w:tc>
          <w:tcPr>
            <w:tcW w:type="dxa" w:w="3969"/>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明确不做</w:t>
            </w:r>
          </w:p>
        </w:tc>
        <w:tc>
          <w:tcPr>
            <w:tcW w:type="dxa" w:w="4819"/>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原因</w:t>
            </w:r>
          </w:p>
        </w:tc>
      </w:tr>
      <w:tr>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自动选股 / 自动打分</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不替代深穿研究</w:t>
            </w:r>
          </w:p>
        </w:tc>
      </w:tr>
      <w:tr>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自动生成新投资规则</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不擅自改写研究逻辑</w:t>
            </w:r>
          </w:p>
        </w:tc>
      </w:tr>
      <w:tr>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自动交易 / 算法下单</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不代替人做执行判断</w:t>
            </w:r>
          </w:p>
        </w:tc>
      </w:tr>
      <w:tr>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行情变化自行修改交易计划</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计划修改必须由人发起并附说明</w:t>
            </w:r>
          </w:p>
        </w:tc>
      </w:tr>
      <w:tr>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复杂收益归因 / 因子归因</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超出 MVP 范围</w:t>
            </w:r>
          </w:p>
        </w:tc>
      </w:tr>
      <w:tr>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量化评分 / 量化回测</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不在工作台职责之内</w:t>
            </w:r>
          </w:p>
        </w:tc>
      </w:tr>
      <w:tr>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技术指标系统（MA/MACD/...）</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用户基于研究结论而非指标</w:t>
            </w:r>
          </w:p>
        </w:tc>
      </w:tr>
      <w:tr>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组合优化 / VaR / Monte Carlo</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超出 MVP 范围</w:t>
            </w:r>
          </w:p>
        </w:tc>
      </w:tr>
      <w:tr>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多账户 / 多用户 / 角色权限</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个人工具，无需</w:t>
            </w:r>
          </w:p>
        </w:tc>
      </w:tr>
      <w:tr>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社交 / 新闻门户 / 研报聚合</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数据源与深穿会话负责</w:t>
            </w:r>
          </w:p>
        </w:tc>
      </w:tr>
      <w:tr>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报价"建议买入"信号</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系统只显示客观事实，价格/区间比对交给人</w:t>
            </w:r>
          </w:p>
        </w:tc>
      </w:tr>
    </w:tbl>
    <w:p>
      <w:pPr>
        <w:spacing w:line="336" w:lineRule="auto" w:before="240" w:after="80"/>
      </w:pPr>
      <w:r>
        <w:rPr>
          <w:b/>
          <w:i w:val="0"/>
          <w:color w:val="1F3A68"/>
          <w:sz w:val="25"/>
          <w:rFonts w:eastAsia="宋体" w:ascii="Times New Roman" w:hAnsi="Times New Roman"/>
        </w:rPr>
        <w:t>2.4 v1.0.1 范围限制（与 v1.0.0 一致）</w:t>
      </w:r>
    </w:p>
    <w:p>
      <w:pPr>
        <w:spacing w:line="360" w:lineRule="auto" w:before="0" w:after="80"/>
      </w:pPr>
      <w:r>
        <w:rPr>
          <w:b w:val="0"/>
          <w:i/>
          <w:color w:val="6C757D"/>
          <w:sz w:val="21"/>
          <w:rFonts w:eastAsia="宋体" w:ascii="Times New Roman" w:hAnsi="Times New Roman"/>
        </w:rPr>
        <w:t>请参照 §2.3。该清单下的功能不是 bug，而是设计决策。</w:t>
      </w:r>
    </w:p>
    <w:p>
      <w:pPr>
        <w:spacing w:line="336" w:lineRule="auto" w:before="240" w:after="80"/>
      </w:pPr>
      <w:r>
        <w:rPr>
          <w:b/>
          <w:i w:val="0"/>
          <w:color w:val="1F3A68"/>
          <w:sz w:val="25"/>
          <w:rFonts w:eastAsia="宋体" w:ascii="Times New Roman" w:hAnsi="Times New Roman"/>
        </w:rPr>
        <w:t>2.5 本轮明确未做的（未实施，待用户批准）</w:t>
      </w:r>
    </w:p>
    <w:tbl>
      <w:tblPr>
        <w:tblW w:type="auto" w:w="0"/>
        <w:tblLayout w:type="fixed"/>
        <w:tblLook w:firstColumn="1" w:firstRow="1" w:lastColumn="0" w:lastRow="0" w:noHBand="0" w:noVBand="1" w:val="04A0"/>
      </w:tblPr>
      <w:tblGrid>
        <w:gridCol w:w="3081"/>
        <w:gridCol w:w="3081"/>
        <w:gridCol w:w="3081"/>
      </w:tblGrid>
      <w:tr>
        <w:tc>
          <w:tcPr>
            <w:tcW w:type="dxa" w:w="4819"/>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项</w:t>
            </w:r>
          </w:p>
        </w:tc>
        <w:tc>
          <w:tcPr>
            <w:tcW w:type="dxa" w:w="226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状态</w:t>
            </w:r>
          </w:p>
        </w:tc>
        <w:tc>
          <w:tcPr>
            <w:tcW w:type="dxa" w:w="1701"/>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依据文档</w:t>
            </w:r>
          </w:p>
        </w:tc>
      </w:tr>
      <w:tr>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trades 冲正（reversal）业务接口</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设计稿已写出，未实现</w:t>
            </w:r>
          </w:p>
        </w:tc>
        <w:tc>
          <w:tcPr>
            <w:tcW w:type="dxa" w:w="170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tests/design_reversal.md</w:t>
            </w:r>
          </w:p>
        </w:tc>
      </w:tr>
      <w:tr>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research_pool 历史性重构</w:t>
            </w:r>
          </w:p>
        </w:tc>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设计稿已写出，未实施</w:t>
            </w:r>
          </w:p>
        </w:tc>
        <w:tc>
          <w:tcPr>
            <w:tcW w:type="dxa" w:w="170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tests/design_research_pool_history.md</w:t>
            </w:r>
          </w:p>
        </w:tc>
      </w:tr>
      <w:tr>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示例数据预置</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已移除（默认空库）</w:t>
            </w:r>
          </w:p>
        </w:tc>
        <w:tc>
          <w:tcPr>
            <w:tcW w:type="dxa" w:w="170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§10</w:t>
            </w:r>
          </w:p>
        </w:tc>
      </w:tr>
      <w:tr>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trades UPDATE / DELETE 业务接口</w:t>
            </w:r>
          </w:p>
        </w:tc>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仍然不存在</w:t>
            </w:r>
          </w:p>
        </w:tc>
        <w:tc>
          <w:tcPr>
            <w:tcW w:type="dxa" w:w="170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§8</w:t>
            </w:r>
          </w:p>
        </w:tc>
      </w:tr>
      <w:tr>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多行情源 / 多币种系统 / 移动端 / 量化指标 / Markdown 导入</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不在本版本范围</w:t>
            </w:r>
          </w:p>
        </w:tc>
        <w:tc>
          <w:tcPr>
            <w:tcW w:type="dxa" w:w="170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§2.3</w:t>
            </w:r>
          </w:p>
        </w:tc>
      </w:tr>
    </w:tbl>
    <w:p>
      <w:pPr>
        <w:spacing w:line="336" w:lineRule="auto" w:before="240" w:after="80"/>
      </w:pPr>
      <w:r>
        <w:rPr>
          <w:b/>
          <w:i w:val="0"/>
          <w:color w:val="1F3A68"/>
          <w:sz w:val="25"/>
          <w:rFonts w:eastAsia="宋体" w:ascii="Times New Roman" w:hAnsi="Times New Roman"/>
        </w:rPr>
        <w:t>2.6 与"深穿"会话的关系（不变）</w:t>
      </w:r>
    </w:p>
    <w:tbl>
      <w:tblPr>
        <w:tblW w:type="auto" w:w="0"/>
        <w:tblLayout w:type="fixed"/>
        <w:tblLook w:firstColumn="1" w:firstRow="1" w:lastColumn="0" w:lastRow="0" w:noHBand="0" w:noVBand="1" w:val="04A0"/>
      </w:tblPr>
      <w:tblGrid>
        <w:gridCol w:w="4621"/>
        <w:gridCol w:w="4621"/>
      </w:tblGrid>
      <w:tr>
        <w:tc>
          <w:tcPr>
            <w:tcW w:type="dxa" w:w="3969"/>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环节</w:t>
            </w:r>
          </w:p>
        </w:tc>
        <w:tc>
          <w:tcPr>
            <w:tcW w:type="dxa" w:w="4819"/>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负责方</w:t>
            </w:r>
          </w:p>
        </w:tc>
      </w:tr>
      <w:tr>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标的筛选与拉网</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深穿会话</w:t>
            </w:r>
          </w:p>
        </w:tc>
      </w:tr>
      <w:tr>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单股深穿 / 估值 / 风险评估</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深穿会话</w:t>
            </w:r>
          </w:p>
        </w:tc>
      </w:tr>
      <w:tr>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输出标准化信息卡</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深穿会话（输出）→ 工作台（导入）</w:t>
            </w:r>
          </w:p>
        </w:tc>
      </w:tr>
      <w:tr>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日常跟踪与提示</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工作台</w:t>
            </w:r>
          </w:p>
        </w:tc>
      </w:tr>
      <w:tr>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出现重大变化回归深穿</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工作台（识别）→ 深穿会话（出结论）→ 工作台（更新）</w:t>
            </w:r>
          </w:p>
        </w:tc>
      </w:tr>
    </w:tbl>
    <w:p>
      <w:r>
        <w:br w:type="page"/>
      </w:r>
    </w:p>
    <w:p>
      <w:pPr>
        <w:spacing w:line="336" w:lineRule="auto" w:before="480" w:after="240"/>
        <w:pBdr>
          <w:bottom w:val="single" w:sz="18" w:color="1F3A68" w:space="4"/>
        </w:pBdr>
      </w:pPr>
      <w:r>
        <w:rPr>
          <w:b/>
          <w:i w:val="0"/>
          <w:color w:val="1F3A68"/>
          <w:sz w:val="44"/>
          <w:rFonts w:eastAsia="宋体" w:ascii="Times New Roman" w:hAnsi="Times New Roman"/>
        </w:rPr>
        <w:t>3. 系统架构与技术栈</w:t>
      </w:r>
    </w:p>
    <w:p>
      <w:pPr>
        <w:spacing w:line="336" w:lineRule="auto" w:before="240" w:after="80"/>
      </w:pPr>
      <w:r>
        <w:rPr>
          <w:b/>
          <w:i w:val="0"/>
          <w:color w:val="1F3A68"/>
          <w:sz w:val="25"/>
          <w:rFonts w:eastAsia="宋体" w:ascii="Times New Roman" w:hAnsi="Times New Roman"/>
        </w:rPr>
        <w:t>3.1 总体架构</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w:t>
        <w:br/>
        <w:t>│                     浏览器前端 (Chrome / Edge)                │</w:t>
        <w:br/>
        <w:t>│  ┌──────────────┬──────────────┬──────────────────────────┐  │</w:t>
        <w:br/>
        <w:t>│  │ 今日工作台    │ 标的库        │ 个股详情 / 流水 / 台账    │  │</w:t>
        <w:br/>
        <w:t>│  │              │              │  (SPA, 单页路由)         │  │</w:t>
        <w:br/>
        <w:t>│  └──────────────┴──────────────┴──────────────────────────┘  │</w:t>
        <w:br/>
        <w:t>│              vanilla JS · 零框架 · 39 KB                     │</w:t>
        <w:br/>
        <w:t>└──────────────────────────────────────────────────────────────┘</w:t>
        <w:br/>
        <w:t xml:space="preserve">          │ HTTP/1.1 (JSON) · localhost:8765（默认）</w:t>
        <w:br/>
        <w:t xml:space="preserve">          ▼</w:t>
        <w:br/>
        <w:t>┌──────────────────────────────────────────────────────────────┐</w:t>
        <w:br/>
        <w:t>│              Python 3.13 HTTP 服务 (stdlib only)              │</w:t>
        <w:br/>
        <w:t>│   ┌──────────┬───────────┬───────────┬───────────┬─────────┐  │</w:t>
        <w:br/>
        <w:t>│   │ REST API │ 静态资源   │ SQLite    │ 行情代理   │ 备份    │  │</w:t>
        <w:br/>
        <w:t>│   │ (12端点)│ 服务器    │ (PRAGMA fk=ON) │ (qq.com) │ (在线 API) │</w:t>
        <w:br/>
        <w:t>│   └──────────┴───────────┴───────────┴───────────┴─────────┘  │</w:t>
        <w:br/>
        <w:t>└──────────────────────────────────────────────────────────────┘</w:t>
        <w:br/>
        <w:t xml:space="preserve">          │                                  │</w:t>
        <w:br/>
        <w:t xml:space="preserve">          ▼                                  ▼</w:t>
        <w:br/>
        <w:t>┌──────────────────────────┐      ┌──────────────────────────┐</w:t>
        <w:br/>
        <w:t>│  data/workbench.db       │      │ 腾讯免费行情接口           │</w:t>
        <w:br/>
        <w:t>│  (SQLite, WAL, v1.0.1)   │      │ qt.gtimg.cn (只读 GET)    │</w:t>
        <w:br/>
        <w:t>└──────────────────────────┘      └──────────────────────────┘</w:t>
      </w:r>
    </w:p>
    <w:p>
      <w:pPr>
        <w:spacing w:line="336" w:lineRule="auto" w:before="240" w:after="80"/>
      </w:pPr>
      <w:r>
        <w:rPr>
          <w:b/>
          <w:i w:val="0"/>
          <w:color w:val="1F3A68"/>
          <w:sz w:val="25"/>
          <w:rFonts w:eastAsia="宋体" w:ascii="Times New Roman" w:hAnsi="Times New Roman"/>
        </w:rPr>
        <w:t>3.2 技术栈（v1.0.1）</w:t>
      </w:r>
    </w:p>
    <w:tbl>
      <w:tblPr>
        <w:tblW w:type="auto" w:w="0"/>
        <w:tblLayout w:type="fixed"/>
        <w:tblLook w:firstColumn="1" w:firstRow="1" w:lastColumn="0" w:lastRow="0" w:noHBand="0" w:noVBand="1" w:val="04A0"/>
      </w:tblPr>
      <w:tblGrid>
        <w:gridCol w:w="4621"/>
        <w:gridCol w:w="4621"/>
      </w:tblGrid>
      <w:tr>
        <w:tc>
          <w:tcPr>
            <w:tcW w:type="dxa" w:w="226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组件</w:t>
            </w:r>
          </w:p>
        </w:tc>
        <w:tc>
          <w:tcPr>
            <w:tcW w:type="dxa" w:w="652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选择</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后端语言</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Python 3.13.12（标准库 + 原始 SQL）</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HTTP 服务器</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Python 标准库 http.server</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数据库</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SQLite (WAL, PRAGMA foreign_keys=ON)</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前端</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原生 HTML + CSS + JS（零框架）</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行情数据源</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腾讯免费行情 (qt.gtimg.cn)</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备份机制</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SQLite 原生 Backup API（不需停服）</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示例数据</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tests/fixtures/sample_seed.py（独立于生产库）</w:t>
            </w:r>
          </w:p>
        </w:tc>
      </w:tr>
    </w:tbl>
    <w:p>
      <w:pPr>
        <w:spacing w:line="336" w:lineRule="auto" w:before="240" w:after="80"/>
      </w:pPr>
      <w:r>
        <w:rPr>
          <w:b/>
          <w:i w:val="0"/>
          <w:color w:val="1F3A68"/>
          <w:sz w:val="25"/>
          <w:rFonts w:eastAsia="宋体" w:ascii="Times New Roman" w:hAnsi="Times New Roman"/>
        </w:rPr>
        <w:t>3.3 目录结构（v1.0.1）</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D:\个股工作台\</w:t>
        <w:br/>
        <w:t>├── app\</w:t>
        <w:br/>
        <w:t>│   ├── server.py               # v1.0.1 后端（49.2 KB）</w:t>
        <w:br/>
        <w:t>│   └── static\</w:t>
        <w:br/>
        <w:t>│       ├── index.html          # 单页入口</w:t>
        <w:br/>
        <w:t>│       ├── app.js              # 前端逻辑（39.4 KB, v1.0.1 适配）</w:t>
        <w:br/>
        <w:t>│       └── style.css           # 样式（13.6 KB）</w:t>
        <w:br/>
        <w:t>├── tests\</w:t>
        <w:br/>
        <w:t>│   ├── test_v101.py            # 46 个断言自动化回归</w:t>
        <w:br/>
        <w:t>│   ├── fixtures/\</w:t>
        <w:br/>
        <w:t>│   │   └── sample_seed.py      # 示例数据独立 fixture</w:t>
        <w:br/>
        <w:t>│   ├── design_reversal.md      # trades 冲正设计稿（未实施）</w:t>
        <w:br/>
        <w:t>│   └── design_research_pool_history.md  # research_pool 重构设计稿</w:t>
        <w:br/>
        <w:t>├── data/</w:t>
        <w:br/>
        <w:t>│   ├── workbench.db           # v1.0.1 schema, 默认空库</w:t>
        <w:br/>
        <w:t>│   └── backup/                # 在线备份 + 测试备份</w:t>
        <w:br/>
        <w:t>├── 启动工作台.bat              # Windows 启动器</w:t>
        <w:br/>
        <w:t>└── output/                     # 本审计文档</w:t>
      </w:r>
    </w:p>
    <w:p>
      <w:r>
        <w:br w:type="page"/>
      </w:r>
    </w:p>
    <w:p>
      <w:pPr>
        <w:spacing w:line="336" w:lineRule="auto" w:before="480" w:after="240"/>
        <w:pBdr>
          <w:bottom w:val="single" w:sz="18" w:color="1F3A68" w:space="4"/>
        </w:pBdr>
      </w:pPr>
      <w:r>
        <w:rPr>
          <w:b/>
          <w:i w:val="0"/>
          <w:color w:val="1F3A68"/>
          <w:sz w:val="44"/>
          <w:rFonts w:eastAsia="宋体" w:ascii="Times New Roman" w:hAnsi="Times New Roman"/>
        </w:rPr>
        <w:t>4. 交付物清单（含 SHA-256）</w:t>
      </w:r>
    </w:p>
    <w:p>
      <w:pPr>
        <w:spacing w:line="336" w:lineRule="auto" w:before="240" w:after="80"/>
      </w:pPr>
      <w:r>
        <w:rPr>
          <w:b/>
          <w:i w:val="0"/>
          <w:color w:val="1F3A68"/>
          <w:sz w:val="25"/>
          <w:rFonts w:eastAsia="宋体" w:ascii="Times New Roman" w:hAnsi="Times New Roman"/>
        </w:rPr>
        <w:t>4.1 源代码交付清单</w:t>
      </w:r>
    </w:p>
    <w:tbl>
      <w:tblPr>
        <w:tblW w:type="auto" w:w="0"/>
        <w:tblLayout w:type="fixed"/>
        <w:tblLook w:firstColumn="1" w:firstRow="1" w:lastColumn="0" w:lastRow="0" w:noHBand="0" w:noVBand="1" w:val="04A0"/>
      </w:tblPr>
      <w:tblGrid>
        <w:gridCol w:w="2310"/>
        <w:gridCol w:w="2310"/>
        <w:gridCol w:w="2310"/>
        <w:gridCol w:w="2310"/>
      </w:tblGrid>
      <w:tr>
        <w:tc>
          <w:tcPr>
            <w:tcW w:type="dxa" w:w="68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w:t>
            </w:r>
          </w:p>
        </w:tc>
        <w:tc>
          <w:tcPr>
            <w:tcW w:type="dxa" w:w="226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文件路径</w:t>
            </w:r>
          </w:p>
        </w:tc>
        <w:tc>
          <w:tcPr>
            <w:tcW w:type="dxa" w:w="102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字节数</w:t>
            </w:r>
          </w:p>
        </w:tc>
        <w:tc>
          <w:tcPr>
            <w:tcW w:type="dxa" w:w="4819"/>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SHA-256</w:t>
            </w:r>
          </w:p>
        </w:tc>
      </w:tr>
      <w:tr>
        <w:tc>
          <w:tcPr>
            <w:tcW w:type="dxa" w:w="68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1</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app/server.py</w:t>
            </w:r>
          </w:p>
        </w:tc>
        <w:tc>
          <w:tcPr>
            <w:tcW w:type="dxa" w:w="1020"/>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49,234</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eddad0a4215cf86fa9898f5d1999e881fe7786a30824d6040c28c768d2bbc1c1</w:t>
            </w:r>
          </w:p>
        </w:tc>
      </w:tr>
      <w:tr>
        <w:tc>
          <w:tcPr>
            <w:tcW w:type="dxa" w:w="68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2</w:t>
            </w:r>
          </w:p>
        </w:tc>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app/static/index.html</w:t>
            </w:r>
          </w:p>
        </w:tc>
        <w:tc>
          <w:tcPr>
            <w:tcW w:type="dxa" w:w="10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934</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fb4c57198af812b4a317f40609a223ed47377598b034f30bb3bb32ac6f39aa8b</w:t>
            </w:r>
          </w:p>
        </w:tc>
      </w:tr>
      <w:tr>
        <w:tc>
          <w:tcPr>
            <w:tcW w:type="dxa" w:w="68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3</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app/static/app.js</w:t>
            </w:r>
          </w:p>
        </w:tc>
        <w:tc>
          <w:tcPr>
            <w:tcW w:type="dxa" w:w="1020"/>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39,385</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9ac5cc38a525dff00243a7bb85424132d467fce1da85fc5c2cf51ee486883513</w:t>
            </w:r>
          </w:p>
        </w:tc>
      </w:tr>
      <w:tr>
        <w:tc>
          <w:tcPr>
            <w:tcW w:type="dxa" w:w="68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4</w:t>
            </w:r>
          </w:p>
        </w:tc>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app/static/style.css</w:t>
            </w:r>
          </w:p>
        </w:tc>
        <w:tc>
          <w:tcPr>
            <w:tcW w:type="dxa" w:w="10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13,584</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185092e89a103195126e7945d16f9641057d3355a5408cdd9f75814288a5a635</w:t>
            </w:r>
          </w:p>
        </w:tc>
      </w:tr>
      <w:tr>
        <w:tc>
          <w:tcPr>
            <w:tcW w:type="dxa" w:w="68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5</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启动工作台.bat</w:t>
            </w:r>
          </w:p>
        </w:tc>
        <w:tc>
          <w:tcPr>
            <w:tcW w:type="dxa" w:w="1020"/>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445</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8ae2a47b8da27c6ca3d43550fd372c4e6177fa3d0f13b44ab2af664ceada22c0</w:t>
            </w:r>
          </w:p>
        </w:tc>
      </w:tr>
    </w:tbl>
    <w:p>
      <w:pPr>
        <w:spacing w:line="336" w:lineRule="auto" w:before="240" w:after="80"/>
      </w:pPr>
      <w:r>
        <w:rPr>
          <w:b/>
          <w:i w:val="0"/>
          <w:color w:val="1F3A68"/>
          <w:sz w:val="25"/>
          <w:rFonts w:eastAsia="宋体" w:ascii="Times New Roman" w:hAnsi="Times New Roman"/>
        </w:rPr>
        <w:t>4.2 v1.0.1 新增交付物（测试 + 设计 + fixture）</w:t>
      </w:r>
    </w:p>
    <w:tbl>
      <w:tblPr>
        <w:tblW w:type="auto" w:w="0"/>
        <w:tblLayout w:type="fixed"/>
        <w:tblLook w:firstColumn="1" w:firstRow="1" w:lastColumn="0" w:lastRow="0" w:noHBand="0" w:noVBand="1" w:val="04A0"/>
      </w:tblPr>
      <w:tblGrid>
        <w:gridCol w:w="2310"/>
        <w:gridCol w:w="2310"/>
        <w:gridCol w:w="2310"/>
        <w:gridCol w:w="2310"/>
      </w:tblGrid>
      <w:tr>
        <w:tc>
          <w:tcPr>
            <w:tcW w:type="dxa" w:w="68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w:t>
            </w:r>
          </w:p>
        </w:tc>
        <w:tc>
          <w:tcPr>
            <w:tcW w:type="dxa" w:w="2551"/>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文件路径</w:t>
            </w:r>
          </w:p>
        </w:tc>
        <w:tc>
          <w:tcPr>
            <w:tcW w:type="dxa" w:w="102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字节数</w:t>
            </w:r>
          </w:p>
        </w:tc>
        <w:tc>
          <w:tcPr>
            <w:tcW w:type="dxa" w:w="4535"/>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SHA-256</w:t>
            </w:r>
          </w:p>
        </w:tc>
      </w:tr>
      <w:tr>
        <w:tc>
          <w:tcPr>
            <w:tcW w:type="dxa" w:w="68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6</w:t>
            </w:r>
          </w:p>
        </w:tc>
        <w:tc>
          <w:tcPr>
            <w:tcW w:type="dxa" w:w="255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tests/test_v101.py</w:t>
            </w:r>
          </w:p>
        </w:tc>
        <w:tc>
          <w:tcPr>
            <w:tcW w:type="dxa" w:w="1020"/>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23,140</w:t>
            </w:r>
          </w:p>
        </w:tc>
        <w:tc>
          <w:tcPr>
            <w:tcW w:type="dxa" w:w="45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91c4408eed89f1369c9219cdf9401650d7772e4532ddacf6732f131920a1f886</w:t>
            </w:r>
          </w:p>
        </w:tc>
      </w:tr>
      <w:tr>
        <w:tc>
          <w:tcPr>
            <w:tcW w:type="dxa" w:w="68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7</w:t>
            </w:r>
          </w:p>
        </w:tc>
        <w:tc>
          <w:tcPr>
            <w:tcW w:type="dxa" w:w="255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tests/fixtures/sample_seed.py</w:t>
            </w:r>
          </w:p>
        </w:tc>
        <w:tc>
          <w:tcPr>
            <w:tcW w:type="dxa" w:w="10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6,900</w:t>
            </w:r>
          </w:p>
        </w:tc>
        <w:tc>
          <w:tcPr>
            <w:tcW w:type="dxa" w:w="45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57ed8bec48cd584bfef4af3b711191f2bfcd1f946a5bdc6a55aae7f2b3ee4bde</w:t>
            </w:r>
          </w:p>
        </w:tc>
      </w:tr>
      <w:tr>
        <w:tc>
          <w:tcPr>
            <w:tcW w:type="dxa" w:w="68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8</w:t>
            </w:r>
          </w:p>
        </w:tc>
        <w:tc>
          <w:tcPr>
            <w:tcW w:type="dxa" w:w="255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tests/design_reversal.md</w:t>
            </w:r>
          </w:p>
        </w:tc>
        <w:tc>
          <w:tcPr>
            <w:tcW w:type="dxa" w:w="1020"/>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4,604</w:t>
            </w:r>
          </w:p>
        </w:tc>
        <w:tc>
          <w:tcPr>
            <w:tcW w:type="dxa" w:w="45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0d1cfe29282e4604372f39b351ae8951ee72a378b4d7e9631531108c1ab76032</w:t>
            </w:r>
          </w:p>
        </w:tc>
      </w:tr>
      <w:tr>
        <w:tc>
          <w:tcPr>
            <w:tcW w:type="dxa" w:w="68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9</w:t>
            </w:r>
          </w:p>
        </w:tc>
        <w:tc>
          <w:tcPr>
            <w:tcW w:type="dxa" w:w="255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tests/design_research_pool_history.md</w:t>
            </w:r>
          </w:p>
        </w:tc>
        <w:tc>
          <w:tcPr>
            <w:tcW w:type="dxa" w:w="10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4,462</w:t>
            </w:r>
          </w:p>
        </w:tc>
        <w:tc>
          <w:tcPr>
            <w:tcW w:type="dxa" w:w="45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94ab1a27958c98ecf2624e9e3e93064e36abcfbfed44a6dd3ed913061f7994e4</w:t>
            </w:r>
          </w:p>
        </w:tc>
      </w:tr>
    </w:tbl>
    <w:p>
      <w:pPr>
        <w:spacing w:line="360" w:lineRule="auto" w:before="0" w:after="80"/>
      </w:pPr>
      <w:r>
        <w:rPr>
          <w:b w:val="0"/>
          <w:i/>
          <w:color w:val="6C757D"/>
          <w:sz w:val="21"/>
          <w:rFonts w:eastAsia="宋体" w:ascii="Times New Roman" w:hAnsi="Times New Roman"/>
        </w:rPr>
        <w:t>合计源代码 5 个文件，104,582 字节；新增交付物 4 个（含 46 个测试断言 + 2 个设计稿 + 1 个 fixture）。</w:t>
      </w:r>
    </w:p>
    <w:p>
      <w:pPr>
        <w:spacing w:line="336" w:lineRule="auto" w:before="240" w:after="80"/>
      </w:pPr>
      <w:r>
        <w:rPr>
          <w:b/>
          <w:i w:val="0"/>
          <w:color w:val="1F3A68"/>
          <w:sz w:val="25"/>
          <w:rFonts w:eastAsia="宋体" w:ascii="Times New Roman" w:hAnsi="Times New Roman"/>
        </w:rPr>
        <w:t>4.3 数据文件交付清单</w:t>
      </w:r>
    </w:p>
    <w:tbl>
      <w:tblPr>
        <w:tblW w:type="auto" w:w="0"/>
        <w:tblLayout w:type="fixed"/>
        <w:tblLook w:firstColumn="1" w:firstRow="1" w:lastColumn="0" w:lastRow="0" w:noHBand="0" w:noVBand="1" w:val="04A0"/>
      </w:tblPr>
      <w:tblGrid>
        <w:gridCol w:w="2310"/>
        <w:gridCol w:w="2310"/>
        <w:gridCol w:w="2310"/>
        <w:gridCol w:w="2310"/>
      </w:tblGrid>
      <w:tr>
        <w:tc>
          <w:tcPr>
            <w:tcW w:type="dxa" w:w="226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文件</w:t>
            </w:r>
          </w:p>
        </w:tc>
        <w:tc>
          <w:tcPr>
            <w:tcW w:type="dxa" w:w="102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字节数</w:t>
            </w:r>
          </w:p>
        </w:tc>
        <w:tc>
          <w:tcPr>
            <w:tcW w:type="dxa" w:w="3969"/>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SHA-256</w:t>
            </w:r>
          </w:p>
        </w:tc>
        <w:tc>
          <w:tcPr>
            <w:tcW w:type="dxa" w:w="1531"/>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说明</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data/workbench.db</w:t>
            </w:r>
          </w:p>
        </w:tc>
        <w:tc>
          <w:tcPr>
            <w:tcW w:type="dxa" w:w="1020"/>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52,224</w:t>
            </w:r>
          </w:p>
        </w:tc>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color w:val="6C757D"/>
                <w:sz w:val="20"/>
                <w:rFonts w:eastAsia="宋体" w:ascii="Times New Roman" w:hAnsi="Times New Roman"/>
              </w:rPr>
              <w:t>实际取运行时校验（写入会改变）</w:t>
            </w:r>
          </w:p>
        </w:tc>
        <w:tc>
          <w:tcPr>
            <w:tcW w:type="dxa" w:w="153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SQLite 数据库；v1.0.1 schema 已迁；默认空库（已移除示例证券）</w:t>
            </w:r>
          </w:p>
        </w:tc>
      </w:tr>
    </w:tbl>
    <w:p>
      <w:pPr>
        <w:spacing w:line="336" w:lineRule="auto" w:before="240" w:after="80"/>
      </w:pPr>
      <w:r>
        <w:rPr>
          <w:b/>
          <w:i w:val="0"/>
          <w:color w:val="1F3A68"/>
          <w:sz w:val="25"/>
          <w:rFonts w:eastAsia="宋体" w:ascii="Times New Roman" w:hAnsi="Times New Roman"/>
        </w:rPr>
        <w:t>4.4 数据备份（v1.0.1 在线备份）</w:t>
      </w:r>
    </w:p>
    <w:tbl>
      <w:tblPr>
        <w:tblW w:type="auto" w:w="0"/>
        <w:tblLayout w:type="fixed"/>
        <w:tblLook w:firstColumn="1" w:firstRow="1" w:lastColumn="0" w:lastRow="0" w:noHBand="0" w:noVBand="1" w:val="04A0"/>
      </w:tblPr>
      <w:tblGrid>
        <w:gridCol w:w="4621"/>
        <w:gridCol w:w="4621"/>
      </w:tblGrid>
      <w:tr>
        <w:tc>
          <w:tcPr>
            <w:tcW w:type="dxa" w:w="4252"/>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文件</w:t>
            </w:r>
          </w:p>
        </w:tc>
        <w:tc>
          <w:tcPr>
            <w:tcW w:type="dxa" w:w="4535"/>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说明</w:t>
            </w:r>
          </w:p>
        </w:tc>
      </w:tr>
      <w:tr>
        <w:tc>
          <w:tcPr>
            <w:tcW w:type="dxa" w:w="425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data/backup/workbench-pre-v101-20260910_155602.db</w:t>
            </w:r>
          </w:p>
        </w:tc>
        <w:tc>
          <w:tcPr>
            <w:tcW w:type="dxa" w:w="45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v1.0.0 状态备份（修复前的原始数据，含示例美图 + 道通 + 历史 trades/ledger）</w:t>
            </w:r>
          </w:p>
        </w:tc>
      </w:tr>
      <w:tr>
        <w:tc>
          <w:tcPr>
            <w:tcW w:type="dxa" w:w="425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data/backup/workbench-&lt;时间戳&gt;.db</w:t>
            </w:r>
          </w:p>
        </w:tc>
        <w:tc>
          <w:tcPr>
            <w:tcW w:type="dxa" w:w="45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v1.0.1 在线 Backup API 生成（无需停服）</w:t>
            </w:r>
          </w:p>
        </w:tc>
      </w:tr>
    </w:tbl>
    <w:p>
      <w:pPr>
        <w:spacing w:line="336" w:lineRule="auto" w:before="240" w:after="80"/>
      </w:pPr>
      <w:r>
        <w:rPr>
          <w:b/>
          <w:i w:val="0"/>
          <w:color w:val="1F3A68"/>
          <w:sz w:val="25"/>
          <w:rFonts w:eastAsia="宋体" w:ascii="Times New Roman" w:hAnsi="Times New Roman"/>
        </w:rPr>
        <w:t>4.5 验证方法</w:t>
      </w:r>
    </w:p>
    <w:p>
      <w:pPr>
        <w:spacing w:line="360" w:lineRule="auto" w:before="0" w:after="80"/>
      </w:pPr>
      <w:r>
        <w:rPr>
          <w:b w:val="0"/>
          <w:i w:val="0"/>
          <w:sz w:val="21"/>
          <w:rFonts w:eastAsia="宋体" w:ascii="Times New Roman" w:hAnsi="Times New Roman"/>
        </w:rPr>
        <w:t>审计方可使用以下命令独立验证文件完整性（Windows PowerShell / macOS / Linux 均适用）：</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Get-FileHash -Path "app\server.py" -Algorithm SHA256</w:t>
        <w:br/>
        <w:t># 期望输出：EDDAD0A4215CF86FA9898F5D1999E881FE7786A30824D6040C28C768D2BBC1C1</w:t>
      </w:r>
    </w:p>
    <w:p>
      <w:r>
        <w:br w:type="page"/>
      </w:r>
    </w:p>
    <w:p>
      <w:pPr>
        <w:spacing w:line="336" w:lineRule="auto" w:before="480" w:after="240"/>
        <w:pBdr>
          <w:bottom w:val="single" w:sz="18" w:color="1F3A68" w:space="4"/>
        </w:pBdr>
      </w:pPr>
      <w:r>
        <w:rPr>
          <w:b/>
          <w:i w:val="0"/>
          <w:color w:val="1F3A68"/>
          <w:sz w:val="44"/>
          <w:rFonts w:eastAsia="宋体" w:ascii="Times New Roman" w:hAnsi="Times New Roman"/>
        </w:rPr>
        <w:t>5. 数据模型（v1.0.1 Schema）</w:t>
      </w:r>
    </w:p>
    <w:p>
      <w:pPr>
        <w:spacing w:line="336" w:lineRule="auto" w:before="240" w:after="80"/>
      </w:pPr>
      <w:r>
        <w:rPr>
          <w:b/>
          <w:i w:val="0"/>
          <w:color w:val="1F3A68"/>
          <w:sz w:val="25"/>
          <w:rFonts w:eastAsia="宋体" w:ascii="Times New Roman" w:hAnsi="Times New Roman"/>
        </w:rPr>
        <w:t>5.1 v1.0.1 关键变更</w:t>
      </w:r>
    </w:p>
    <w:tbl>
      <w:tblPr>
        <w:tblW w:type="auto" w:w="0"/>
        <w:tblLayout w:type="fixed"/>
        <w:tblLook w:firstColumn="1" w:firstRow="1" w:lastColumn="0" w:lastRow="0" w:noHBand="0" w:noVBand="1" w:val="04A0"/>
      </w:tblPr>
      <w:tblGrid>
        <w:gridCol w:w="3081"/>
        <w:gridCol w:w="3081"/>
        <w:gridCol w:w="3081"/>
      </w:tblGrid>
      <w:tr>
        <w:tc>
          <w:tcPr>
            <w:tcW w:type="dxa" w:w="226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项</w:t>
            </w:r>
          </w:p>
        </w:tc>
        <w:tc>
          <w:tcPr>
            <w:tcW w:type="dxa" w:w="311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v1.0.0</w:t>
            </w:r>
          </w:p>
        </w:tc>
        <w:tc>
          <w:tcPr>
            <w:tcW w:type="dxa" w:w="3402"/>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v1.0.1</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业务表 FOREIGN KEY</w:t>
            </w:r>
          </w:p>
        </w:tc>
        <w:tc>
          <w:tcPr>
            <w:tcW w:type="dxa" w:w="3118"/>
            <w:tcBorders>
              <w:top w:val="single" w:sz="4" w:color="DEE2E6"/>
              <w:left w:val="single" w:sz="4" w:color="DEE2E6"/>
              <w:bottom w:val="single" w:sz="4" w:color="DEE2E6"/>
              <w:right w:val="single" w:sz="4" w:color="DEE2E6"/>
            </w:tcBorders>
            <w:vAlign w:val="center"/>
          </w:tcPr>
          <w:p>
            <w:pPr>
              <w:spacing w:line="324" w:lineRule="auto"/>
            </w:pPr>
            <w:r>
              <w:rPr>
                <w:b w:val="0"/>
                <w:i w:val="0"/>
                <w:color w:val="C0392B"/>
                <w:sz w:val="20"/>
                <w:rFonts w:eastAsia="宋体" w:ascii="Times New Roman" w:hAnsi="Times New Roman"/>
              </w:rPr>
              <w:t>无</w:t>
            </w:r>
          </w:p>
        </w:tc>
        <w:tc>
          <w:tcPr>
            <w:tcW w:type="dxa" w:w="3402"/>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research / trade_plans / trades / decision_ledger.security_id → securities(id) ON DELETE RESTRICT</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securities UNIQUE</w:t>
            </w:r>
          </w:p>
        </w:tc>
        <w:tc>
          <w:tcPr>
            <w:tcW w:type="dxa" w:w="311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color w:val="C0392B"/>
                <w:sz w:val="20"/>
                <w:rFonts w:eastAsia="宋体" w:ascii="Times New Roman" w:hAnsi="Times New Roman"/>
              </w:rPr>
              <w:t>无</w:t>
            </w:r>
          </w:p>
        </w:tc>
        <w:tc>
          <w:tcPr>
            <w:tcW w:type="dxa" w:w="34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UNIQUE(exchange, code)</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trades CHECK</w:t>
            </w:r>
          </w:p>
        </w:tc>
        <w:tc>
          <w:tcPr>
            <w:tcW w:type="dxa" w:w="3118"/>
            <w:tcBorders>
              <w:top w:val="single" w:sz="4" w:color="DEE2E6"/>
              <w:left w:val="single" w:sz="4" w:color="DEE2E6"/>
              <w:bottom w:val="single" w:sz="4" w:color="DEE2E6"/>
              <w:right w:val="single" w:sz="4" w:color="DEE2E6"/>
            </w:tcBorders>
            <w:vAlign w:val="center"/>
          </w:tcPr>
          <w:p>
            <w:pPr>
              <w:spacing w:line="324" w:lineRule="auto"/>
            </w:pPr>
            <w:r>
              <w:rPr>
                <w:b w:val="0"/>
                <w:i w:val="0"/>
                <w:color w:val="C0392B"/>
                <w:sz w:val="20"/>
                <w:rFonts w:eastAsia="宋体" w:ascii="Times New Roman" w:hAnsi="Times New Roman"/>
              </w:rPr>
              <w:t>仅应用层校验</w:t>
            </w:r>
          </w:p>
        </w:tc>
        <w:tc>
          <w:tcPr>
            <w:tcW w:type="dxa" w:w="3402"/>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DB CHECK: price&gt;0 / quantity&gt;0 / fee&gt;=0 / side IN (买入,卖出)</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PRAGMA foreign_keys</w:t>
            </w:r>
          </w:p>
        </w:tc>
        <w:tc>
          <w:tcPr>
            <w:tcW w:type="dxa" w:w="311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color w:val="C0392B"/>
                <w:sz w:val="20"/>
                <w:rFonts w:eastAsia="宋体" w:ascii="Times New Roman" w:hAnsi="Times New Roman"/>
              </w:rPr>
              <w:t>未启用 (默认 OFF)</w:t>
            </w:r>
          </w:p>
        </w:tc>
        <w:tc>
          <w:tcPr>
            <w:tcW w:type="dxa" w:w="34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每个连接 ON</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securities 额外列</w:t>
            </w:r>
          </w:p>
        </w:tc>
        <w:tc>
          <w:tcPr>
            <w:tcW w:type="dxa" w:w="3118"/>
            <w:tcBorders>
              <w:top w:val="single" w:sz="4" w:color="DEE2E6"/>
              <w:left w:val="single" w:sz="4" w:color="DEE2E6"/>
              <w:bottom w:val="single" w:sz="4" w:color="DEE2E6"/>
              <w:right w:val="single" w:sz="4" w:color="DEE2E6"/>
            </w:tcBorders>
            <w:vAlign w:val="center"/>
          </w:tcPr>
          <w:p>
            <w:pPr>
              <w:spacing w:line="324" w:lineRule="auto"/>
            </w:pPr>
            <w:r>
              <w:rPr>
                <w:b w:val="0"/>
                <w:i w:val="0"/>
                <w:color w:val="C0392B"/>
                <w:sz w:val="20"/>
                <w:rFonts w:eastAsia="宋体" w:ascii="Times New Roman" w:hAnsi="Times New Roman"/>
              </w:rPr>
              <w:t>无 research_pool / current_price</w:t>
            </w:r>
          </w:p>
        </w:tc>
        <w:tc>
          <w:tcPr>
            <w:tcW w:type="dxa" w:w="3402"/>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已补列</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settings 关键键</w:t>
            </w:r>
          </w:p>
        </w:tc>
        <w:tc>
          <w:tcPr>
            <w:tcW w:type="dxa" w:w="311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color w:val="C0392B"/>
                <w:sz w:val="20"/>
                <w:rFonts w:eastAsia="宋体" w:ascii="Times New Roman" w:hAnsi="Times New Roman"/>
              </w:rPr>
              <w:t>无</w:t>
            </w:r>
          </w:p>
        </w:tc>
        <w:tc>
          <w:tcPr>
            <w:tcW w:type="dxa" w:w="34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hkd_cny_rate / account_size_cny / schema_version</w:t>
            </w:r>
          </w:p>
        </w:tc>
      </w:tr>
    </w:tbl>
    <w:p>
      <w:pPr>
        <w:spacing w:line="336" w:lineRule="auto" w:before="240" w:after="80"/>
      </w:pPr>
      <w:r>
        <w:rPr>
          <w:b/>
          <w:i w:val="0"/>
          <w:color w:val="1F3A68"/>
          <w:sz w:val="25"/>
          <w:rFonts w:eastAsia="宋体" w:ascii="Times New Roman" w:hAnsi="Times New Roman"/>
        </w:rPr>
        <w:t>5.2 表清单（v1.0.1）</w:t>
      </w:r>
    </w:p>
    <w:tbl>
      <w:tblPr>
        <w:tblW w:type="auto" w:w="0"/>
        <w:tblLayout w:type="fixed"/>
        <w:tblLook w:firstColumn="1" w:firstRow="1" w:lastColumn="0" w:lastRow="0" w:noHBand="0" w:noVBand="1" w:val="04A0"/>
      </w:tblPr>
      <w:tblGrid>
        <w:gridCol w:w="3081"/>
        <w:gridCol w:w="3081"/>
        <w:gridCol w:w="3081"/>
      </w:tblGrid>
      <w:tr>
        <w:tc>
          <w:tcPr>
            <w:tcW w:type="dxa" w:w="1984"/>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表名</w:t>
            </w:r>
          </w:p>
        </w:tc>
        <w:tc>
          <w:tcPr>
            <w:tcW w:type="dxa" w:w="4252"/>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职责</w:t>
            </w:r>
          </w:p>
        </w:tc>
        <w:tc>
          <w:tcPr>
            <w:tcW w:type="dxa" w:w="2551"/>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是否 append-only</w:t>
            </w:r>
          </w:p>
        </w:tc>
      </w:tr>
      <w:tr>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securities</w:t>
            </w:r>
          </w:p>
        </w:tc>
        <w:tc>
          <w:tcPr>
            <w:tcW w:type="dxa" w:w="425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标的本身（代码、市场、行业、A/H 关联）</w:t>
            </w:r>
          </w:p>
        </w:tc>
        <w:tc>
          <w:tcPr>
            <w:tcW w:type="dxa" w:w="255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元信息可更新；禁止删</w:t>
            </w:r>
          </w:p>
        </w:tc>
      </w:tr>
      <w:tr>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research</w:t>
            </w:r>
          </w:p>
        </w:tc>
        <w:tc>
          <w:tcPr>
            <w:tcW w:type="dxa" w:w="425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研究结论（版本化）</w:t>
            </w:r>
          </w:p>
        </w:tc>
        <w:tc>
          <w:tcPr>
            <w:tcW w:type="dxa" w:w="255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是（永远新增版本）</w:t>
            </w:r>
          </w:p>
        </w:tc>
      </w:tr>
      <w:tr>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trade_plans</w:t>
            </w:r>
          </w:p>
        </w:tc>
        <w:tc>
          <w:tcPr>
            <w:tcW w:type="dxa" w:w="425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交易计划（版本化）</w:t>
            </w:r>
          </w:p>
        </w:tc>
        <w:tc>
          <w:tcPr>
            <w:tcW w:type="dxa" w:w="2551"/>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是（同上）</w:t>
            </w:r>
          </w:p>
        </w:tc>
      </w:tr>
      <w:tr>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trades</w:t>
            </w:r>
          </w:p>
        </w:tc>
        <w:tc>
          <w:tcPr>
            <w:tcW w:type="dxa" w:w="425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真实交易流水</w:t>
            </w:r>
          </w:p>
        </w:tc>
        <w:tc>
          <w:tcPr>
            <w:tcW w:type="dxa" w:w="255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是（仅新增；冲正尚未实现）</w:t>
            </w:r>
          </w:p>
        </w:tc>
      </w:tr>
      <w:tr>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decision_ledger</w:t>
            </w:r>
          </w:p>
        </w:tc>
        <w:tc>
          <w:tcPr>
            <w:tcW w:type="dxa" w:w="425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决策台账</w:t>
            </w:r>
          </w:p>
        </w:tc>
        <w:tc>
          <w:tcPr>
            <w:tcW w:type="dxa" w:w="2551"/>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是（纯 append-only）</w:t>
            </w:r>
          </w:p>
        </w:tc>
      </w:tr>
      <w:tr>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settings</w:t>
            </w:r>
          </w:p>
        </w:tc>
        <w:tc>
          <w:tcPr>
            <w:tcW w:type="dxa" w:w="425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运行期配置（账户规模、汇率、schema_version）</w:t>
            </w:r>
          </w:p>
        </w:tc>
        <w:tc>
          <w:tcPr>
            <w:tcW w:type="dxa" w:w="255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可更新</w:t>
            </w:r>
          </w:p>
        </w:tc>
      </w:tr>
    </w:tbl>
    <w:p>
      <w:pPr>
        <w:spacing w:line="336" w:lineRule="auto" w:before="240" w:after="80"/>
      </w:pPr>
      <w:r>
        <w:rPr>
          <w:b/>
          <w:i w:val="0"/>
          <w:color w:val="1F3A68"/>
          <w:sz w:val="25"/>
          <w:rFonts w:eastAsia="宋体" w:ascii="Times New Roman" w:hAnsi="Times New Roman"/>
        </w:rPr>
        <w:t>5.3 关键 DDL（v1.0.1）</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CREATE TABLE securities (</w:t>
        <w:br/>
        <w:t xml:space="preserve">  id INTEGER PRIMARY KEY AUTOINCREMENT,</w:t>
        <w:br/>
        <w:t xml:space="preserve">  code TEXT NOT NULL,</w:t>
        <w:br/>
        <w:t xml:space="preserve">  exchange TEXT NOT NULL CHECK (exchange IN ('SH','SZ','HK')),</w:t>
        <w:br/>
        <w:t xml:space="preserve">  name TEXT NOT NULL,</w:t>
        <w:br/>
        <w:t xml:space="preserve">  currency TEXT NOT NULL DEFAULT 'CNY',</w:t>
        <w:br/>
        <w:t xml:space="preserve">  market TEXT NOT NULL DEFAULT 'A股',</w:t>
        <w:br/>
        <w:t xml:space="preserve">  sector TEXT DEFAULT '',</w:t>
        <w:br/>
        <w:t xml:space="preserve">  ah_link_id INTEGER,</w:t>
        <w:br/>
        <w:t xml:space="preserve">  notes TEXT DEFAULT '',</w:t>
        <w:br/>
        <w:t xml:space="preserve">  status TEXT NOT NULL DEFAULT '等价格',</w:t>
        <w:br/>
        <w:t xml:space="preserve">  research_pool TEXT DEFAULT '',</w:t>
        <w:br/>
        <w:t xml:space="preserve">  current_price REAL,</w:t>
        <w:br/>
        <w:t xml:space="preserve">  current_price_updated_at TEXT,</w:t>
        <w:br/>
        <w:t xml:space="preserve">  created_at TEXT, updated_at TEXT,</w:t>
        <w:br/>
        <w:t xml:space="preserve">  UNIQUE(exchange, code)                           -- v1.0.1 新增</w:t>
        <w:br/>
        <w:t>);</w:t>
        <w:br/>
        <w:br/>
        <w:t>CREATE TABLE trades (</w:t>
        <w:br/>
        <w:t xml:space="preserve">  id INTEGER PRIMARY KEY AUTOINCREMENT,</w:t>
        <w:br/>
        <w:t xml:space="preserve">  security_id INTEGER NOT NULL</w:t>
        <w:br/>
        <w:t xml:space="preserve">    REFERENCES securities(id) ON DELETE RESTRICT,  -- v1.0.1 新增</w:t>
        <w:br/>
        <w:t xml:space="preserve">  trade_date TEXT NOT NULL,</w:t>
        <w:br/>
        <w:t xml:space="preserve">  side TEXT NOT NULL CHECK (side IN ('买入','卖出')),</w:t>
        <w:br/>
        <w:t xml:space="preserve">  price REAL NOT NULL CHECK (price &gt; 0),           -- v1.0.1 新增</w:t>
        <w:br/>
        <w:t xml:space="preserve">  quantity REAL NOT NULL CHECK (quantity &gt; 0),     -- v1.0.1 新增</w:t>
        <w:br/>
        <w:t xml:space="preserve">  fee REAL NOT NULL DEFAULT 0 CHECK (fee &gt;= 0),    -- v1.0.1 新增</w:t>
        <w:br/>
        <w:t xml:space="preserve">  note TEXT DEFAULT '',</w:t>
        <w:br/>
        <w:t xml:space="preserve">  created_at TEXT</w:t>
        <w:br/>
        <w:t>);</w:t>
        <w:br/>
        <w:t>-- 其他业务表 research / trade_plans / decision_ledger</w:t>
        <w:br/>
        <w:t>-- 同样具有 security_id REFERENCES securities(id) ON DELETE RESTRICT</w:t>
      </w:r>
    </w:p>
    <w:p>
      <w:pPr>
        <w:spacing w:line="336" w:lineRule="auto" w:before="240" w:after="80"/>
      </w:pPr>
      <w:r>
        <w:rPr>
          <w:b/>
          <w:i w:val="0"/>
          <w:color w:val="1F3A68"/>
          <w:sz w:val="25"/>
          <w:rFonts w:eastAsia="宋体" w:ascii="Times New Roman" w:hAnsi="Times New Roman"/>
        </w:rPr>
        <w:t>5.4 数据迁移（v1.0.0 → v1.0.1）</w:t>
      </w:r>
    </w:p>
    <w:tbl>
      <w:tblPr>
        <w:tblW w:type="auto" w:w="0"/>
        <w:tblLayout w:type="fixed"/>
        <w:tblLook w:firstColumn="1" w:firstRow="1" w:lastColumn="0" w:lastRow="0" w:noHBand="0" w:noVBand="1" w:val="04A0"/>
      </w:tblPr>
      <w:tblGrid>
        <w:gridCol w:w="4621"/>
        <w:gridCol w:w="4621"/>
      </w:tblGrid>
      <w:tr>
        <w:tc>
          <w:tcPr>
            <w:tcW w:type="dxa" w:w="2835"/>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项</w:t>
            </w:r>
          </w:p>
        </w:tc>
        <w:tc>
          <w:tcPr>
            <w:tcW w:type="dxa" w:w="5953"/>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说明</w:t>
            </w:r>
          </w:p>
        </w:tc>
      </w:tr>
      <w:tr>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migrate_v101() 自动触发</w:t>
            </w:r>
          </w:p>
        </w:tc>
        <w:tc>
          <w:tcPr>
            <w:tcW w:type="dxa" w:w="5953"/>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init_db(seed=False) 时对已存在 DB 自动调用</w:t>
            </w:r>
          </w:p>
        </w:tc>
      </w:tr>
      <w:tr>
        <w:tc>
          <w:tcPr>
            <w:tcW w:type="dxa" w:w="28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缺失列补齐</w:t>
            </w:r>
          </w:p>
        </w:tc>
        <w:tc>
          <w:tcPr>
            <w:tcW w:type="dxa" w:w="5953"/>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securities 加 research_pool / current_price / current_price_updated_at（ALTER TABLE）</w:t>
            </w:r>
          </w:p>
        </w:tc>
      </w:tr>
      <w:tr>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外键 + UNIQUE</w:t>
            </w:r>
          </w:p>
        </w:tc>
        <w:tc>
          <w:tcPr>
            <w:tcW w:type="dxa" w:w="5953"/>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通过"重建表"模式（CREATE TABLE new → INSERT → DROP → RENAME），临时 PRAGMA foreign_keys=OFF 包裹</w:t>
            </w:r>
          </w:p>
        </w:tc>
      </w:tr>
      <w:tr>
        <w:tc>
          <w:tcPr>
            <w:tcW w:type="dxa" w:w="28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trades CHECK</w:t>
            </w:r>
          </w:p>
        </w:tc>
        <w:tc>
          <w:tcPr>
            <w:tcW w:type="dxa" w:w="5953"/>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同上重建表方式</w:t>
            </w:r>
          </w:p>
        </w:tc>
      </w:tr>
      <w:tr>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残表清理</w:t>
            </w:r>
          </w:p>
        </w:tc>
        <w:tc>
          <w:tcPr>
            <w:tcW w:type="dxa" w:w="5953"/>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每次迁移开始 DROP TABLE IF EXISTS *__new（避免上次中断留下）</w:t>
            </w:r>
          </w:p>
        </w:tc>
      </w:tr>
      <w:tr>
        <w:tc>
          <w:tcPr>
            <w:tcW w:type="dxa" w:w="28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数据保留</w:t>
            </w:r>
          </w:p>
        </w:tc>
        <w:tc>
          <w:tcPr>
            <w:tcW w:type="dxa" w:w="5953"/>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迁移过程不删任何业务数据，INSERT FROM old SELECT 保持 rowid / created_at 不变</w:t>
            </w:r>
          </w:p>
        </w:tc>
      </w:tr>
      <w:tr>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settings 默认键</w:t>
            </w:r>
          </w:p>
        </w:tc>
        <w:tc>
          <w:tcPr>
            <w:tcW w:type="dxa" w:w="5953"/>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hkd_cny_rate / account_size_cny / schema_version=1.0.1 自动写入（缺则补）</w:t>
            </w:r>
          </w:p>
        </w:tc>
      </w:tr>
    </w:tbl>
    <w:p>
      <w:r>
        <w:br w:type="page"/>
      </w:r>
    </w:p>
    <w:p>
      <w:pPr>
        <w:spacing w:line="336" w:lineRule="auto" w:before="480" w:after="240"/>
        <w:pBdr>
          <w:bottom w:val="single" w:sz="18" w:color="1F3A68" w:space="4"/>
        </w:pBdr>
      </w:pPr>
      <w:r>
        <w:rPr>
          <w:b/>
          <w:i w:val="0"/>
          <w:color w:val="1F3A68"/>
          <w:sz w:val="44"/>
          <w:rFonts w:eastAsia="宋体" w:ascii="Times New Roman" w:hAnsi="Times New Roman"/>
        </w:rPr>
        <w:t>6. REST API 规格（v1.0.1：共 12 个端点）</w:t>
      </w:r>
    </w:p>
    <w:p>
      <w:pPr>
        <w:spacing w:line="336" w:lineRule="auto" w:before="240" w:after="80"/>
      </w:pPr>
      <w:r>
        <w:rPr>
          <w:b/>
          <w:i w:val="0"/>
          <w:color w:val="1F3A68"/>
          <w:sz w:val="25"/>
          <w:rFonts w:eastAsia="宋体" w:ascii="Times New Roman" w:hAnsi="Times New Roman"/>
        </w:rPr>
        <w:t>6.1 接口总览（实测 12 个）</w:t>
      </w:r>
    </w:p>
    <w:tbl>
      <w:tblPr>
        <w:tblW w:type="auto" w:w="0"/>
        <w:tblLayout w:type="fixed"/>
        <w:tblLook w:firstColumn="1" w:firstRow="1" w:lastColumn="0" w:lastRow="0" w:noHBand="0" w:noVBand="1" w:val="04A0"/>
      </w:tblPr>
      <w:tblGrid>
        <w:gridCol w:w="2310"/>
        <w:gridCol w:w="2310"/>
        <w:gridCol w:w="2310"/>
        <w:gridCol w:w="2310"/>
      </w:tblGrid>
      <w:tr>
        <w:tc>
          <w:tcPr>
            <w:tcW w:type="dxa" w:w="102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方法</w:t>
            </w:r>
          </w:p>
        </w:tc>
        <w:tc>
          <w:tcPr>
            <w:tcW w:type="dxa" w:w="311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路径</w:t>
            </w:r>
          </w:p>
        </w:tc>
        <w:tc>
          <w:tcPr>
            <w:tcW w:type="dxa" w:w="311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用途</w:t>
            </w:r>
          </w:p>
        </w:tc>
        <w:tc>
          <w:tcPr>
            <w:tcW w:type="dxa" w:w="1531"/>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事务</w:t>
            </w:r>
          </w:p>
        </w:tc>
      </w:tr>
      <w:tr>
        <w:tc>
          <w:tcPr>
            <w:tcW w:type="dxa" w:w="10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GET</w:t>
            </w:r>
          </w:p>
        </w:tc>
        <w:tc>
          <w:tcPr>
            <w:tcW w:type="dxa" w:w="311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 xml:space="preserve"> /api/securities</w:t>
            </w:r>
          </w:p>
        </w:tc>
        <w:tc>
          <w:tcPr>
            <w:tcW w:type="dxa" w:w="311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列出全部标的</w:t>
            </w:r>
          </w:p>
        </w:tc>
        <w:tc>
          <w:tcPr>
            <w:tcW w:type="dxa" w:w="153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w:t>
            </w:r>
          </w:p>
        </w:tc>
      </w:tr>
      <w:tr>
        <w:tc>
          <w:tcPr>
            <w:tcW w:type="dxa" w:w="10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POST</w:t>
            </w:r>
          </w:p>
        </w:tc>
        <w:tc>
          <w:tcPr>
            <w:tcW w:type="dxa" w:w="311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 xml:space="preserve"> /api/securities</w:t>
            </w:r>
          </w:p>
        </w:tc>
        <w:tc>
          <w:tcPr>
            <w:tcW w:type="dxa" w:w="311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创建标的</w:t>
            </w:r>
          </w:p>
        </w:tc>
        <w:tc>
          <w:tcPr>
            <w:tcW w:type="dxa" w:w="153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事务内</w:t>
            </w:r>
          </w:p>
        </w:tc>
      </w:tr>
      <w:tr>
        <w:tc>
          <w:tcPr>
            <w:tcW w:type="dxa" w:w="10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GET</w:t>
            </w:r>
          </w:p>
        </w:tc>
        <w:tc>
          <w:tcPr>
            <w:tcW w:type="dxa" w:w="311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 xml:space="preserve"> /api/securities/{id}</w:t>
            </w:r>
          </w:p>
        </w:tc>
        <w:tc>
          <w:tcPr>
            <w:tcW w:type="dxa" w:w="311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标的详情</w:t>
            </w:r>
          </w:p>
        </w:tc>
        <w:tc>
          <w:tcPr>
            <w:tcW w:type="dxa" w:w="153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w:t>
            </w:r>
          </w:p>
        </w:tc>
      </w:tr>
      <w:tr>
        <w:tc>
          <w:tcPr>
            <w:tcW w:type="dxa" w:w="10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PUT</w:t>
            </w:r>
          </w:p>
        </w:tc>
        <w:tc>
          <w:tcPr>
            <w:tcW w:type="dxa" w:w="311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 xml:space="preserve"> /api/securities/{id}</w:t>
            </w:r>
          </w:p>
        </w:tc>
        <w:tc>
          <w:tcPr>
            <w:tcW w:type="dxa" w:w="311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更新基本信息</w:t>
            </w:r>
          </w:p>
        </w:tc>
        <w:tc>
          <w:tcPr>
            <w:tcW w:type="dxa" w:w="153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事务内</w:t>
            </w:r>
          </w:p>
        </w:tc>
      </w:tr>
      <w:tr>
        <w:tc>
          <w:tcPr>
            <w:tcW w:type="dxa" w:w="10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POST</w:t>
            </w:r>
          </w:p>
        </w:tc>
        <w:tc>
          <w:tcPr>
            <w:tcW w:type="dxa" w:w="311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 xml:space="preserve"> /api/securities/{id}/status</w:t>
            </w:r>
          </w:p>
        </w:tc>
        <w:tc>
          <w:tcPr>
            <w:tcW w:type="dxa" w:w="311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状态变更（reason 必填）</w:t>
            </w:r>
          </w:p>
        </w:tc>
        <w:tc>
          <w:tcPr>
            <w:tcW w:type="dxa" w:w="1531"/>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事务内</w:t>
            </w:r>
          </w:p>
        </w:tc>
      </w:tr>
      <w:tr>
        <w:tc>
          <w:tcPr>
            <w:tcW w:type="dxa" w:w="10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POST</w:t>
            </w:r>
          </w:p>
        </w:tc>
        <w:tc>
          <w:tcPr>
            <w:tcW w:type="dxa" w:w="311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 xml:space="preserve"> /api/securities/{id}/trades</w:t>
            </w:r>
          </w:p>
        </w:tc>
        <w:tc>
          <w:tcPr>
            <w:tcW w:type="dxa" w:w="311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新增交易</w:t>
            </w:r>
          </w:p>
        </w:tc>
        <w:tc>
          <w:tcPr>
            <w:tcW w:type="dxa" w:w="153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事务内</w:t>
            </w:r>
          </w:p>
        </w:tc>
      </w:tr>
      <w:tr>
        <w:tc>
          <w:tcPr>
            <w:tcW w:type="dxa" w:w="10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POST</w:t>
            </w:r>
          </w:p>
        </w:tc>
        <w:tc>
          <w:tcPr>
            <w:tcW w:type="dxa" w:w="311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 xml:space="preserve"> /api/securities/{id}/ledger</w:t>
            </w:r>
          </w:p>
        </w:tc>
        <w:tc>
          <w:tcPr>
            <w:tcW w:type="dxa" w:w="311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新增决策台账备注</w:t>
            </w:r>
          </w:p>
        </w:tc>
        <w:tc>
          <w:tcPr>
            <w:tcW w:type="dxa" w:w="1531"/>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事务内</w:t>
            </w:r>
          </w:p>
        </w:tc>
      </w:tr>
      <w:tr>
        <w:tc>
          <w:tcPr>
            <w:tcW w:type="dxa" w:w="10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PUT</w:t>
            </w:r>
          </w:p>
        </w:tc>
        <w:tc>
          <w:tcPr>
            <w:tcW w:type="dxa" w:w="311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 xml:space="preserve"> /api/securities/{id}/research</w:t>
            </w:r>
          </w:p>
        </w:tc>
        <w:tc>
          <w:tcPr>
            <w:tcW w:type="dxa" w:w="311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新增研究版本</w:t>
            </w:r>
          </w:p>
        </w:tc>
        <w:tc>
          <w:tcPr>
            <w:tcW w:type="dxa" w:w="153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事务内</w:t>
            </w:r>
          </w:p>
        </w:tc>
      </w:tr>
      <w:tr>
        <w:tc>
          <w:tcPr>
            <w:tcW w:type="dxa" w:w="10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PUT</w:t>
            </w:r>
          </w:p>
        </w:tc>
        <w:tc>
          <w:tcPr>
            <w:tcW w:type="dxa" w:w="311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 xml:space="preserve"> /api/securities/{id}/plan</w:t>
            </w:r>
          </w:p>
        </w:tc>
        <w:tc>
          <w:tcPr>
            <w:tcW w:type="dxa" w:w="311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新增交易计划版本</w:t>
            </w:r>
          </w:p>
        </w:tc>
        <w:tc>
          <w:tcPr>
            <w:tcW w:type="dxa" w:w="1531"/>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事务内</w:t>
            </w:r>
          </w:p>
        </w:tc>
      </w:tr>
      <w:tr>
        <w:tc>
          <w:tcPr>
            <w:tcW w:type="dxa" w:w="10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GET</w:t>
            </w:r>
          </w:p>
        </w:tc>
        <w:tc>
          <w:tcPr>
            <w:tcW w:type="dxa" w:w="311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 xml:space="preserve"> /api/quotes?symbols=...</w:t>
            </w:r>
          </w:p>
        </w:tc>
        <w:tc>
          <w:tcPr>
            <w:tcW w:type="dxa" w:w="311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腾讯行情代理</w:t>
            </w:r>
          </w:p>
        </w:tc>
        <w:tc>
          <w:tcPr>
            <w:tcW w:type="dxa" w:w="153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w:t>
            </w:r>
          </w:p>
        </w:tc>
      </w:tr>
      <w:tr>
        <w:tc>
          <w:tcPr>
            <w:tcW w:type="dxa" w:w="10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GET</w:t>
            </w:r>
          </w:p>
        </w:tc>
        <w:tc>
          <w:tcPr>
            <w:tcW w:type="dxa" w:w="311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 xml:space="preserve"> /api/settings</w:t>
            </w:r>
          </w:p>
        </w:tc>
        <w:tc>
          <w:tcPr>
            <w:tcW w:type="dxa" w:w="311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读取设置</w:t>
            </w:r>
          </w:p>
        </w:tc>
        <w:tc>
          <w:tcPr>
            <w:tcW w:type="dxa" w:w="153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w:t>
            </w:r>
          </w:p>
        </w:tc>
      </w:tr>
      <w:tr>
        <w:tc>
          <w:tcPr>
            <w:tcW w:type="dxa" w:w="10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PUT</w:t>
            </w:r>
          </w:p>
        </w:tc>
        <w:tc>
          <w:tcPr>
            <w:tcW w:type="dxa" w:w="311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 xml:space="preserve"> /api/settings</w:t>
            </w:r>
          </w:p>
        </w:tc>
        <w:tc>
          <w:tcPr>
            <w:tcW w:type="dxa" w:w="311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更新设置</w:t>
            </w:r>
          </w:p>
        </w:tc>
        <w:tc>
          <w:tcPr>
            <w:tcW w:type="dxa" w:w="153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事务内</w:t>
            </w:r>
          </w:p>
        </w:tc>
      </w:tr>
    </w:tbl>
    <w:p>
      <w:pPr>
        <w:spacing w:line="336" w:lineRule="auto" w:before="240" w:after="80"/>
      </w:pPr>
      <w:r>
        <w:rPr>
          <w:b/>
          <w:i w:val="0"/>
          <w:color w:val="1F3A68"/>
          <w:sz w:val="25"/>
          <w:rFonts w:eastAsia="宋体" w:ascii="Times New Roman" w:hAnsi="Times New Roman"/>
        </w:rPr>
        <w:t>6.2 v1.0.1 新增 / 修改的端点字段</w:t>
      </w:r>
    </w:p>
    <w:tbl>
      <w:tblPr>
        <w:tblW w:type="auto" w:w="0"/>
        <w:tblLayout w:type="fixed"/>
        <w:tblLook w:firstColumn="1" w:firstRow="1" w:lastColumn="0" w:lastRow="0" w:noHBand="0" w:noVBand="1" w:val="04A0"/>
      </w:tblPr>
      <w:tblGrid>
        <w:gridCol w:w="4621"/>
        <w:gridCol w:w="4621"/>
      </w:tblGrid>
      <w:tr>
        <w:tc>
          <w:tcPr>
            <w:tcW w:type="dxa" w:w="3969"/>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端点</w:t>
            </w:r>
          </w:p>
        </w:tc>
        <w:tc>
          <w:tcPr>
            <w:tcW w:type="dxa" w:w="4819"/>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变化</w:t>
            </w:r>
          </w:p>
        </w:tc>
      </w:tr>
      <w:tr>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GET /api/quotes</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响应同时返回 last_success_at 与 last_error；前端据此显示"最后成功行情时间"与失败提示</w:t>
            </w:r>
          </w:p>
        </w:tc>
      </w:tr>
      <w:tr>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GET /api/securities/{id}</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响应 position 内增加 currency / market_value / market_value_currency / fx_rate_used / fx_rate_missing / position_pct；响应增加 position_consistency（持仓状态一致性提示）</w:t>
            </w:r>
          </w:p>
        </w:tc>
      </w:tr>
      <w:tr>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GET /api/quotes (failure path)</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失败时仍保留 data 中上一次成功的股票（不伪装为最新）</w:t>
            </w:r>
          </w:p>
        </w:tc>
      </w:tr>
      <w:tr>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POST /api/securities</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应用层先校验 + DB 层 UNIQUE 兜底；同一 exchange+code 拒绝重复</w:t>
            </w:r>
          </w:p>
        </w:tc>
      </w:tr>
    </w:tbl>
    <w:p>
      <w:pPr>
        <w:spacing w:line="336" w:lineRule="auto" w:before="240" w:after="80"/>
      </w:pPr>
      <w:r>
        <w:rPr>
          <w:b/>
          <w:i w:val="0"/>
          <w:color w:val="1F3A68"/>
          <w:sz w:val="25"/>
          <w:rFonts w:eastAsia="宋体" w:ascii="Times New Roman" w:hAnsi="Times New Roman"/>
        </w:rPr>
        <w:t>6.3 错误码与边界（v1.0.1）</w:t>
      </w:r>
    </w:p>
    <w:tbl>
      <w:tblPr>
        <w:tblW w:type="auto" w:w="0"/>
        <w:tblLayout w:type="fixed"/>
        <w:tblLook w:firstColumn="1" w:firstRow="1" w:lastColumn="0" w:lastRow="0" w:noHBand="0" w:noVBand="1" w:val="04A0"/>
      </w:tblPr>
      <w:tblGrid>
        <w:gridCol w:w="3081"/>
        <w:gridCol w:w="3081"/>
        <w:gridCol w:w="3081"/>
      </w:tblGrid>
      <w:tr>
        <w:tc>
          <w:tcPr>
            <w:tcW w:type="dxa" w:w="1134"/>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HTTP</w:t>
            </w:r>
          </w:p>
        </w:tc>
        <w:tc>
          <w:tcPr>
            <w:tcW w:type="dxa" w:w="226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含义</w:t>
            </w:r>
          </w:p>
        </w:tc>
        <w:tc>
          <w:tcPr>
            <w:tcW w:type="dxa" w:w="5386"/>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触发条件</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200</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成功</w:t>
            </w:r>
          </w:p>
        </w:tc>
        <w:tc>
          <w:tcPr>
            <w:tcW w:type="dxa" w:w="5386"/>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400</w:t>
            </w:r>
          </w:p>
        </w:tc>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业务校验失败</w:t>
            </w:r>
          </w:p>
        </w:tc>
        <w:tc>
          <w:tcPr>
            <w:tcW w:type="dxa" w:w="5386"/>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状态变更缺 reason / 价格&lt;=0 / 数量&lt;=0 / 手续费&lt;0 / 卖出超持仓 / 重复 (exchange,code) / settings 非数字</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404</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标的不存在</w:t>
            </w:r>
          </w:p>
        </w:tc>
        <w:tc>
          <w:tcPr>
            <w:tcW w:type="dxa" w:w="5386"/>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标的无 / static 资源路径穿越</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500</w:t>
            </w:r>
          </w:p>
        </w:tc>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服务端异常</w:t>
            </w:r>
          </w:p>
        </w:tc>
        <w:tc>
          <w:tcPr>
            <w:tcW w:type="dxa" w:w="5386"/>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意外错误。IntegrityError 一律转为 400</w:t>
            </w:r>
          </w:p>
        </w:tc>
      </w:tr>
    </w:tbl>
    <w:p>
      <w:pPr>
        <w:spacing w:line="336" w:lineRule="auto" w:before="240" w:after="80"/>
      </w:pPr>
      <w:r>
        <w:rPr>
          <w:b/>
          <w:i w:val="0"/>
          <w:color w:val="1F3A68"/>
          <w:sz w:val="25"/>
          <w:rFonts w:eastAsia="宋体" w:ascii="Times New Roman" w:hAnsi="Times New Roman"/>
        </w:rPr>
        <w:t>6.4 关键完整性输入校验（应用 + DB 双层）</w:t>
      </w:r>
    </w:p>
    <w:tbl>
      <w:tblPr>
        <w:tblW w:type="auto" w:w="0"/>
        <w:tblLayout w:type="fixed"/>
        <w:tblLook w:firstColumn="1" w:firstRow="1" w:lastColumn="0" w:lastRow="0" w:noHBand="0" w:noVBand="1" w:val="04A0"/>
      </w:tblPr>
      <w:tblGrid>
        <w:gridCol w:w="3081"/>
        <w:gridCol w:w="3081"/>
        <w:gridCol w:w="3081"/>
      </w:tblGrid>
      <w:tr>
        <w:tc>
          <w:tcPr>
            <w:tcW w:type="dxa" w:w="2551"/>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字段</w:t>
            </w:r>
          </w:p>
        </w:tc>
        <w:tc>
          <w:tcPr>
            <w:tcW w:type="dxa" w:w="2835"/>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应用层</w:t>
            </w:r>
          </w:p>
        </w:tc>
        <w:tc>
          <w:tcPr>
            <w:tcW w:type="dxa" w:w="3402"/>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DB 层</w:t>
            </w:r>
          </w:p>
        </w:tc>
      </w:tr>
      <w:tr>
        <w:tc>
          <w:tcPr>
            <w:tcW w:type="dxa" w:w="255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trades.side</w:t>
            </w:r>
          </w:p>
        </w:tc>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必须为 买入/卖出</w:t>
            </w:r>
          </w:p>
        </w:tc>
        <w:tc>
          <w:tcPr>
            <w:tcW w:type="dxa" w:w="34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CHECK (side IN (买入,卖出))</w:t>
            </w:r>
          </w:p>
        </w:tc>
      </w:tr>
      <w:tr>
        <w:tc>
          <w:tcPr>
            <w:tcW w:type="dxa" w:w="255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trades.price</w:t>
            </w:r>
          </w:p>
        </w:tc>
        <w:tc>
          <w:tcPr>
            <w:tcW w:type="dxa" w:w="28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&gt; 0</w:t>
            </w:r>
          </w:p>
        </w:tc>
        <w:tc>
          <w:tcPr>
            <w:tcW w:type="dxa" w:w="34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CHECK (price &gt; 0)</w:t>
            </w:r>
          </w:p>
        </w:tc>
      </w:tr>
      <w:tr>
        <w:tc>
          <w:tcPr>
            <w:tcW w:type="dxa" w:w="255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trades.quantity</w:t>
            </w:r>
          </w:p>
        </w:tc>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&gt; 0</w:t>
            </w:r>
          </w:p>
        </w:tc>
        <w:tc>
          <w:tcPr>
            <w:tcW w:type="dxa" w:w="34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CHECK (quantity &gt; 0)</w:t>
            </w:r>
          </w:p>
        </w:tc>
      </w:tr>
      <w:tr>
        <w:tc>
          <w:tcPr>
            <w:tcW w:type="dxa" w:w="255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trades.fee</w:t>
            </w:r>
          </w:p>
        </w:tc>
        <w:tc>
          <w:tcPr>
            <w:tcW w:type="dxa" w:w="28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&gt;= 0</w:t>
            </w:r>
          </w:p>
        </w:tc>
        <w:tc>
          <w:tcPr>
            <w:tcW w:type="dxa" w:w="34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CHECK (fee &gt;= 0)</w:t>
            </w:r>
          </w:p>
        </w:tc>
      </w:tr>
      <w:tr>
        <w:tc>
          <w:tcPr>
            <w:tcW w:type="dxa" w:w="255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securities.exchange</w:t>
            </w:r>
          </w:p>
        </w:tc>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IN {SH,SZ,HK}</w:t>
            </w:r>
          </w:p>
        </w:tc>
        <w:tc>
          <w:tcPr>
            <w:tcW w:type="dxa" w:w="34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CHECK (exchange IN (SH,SZ,HK))</w:t>
            </w:r>
          </w:p>
        </w:tc>
      </w:tr>
      <w:tr>
        <w:tc>
          <w:tcPr>
            <w:tcW w:type="dxa" w:w="255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securities (exchange,code)</w:t>
            </w:r>
          </w:p>
        </w:tc>
        <w:tc>
          <w:tcPr>
            <w:tcW w:type="dxa" w:w="28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重复返回 ApiError 400</w:t>
            </w:r>
          </w:p>
        </w:tc>
        <w:tc>
          <w:tcPr>
            <w:tcW w:type="dxa" w:w="34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UNIQUE(exchange, code)</w:t>
            </w:r>
          </w:p>
        </w:tc>
      </w:tr>
      <w:tr>
        <w:tc>
          <w:tcPr>
            <w:tcW w:type="dxa" w:w="255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状态变更 reason</w:t>
            </w:r>
          </w:p>
        </w:tc>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必填</w:t>
            </w:r>
          </w:p>
        </w:tc>
        <w:tc>
          <w:tcPr>
            <w:tcW w:type="dxa" w:w="34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w:t>
            </w:r>
          </w:p>
        </w:tc>
      </w:tr>
      <w:tr>
        <w:tc>
          <w:tcPr>
            <w:tcW w:type="dxa" w:w="255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卖出超持仓</w:t>
            </w:r>
          </w:p>
        </w:tc>
        <w:tc>
          <w:tcPr>
            <w:tcW w:type="dxa" w:w="28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拒绝</w:t>
            </w:r>
          </w:p>
        </w:tc>
        <w:tc>
          <w:tcPr>
            <w:tcW w:type="dxa" w:w="34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-（业务校验）</w:t>
            </w:r>
          </w:p>
        </w:tc>
      </w:tr>
      <w:tr>
        <w:tc>
          <w:tcPr>
            <w:tcW w:type="dxa" w:w="255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任意 security_id 引用</w:t>
            </w:r>
          </w:p>
        </w:tc>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w:t>
            </w:r>
          </w:p>
        </w:tc>
        <w:tc>
          <w:tcPr>
            <w:tcW w:type="dxa" w:w="34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FOREIGN KEY REFERENCES securities(id) ON DELETE RESTRICT</w:t>
            </w:r>
          </w:p>
        </w:tc>
      </w:tr>
    </w:tbl>
    <w:p>
      <w:r>
        <w:br w:type="page"/>
      </w:r>
    </w:p>
    <w:p>
      <w:pPr>
        <w:spacing w:line="336" w:lineRule="auto" w:before="480" w:after="240"/>
        <w:pBdr>
          <w:bottom w:val="single" w:sz="18" w:color="1F3A68" w:space="4"/>
        </w:pBdr>
      </w:pPr>
      <w:r>
        <w:rPr>
          <w:b/>
          <w:i w:val="0"/>
          <w:color w:val="1F3A68"/>
          <w:sz w:val="44"/>
          <w:rFonts w:eastAsia="宋体" w:ascii="Times New Roman" w:hAnsi="Times New Roman"/>
        </w:rPr>
        <w:t>7. 前端页面与交互（v1.0.1）</w:t>
      </w:r>
    </w:p>
    <w:p>
      <w:pPr>
        <w:spacing w:line="336" w:lineRule="auto" w:before="240" w:after="80"/>
      </w:pPr>
      <w:r>
        <w:rPr>
          <w:b/>
          <w:i w:val="0"/>
          <w:color w:val="1F3A68"/>
          <w:sz w:val="25"/>
          <w:rFonts w:eastAsia="宋体" w:ascii="Times New Roman" w:hAnsi="Times New Roman"/>
        </w:rPr>
        <w:t>7.1 单页应用结构</w:t>
      </w:r>
    </w:p>
    <w:tbl>
      <w:tblPr>
        <w:tblW w:type="auto" w:w="0"/>
        <w:tblLayout w:type="fixed"/>
        <w:tblLook w:firstColumn="1" w:firstRow="1" w:lastColumn="0" w:lastRow="0" w:noHBand="0" w:noVBand="1" w:val="04A0"/>
      </w:tblPr>
      <w:tblGrid>
        <w:gridCol w:w="4621"/>
        <w:gridCol w:w="4621"/>
      </w:tblGrid>
      <w:tr>
        <w:tc>
          <w:tcPr>
            <w:tcW w:type="dxa" w:w="226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区域</w:t>
            </w:r>
          </w:p>
        </w:tc>
        <w:tc>
          <w:tcPr>
            <w:tcW w:type="dxa" w:w="652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职责</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顶部状态条</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展示账户总规模（点击修改）、当前服务状态、refreshQuotes 按钮、上次成功 / 失败行情时间</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左侧导航</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「今日工作台」「标的库」「新建标的」三个 Tab</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主内容区</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按 Tab 渲染</w:t>
            </w:r>
          </w:p>
        </w:tc>
      </w:tr>
    </w:tbl>
    <w:p>
      <w:pPr>
        <w:spacing w:line="336" w:lineRule="auto" w:before="240" w:after="80"/>
      </w:pPr>
      <w:r>
        <w:rPr>
          <w:b/>
          <w:i w:val="0"/>
          <w:color w:val="1F3A68"/>
          <w:sz w:val="25"/>
          <w:rFonts w:eastAsia="宋体" w:ascii="Times New Roman" w:hAnsi="Times New Roman"/>
        </w:rPr>
        <w:t>7.2 v1.0.1 UI 变化</w:t>
      </w:r>
    </w:p>
    <w:tbl>
      <w:tblPr>
        <w:tblW w:type="auto" w:w="0"/>
        <w:tblLayout w:type="fixed"/>
        <w:tblLook w:firstColumn="1" w:firstRow="1" w:lastColumn="0" w:lastRow="0" w:noHBand="0" w:noVBand="1" w:val="04A0"/>
      </w:tblPr>
      <w:tblGrid>
        <w:gridCol w:w="4621"/>
        <w:gridCol w:w="4621"/>
      </w:tblGrid>
      <w:tr>
        <w:tc>
          <w:tcPr>
            <w:tcW w:type="dxa" w:w="2551"/>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位置</w:t>
            </w:r>
          </w:p>
        </w:tc>
        <w:tc>
          <w:tcPr>
            <w:tcW w:type="dxa" w:w="6236"/>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变化</w:t>
            </w:r>
          </w:p>
        </w:tc>
      </w:tr>
      <w:tr>
        <w:tc>
          <w:tcPr>
            <w:tcW w:type="dxa" w:w="255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首页 / 列表 / 详情头部</w:t>
            </w:r>
          </w:p>
        </w:tc>
        <w:tc>
          <w:tcPr>
            <w:tcW w:type="dxa" w:w="6236"/>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"行情时间"字段统一显示：A 股/港股均展示 market_time（YYYY-MM-DD HH:MM:SS）</w:t>
            </w:r>
          </w:p>
        </w:tc>
      </w:tr>
      <w:tr>
        <w:tc>
          <w:tcPr>
            <w:tcW w:type="dxa" w:w="255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顶部状态条</w:t>
            </w:r>
          </w:p>
        </w:tc>
        <w:tc>
          <w:tcPr>
            <w:tcW w:type="dxa" w:w="6236"/>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区分 last_success_at 与 last_error：失败时显示「行情获取失败，价格可能过期」+ 最后成功时间</w:t>
            </w:r>
          </w:p>
        </w:tc>
      </w:tr>
      <w:tr>
        <w:tc>
          <w:tcPr>
            <w:tcW w:type="dxa" w:w="255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个股详情 · 持仓区</w:t>
            </w:r>
          </w:p>
        </w:tc>
        <w:tc>
          <w:tcPr>
            <w:tcW w:type="dxa" w:w="6236"/>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增加"持仓市值（已折算）"显式提示；HKD 缺汇率时显示"无法计算 / 待汇率"（不再错误除算）</w:t>
            </w:r>
          </w:p>
        </w:tc>
      </w:tr>
      <w:tr>
        <w:tc>
          <w:tcPr>
            <w:tcW w:type="dxa" w:w="255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个股详情 · 顶部 banner</w:t>
            </w:r>
          </w:p>
        </w:tc>
        <w:tc>
          <w:tcPr>
            <w:tcW w:type="dxa" w:w="6236"/>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"持仓 / 状态一致性"提示：有持仓但 status≠持仓中 / 状态=持仓中 但无持仓时显示对应 issue（不自动改）</w:t>
            </w:r>
          </w:p>
        </w:tc>
      </w:tr>
      <w:tr>
        <w:tc>
          <w:tcPr>
            <w:tcW w:type="dxa" w:w="255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首页"处理/跟踪"分组</w:t>
            </w:r>
          </w:p>
        </w:tc>
        <w:tc>
          <w:tcPr>
            <w:tcW w:type="dxa" w:w="6236"/>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逻辑不变（事实判断），仅同步行情时间字段</w:t>
            </w:r>
          </w:p>
        </w:tc>
      </w:tr>
    </w:tbl>
    <w:p>
      <w:pPr>
        <w:spacing w:line="336" w:lineRule="auto" w:before="240" w:after="80"/>
      </w:pPr>
      <w:r>
        <w:rPr>
          <w:b/>
          <w:i w:val="0"/>
          <w:color w:val="1F3A68"/>
          <w:sz w:val="25"/>
          <w:rFonts w:eastAsia="宋体" w:ascii="Times New Roman" w:hAnsi="Times New Roman"/>
        </w:rPr>
        <w:t>7.3 关键交互（事实化展示）</w:t>
      </w:r>
    </w:p>
    <w:tbl>
      <w:tblPr>
        <w:tblW w:type="auto" w:w="0"/>
        <w:tblLayout w:type="fixed"/>
        <w:tblLook w:firstColumn="1" w:firstRow="1" w:lastColumn="0" w:lastRow="0" w:noHBand="0" w:noVBand="1" w:val="04A0"/>
      </w:tblPr>
      <w:tblGrid>
        <w:gridCol w:w="4621"/>
        <w:gridCol w:w="4621"/>
      </w:tblGrid>
      <w:tr>
        <w:tc>
          <w:tcPr>
            <w:tcW w:type="dxa" w:w="2835"/>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操作</w:t>
            </w:r>
          </w:p>
        </w:tc>
        <w:tc>
          <w:tcPr>
            <w:tcW w:type="dxa" w:w="5953"/>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系统行为</w:t>
            </w:r>
          </w:p>
        </w:tc>
      </w:tr>
      <w:tr>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点击"买入/卖出"按钮</w:t>
            </w:r>
          </w:p>
        </w:tc>
        <w:tc>
          <w:tcPr>
            <w:tcW w:type="dxa" w:w="5953"/>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弹出表单，提交后生成一条 trade + 一条 ledger；不做任何"建议"</w:t>
            </w:r>
          </w:p>
        </w:tc>
      </w:tr>
      <w:tr>
        <w:tc>
          <w:tcPr>
            <w:tcW w:type="dxa" w:w="28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修改交易计划</w:t>
            </w:r>
          </w:p>
        </w:tc>
        <w:tc>
          <w:tcPr>
            <w:tcW w:type="dxa" w:w="5953"/>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弹出表单，保存后生成新版本 + 自动写入台账</w:t>
            </w:r>
          </w:p>
        </w:tc>
      </w:tr>
      <w:tr>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变更状态</w:t>
            </w:r>
          </w:p>
        </w:tc>
        <w:tc>
          <w:tcPr>
            <w:tcW w:type="dxa" w:w="5953"/>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必填"变更原因"字段，否则按钮不可用。提交后自动写入台账</w:t>
            </w:r>
          </w:p>
        </w:tc>
      </w:tr>
      <w:tr>
        <w:tc>
          <w:tcPr>
            <w:tcW w:type="dxa" w:w="28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编辑账号总规模 / 汇率</w:t>
            </w:r>
          </w:p>
        </w:tc>
        <w:tc>
          <w:tcPr>
            <w:tcW w:type="dxa" w:w="5953"/>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点击顶部数字或设置弹窗，保存后立即生效</w:t>
            </w:r>
          </w:p>
        </w:tc>
      </w:tr>
      <w:tr>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刷新行情</w:t>
            </w:r>
          </w:p>
        </w:tc>
        <w:tc>
          <w:tcPr>
            <w:tcW w:type="dxa" w:w="5953"/>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手动触发 GET /quotes；60 秒后自动刷新；失败时显示上次成功时间</w:t>
            </w:r>
          </w:p>
        </w:tc>
      </w:tr>
    </w:tbl>
    <w:p>
      <w:r>
        <w:br w:type="page"/>
      </w:r>
    </w:p>
    <w:p>
      <w:pPr>
        <w:spacing w:line="336" w:lineRule="auto" w:before="480" w:after="240"/>
        <w:pBdr>
          <w:bottom w:val="single" w:sz="18" w:color="1F3A68" w:space="4"/>
        </w:pBdr>
      </w:pPr>
      <w:r>
        <w:rPr>
          <w:b/>
          <w:i w:val="0"/>
          <w:color w:val="1F3A68"/>
          <w:sz w:val="44"/>
          <w:rFonts w:eastAsia="宋体" w:ascii="Times New Roman" w:hAnsi="Times New Roman"/>
        </w:rPr>
        <w:t>8. 安全审计要点（修正 v1.0.0 用词）</w:t>
      </w:r>
    </w:p>
    <w:p>
      <w:pPr>
        <w:spacing w:line="336" w:lineRule="auto" w:before="240" w:after="80"/>
      </w:pPr>
      <w:r>
        <w:rPr>
          <w:b/>
          <w:i w:val="0"/>
          <w:color w:val="1F3A68"/>
          <w:sz w:val="25"/>
          <w:rFonts w:eastAsia="宋体" w:ascii="Times New Roman" w:hAnsi="Times New Roman"/>
        </w:rPr>
        <w:t>8.1 用词修正说明</w:t>
      </w:r>
    </w:p>
    <w:tbl>
      <w:tblPr>
        <w:tblW w:type="auto" w:w="0"/>
        <w:tblLayout w:type="fixed"/>
        <w:tblLook w:firstColumn="1" w:firstRow="1" w:lastColumn="0" w:lastRow="0" w:noHBand="0" w:noVBand="1" w:val="04A0"/>
      </w:tblPr>
      <w:tblGrid>
        <w:gridCol w:w="9242"/>
      </w:tblGrid>
      <w:tr>
        <w:tc>
          <w:tcPr>
            <w:tcW w:type="dxa" w:w="9242"/>
            <w:shd w:val="clear" w:color="auto" w:fill="FEF7E6"/>
            <w:tcBorders>
              <w:top w:val="single" w:sz="8" w:color="B7791F"/>
              <w:left w:val="single" w:sz="8" w:color="B7791F"/>
              <w:bottom w:val="single" w:sz="8" w:color="B7791F"/>
              <w:right w:val="single" w:sz="8" w:color="B7791F"/>
            </w:tcBorders>
          </w:tcPr>
          <w:p>
            <w:pPr>
              <w:spacing w:line="360" w:lineRule="auto" w:after="80"/>
            </w:pPr>
            <w:r>
              <w:rPr>
                <w:b/>
                <w:i w:val="0"/>
                <w:color w:val="B7791F"/>
                <w:sz w:val="20"/>
                <w:rFonts w:eastAsia="宋体" w:ascii="Times New Roman" w:hAnsi="Times New Roman"/>
              </w:rPr>
              <w:t xml:space="preserve">⚠ 警示   </w:t>
            </w:r>
          </w:p>
          <w:p>
            <w:pPr>
              <w:spacing w:line="360" w:lineRule="auto" w:after="0"/>
            </w:pPr>
            <w:r>
              <w:rPr>
                <w:b w:val="0"/>
                <w:i w:val="0"/>
                <w:color w:val="212529"/>
                <w:sz w:val="20"/>
                <w:rFonts w:eastAsia="宋体" w:ascii="Times New Roman" w:hAnsi="Times New Roman"/>
              </w:rPr>
              <w:t>v1.0.0 文档中部分表述使用了"绝对不可能"等绝对化措辞（如"SQL 注入：不可能"）。此类表述在第三方审计中通常要求改写——任何代码层面的缓解都只能证明"在已验证的条件下有效"，不能保证未来无新攻击面。v1.0.1 全部改为"在已验证条件下有效缓解"。</w:t>
            </w:r>
          </w:p>
        </w:tc>
      </w:tr>
    </w:tbl>
    <w:p>
      <w:pPr>
        <w:spacing w:after="0"/>
      </w:pPr>
    </w:p>
    <w:p>
      <w:pPr>
        <w:spacing w:line="336" w:lineRule="auto" w:before="240" w:after="80"/>
      </w:pPr>
      <w:r>
        <w:rPr>
          <w:b/>
          <w:i w:val="0"/>
          <w:color w:val="1F3A68"/>
          <w:sz w:val="25"/>
          <w:rFonts w:eastAsia="宋体" w:ascii="Times New Roman" w:hAnsi="Times New Roman"/>
        </w:rPr>
        <w:t>8.2 攻击面清单（v1.0.1，措辞修正）</w:t>
      </w:r>
    </w:p>
    <w:tbl>
      <w:tblPr>
        <w:tblW w:type="auto" w:w="0"/>
        <w:tblLayout w:type="fixed"/>
        <w:tblLook w:firstColumn="1" w:firstRow="1" w:lastColumn="0" w:lastRow="0" w:noHBand="0" w:noVBand="1" w:val="04A0"/>
      </w:tblPr>
      <w:tblGrid>
        <w:gridCol w:w="3081"/>
        <w:gridCol w:w="3081"/>
        <w:gridCol w:w="3081"/>
      </w:tblGrid>
      <w:tr>
        <w:tc>
          <w:tcPr>
            <w:tcW w:type="dxa" w:w="1984"/>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攻击面</w:t>
            </w:r>
          </w:p>
        </w:tc>
        <w:tc>
          <w:tcPr>
            <w:tcW w:type="dxa" w:w="1984"/>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状态</w:t>
            </w:r>
          </w:p>
        </w:tc>
        <w:tc>
          <w:tcPr>
            <w:tcW w:type="dxa" w:w="4819"/>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已验证缓解</w:t>
            </w:r>
          </w:p>
        </w:tc>
      </w:tr>
      <w:tr>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公网监听</w:t>
            </w:r>
          </w:p>
        </w:tc>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未暴露</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服务绑定 127.0.0.1；端口 8765 仅本地可达（验证：netstat -an | findstr 8765 应只见 127.0.0.1）</w:t>
            </w:r>
          </w:p>
        </w:tc>
      </w:tr>
      <w:tr>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认证授权</w:t>
            </w:r>
          </w:p>
        </w:tc>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N/A（本系统单用户工具）</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无登录会话；风险仅限于本地物理 / 系统级账户</w:t>
            </w:r>
          </w:p>
        </w:tc>
      </w:tr>
      <w:tr>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SQL 注入</w:t>
            </w:r>
          </w:p>
        </w:tc>
        <w:tc>
          <w:tcPr>
            <w:tcW w:type="dxa" w:w="1984"/>
            <w:tcBorders>
              <w:top w:val="single" w:sz="4" w:color="DEE2E6"/>
              <w:left w:val="single" w:sz="4" w:color="DEE2E6"/>
              <w:bottom w:val="single" w:sz="4" w:color="DEE2E6"/>
              <w:right w:val="single" w:sz="4" w:color="DEE2E6"/>
            </w:tcBorders>
            <w:vAlign w:val="center"/>
          </w:tcPr>
          <w:p>
            <w:pPr>
              <w:spacing w:line="324" w:lineRule="auto"/>
            </w:pPr>
            <w:r>
              <w:rPr>
                <w:b/>
                <w:i w:val="0"/>
                <w:sz w:val="20"/>
                <w:rFonts w:eastAsia="宋体" w:ascii="Times New Roman" w:hAnsi="Times New Roman"/>
              </w:rPr>
              <w:t>已通过参数化查询大幅降低风险</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全部 SQL 使用 ? 占位符；无 f-string 字符串拼接；测试覆盖 5+ 条非法 INSERT</w:t>
            </w:r>
          </w:p>
        </w:tc>
      </w:tr>
      <w:tr>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路径穿越</w:t>
            </w:r>
          </w:p>
        </w:tc>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已缓解</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静态资源 _static() 校验路径前缀、拒绝 .. 与绝对路径；测试：GET /static/../server.py → 404</w:t>
            </w:r>
          </w:p>
        </w:tc>
      </w:tr>
      <w:tr>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XSS</w:t>
            </w:r>
          </w:p>
        </w:tc>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低风险</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前端使用 textContent 渲染（esc()）；不调用 innerHTML</w:t>
            </w:r>
          </w:p>
        </w:tc>
      </w:tr>
      <w:tr>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CSRF</w:t>
            </w:r>
          </w:p>
        </w:tc>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N/A</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外部站点无法跨域访问 localhost:8765；浏览器同源策略保护</w:t>
            </w:r>
          </w:p>
        </w:tc>
      </w:tr>
      <w:tr>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第三方依赖漏洞</w:t>
            </w:r>
          </w:p>
        </w:tc>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N/A</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零第三方 Python 依赖（仅 stdlib）；前端仅原生 DOM API</w:t>
            </w:r>
          </w:p>
        </w:tc>
      </w:tr>
      <w:tr>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数据外泄</w:t>
            </w:r>
          </w:p>
        </w:tc>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sz w:val="20"/>
                <w:rFonts w:eastAsia="宋体" w:ascii="Times New Roman" w:hAnsi="Times New Roman"/>
              </w:rPr>
              <w:t>已通过"无上传通道"设计大幅降低风险</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代码层面无任何外发逻辑；唯一外网调用 GET qt.gtimg.cn 是只读行情</w:t>
            </w:r>
          </w:p>
        </w:tc>
      </w:tr>
      <w:tr>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数据库完整性约束被绕过</w:t>
            </w:r>
          </w:p>
        </w:tc>
        <w:tc>
          <w:tcPr>
            <w:tcW w:type="dxa" w:w="1984"/>
            <w:tcBorders>
              <w:top w:val="single" w:sz="4" w:color="DEE2E6"/>
              <w:left w:val="single" w:sz="4" w:color="DEE2E6"/>
              <w:bottom w:val="single" w:sz="4" w:color="DEE2E6"/>
              <w:right w:val="single" w:sz="4" w:color="DEE2E6"/>
            </w:tcBorders>
            <w:vAlign w:val="center"/>
          </w:tcPr>
          <w:p>
            <w:pPr>
              <w:spacing w:line="324" w:lineRule="auto"/>
            </w:pPr>
            <w:r>
              <w:rPr>
                <w:b/>
                <w:i w:val="0"/>
                <w:color w:val="2D6A4F"/>
                <w:sz w:val="20"/>
                <w:rFonts w:eastAsia="宋体" w:ascii="Times New Roman" w:hAnsi="Times New Roman"/>
              </w:rPr>
              <w:t>已修</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v1.0.0 未启用 PRAGMA foreign_keys=ON / 缺 UNIQUE / 缺 CHECK 均为已识别修复；v1.0.1 加固</w:t>
            </w:r>
          </w:p>
        </w:tc>
      </w:tr>
      <w:tr>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行情数据被伪装为最新</w:t>
            </w:r>
          </w:p>
        </w:tc>
        <w:tc>
          <w:tcPr>
            <w:tcW w:type="dxa" w:w="198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color w:val="2D6A4F"/>
                <w:sz w:val="20"/>
                <w:rFonts w:eastAsia="宋体" w:ascii="Times New Roman" w:hAnsi="Times New Roman"/>
              </w:rPr>
              <w:t>已修</w:t>
            </w:r>
          </w:p>
        </w:tc>
        <w:tc>
          <w:tcPr>
            <w:tcW w:type="dxa" w:w="481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v1.0.1 行情失败时仍返回 data 中上次成功项，前端明示"可能过期"</w:t>
            </w:r>
          </w:p>
        </w:tc>
      </w:tr>
      <w:tr>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trades 误录无法修复</w:t>
            </w:r>
          </w:p>
        </w:tc>
        <w:tc>
          <w:tcPr>
            <w:tcW w:type="dxa" w:w="198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已识别风险 + 设计稿待批</w:t>
            </w:r>
          </w:p>
        </w:tc>
        <w:tc>
          <w:tcPr>
            <w:tcW w:type="dxa" w:w="4819"/>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tests/design_reversal.md 已写冲正方案；本版本未实施</w:t>
            </w:r>
          </w:p>
        </w:tc>
      </w:tr>
    </w:tbl>
    <w:p>
      <w:pPr>
        <w:spacing w:line="336" w:lineRule="auto" w:before="240" w:after="80"/>
      </w:pPr>
      <w:r>
        <w:rPr>
          <w:b/>
          <w:i w:val="0"/>
          <w:color w:val="1F3A68"/>
          <w:sz w:val="25"/>
          <w:rFonts w:eastAsia="宋体" w:ascii="Times New Roman" w:hAnsi="Times New Roman"/>
        </w:rPr>
        <w:t>8.3 数据所有权</w:t>
      </w:r>
    </w:p>
    <w:tbl>
      <w:tblPr>
        <w:tblW w:type="auto" w:w="0"/>
        <w:tblLayout w:type="fixed"/>
        <w:tblLook w:firstColumn="1" w:firstRow="1" w:lastColumn="0" w:lastRow="0" w:noHBand="0" w:noVBand="1" w:val="04A0"/>
      </w:tblPr>
      <w:tblGrid>
        <w:gridCol w:w="9242"/>
      </w:tblGrid>
      <w:tr>
        <w:tc>
          <w:tcPr>
            <w:tcW w:type="dxa" w:w="9242"/>
            <w:shd w:val="clear" w:color="auto" w:fill="E8F5E9"/>
            <w:tcBorders>
              <w:top w:val="single" w:sz="8" w:color="2D6A4F"/>
              <w:left w:val="single" w:sz="8" w:color="2D6A4F"/>
              <w:bottom w:val="single" w:sz="8" w:color="2D6A4F"/>
              <w:right w:val="single" w:sz="8" w:color="2D6A4F"/>
            </w:tcBorders>
          </w:tcPr>
          <w:p>
            <w:pPr>
              <w:spacing w:line="360" w:lineRule="auto" w:after="80"/>
            </w:pPr>
            <w:r>
              <w:rPr>
                <w:b/>
                <w:i w:val="0"/>
                <w:color w:val="2D6A4F"/>
                <w:sz w:val="20"/>
                <w:rFonts w:eastAsia="宋体" w:ascii="Times New Roman" w:hAnsi="Times New Roman"/>
              </w:rPr>
              <w:t xml:space="preserve">✓ 说明   </w:t>
            </w:r>
          </w:p>
          <w:p>
            <w:pPr>
              <w:spacing w:line="360" w:lineRule="auto" w:after="0"/>
            </w:pPr>
            <w:r>
              <w:rPr>
                <w:b w:val="0"/>
                <w:i w:val="0"/>
                <w:color w:val="212529"/>
                <w:sz w:val="20"/>
                <w:rFonts w:eastAsia="宋体" w:ascii="Times New Roman" w:hAnsi="Times New Roman"/>
              </w:rPr>
              <w:t>本工作台不依赖任何云端 SaaS，所有数据保存于本地 data/workbench.db。</w:t>
              <w:br/>
              <w:t>所有读操作：行情数据仅 GET 至 qt.gtimg.cn（公开免费接口）。</w:t>
              <w:br/>
              <w:t>所有写操作：仅写入本地 SQLite 文件，无任何上传通道。</w:t>
            </w:r>
          </w:p>
        </w:tc>
      </w:tr>
    </w:tbl>
    <w:p>
      <w:pPr>
        <w:spacing w:after="0"/>
      </w:pPr>
    </w:p>
    <w:p>
      <w:r>
        <w:br w:type="page"/>
      </w:r>
    </w:p>
    <w:p>
      <w:pPr>
        <w:spacing w:line="336" w:lineRule="auto" w:before="480" w:after="240"/>
        <w:pBdr>
          <w:bottom w:val="single" w:sz="18" w:color="1F3A68" w:space="4"/>
        </w:pBdr>
      </w:pPr>
      <w:r>
        <w:rPr>
          <w:b/>
          <w:i w:val="0"/>
          <w:color w:val="1F3A68"/>
          <w:sz w:val="44"/>
          <w:rFonts w:eastAsia="宋体" w:ascii="Times New Roman" w:hAnsi="Times New Roman"/>
        </w:rPr>
        <w:t>9. 测试报告：46/46 全通过</w:t>
      </w:r>
    </w:p>
    <w:p>
      <w:pPr>
        <w:spacing w:line="336" w:lineRule="auto" w:before="240" w:after="80"/>
      </w:pPr>
      <w:r>
        <w:rPr>
          <w:b/>
          <w:i w:val="0"/>
          <w:color w:val="1F3A68"/>
          <w:sz w:val="25"/>
          <w:rFonts w:eastAsia="宋体" w:ascii="Times New Roman" w:hAnsi="Times New Roman"/>
        </w:rPr>
        <w:t>9.1 测试覆盖一览（v1.0.1）</w:t>
      </w:r>
    </w:p>
    <w:tbl>
      <w:tblPr>
        <w:tblW w:type="auto" w:w="0"/>
        <w:tblLayout w:type="fixed"/>
        <w:tblLook w:firstColumn="1" w:firstRow="1" w:lastColumn="0" w:lastRow="0" w:noHBand="0" w:noVBand="1" w:val="04A0"/>
      </w:tblPr>
      <w:tblGrid>
        <w:gridCol w:w="2310"/>
        <w:gridCol w:w="2310"/>
        <w:gridCol w:w="2310"/>
        <w:gridCol w:w="2310"/>
      </w:tblGrid>
      <w:tr>
        <w:tc>
          <w:tcPr>
            <w:tcW w:type="dxa" w:w="567"/>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w:t>
            </w:r>
          </w:p>
        </w:tc>
        <w:tc>
          <w:tcPr>
            <w:tcW w:type="dxa" w:w="5102"/>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覆盖项</w:t>
            </w:r>
          </w:p>
        </w:tc>
        <w:tc>
          <w:tcPr>
            <w:tcW w:type="dxa" w:w="85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断言数</w:t>
            </w:r>
          </w:p>
        </w:tc>
        <w:tc>
          <w:tcPr>
            <w:tcW w:type="dxa" w:w="226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结果</w:t>
            </w:r>
          </w:p>
        </w:tc>
      </w:tr>
      <w:tr>
        <w:tc>
          <w:tcPr>
            <w:tcW w:type="dxa" w:w="567"/>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1</w:t>
            </w:r>
          </w:p>
        </w:tc>
        <w:tc>
          <w:tcPr>
            <w:tcW w:type="dxa" w:w="51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A 股真实行情解析（fetch_tencent）</w:t>
            </w:r>
          </w:p>
        </w:tc>
        <w:tc>
          <w:tcPr>
            <w:tcW w:type="dxa" w:w="85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2</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w:t>
            </w:r>
          </w:p>
        </w:tc>
      </w:tr>
      <w:tr>
        <w:tc>
          <w:tcPr>
            <w:tcW w:type="dxa" w:w="567"/>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2</w:t>
            </w:r>
          </w:p>
        </w:tc>
        <w:tc>
          <w:tcPr>
            <w:tcW w:type="dxa" w:w="51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港股真实行情解析</w:t>
            </w:r>
          </w:p>
        </w:tc>
        <w:tc>
          <w:tcPr>
            <w:tcW w:type="dxa" w:w="85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3</w:t>
            </w:r>
          </w:p>
        </w:tc>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w:t>
            </w:r>
          </w:p>
        </w:tc>
      </w:tr>
      <w:tr>
        <w:tc>
          <w:tcPr>
            <w:tcW w:type="dxa" w:w="567"/>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3</w:t>
            </w:r>
          </w:p>
        </w:tc>
        <w:tc>
          <w:tcPr>
            <w:tcW w:type="dxa" w:w="51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行情失败时 last_success_at / last_error 同时返回</w:t>
            </w:r>
          </w:p>
        </w:tc>
        <w:tc>
          <w:tcPr>
            <w:tcW w:type="dxa" w:w="85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3</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w:t>
            </w:r>
          </w:p>
        </w:tc>
      </w:tr>
      <w:tr>
        <w:tc>
          <w:tcPr>
            <w:tcW w:type="dxa" w:w="567"/>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4</w:t>
            </w:r>
          </w:p>
        </w:tc>
        <w:tc>
          <w:tcPr>
            <w:tcW w:type="dxa" w:w="51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过期行情标记</w:t>
            </w:r>
          </w:p>
        </w:tc>
        <w:tc>
          <w:tcPr>
            <w:tcW w:type="dxa" w:w="85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1</w:t>
            </w:r>
          </w:p>
        </w:tc>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w:t>
            </w:r>
          </w:p>
        </w:tc>
      </w:tr>
      <w:tr>
        <w:tc>
          <w:tcPr>
            <w:tcW w:type="dxa" w:w="567"/>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5</w:t>
            </w:r>
          </w:p>
        </w:tc>
        <w:tc>
          <w:tcPr>
            <w:tcW w:type="dxa" w:w="51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DB Schema：FOREIGN KEY × 4 / UNIQUE / CHECK × 3 / side IN / PRAGMA</w:t>
            </w:r>
          </w:p>
        </w:tc>
        <w:tc>
          <w:tcPr>
            <w:tcW w:type="dxa" w:w="85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9</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w:t>
            </w:r>
          </w:p>
        </w:tc>
      </w:tr>
      <w:tr>
        <w:tc>
          <w:tcPr>
            <w:tcW w:type="dxa" w:w="567"/>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6</w:t>
            </w:r>
          </w:p>
        </w:tc>
        <w:tc>
          <w:tcPr>
            <w:tcW w:type="dxa" w:w="51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重复证券 (exchange, code) 被 DB UNIQUE 拦截</w:t>
            </w:r>
          </w:p>
        </w:tc>
        <w:tc>
          <w:tcPr>
            <w:tcW w:type="dxa" w:w="85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1</w:t>
            </w:r>
          </w:p>
        </w:tc>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w:t>
            </w:r>
          </w:p>
        </w:tc>
      </w:tr>
      <w:tr>
        <w:tc>
          <w:tcPr>
            <w:tcW w:type="dxa" w:w="567"/>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7</w:t>
            </w:r>
          </w:p>
        </w:tc>
        <w:tc>
          <w:tcPr>
            <w:tcW w:type="dxa" w:w="51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trades 非法值（price&lt;=0 / qty&lt;=0 / fee&lt;0 / side 非法）DB 拦截</w:t>
            </w:r>
          </w:p>
        </w:tc>
        <w:tc>
          <w:tcPr>
            <w:tcW w:type="dxa" w:w="85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4</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w:t>
            </w:r>
          </w:p>
        </w:tc>
      </w:tr>
      <w:tr>
        <w:tc>
          <w:tcPr>
            <w:tcW w:type="dxa" w:w="567"/>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8</w:t>
            </w:r>
          </w:p>
        </w:tc>
        <w:tc>
          <w:tcPr>
            <w:tcW w:type="dxa" w:w="51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超卖拦截（应用层）</w:t>
            </w:r>
          </w:p>
        </w:tc>
        <w:tc>
          <w:tcPr>
            <w:tcW w:type="dxa" w:w="85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1</w:t>
            </w:r>
          </w:p>
        </w:tc>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w:t>
            </w:r>
          </w:p>
        </w:tc>
      </w:tr>
      <w:tr>
        <w:tc>
          <w:tcPr>
            <w:tcW w:type="dxa" w:w="567"/>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9</w:t>
            </w:r>
          </w:p>
        </w:tc>
        <w:tc>
          <w:tcPr>
            <w:tcW w:type="dxa" w:w="51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业务写入 + ledger 同 transaction 失败整体 rollback</w:t>
            </w:r>
          </w:p>
        </w:tc>
        <w:tc>
          <w:tcPr>
            <w:tcW w:type="dxa" w:w="85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2</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w:t>
            </w:r>
          </w:p>
        </w:tc>
      </w:tr>
      <w:tr>
        <w:tc>
          <w:tcPr>
            <w:tcW w:type="dxa" w:w="567"/>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10</w:t>
            </w:r>
          </w:p>
        </w:tc>
        <w:tc>
          <w:tcPr>
            <w:tcW w:type="dxa" w:w="51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研究 / 计划版本化（历史保留）</w:t>
            </w:r>
          </w:p>
        </w:tc>
        <w:tc>
          <w:tcPr>
            <w:tcW w:type="dxa" w:w="85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2</w:t>
            </w:r>
          </w:p>
        </w:tc>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w:t>
            </w:r>
          </w:p>
        </w:tc>
      </w:tr>
      <w:tr>
        <w:tc>
          <w:tcPr>
            <w:tcW w:type="dxa" w:w="567"/>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11</w:t>
            </w:r>
          </w:p>
        </w:tc>
        <w:tc>
          <w:tcPr>
            <w:tcW w:type="dxa" w:w="51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多币种：HKD 缺汇率 → market_value=None / position_pct=None</w:t>
            </w:r>
          </w:p>
        </w:tc>
        <w:tc>
          <w:tcPr>
            <w:tcW w:type="dxa" w:w="85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5</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w:t>
            </w:r>
          </w:p>
        </w:tc>
      </w:tr>
      <w:tr>
        <w:tc>
          <w:tcPr>
            <w:tcW w:type="dxa" w:w="567"/>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12</w:t>
            </w:r>
          </w:p>
        </w:tc>
        <w:tc>
          <w:tcPr>
            <w:tcW w:type="dxa" w:w="51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持仓/状态一致性提示（不自动改）</w:t>
            </w:r>
          </w:p>
        </w:tc>
        <w:tc>
          <w:tcPr>
            <w:tcW w:type="dxa" w:w="85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2</w:t>
            </w:r>
          </w:p>
        </w:tc>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w:t>
            </w:r>
          </w:p>
        </w:tc>
      </w:tr>
      <w:tr>
        <w:tc>
          <w:tcPr>
            <w:tcW w:type="dxa" w:w="567"/>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13</w:t>
            </w:r>
          </w:p>
        </w:tc>
        <w:tc>
          <w:tcPr>
            <w:tcW w:type="dxa" w:w="51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生产空库初始化（init_db seed=False → 0 securities）</w:t>
            </w:r>
          </w:p>
        </w:tc>
        <w:tc>
          <w:tcPr>
            <w:tcW w:type="dxa" w:w="85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1</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w:t>
            </w:r>
          </w:p>
        </w:tc>
      </w:tr>
      <w:tr>
        <w:tc>
          <w:tcPr>
            <w:tcW w:type="dxa" w:w="567"/>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14</w:t>
            </w:r>
          </w:p>
        </w:tc>
        <w:tc>
          <w:tcPr>
            <w:tcW w:type="dxa" w:w="51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SQLite 在线 Backup 一致性</w:t>
            </w:r>
          </w:p>
        </w:tc>
        <w:tc>
          <w:tcPr>
            <w:tcW w:type="dxa" w:w="85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2</w:t>
            </w:r>
          </w:p>
        </w:tc>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w:t>
            </w:r>
          </w:p>
        </w:tc>
      </w:tr>
      <w:tr>
        <w:tc>
          <w:tcPr>
            <w:tcW w:type="dxa" w:w="567"/>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15</w:t>
            </w:r>
          </w:p>
        </w:tc>
        <w:tc>
          <w:tcPr>
            <w:tcW w:type="dxa" w:w="51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settings 关键键在迁移后存在（备份中验证）</w:t>
            </w:r>
          </w:p>
        </w:tc>
        <w:tc>
          <w:tcPr>
            <w:tcW w:type="dxa" w:w="85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3</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w:t>
            </w:r>
          </w:p>
        </w:tc>
      </w:tr>
      <w:tr>
        <w:tc>
          <w:tcPr>
            <w:tcW w:type="dxa" w:w="567"/>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16</w:t>
            </w:r>
          </w:p>
        </w:tc>
        <w:tc>
          <w:tcPr>
            <w:tcW w:type="dxa" w:w="51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server.py 不出现"UPDATE trades"业务路径</w:t>
            </w:r>
          </w:p>
        </w:tc>
        <w:tc>
          <w:tcPr>
            <w:tcW w:type="dxa" w:w="85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2</w:t>
            </w:r>
          </w:p>
        </w:tc>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w:t>
            </w:r>
          </w:p>
        </w:tc>
      </w:tr>
      <w:tr>
        <w:tc>
          <w:tcPr>
            <w:tcW w:type="dxa" w:w="567"/>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17</w:t>
            </w:r>
          </w:p>
        </w:tc>
        <w:tc>
          <w:tcPr>
            <w:tcW w:type="dxa" w:w="51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0. 备份生产 DB</w:t>
            </w:r>
          </w:p>
        </w:tc>
        <w:tc>
          <w:tcPr>
            <w:tcW w:type="dxa" w:w="85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3</w:t>
            </w:r>
          </w:p>
        </w:tc>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w:t>
            </w:r>
          </w:p>
        </w:tc>
      </w:tr>
    </w:tbl>
    <w:p>
      <w:pPr>
        <w:spacing w:line="360" w:lineRule="auto" w:before="0" w:after="80"/>
      </w:pPr>
      <w:r>
        <w:rPr>
          <w:b/>
          <w:i w:val="0"/>
          <w:color w:val="2D6A4F"/>
          <w:sz w:val="21"/>
          <w:rFonts w:eastAsia="宋体" w:ascii="Times New Roman" w:hAnsi="Times New Roman"/>
        </w:rPr>
        <w:t>断言总数：46 ✅ / 0 ❌（2026-09-10 16:24 实测）</w:t>
      </w:r>
    </w:p>
    <w:p>
      <w:pPr>
        <w:spacing w:line="336" w:lineRule="auto" w:before="240" w:after="80"/>
      </w:pPr>
      <w:r>
        <w:rPr>
          <w:b/>
          <w:i w:val="0"/>
          <w:color w:val="1F3A68"/>
          <w:sz w:val="25"/>
          <w:rFonts w:eastAsia="宋体" w:ascii="Times New Roman" w:hAnsi="Times New Roman"/>
        </w:rPr>
        <w:t>9.2 测试运行</w:t>
      </w:r>
    </w:p>
    <w:p>
      <w:pPr>
        <w:spacing w:line="360" w:lineRule="auto" w:before="0" w:after="80"/>
      </w:pPr>
      <w:r>
        <w:rPr>
          <w:b w:val="0"/>
          <w:i w:val="0"/>
          <w:sz w:val="21"/>
          <w:rFonts w:eastAsia="宋体" w:ascii="Times New Roman" w:hAnsi="Times New Roman"/>
        </w:rPr>
        <w:t>执行命令：</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 全量测试</w:t>
        <w:br/>
        <w:t>python tests/test_v101.py</w:t>
        <w:br/>
        <w:br/>
        <w:t># 备份生产 DB 后再跑（自动 restore）</w:t>
        <w:br/>
        <w:t># 测试脚本会先把生产 DB 备份到 data/backup/workbench-test-restore-&lt;时间&gt;.db</w:t>
        <w:br/>
        <w:t># 然后清理、跑 assertion、最后从备份还原</w:t>
      </w:r>
    </w:p>
    <w:p>
      <w:pPr>
        <w:spacing w:line="336" w:lineRule="auto" w:before="240" w:after="80"/>
      </w:pPr>
      <w:r>
        <w:rPr>
          <w:b/>
          <w:i w:val="0"/>
          <w:color w:val="1F3A68"/>
          <w:sz w:val="25"/>
          <w:rFonts w:eastAsia="宋体" w:ascii="Times New Roman" w:hAnsi="Times New Roman"/>
        </w:rPr>
        <w:t>9.3 仍然存在的"未覆盖"项</w:t>
      </w:r>
    </w:p>
    <w:p>
      <w:pPr>
        <w:spacing w:line="360" w:lineRule="auto" w:before="0" w:after="80"/>
      </w:pPr>
      <w:r>
        <w:rPr>
          <w:b w:val="0"/>
          <w:i w:val="0"/>
          <w:sz w:val="21"/>
          <w:rFonts w:eastAsia="宋体" w:ascii="Times New Roman" w:hAnsi="Times New Roman"/>
        </w:rPr>
        <w:t>以下场景在本版本自动化回归中尚未覆盖，建议下版本补充：</w:t>
      </w:r>
    </w:p>
    <w:p>
      <w:pPr>
        <w:pStyle w:val="ListBullet"/>
        <w:spacing w:line="360" w:lineRule="auto"/>
      </w:pPr>
      <w:r>
        <w:rPr>
          <w:b w:val="0"/>
          <w:i w:val="0"/>
          <w:sz w:val="21"/>
          <w:rFonts w:eastAsia="宋体" w:ascii="Times New Roman" w:hAnsi="Times New Roman"/>
        </w:rPr>
        <w:t>SQLite 并发写（多进程同时写入）— 当前预期单用户串行访问</w:t>
      </w:r>
    </w:p>
    <w:p>
      <w:pPr>
        <w:pStyle w:val="ListBullet"/>
        <w:spacing w:line="360" w:lineRule="auto"/>
      </w:pPr>
      <w:r>
        <w:rPr>
          <w:b w:val="0"/>
          <w:i w:val="0"/>
          <w:sz w:val="21"/>
          <w:rFonts w:eastAsia="宋体" w:ascii="Times New Roman" w:hAnsi="Times New Roman"/>
        </w:rPr>
        <w:t>10,000+ 笔交易流水的性能 / 大数据量 UI 渲染</w:t>
      </w:r>
    </w:p>
    <w:p>
      <w:pPr>
        <w:pStyle w:val="ListBullet"/>
        <w:spacing w:line="360" w:lineRule="auto"/>
      </w:pPr>
      <w:r>
        <w:rPr>
          <w:b w:val="0"/>
          <w:i w:val="0"/>
          <w:sz w:val="21"/>
          <w:rFonts w:eastAsia="宋体" w:ascii="Times New Roman" w:hAnsi="Times New Roman"/>
        </w:rPr>
        <w:t>断网/弱网/超时降级（已 last_success_at 保护但未做 30s 心跳）</w:t>
      </w:r>
    </w:p>
    <w:p>
      <w:pPr>
        <w:pStyle w:val="ListBullet"/>
        <w:spacing w:line="360" w:lineRule="auto"/>
      </w:pPr>
      <w:r>
        <w:rPr>
          <w:b w:val="0"/>
          <w:i w:val="0"/>
          <w:sz w:val="21"/>
          <w:rFonts w:eastAsia="宋体" w:ascii="Times New Roman" w:hAnsi="Times New Roman"/>
        </w:rPr>
        <w:t>A/H 自动关联建议 — 当前 ah_link_id 需手工维护</w:t>
      </w:r>
    </w:p>
    <w:p>
      <w:r>
        <w:br w:type="page"/>
      </w:r>
    </w:p>
    <w:p>
      <w:pPr>
        <w:spacing w:line="336" w:lineRule="auto" w:before="480" w:after="240"/>
        <w:pBdr>
          <w:bottom w:val="single" w:sz="18" w:color="1F3A68" w:space="4"/>
        </w:pBdr>
      </w:pPr>
      <w:r>
        <w:rPr>
          <w:b/>
          <w:i w:val="0"/>
          <w:color w:val="1F3A68"/>
          <w:sz w:val="44"/>
          <w:rFonts w:eastAsia="宋体" w:ascii="Times New Roman" w:hAnsi="Times New Roman"/>
        </w:rPr>
        <w:t>10. 部署、运维与数据所有权（v1.0.1）</w:t>
      </w:r>
    </w:p>
    <w:p>
      <w:pPr>
        <w:spacing w:line="336" w:lineRule="auto" w:before="240" w:after="80"/>
      </w:pPr>
      <w:r>
        <w:rPr>
          <w:b/>
          <w:i w:val="0"/>
          <w:color w:val="1F3A68"/>
          <w:sz w:val="25"/>
          <w:rFonts w:eastAsia="宋体" w:ascii="Times New Roman" w:hAnsi="Times New Roman"/>
        </w:rPr>
        <w:t>10.1 系统要求</w:t>
      </w:r>
    </w:p>
    <w:tbl>
      <w:tblPr>
        <w:tblW w:type="auto" w:w="0"/>
        <w:tblLayout w:type="fixed"/>
        <w:tblLook w:firstColumn="1" w:firstRow="1" w:lastColumn="0" w:lastRow="0" w:noHBand="0" w:noVBand="1" w:val="04A0"/>
      </w:tblPr>
      <w:tblGrid>
        <w:gridCol w:w="4621"/>
        <w:gridCol w:w="4621"/>
      </w:tblGrid>
      <w:tr>
        <w:tc>
          <w:tcPr>
            <w:tcW w:type="dxa" w:w="226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项</w:t>
            </w:r>
          </w:p>
        </w:tc>
        <w:tc>
          <w:tcPr>
            <w:tcW w:type="dxa" w:w="652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要求</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操作系统</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Windows 10/11 / macOS 12+ / Linux</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Python</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3.10+（已部署 3.13.12）</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磁盘</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数据库文件 &lt; 100 MB（实际约 52 KB）</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网络</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仅在 60s 自动刷新 + 手动刷新时联网</w:t>
            </w:r>
          </w:p>
        </w:tc>
      </w:tr>
    </w:tbl>
    <w:p>
      <w:pPr>
        <w:spacing w:line="336" w:lineRule="auto" w:before="240" w:after="80"/>
      </w:pPr>
      <w:r>
        <w:rPr>
          <w:b/>
          <w:i w:val="0"/>
          <w:color w:val="1F3A68"/>
          <w:sz w:val="25"/>
          <w:rFonts w:eastAsia="宋体" w:ascii="Times New Roman" w:hAnsi="Times New Roman"/>
        </w:rPr>
        <w:t>10.2 启动 / 停止</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 Windows（双击启动器）</w:t>
        <w:br/>
        <w:t>启动工作台.bat</w:t>
        <w:br/>
        <w:br/>
        <w:t># 跨平台：</w:t>
        <w:br/>
        <w:t>python app/server.py                          # 默认启动</w:t>
        <w:br/>
        <w:t>python app/server.py --port 9000              # 自定义端口</w:t>
        <w:br/>
        <w:t>python app/server.py --no-browser             # 不自动打开浏览器</w:t>
        <w:br/>
        <w:t>python app/server.py --seed                   # 显式加载 fixture 中的示例数据（仅开发/测试用）</w:t>
        <w:br/>
        <w:br/>
        <w:t># 在线备份（无需停服）：</w:t>
        <w:br/>
        <w:t>python app/server.py --backup                 # 默认写到 data/backup/workbench-&lt;时间&gt;.db</w:t>
        <w:br/>
        <w:t>python app/server.py --backup /path/to/x.db  # 自定义目标</w:t>
        <w:br/>
        <w:br/>
        <w:t># 停止：Ctrl+C 或 taskkill /F /PID &lt;pid&gt;</w:t>
      </w:r>
    </w:p>
    <w:p>
      <w:pPr>
        <w:spacing w:line="336" w:lineRule="auto" w:before="240" w:after="80"/>
      </w:pPr>
      <w:r>
        <w:rPr>
          <w:b/>
          <w:i w:val="0"/>
          <w:color w:val="1F3A68"/>
          <w:sz w:val="25"/>
          <w:rFonts w:eastAsia="宋体" w:ascii="Times New Roman" w:hAnsi="Times New Roman"/>
        </w:rPr>
        <w:t>10.3 数据备份（修正 v1.0.0 措辞）</w:t>
      </w:r>
    </w:p>
    <w:tbl>
      <w:tblPr>
        <w:tblW w:type="auto" w:w="0"/>
        <w:tblLayout w:type="fixed"/>
        <w:tblLook w:firstColumn="1" w:firstRow="1" w:lastColumn="0" w:lastRow="0" w:noHBand="0" w:noVBand="1" w:val="04A0"/>
      </w:tblPr>
      <w:tblGrid>
        <w:gridCol w:w="9242"/>
      </w:tblGrid>
      <w:tr>
        <w:tc>
          <w:tcPr>
            <w:tcW w:type="dxa" w:w="9242"/>
            <w:shd w:val="clear" w:color="auto" w:fill="FEF7E6"/>
            <w:tcBorders>
              <w:top w:val="single" w:sz="8" w:color="B7791F"/>
              <w:left w:val="single" w:sz="8" w:color="B7791F"/>
              <w:bottom w:val="single" w:sz="8" w:color="B7791F"/>
              <w:right w:val="single" w:sz="8" w:color="B7791F"/>
            </w:tcBorders>
          </w:tcPr>
          <w:p>
            <w:pPr>
              <w:spacing w:line="360" w:lineRule="auto" w:after="80"/>
            </w:pPr>
            <w:r>
              <w:rPr>
                <w:b/>
                <w:i w:val="0"/>
                <w:color w:val="B7791F"/>
                <w:sz w:val="20"/>
                <w:rFonts w:eastAsia="宋体" w:ascii="Times New Roman" w:hAnsi="Times New Roman"/>
              </w:rPr>
              <w:t xml:space="preserve">⚠ 警示   </w:t>
            </w:r>
          </w:p>
          <w:p>
            <w:pPr>
              <w:spacing w:line="360" w:lineRule="auto" w:after="0"/>
            </w:pPr>
            <w:r>
              <w:rPr>
                <w:b w:val="0"/>
                <w:i w:val="0"/>
                <w:color w:val="212529"/>
                <w:sz w:val="20"/>
                <w:rFonts w:eastAsia="宋体" w:ascii="Times New Roman" w:hAnsi="Times New Roman"/>
              </w:rPr>
              <w:t>v1.0.0 文档建议"复制 data/workbench.db 即备份"——这在 SQLite WAL 模式下不够安全（WAL 文件可能尚未 checkpoint）。</w:t>
              <w:br/>
              <w:t>v1.0.1 改为两种路径：</w:t>
              <w:br/>
              <w:t xml:space="preserve">  • 推荐：python server.py --backup（或 make_backup(dst) 调用 SQLite 原生 Backup API），无需停服；</w:t>
              <w:br/>
              <w:t xml:space="preserve">  • 兼容：先停服再复制（stop 服务 → cp 文件 → restart）。</w:t>
            </w:r>
          </w:p>
        </w:tc>
      </w:tr>
    </w:tbl>
    <w:p>
      <w:pPr>
        <w:spacing w:after="0"/>
      </w:pPr>
    </w:p>
    <w:p>
      <w:pPr>
        <w:spacing w:line="336" w:lineRule="auto" w:before="240" w:after="80"/>
      </w:pPr>
      <w:r>
        <w:rPr>
          <w:b/>
          <w:i w:val="0"/>
          <w:color w:val="1F3A68"/>
          <w:sz w:val="25"/>
          <w:rFonts w:eastAsia="宋体" w:ascii="Times New Roman" w:hAnsi="Times New Roman"/>
        </w:rPr>
        <w:t>10.4 备份→还原→启动一致性回归（实测）</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 测试脚本内置（tests/test_v101.py §13）：</w:t>
        <w:br/>
        <w:t>1. sqlite3.connect(SRC_DB) 打开源</w:t>
        <w:br/>
        <w:t>2. sqlite3.connect(DST_DB) 打开目标</w:t>
        <w:br/>
        <w:t>3. src.backup(dst)         一致性复制</w:t>
        <w:br/>
        <w:t>4. 验证行数 / 关键记录存在</w:t>
        <w:br/>
        <w:t># 全部通过（46/46）</w:t>
      </w:r>
    </w:p>
    <w:p>
      <w:pPr>
        <w:spacing w:line="336" w:lineRule="auto" w:before="240" w:after="80"/>
      </w:pPr>
      <w:r>
        <w:rPr>
          <w:b/>
          <w:i w:val="0"/>
          <w:color w:val="1F3A68"/>
          <w:sz w:val="25"/>
          <w:rFonts w:eastAsia="宋体" w:ascii="Times New Roman" w:hAnsi="Times New Roman"/>
        </w:rPr>
        <w:t>10.5 数据库迁移路径</w:t>
      </w:r>
    </w:p>
    <w:tbl>
      <w:tblPr>
        <w:tblW w:type="auto" w:w="0"/>
        <w:tblLayout w:type="fixed"/>
        <w:tblLook w:firstColumn="1" w:firstRow="1" w:lastColumn="0" w:lastRow="0" w:noHBand="0" w:noVBand="1" w:val="04A0"/>
      </w:tblPr>
      <w:tblGrid>
        <w:gridCol w:w="4621"/>
        <w:gridCol w:w="4621"/>
      </w:tblGrid>
      <w:tr>
        <w:tc>
          <w:tcPr>
            <w:tcW w:type="dxa" w:w="2835"/>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场景</w:t>
            </w:r>
          </w:p>
        </w:tc>
        <w:tc>
          <w:tcPr>
            <w:tcW w:type="dxa" w:w="5953"/>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操作</w:t>
            </w:r>
          </w:p>
        </w:tc>
      </w:tr>
      <w:tr>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首次启动</w:t>
            </w:r>
          </w:p>
        </w:tc>
        <w:tc>
          <w:tcPr>
            <w:tcW w:type="dxa" w:w="5953"/>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init_db(seed=False) 自动建表</w:t>
            </w:r>
          </w:p>
        </w:tc>
      </w:tr>
      <w:tr>
        <w:tc>
          <w:tcPr>
            <w:tcW w:type="dxa" w:w="28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v1.0.0 → v1.0.1 升级</w:t>
            </w:r>
          </w:p>
        </w:tc>
        <w:tc>
          <w:tcPr>
            <w:tcW w:type="dxa" w:w="5953"/>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init_db(seed=False) 自动调用 migrate_v101()</w:t>
            </w:r>
          </w:p>
        </w:tc>
      </w:tr>
      <w:tr>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回退 v1.0.1 → v1.0.0</w:t>
            </w:r>
          </w:p>
        </w:tc>
        <w:tc>
          <w:tcPr>
            <w:tcW w:type="dxa" w:w="5953"/>
            <w:tcBorders>
              <w:top w:val="single" w:sz="4" w:color="DEE2E6"/>
              <w:left w:val="single" w:sz="4" w:color="DEE2E6"/>
              <w:bottom w:val="single" w:sz="4" w:color="DEE2E6"/>
              <w:right w:val="single" w:sz="4" w:color="DEE2E6"/>
            </w:tcBorders>
            <w:vAlign w:val="center"/>
          </w:tcPr>
          <w:p>
            <w:pPr>
              <w:spacing w:line="324" w:lineRule="auto"/>
            </w:pPr>
            <w:r>
              <w:rPr>
                <w:b w:val="0"/>
                <w:i w:val="0"/>
                <w:color w:val="B7791F"/>
                <w:sz w:val="20"/>
                <w:rFonts w:eastAsia="宋体" w:ascii="Times New Roman" w:hAnsi="Times New Roman"/>
              </w:rPr>
              <w:t>当前不支持自动回退（SQLite schema 演进单向）</w:t>
            </w:r>
          </w:p>
        </w:tc>
      </w:tr>
    </w:tbl>
    <w:p>
      <w:pPr>
        <w:spacing w:line="336" w:lineRule="auto" w:before="240" w:after="80"/>
      </w:pPr>
      <w:r>
        <w:rPr>
          <w:b/>
          <w:i w:val="0"/>
          <w:color w:val="1F3A68"/>
          <w:sz w:val="25"/>
          <w:rFonts w:eastAsia="宋体" w:ascii="Times New Roman" w:hAnsi="Times New Roman"/>
        </w:rPr>
        <w:t>10.6 已知运维注意事项</w:t>
      </w:r>
    </w:p>
    <w:p>
      <w:pPr>
        <w:pStyle w:val="ListBullet"/>
        <w:spacing w:line="360" w:lineRule="auto"/>
      </w:pPr>
      <w:r>
        <w:rPr>
          <w:b w:val="0"/>
          <w:i w:val="0"/>
          <w:sz w:val="21"/>
          <w:rFonts w:eastAsia="宋体" w:ascii="Times New Roman" w:hAnsi="Times New Roman"/>
        </w:rPr>
        <w:t>启动前确保 8765 端口未被占用；可用 --port 切换</w:t>
      </w:r>
    </w:p>
    <w:p>
      <w:pPr>
        <w:pStyle w:val="ListBullet"/>
        <w:spacing w:line="360" w:lineRule="auto"/>
      </w:pPr>
      <w:r>
        <w:rPr>
          <w:b w:val="0"/>
          <w:i w:val="0"/>
          <w:sz w:val="21"/>
          <w:rFonts w:eastAsia="宋体" w:ascii="Times New Roman" w:hAnsi="Times New Roman"/>
        </w:rPr>
        <w:t>数据库文件绝对不可手动编辑，请通过界面操作</w:t>
      </w:r>
    </w:p>
    <w:p>
      <w:pPr>
        <w:pStyle w:val="ListBullet"/>
        <w:spacing w:line="360" w:lineRule="auto"/>
      </w:pPr>
      <w:r>
        <w:rPr>
          <w:b w:val="0"/>
          <w:i w:val="0"/>
          <w:sz w:val="21"/>
          <w:rFonts w:eastAsia="宋体" w:ascii="Times New Roman" w:hAnsi="Times New Roman"/>
        </w:rPr>
        <w:t>迁移过程在 PRAGMA foreign_keys=OFF 下重建表，确保所有数据完整复制</w:t>
      </w:r>
    </w:p>
    <w:p>
      <w:pPr>
        <w:pStyle w:val="ListBullet"/>
        <w:spacing w:line="360" w:lineRule="auto"/>
      </w:pPr>
      <w:r>
        <w:rPr>
          <w:b w:val="0"/>
          <w:i w:val="0"/>
          <w:sz w:val="21"/>
          <w:rFonts w:eastAsia="宋体" w:ascii="Times New Roman" w:hAnsi="Times New Roman"/>
        </w:rPr>
        <w:t>WAL 模式下偶发残留 *.db-wal /*.db-shm 文件；正常停止服务后会自动 checkpoint</w:t>
      </w:r>
    </w:p>
    <w:p>
      <w:r>
        <w:br w:type="page"/>
      </w:r>
    </w:p>
    <w:p>
      <w:pPr>
        <w:spacing w:line="336" w:lineRule="auto" w:before="480" w:after="240"/>
        <w:pBdr>
          <w:bottom w:val="single" w:sz="18" w:color="1F3A68" w:space="4"/>
        </w:pBdr>
      </w:pPr>
      <w:r>
        <w:rPr>
          <w:b/>
          <w:i w:val="0"/>
          <w:color w:val="1F3A68"/>
          <w:sz w:val="44"/>
          <w:rFonts w:eastAsia="宋体" w:ascii="Times New Roman" w:hAnsi="Times New Roman"/>
        </w:rPr>
        <w:t>11. 风险登记册与已知限制（含设计稿）</w:t>
      </w:r>
    </w:p>
    <w:p>
      <w:pPr>
        <w:spacing w:line="336" w:lineRule="auto" w:before="240" w:after="80"/>
      </w:pPr>
      <w:r>
        <w:rPr>
          <w:b/>
          <w:i w:val="0"/>
          <w:color w:val="1F3A68"/>
          <w:sz w:val="25"/>
          <w:rFonts w:eastAsia="宋体" w:ascii="Times New Roman" w:hAnsi="Times New Roman"/>
        </w:rPr>
        <w:t>11.1 已修复（v1.0.1 范围内）</w:t>
      </w:r>
    </w:p>
    <w:tbl>
      <w:tblPr>
        <w:tblW w:type="auto" w:w="0"/>
        <w:tblLayout w:type="fixed"/>
        <w:tblLook w:firstColumn="1" w:firstRow="1" w:lastColumn="0" w:lastRow="0" w:noHBand="0" w:noVBand="1" w:val="04A0"/>
      </w:tblPr>
      <w:tblGrid>
        <w:gridCol w:w="3081"/>
        <w:gridCol w:w="3081"/>
        <w:gridCol w:w="3081"/>
      </w:tblGrid>
      <w:tr>
        <w:tc>
          <w:tcPr>
            <w:tcW w:type="dxa" w:w="1134"/>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编号</w:t>
            </w:r>
          </w:p>
        </w:tc>
        <w:tc>
          <w:tcPr>
            <w:tcW w:type="dxa" w:w="3969"/>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风险描述</w:t>
            </w:r>
          </w:p>
        </w:tc>
        <w:tc>
          <w:tcPr>
            <w:tcW w:type="dxa" w:w="3685"/>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修复方式</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R-001</w:t>
            </w:r>
          </w:p>
        </w:tc>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color w:val="C0392B"/>
                <w:sz w:val="20"/>
                <w:rFonts w:eastAsia="宋体" w:ascii="Times New Roman" w:hAnsi="Times New Roman"/>
              </w:rPr>
              <w:t>trades CHECK 仅应用层；DB 层可被绕过</w:t>
            </w:r>
          </w:p>
        </w:tc>
        <w:tc>
          <w:tcPr>
            <w:tcW w:type="dxa" w:w="3685"/>
            <w:tcBorders>
              <w:top w:val="single" w:sz="4" w:color="DEE2E6"/>
              <w:left w:val="single" w:sz="4" w:color="DEE2E6"/>
              <w:bottom w:val="single" w:sz="4" w:color="DEE2E6"/>
              <w:right w:val="single" w:sz="4" w:color="DEE2E6"/>
            </w:tcBorders>
            <w:vAlign w:val="center"/>
          </w:tcPr>
          <w:p>
            <w:pPr>
              <w:spacing w:line="324" w:lineRule="auto"/>
            </w:pPr>
            <w:r>
              <w:rPr>
                <w:b w:val="0"/>
                <w:i w:val="0"/>
                <w:color w:val="2D6A4F"/>
                <w:sz w:val="20"/>
                <w:rFonts w:eastAsia="宋体" w:ascii="Times New Roman" w:hAnsi="Times New Roman"/>
              </w:rPr>
              <w:t>v1.0.1 加 DB CHECK（FIX-05）</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R-002</w:t>
            </w:r>
          </w:p>
        </w:tc>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color w:val="C0392B"/>
                <w:sz w:val="20"/>
                <w:rFonts w:eastAsia="宋体" w:ascii="Times New Roman" w:hAnsi="Times New Roman"/>
              </w:rPr>
              <w:t>业务表 security_id 无外键；孤儿记录破坏 append-only</w:t>
            </w:r>
          </w:p>
        </w:tc>
        <w:tc>
          <w:tcPr>
            <w:tcW w:type="dxa" w:w="368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color w:val="2D6A4F"/>
                <w:sz w:val="20"/>
                <w:rFonts w:eastAsia="宋体" w:ascii="Times New Roman" w:hAnsi="Times New Roman"/>
              </w:rPr>
              <w:t>v1.0.1 加 FOREIGN KEY + PRAGMA fk=ON（FIX-02, 03）</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R-003</w:t>
            </w:r>
          </w:p>
        </w:tc>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color w:val="C0392B"/>
                <w:sz w:val="20"/>
                <w:rFonts w:eastAsia="宋体" w:ascii="Times New Roman" w:hAnsi="Times New Roman"/>
              </w:rPr>
              <w:t>重复 (exchange, code) 反复创建标的</w:t>
            </w:r>
          </w:p>
        </w:tc>
        <w:tc>
          <w:tcPr>
            <w:tcW w:type="dxa" w:w="3685"/>
            <w:tcBorders>
              <w:top w:val="single" w:sz="4" w:color="DEE2E6"/>
              <w:left w:val="single" w:sz="4" w:color="DEE2E6"/>
              <w:bottom w:val="single" w:sz="4" w:color="DEE2E6"/>
              <w:right w:val="single" w:sz="4" w:color="DEE2E6"/>
            </w:tcBorders>
            <w:vAlign w:val="center"/>
          </w:tcPr>
          <w:p>
            <w:pPr>
              <w:spacing w:line="324" w:lineRule="auto"/>
            </w:pPr>
            <w:r>
              <w:rPr>
                <w:b w:val="0"/>
                <w:i w:val="0"/>
                <w:color w:val="2D6A4F"/>
                <w:sz w:val="20"/>
                <w:rFonts w:eastAsia="宋体" w:ascii="Times New Roman" w:hAnsi="Times New Roman"/>
              </w:rPr>
              <w:t>v1.0.1 加 UNIQUE + 应用层预检（FIX-04）</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R-004</w:t>
            </w:r>
          </w:p>
        </w:tc>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color w:val="C0392B"/>
                <w:sz w:val="20"/>
                <w:rFonts w:eastAsia="宋体" w:ascii="Times New Roman" w:hAnsi="Times New Roman"/>
              </w:rPr>
              <w:t>事务不原子：业务成功但台账缺失（单条 insert，但跨表）</w:t>
            </w:r>
          </w:p>
        </w:tc>
        <w:tc>
          <w:tcPr>
            <w:tcW w:type="dxa" w:w="368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color w:val="2D6A4F"/>
                <w:sz w:val="20"/>
                <w:rFonts w:eastAsia="宋体" w:ascii="Times New Roman" w:hAnsi="Times New Roman"/>
              </w:rPr>
              <w:t>v1.0.1 显式 BEGIN/COMMIT/ROLLBACK + 服务层 _run_in_transaction（FIX-06）</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R-005</w:t>
            </w:r>
          </w:p>
        </w:tc>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color w:val="C0392B"/>
                <w:sz w:val="20"/>
                <w:rFonts w:eastAsia="宋体" w:ascii="Times New Roman" w:hAnsi="Times New Roman"/>
              </w:rPr>
              <w:t>备份文档教用户"直接复制"，WAL 模式不安全</w:t>
            </w:r>
          </w:p>
        </w:tc>
        <w:tc>
          <w:tcPr>
            <w:tcW w:type="dxa" w:w="3685"/>
            <w:tcBorders>
              <w:top w:val="single" w:sz="4" w:color="DEE2E6"/>
              <w:left w:val="single" w:sz="4" w:color="DEE2E6"/>
              <w:bottom w:val="single" w:sz="4" w:color="DEE2E6"/>
              <w:right w:val="single" w:sz="4" w:color="DEE2E6"/>
            </w:tcBorders>
            <w:vAlign w:val="center"/>
          </w:tcPr>
          <w:p>
            <w:pPr>
              <w:spacing w:line="324" w:lineRule="auto"/>
            </w:pPr>
            <w:r>
              <w:rPr>
                <w:b w:val="0"/>
                <w:i w:val="0"/>
                <w:color w:val="2D6A4F"/>
                <w:sz w:val="20"/>
                <w:rFonts w:eastAsia="宋体" w:ascii="Times New Roman" w:hAnsi="Times New Roman"/>
              </w:rPr>
              <w:t>v1.0.1 用 SQLite 原生 Backup API（FIX-11, 12）</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R-006</w:t>
            </w:r>
          </w:p>
        </w:tc>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color w:val="C0392B"/>
                <w:sz w:val="20"/>
                <w:rFonts w:eastAsia="宋体" w:ascii="Times New Roman" w:hAnsi="Times New Roman"/>
              </w:rPr>
              <w:t>行情接口失败时返回空 data，使用方误以为无报价</w:t>
            </w:r>
          </w:p>
        </w:tc>
        <w:tc>
          <w:tcPr>
            <w:tcW w:type="dxa" w:w="368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color w:val="2D6A4F"/>
                <w:sz w:val="20"/>
                <w:rFonts w:eastAsia="宋体" w:ascii="Times New Roman" w:hAnsi="Times New Roman"/>
              </w:rPr>
              <w:t>v1.0.1 last_success_at + last_error 双标识；前端明示（FIX-07）</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R-007</w:t>
            </w:r>
          </w:p>
        </w:tc>
        <w:tc>
          <w:tcPr>
            <w:tcW w:type="dxa" w:w="3969"/>
            <w:tcBorders>
              <w:top w:val="single" w:sz="4" w:color="DEE2E6"/>
              <w:left w:val="single" w:sz="4" w:color="DEE2E6"/>
              <w:bottom w:val="single" w:sz="4" w:color="DEE2E6"/>
              <w:right w:val="single" w:sz="4" w:color="DEE2E6"/>
            </w:tcBorders>
            <w:vAlign w:val="center"/>
          </w:tcPr>
          <w:p>
            <w:pPr>
              <w:spacing w:line="324" w:lineRule="auto"/>
            </w:pPr>
            <w:r>
              <w:rPr>
                <w:b w:val="0"/>
                <w:i w:val="0"/>
                <w:color w:val="C0392B"/>
                <w:sz w:val="20"/>
                <w:rFonts w:eastAsia="宋体" w:ascii="Times New Roman" w:hAnsi="Times New Roman"/>
              </w:rPr>
              <w:t>HKD 持仓被错误地除以 CNY 账户规模，输出错误百分比</w:t>
            </w:r>
          </w:p>
        </w:tc>
        <w:tc>
          <w:tcPr>
            <w:tcW w:type="dxa" w:w="3685"/>
            <w:tcBorders>
              <w:top w:val="single" w:sz="4" w:color="DEE2E6"/>
              <w:left w:val="single" w:sz="4" w:color="DEE2E6"/>
              <w:bottom w:val="single" w:sz="4" w:color="DEE2E6"/>
              <w:right w:val="single" w:sz="4" w:color="DEE2E6"/>
            </w:tcBorders>
            <w:vAlign w:val="center"/>
          </w:tcPr>
          <w:p>
            <w:pPr>
              <w:spacing w:line="324" w:lineRule="auto"/>
            </w:pPr>
            <w:r>
              <w:rPr>
                <w:b w:val="0"/>
                <w:i w:val="0"/>
                <w:color w:val="2D6A4F"/>
                <w:sz w:val="20"/>
                <w:rFonts w:eastAsia="宋体" w:ascii="Times New Roman" w:hAnsi="Times New Roman"/>
              </w:rPr>
              <w:t>v1.0.1 HKD 必须经汇率换算；缺汇率显式 None（FIX-08）</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R-008</w:t>
            </w:r>
          </w:p>
        </w:tc>
        <w:tc>
          <w:tcPr>
            <w:tcW w:type="dxa" w:w="3969"/>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color w:val="C0392B"/>
                <w:sz w:val="20"/>
                <w:rFonts w:eastAsia="宋体" w:ascii="Times New Roman" w:hAnsi="Times New Roman"/>
              </w:rPr>
              <w:t>生产 DB 自动 seed 测试证券（v1.0.0 行为）</w:t>
            </w:r>
          </w:p>
        </w:tc>
        <w:tc>
          <w:tcPr>
            <w:tcW w:type="dxa" w:w="368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color w:val="2D6A4F"/>
                <w:sz w:val="20"/>
                <w:rFonts w:eastAsia="宋体" w:ascii="Times New Roman" w:hAnsi="Times New Roman"/>
              </w:rPr>
              <w:t>v1.0.1 默认空库；fixture 独立保存（FIX-10）</w:t>
            </w:r>
          </w:p>
        </w:tc>
      </w:tr>
    </w:tbl>
    <w:p>
      <w:pPr>
        <w:spacing w:line="336" w:lineRule="auto" w:before="240" w:after="80"/>
      </w:pPr>
      <w:r>
        <w:rPr>
          <w:b/>
          <w:i w:val="0"/>
          <w:color w:val="1F3A68"/>
          <w:sz w:val="25"/>
          <w:rFonts w:eastAsia="宋体" w:ascii="Times New Roman" w:hAnsi="Times New Roman"/>
        </w:rPr>
        <w:t>11.2 仍存在的风险（v1.0.1 范围内尚未实施，仅报告）</w:t>
      </w:r>
    </w:p>
    <w:tbl>
      <w:tblPr>
        <w:tblW w:type="auto" w:w="0"/>
        <w:tblLayout w:type="fixed"/>
        <w:tblLook w:firstColumn="1" w:firstRow="1" w:lastColumn="0" w:lastRow="0" w:noHBand="0" w:noVBand="1" w:val="04A0"/>
      </w:tblPr>
      <w:tblGrid>
        <w:gridCol w:w="3081"/>
        <w:gridCol w:w="3081"/>
        <w:gridCol w:w="3081"/>
      </w:tblGrid>
      <w:tr>
        <w:tc>
          <w:tcPr>
            <w:tcW w:type="dxa" w:w="1134"/>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编号</w:t>
            </w:r>
          </w:p>
        </w:tc>
        <w:tc>
          <w:tcPr>
            <w:tcW w:type="dxa" w:w="4535"/>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风险描述</w:t>
            </w:r>
          </w:p>
        </w:tc>
        <w:tc>
          <w:tcPr>
            <w:tcW w:type="dxa" w:w="311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状态 / 设计稿</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R-009</w:t>
            </w:r>
          </w:p>
        </w:tc>
        <w:tc>
          <w:tcPr>
            <w:tcW w:type="dxa" w:w="45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trades 表 append-only，但人工误录后无业务路径修复（无 UPDATE/DELETE）</w:t>
            </w:r>
          </w:p>
        </w:tc>
        <w:tc>
          <w:tcPr>
            <w:tcW w:type="dxa" w:w="3118"/>
            <w:tcBorders>
              <w:top w:val="single" w:sz="4" w:color="DEE2E6"/>
              <w:left w:val="single" w:sz="4" w:color="DEE2E6"/>
              <w:bottom w:val="single" w:sz="4" w:color="DEE2E6"/>
              <w:right w:val="single" w:sz="4" w:color="DEE2E6"/>
            </w:tcBorders>
            <w:vAlign w:val="center"/>
          </w:tcPr>
          <w:p>
            <w:pPr>
              <w:spacing w:line="324" w:lineRule="auto"/>
            </w:pPr>
            <w:r>
              <w:rPr>
                <w:b/>
                <w:i w:val="0"/>
                <w:color w:val="B7791F"/>
                <w:sz w:val="20"/>
                <w:rFonts w:eastAsia="宋体" w:ascii="Times New Roman" w:hAnsi="Times New Roman"/>
              </w:rPr>
              <w:t>设计稿已写（tests/design_reversal.md），未实施</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R-010</w:t>
            </w:r>
          </w:p>
        </w:tc>
        <w:tc>
          <w:tcPr>
            <w:tcW w:type="dxa" w:w="45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color w:val="C0392B"/>
                <w:sz w:val="20"/>
                <w:rFonts w:eastAsia="宋体" w:ascii="Times New Roman" w:hAnsi="Times New Roman"/>
              </w:rPr>
              <w:t>research_pool 当前位于 securities 表（可更新），与研究结论应版本化的设计矛盾 —— 修改会覆盖历史分类</w:t>
            </w:r>
          </w:p>
        </w:tc>
        <w:tc>
          <w:tcPr>
            <w:tcW w:type="dxa" w:w="311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i w:val="0"/>
                <w:color w:val="B7791F"/>
                <w:sz w:val="20"/>
                <w:rFonts w:eastAsia="宋体" w:ascii="Times New Roman" w:hAnsi="Times New Roman"/>
              </w:rPr>
              <w:t>设计稿已写（tests/design_research_pool_history.md），未实施</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R-011</w:t>
            </w:r>
          </w:p>
        </w:tc>
        <w:tc>
          <w:tcPr>
            <w:tcW w:type="dxa" w:w="4535"/>
            <w:tcBorders>
              <w:top w:val="single" w:sz="4" w:color="DEE2E6"/>
              <w:left w:val="single" w:sz="4" w:color="DEE2E6"/>
              <w:bottom w:val="single" w:sz="4" w:color="DEE2E6"/>
              <w:right w:val="single" w:sz="4" w:color="DEE2E6"/>
            </w:tcBorders>
            <w:vAlign w:val="center"/>
          </w:tcPr>
          <w:p>
            <w:pPr>
              <w:spacing w:line="324" w:lineRule="auto"/>
            </w:pPr>
            <w:r>
              <w:rPr>
                <w:b w:val="0"/>
                <w:i w:val="0"/>
                <w:color w:val="B7791F"/>
                <w:sz w:val="20"/>
                <w:rFonts w:eastAsia="宋体" w:ascii="Times New Roman" w:hAnsi="Times New Roman"/>
              </w:rPr>
              <w:t>持仓与 status 不一致（"有持仓 status≠持仓中"或反之）系统只给提示</w:t>
            </w:r>
          </w:p>
        </w:tc>
        <w:tc>
          <w:tcPr>
            <w:tcW w:type="dxa" w:w="3118"/>
            <w:tcBorders>
              <w:top w:val="single" w:sz="4" w:color="DEE2E6"/>
              <w:left w:val="single" w:sz="4" w:color="DEE2E6"/>
              <w:bottom w:val="single" w:sz="4" w:color="DEE2E6"/>
              <w:right w:val="single" w:sz="4" w:color="DEE2E6"/>
            </w:tcBorders>
            <w:vAlign w:val="center"/>
          </w:tcPr>
          <w:p>
            <w:pPr>
              <w:spacing w:line="324" w:lineRule="auto"/>
            </w:pPr>
            <w:r>
              <w:rPr>
                <w:b w:val="0"/>
                <w:i w:val="0"/>
                <w:color w:val="2D6A4F"/>
                <w:sz w:val="20"/>
                <w:rFonts w:eastAsia="宋体" w:ascii="Times New Roman" w:hAnsi="Times New Roman"/>
              </w:rPr>
              <w:t>不自动改正（依用户指令：仅一致性提示，不新增状态机规则）</w:t>
            </w:r>
          </w:p>
        </w:tc>
      </w:tr>
      <w:tr>
        <w:tc>
          <w:tcPr>
            <w:tcW w:type="dxa" w:w="1134"/>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R-012</w:t>
            </w:r>
          </w:p>
        </w:tc>
        <w:tc>
          <w:tcPr>
            <w:tcW w:type="dxa" w:w="45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color w:val="B7791F"/>
                <w:sz w:val="20"/>
                <w:rFonts w:eastAsia="宋体" w:ascii="Times New Roman" w:hAnsi="Times New Roman"/>
              </w:rPr>
              <w:t>行情数据源（腾讯）单点依赖，免费接口不保证 SLA，可能调整或中断</w:t>
            </w:r>
          </w:p>
        </w:tc>
        <w:tc>
          <w:tcPr>
            <w:tcW w:type="dxa" w:w="311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v1.0.1 已加 last_success_at / last_error 双向标识；仍依赖第三方</w:t>
            </w:r>
          </w:p>
        </w:tc>
      </w:tr>
      <w:tr>
        <w:tc>
          <w:tcPr>
            <w:tcW w:type="dxa" w:w="1134"/>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R-013</w:t>
            </w:r>
          </w:p>
        </w:tc>
        <w:tc>
          <w:tcPr>
            <w:tcW w:type="dxa" w:w="4535"/>
            <w:tcBorders>
              <w:top w:val="single" w:sz="4" w:color="DEE2E6"/>
              <w:left w:val="single" w:sz="4" w:color="DEE2E6"/>
              <w:bottom w:val="single" w:sz="4" w:color="DEE2E6"/>
              <w:right w:val="single" w:sz="4" w:color="DEE2E6"/>
            </w:tcBorders>
            <w:vAlign w:val="center"/>
          </w:tcPr>
          <w:p>
            <w:pPr>
              <w:spacing w:line="324" w:lineRule="auto"/>
            </w:pPr>
            <w:r>
              <w:rPr>
                <w:b w:val="0"/>
                <w:i w:val="0"/>
                <w:color w:val="B7791F"/>
                <w:sz w:val="20"/>
                <w:rFonts w:eastAsia="宋体" w:ascii="Times New Roman" w:hAnsi="Times New Roman"/>
              </w:rPr>
              <w:t>SQLite 并发写：WAL 提供读并发，但写仍全局锁；多进程同写会被 SQLITE_BUSY 拦截</w:t>
            </w:r>
          </w:p>
        </w:tc>
        <w:tc>
          <w:tcPr>
            <w:tcW w:type="dxa" w:w="311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当前预期单用户；多进程场景未测试（性能与一致性未知）</w:t>
            </w:r>
          </w:p>
        </w:tc>
      </w:tr>
    </w:tbl>
    <w:p>
      <w:pPr>
        <w:spacing w:line="336" w:lineRule="auto" w:before="240" w:after="80"/>
      </w:pPr>
      <w:r>
        <w:rPr>
          <w:b/>
          <w:i w:val="0"/>
          <w:color w:val="1F3A68"/>
          <w:sz w:val="25"/>
          <w:rFonts w:eastAsia="宋体" w:ascii="Times New Roman" w:hAnsi="Times New Roman"/>
        </w:rPr>
        <w:t>11.3 范围限制（明确不做）</w:t>
      </w:r>
    </w:p>
    <w:p>
      <w:pPr>
        <w:spacing w:line="360" w:lineRule="auto" w:before="0" w:after="80"/>
      </w:pPr>
      <w:r>
        <w:rPr>
          <w:b w:val="0"/>
          <w:i/>
          <w:color w:val="6C757D"/>
          <w:sz w:val="21"/>
          <w:rFonts w:eastAsia="宋体" w:ascii="Times New Roman" w:hAnsi="Times New Roman"/>
        </w:rPr>
        <w:t>请参照 §2.3。</w:t>
      </w:r>
    </w:p>
    <w:p>
      <w:pPr>
        <w:spacing w:line="336" w:lineRule="auto" w:before="240" w:after="80"/>
      </w:pPr>
      <w:r>
        <w:rPr>
          <w:b/>
          <w:i w:val="0"/>
          <w:color w:val="1F3A68"/>
          <w:sz w:val="25"/>
          <w:rFonts w:eastAsia="宋体" w:ascii="Times New Roman" w:hAnsi="Times New Roman"/>
        </w:rPr>
        <w:t>11.4 未来路线图（不在 v1.0.1 范围）</w:t>
      </w:r>
    </w:p>
    <w:p>
      <w:pPr>
        <w:pStyle w:val="ListBullet"/>
        <w:spacing w:line="360" w:lineRule="auto"/>
      </w:pPr>
      <w:r>
        <w:rPr>
          <w:b w:val="0"/>
          <w:i w:val="0"/>
          <w:sz w:val="21"/>
          <w:rFonts w:eastAsia="宋体" w:ascii="Times New Roman" w:hAnsi="Times New Roman"/>
        </w:rPr>
        <w:t>trades 冲正 API（依据 design_reversal.md，需用户批准）</w:t>
      </w:r>
    </w:p>
    <w:p>
      <w:pPr>
        <w:pStyle w:val="ListBullet"/>
        <w:spacing w:line="360" w:lineRule="auto"/>
      </w:pPr>
      <w:r>
        <w:rPr>
          <w:b w:val="0"/>
          <w:i w:val="0"/>
          <w:sz w:val="21"/>
          <w:rFonts w:eastAsia="宋体" w:ascii="Times New Roman" w:hAnsi="Times New Roman"/>
        </w:rPr>
        <w:t>research_pool 重构（依据 design_research_pool_history.md，需用户批准）</w:t>
      </w:r>
    </w:p>
    <w:p>
      <w:pPr>
        <w:pStyle w:val="ListBullet"/>
        <w:spacing w:line="360" w:lineRule="auto"/>
      </w:pPr>
      <w:r>
        <w:rPr>
          <w:b w:val="0"/>
          <w:i w:val="0"/>
          <w:sz w:val="21"/>
          <w:rFonts w:eastAsia="宋体" w:ascii="Times New Roman" w:hAnsi="Times New Roman"/>
        </w:rPr>
        <w:t>行情多源 / 多币种系统 / 移动端 / 量化指标 / Markdown 导入（保持不做）</w:t>
      </w:r>
    </w:p>
    <w:p>
      <w:r>
        <w:br w:type="page"/>
      </w:r>
    </w:p>
    <w:p>
      <w:pPr>
        <w:spacing w:line="336" w:lineRule="auto" w:before="480" w:after="240"/>
        <w:pBdr>
          <w:bottom w:val="single" w:sz="18" w:color="1F3A68" w:space="4"/>
        </w:pBdr>
      </w:pPr>
      <w:r>
        <w:rPr>
          <w:b/>
          <w:i w:val="0"/>
          <w:color w:val="1F3A68"/>
          <w:sz w:val="44"/>
          <w:rFonts w:eastAsia="宋体" w:ascii="Times New Roman" w:hAnsi="Times New Roman"/>
        </w:rPr>
        <w:t>12. 第三方审计重点与建议</w:t>
      </w:r>
    </w:p>
    <w:p>
      <w:pPr>
        <w:spacing w:line="336" w:lineRule="auto" w:before="240" w:after="80"/>
      </w:pPr>
      <w:r>
        <w:rPr>
          <w:b/>
          <w:i w:val="0"/>
          <w:color w:val="1F3A68"/>
          <w:sz w:val="25"/>
          <w:rFonts w:eastAsia="宋体" w:ascii="Times New Roman" w:hAnsi="Times New Roman"/>
        </w:rPr>
        <w:t>12.1 建议审计方核验的方法</w:t>
      </w:r>
    </w:p>
    <w:tbl>
      <w:tblPr>
        <w:tblW w:type="auto" w:w="0"/>
        <w:tblLayout w:type="fixed"/>
        <w:tblLook w:firstColumn="1" w:firstRow="1" w:lastColumn="0" w:lastRow="0" w:noHBand="0" w:noVBand="1" w:val="04A0"/>
      </w:tblPr>
      <w:tblGrid>
        <w:gridCol w:w="4621"/>
        <w:gridCol w:w="4621"/>
      </w:tblGrid>
      <w:tr>
        <w:tc>
          <w:tcPr>
            <w:tcW w:type="dxa" w:w="2268"/>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审计领域</w:t>
            </w:r>
          </w:p>
        </w:tc>
        <w:tc>
          <w:tcPr>
            <w:tcW w:type="dxa" w:w="652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建议核验方法</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文件完整性</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Get-FileHash -Algorithm SHA256 验证 §4.1/§4.2 的 9 个文件哈希</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零第三方依赖</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python -c "import sys; print(sys.modules.keys())" 仅在 import server 后检查</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SQL 注入防护</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server.py 中所有 SQL 均为参数化（? 占位符），无 f-string 拼接</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FOREIGN KEY 启用</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sqlite3.connect(db_path) + PRAGMA foreign_keys 后 INSERT 孤儿 trade → 应被拒绝</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UNIQUE 完整性</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尝试重复 (exchange, code) 插入应失败（应用层 + DB 层）</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CHECK 约束</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INSERT INTO trades with price=-1 / quantity=0 / fee=-1 / side=撤单 均应失败</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事务原子化</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注入 ledger 失败 → 业务记录也回滚（见 _LEDGER_FAIL_INJECT 测试钩子）</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行情解析字段</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抓 qt.gtimg.cn 实际响应 → f[30] 既是 A 股也是港股的市场时间（格式不同）</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last_success_at</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临时将 qt.gtimg.cn 域名指向 127.0.0.1:1 → 调用应进入失败路径并保留上次成功项</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多币种换算</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清空 hkd_cny_rate → HKD 标的 position_pct 与 market_value 均 None</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持仓/状态一致性</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手工制造不一致 → 检查 detail 接口返回 position_consistency.issues，验证 status 未被改</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示例数据未预置</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启动空 DB → securities 应为 []（默认）</w:t>
            </w:r>
          </w:p>
        </w:tc>
      </w:tr>
      <w:tr>
        <w:tc>
          <w:tcPr>
            <w:tcW w:type="dxa" w:w="2268"/>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trades append-only</w:t>
            </w:r>
          </w:p>
        </w:tc>
        <w:tc>
          <w:tcPr>
            <w:tcW w:type="dxa" w:w="652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grep -E "UPDATE trades|DELETE FROM trades" server.py 应无业务路径</w:t>
            </w:r>
          </w:p>
        </w:tc>
      </w:tr>
      <w:tr>
        <w:tc>
          <w:tcPr>
            <w:tcW w:type="dxa" w:w="2268"/>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备份一致性</w:t>
            </w:r>
          </w:p>
        </w:tc>
        <w:tc>
          <w:tcPr>
            <w:tcW w:type="dxa" w:w="652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python server.py --backup 后用 sqlite3.connect 打开备份 → 行数一致</w:t>
            </w:r>
          </w:p>
        </w:tc>
      </w:tr>
    </w:tbl>
    <w:p>
      <w:pPr>
        <w:spacing w:line="336" w:lineRule="auto" w:before="240" w:after="80"/>
      </w:pPr>
      <w:r>
        <w:rPr>
          <w:b/>
          <w:i w:val="0"/>
          <w:color w:val="1F3A68"/>
          <w:sz w:val="25"/>
          <w:rFonts w:eastAsia="宋体" w:ascii="Times New Roman" w:hAnsi="Times New Roman"/>
        </w:rPr>
        <w:t>12.2 结论性声明</w:t>
      </w:r>
    </w:p>
    <w:tbl>
      <w:tblPr>
        <w:tblW w:type="auto" w:w="0"/>
        <w:tblLayout w:type="fixed"/>
        <w:tblLook w:firstColumn="1" w:firstRow="1" w:lastColumn="0" w:lastRow="0" w:noHBand="0" w:noVBand="1" w:val="04A0"/>
      </w:tblPr>
      <w:tblGrid>
        <w:gridCol w:w="9242"/>
      </w:tblGrid>
      <w:tr>
        <w:tc>
          <w:tcPr>
            <w:tcW w:type="dxa" w:w="9242"/>
            <w:shd w:val="clear" w:color="auto" w:fill="E8F5E9"/>
            <w:tcBorders>
              <w:top w:val="single" w:sz="8" w:color="2D6A4F"/>
              <w:left w:val="single" w:sz="8" w:color="2D6A4F"/>
              <w:bottom w:val="single" w:sz="8" w:color="2D6A4F"/>
              <w:right w:val="single" w:sz="8" w:color="2D6A4F"/>
            </w:tcBorders>
          </w:tcPr>
          <w:p>
            <w:pPr>
              <w:spacing w:line="360" w:lineRule="auto" w:after="80"/>
            </w:pPr>
            <w:r>
              <w:rPr>
                <w:b/>
                <w:i w:val="0"/>
                <w:color w:val="2D6A4F"/>
                <w:sz w:val="20"/>
                <w:rFonts w:eastAsia="宋体" w:ascii="Times New Roman" w:hAnsi="Times New Roman"/>
              </w:rPr>
              <w:t xml:space="preserve">✓ 说明   </w:t>
            </w:r>
          </w:p>
          <w:p>
            <w:pPr>
              <w:spacing w:line="360" w:lineRule="auto" w:after="0"/>
            </w:pPr>
            <w:r>
              <w:rPr>
                <w:b w:val="0"/>
                <w:i w:val="0"/>
                <w:color w:val="212529"/>
                <w:sz w:val="20"/>
                <w:rFonts w:eastAsia="宋体" w:ascii="Times New Roman" w:hAnsi="Times New Roman"/>
              </w:rPr>
              <w:t>本系统是面向个人投研工作流的极简工具，已按"零第三方依赖、本地数据所有权、append-only 审计线索"三条原则构建。v1.0.1 在不增加功能的前提下完成 13 项数据完整性修复。</w:t>
              <w:br/>
              <w:t>所有规则均为非商业用途的辅助决策工具；不作任何投资建议，也不执行任何交易。</w:t>
              <w:br/>
              <w:t>若审计发现违反上述原则的实现细节，欢迎在签字栏反馈。</w:t>
            </w:r>
          </w:p>
        </w:tc>
      </w:tr>
    </w:tbl>
    <w:p>
      <w:pPr>
        <w:spacing w:after="0"/>
      </w:pPr>
    </w:p>
    <w:p>
      <w:r>
        <w:br w:type="page"/>
      </w:r>
    </w:p>
    <w:p>
      <w:pPr>
        <w:spacing w:line="336" w:lineRule="auto" w:before="480" w:after="240"/>
        <w:pBdr>
          <w:bottom w:val="single" w:sz="18" w:color="1F3A68" w:space="4"/>
        </w:pBdr>
      </w:pPr>
      <w:r>
        <w:rPr>
          <w:b/>
          <w:i w:val="0"/>
          <w:color w:val="1F3A68"/>
          <w:sz w:val="44"/>
          <w:rFonts w:eastAsia="宋体" w:ascii="Times New Roman" w:hAnsi="Times New Roman"/>
        </w:rPr>
        <w:t>13. 关键代码节选（v1.0.1，非完整源码）</w:t>
      </w:r>
    </w:p>
    <w:tbl>
      <w:tblPr>
        <w:tblW w:type="auto" w:w="0"/>
        <w:tblLayout w:type="fixed"/>
        <w:tblLook w:firstColumn="1" w:firstRow="1" w:lastColumn="0" w:lastRow="0" w:noHBand="0" w:noVBand="1" w:val="04A0"/>
      </w:tblPr>
      <w:tblGrid>
        <w:gridCol w:w="9242"/>
      </w:tblGrid>
      <w:tr>
        <w:tc>
          <w:tcPr>
            <w:tcW w:type="dxa" w:w="9242"/>
            <w:shd w:val="clear" w:color="auto" w:fill="FEF7E6"/>
            <w:tcBorders>
              <w:top w:val="single" w:sz="8" w:color="B7791F"/>
              <w:left w:val="single" w:sz="8" w:color="B7791F"/>
              <w:bottom w:val="single" w:sz="8" w:color="B7791F"/>
              <w:right w:val="single" w:sz="8" w:color="B7791F"/>
            </w:tcBorders>
          </w:tcPr>
          <w:p>
            <w:pPr>
              <w:spacing w:line="360" w:lineRule="auto" w:after="80"/>
            </w:pPr>
            <w:r>
              <w:rPr>
                <w:b/>
                <w:i w:val="0"/>
                <w:color w:val="B7791F"/>
                <w:sz w:val="20"/>
                <w:rFonts w:eastAsia="宋体" w:ascii="Times New Roman" w:hAnsi="Times New Roman"/>
              </w:rPr>
              <w:t xml:space="preserve">⚠ 警示   </w:t>
            </w:r>
          </w:p>
          <w:p>
            <w:pPr>
              <w:spacing w:line="360" w:lineRule="auto" w:after="0"/>
            </w:pPr>
            <w:r>
              <w:rPr>
                <w:b w:val="0"/>
                <w:i w:val="0"/>
                <w:color w:val="212529"/>
                <w:sz w:val="20"/>
                <w:rFonts w:eastAsia="宋体" w:ascii="Times New Roman" w:hAnsi="Times New Roman"/>
              </w:rPr>
              <w:t>本附录为关键代码节选，便于第三方审计方快速定位修复实现位置。</w:t>
              <w:br/>
              <w:t>完整源文件请见 §4 中的 9 个交付文件及对应 SHA-256。</w:t>
            </w:r>
          </w:p>
        </w:tc>
      </w:tr>
    </w:tbl>
    <w:p>
      <w:pPr>
        <w:spacing w:after="0"/>
      </w:pPr>
    </w:p>
    <w:p>
      <w:pPr>
        <w:spacing w:line="336" w:lineRule="auto" w:before="240" w:after="80"/>
      </w:pPr>
      <w:r>
        <w:rPr>
          <w:b/>
          <w:i w:val="0"/>
          <w:color w:val="1F3A68"/>
          <w:sz w:val="25"/>
          <w:rFonts w:eastAsia="宋体" w:ascii="Times New Roman" w:hAnsi="Times New Roman"/>
        </w:rPr>
        <w:t>13.1 FOREIGN KEY / UNIQUE / CHECK 在 SCHEMA 中的体现（节选）</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 节选自 app/server.py SCHEMA</w:t>
        <w:br/>
        <w:t>CREATE TABLE securities (</w:t>
        <w:br/>
        <w:t xml:space="preserve">  ...,</w:t>
        <w:br/>
        <w:t xml:space="preserve">  UNIQUE(exchange, code)                         -- v1.0.1 FIX-04</w:t>
        <w:br/>
        <w:t>);</w:t>
        <w:br/>
        <w:br/>
        <w:t>CREATE TABLE research (</w:t>
        <w:br/>
        <w:t xml:space="preserve">  security_id INTEGER NOT NULL</w:t>
        <w:br/>
        <w:t xml:space="preserve">    REFERENCES securities(id) ON DELETE RESTRICT,  -- v1.0.1 FIX-02</w:t>
        <w:br/>
        <w:t xml:space="preserve">  ...</w:t>
        <w:br/>
        <w:t>);</w:t>
        <w:br/>
        <w:br/>
        <w:t>CREATE TABLE trades (</w:t>
        <w:br/>
        <w:t xml:space="preserve">  security_id INTEGER NOT NULL</w:t>
        <w:br/>
        <w:t xml:space="preserve">    REFERENCES securities(id) ON DELETE RESTRICT,</w:t>
        <w:br/>
        <w:t xml:space="preserve">  side TEXT NOT NULL CHECK (side IN ('买入','卖出')),</w:t>
        <w:br/>
        <w:t xml:space="preserve">  price REAL NOT NULL CHECK (price &gt; 0),          -- v1.0.1 FIX-05</w:t>
        <w:br/>
        <w:t xml:space="preserve">  quantity REAL NOT NULL CHECK (quantity &gt; 0),</w:t>
        <w:br/>
        <w:t xml:space="preserve">  fee REAL NOT NULL DEFAULT 0 CHECK (fee &gt;= 0),</w:t>
        <w:br/>
        <w:t xml:space="preserve">  ...</w:t>
        <w:br/>
        <w:t>);</w:t>
      </w:r>
    </w:p>
    <w:p>
      <w:pPr>
        <w:spacing w:line="336" w:lineRule="auto" w:before="240" w:after="80"/>
      </w:pPr>
      <w:r>
        <w:rPr>
          <w:b/>
          <w:i w:val="0"/>
          <w:color w:val="1F3A68"/>
          <w:sz w:val="25"/>
          <w:rFonts w:eastAsia="宋体" w:ascii="Times New Roman" w:hAnsi="Times New Roman"/>
        </w:rPr>
        <w:t>13.2 PRAGMA foreign_keys=ON 默认启用（节选）</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def get_db():</w:t>
        <w:br/>
        <w:t xml:space="preserve">    """每个 server-managed 连接都启用外键约束"""</w:t>
        <w:br/>
        <w:t xml:space="preserve">    conn = sqlite3.connect(DB_PATH, timeout=10)</w:t>
        <w:br/>
        <w:t xml:space="preserve">    conn.row_factory = sqlite3.Row</w:t>
        <w:br/>
        <w:t xml:space="preserve">    conn.execute('PRAGMA journal_mode=WAL')</w:t>
        <w:br/>
        <w:t xml:space="preserve">    conn.execute('PRAGMA foreign_keys=ON')         # v1.0.1 FIX-03</w:t>
        <w:br/>
        <w:t xml:space="preserve">    return conn</w:t>
      </w:r>
    </w:p>
    <w:p>
      <w:pPr>
        <w:spacing w:line="336" w:lineRule="auto" w:before="240" w:after="80"/>
      </w:pPr>
      <w:r>
        <w:rPr>
          <w:b/>
          <w:i w:val="0"/>
          <w:color w:val="1F3A68"/>
          <w:sz w:val="25"/>
          <w:rFonts w:eastAsia="宋体" w:ascii="Times New Roman" w:hAnsi="Times New Roman"/>
        </w:rPr>
        <w:t>13.3 事务原子化（节选）</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def _run_in_transaction(func):</w:t>
        <w:br/>
        <w:t xml:space="preserve">    """装饰器：业务写入 + ledger 写入整体事务化"""</w:t>
        <w:br/>
        <w:t xml:space="preserve">    def wrapper(*args, **kwargs):</w:t>
        <w:br/>
        <w:t xml:space="preserve">        conn = get_db()</w:t>
        <w:br/>
        <w:t xml:space="preserve">        try:</w:t>
        <w:br/>
        <w:t xml:space="preserve">            conn.execute('BEGIN')</w:t>
        <w:br/>
        <w:t xml:space="preserve">            res = func(conn, *args, **kwargs)</w:t>
        <w:br/>
        <w:t xml:space="preserve">            conn.execute('COMMIT')</w:t>
        <w:br/>
        <w:t xml:space="preserve">            return res</w:t>
        <w:br/>
        <w:t xml:space="preserve">        except Exception:</w:t>
        <w:br/>
        <w:t xml:space="preserve">            try: conn.execute('ROLLBACK')</w:t>
        <w:br/>
        <w:t xml:space="preserve">            except Exception: pass</w:t>
        <w:br/>
        <w:t xml:space="preserve">            raise</w:t>
        <w:br/>
        <w:t xml:space="preserve">        finally:</w:t>
        <w:br/>
        <w:t xml:space="preserve">            conn.close()</w:t>
        <w:br/>
        <w:t xml:space="preserve">    return wrapper</w:t>
        <w:br/>
        <w:br/>
        <w:t># 所有 change_* / update_* / add_* 函数都通过该装饰器</w:t>
        <w:br/>
        <w:t>@_run_in_transaction</w:t>
        <w:br/>
        <w:t>def change_status_tx(conn, sid, body):</w:t>
        <w:br/>
        <w:t xml:space="preserve">    ...</w:t>
        <w:br/>
        <w:t xml:space="preserve">    conn.execute('UPDATE securities SET status=? WHERE id=?', ...)</w:t>
        <w:br/>
        <w:t xml:space="preserve">    ledger_add(conn, sid, event_date, '状态变更', summary, reason)</w:t>
        <w:br/>
        <w:t xml:space="preserve">    # 任一异常 → 自动 ROLLBACK</w:t>
      </w:r>
    </w:p>
    <w:p>
      <w:pPr>
        <w:spacing w:line="336" w:lineRule="auto" w:before="240" w:after="80"/>
      </w:pPr>
      <w:r>
        <w:rPr>
          <w:b/>
          <w:i w:val="0"/>
          <w:color w:val="1F3A68"/>
          <w:sz w:val="25"/>
          <w:rFonts w:eastAsia="宋体" w:ascii="Times New Roman" w:hAnsi="Times New Roman"/>
        </w:rPr>
        <w:t>13.4 行情字段正确性（节选）</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def fetch_tencent(symbols):</w:t>
        <w:br/>
        <w:t xml:space="preserve">    """实测：A 股 + 港股的"行情时间"都在 f[30]，格式不同：</w:t>
        <w:br/>
        <w:t xml:space="preserve">    A 股: YYYYMMDDHHMMSS（紧凑 14 位）</w:t>
        <w:br/>
        <w:t xml:space="preserve">    港股: YYYY/MM/DD HH:MM:SS（19 位）</w:t>
        <w:br/>
        <w:t xml:space="preserve">    """</w:t>
        <w:br/>
        <w:t xml:space="preserve">    for m in re.finditer(r'v_([A-Za-z0-9_]+)="([^"]*)"', raw):</w:t>
        <w:br/>
        <w:t xml:space="preserve">        f = m.group(2).split('~')</w:t>
        <w:br/>
        <w:t xml:space="preserve">        if len(f) &lt; 33: continue</w:t>
        <w:br/>
        <w:t xml:space="preserve">        market = m.group(1)[:2].lower()    # 'sh' / 'sz' / 'hk'</w:t>
        <w:br/>
        <w:t xml:space="preserve">        mt_raw = f[30]</w:t>
        <w:br/>
        <w:t xml:space="preserve">        if market == 'hk':</w:t>
        <w:br/>
        <w:t xml:space="preserve">            mt = mt_raw.replace('/', '-') if re.fullmatch(r'\d{4}/\d{2}/\d{2} \d{2}:\d{2}:\d{2}', mt_raw or '') else ''</w:t>
        <w:br/>
        <w:t xml:space="preserve">        else:</w:t>
        <w:br/>
        <w:t xml:space="preserve">            if re.fullmatch(r'\d{14}', mt_raw or ''):</w:t>
        <w:br/>
        <w:t xml:space="preserve">                mt = f'{mt_raw[0:4]}-{mt_raw[4:6]}-{mt_raw[6:8]} {mt_raw[8:10]}:{mt_raw[10:12]}:{mt_raw[12:14]}'</w:t>
        <w:br/>
        <w:t xml:space="preserve">            else:</w:t>
        <w:br/>
        <w:t xml:space="preserve">                mt = ''</w:t>
      </w:r>
    </w:p>
    <w:p>
      <w:pPr>
        <w:spacing w:line="336" w:lineRule="auto" w:before="240" w:after="80"/>
      </w:pPr>
      <w:r>
        <w:rPr>
          <w:b/>
          <w:i w:val="0"/>
          <w:color w:val="1F3A68"/>
          <w:sz w:val="25"/>
          <w:rFonts w:eastAsia="宋体" w:ascii="Times New Roman" w:hAnsi="Times New Roman"/>
        </w:rPr>
        <w:t>13.5 多币种仓位计算（节选）</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def compute_position(conn, sid, account_size_cny=None, hkd_cny_rate=None):</w:t>
        <w:br/>
        <w:t xml:space="preserve">    """持仓 quantity / avg_cost 由流水推导；</w:t>
        <w:br/>
        <w:t xml:space="preserve">    market_value / position_pct 计算需要汇率或账户规模。"""</w:t>
        <w:br/>
        <w:t xml:space="preserve">    currency = sec['currency']</w:t>
        <w:br/>
        <w:t xml:space="preserve">    if qty &gt; 0 and cur_price and cur_price &gt; 0:</w:t>
        <w:br/>
        <w:t xml:space="preserve">        if currency == 'CNY':</w:t>
        <w:br/>
        <w:t xml:space="preserve">            pos['market_value'] = round(qty * cur_price, 2)</w:t>
        <w:br/>
        <w:t xml:space="preserve">        elif currency == 'HKD':</w:t>
        <w:br/>
        <w:t xml:space="preserve">            if hkd_cny_rate and float(hkd_cny_rate) &gt; 0:</w:t>
        <w:br/>
        <w:t xml:space="preserve">                pos['market_value'] = round(qty * cur_price * float(hkd_cny_rate), 2)</w:t>
        <w:br/>
        <w:t xml:space="preserve">            else:</w:t>
        <w:br/>
        <w:t xml:space="preserve">                pos['market_value'] = None           # 显式 None，不输出错误比例</w:t>
        <w:br/>
        <w:t xml:space="preserve">                pos['fx_rate_missing'] = True</w:t>
      </w:r>
    </w:p>
    <w:p>
      <w:pPr>
        <w:spacing w:line="336" w:lineRule="auto" w:before="240" w:after="80"/>
      </w:pPr>
      <w:r>
        <w:rPr>
          <w:b/>
          <w:i w:val="0"/>
          <w:color w:val="1F3A68"/>
          <w:sz w:val="25"/>
          <w:rFonts w:eastAsia="宋体" w:ascii="Times New Roman" w:hAnsi="Times New Roman"/>
        </w:rPr>
        <w:t>13.6 持仓/状态一致性提示（不自动改）</w:t>
      </w:r>
    </w:p>
    <w:p>
      <w:pPr>
        <w:spacing w:line="324" w:lineRule="auto" w:after="160"/>
        <w:ind w:left="160"/>
        <w:pBdr>
          <w:left w:val="single" w:sz="18" w:color="1F3A68" w:space="6"/>
        </w:pBdr>
        <w:shd w:val="clear" w:color="auto" w:fill="F7F9FC"/>
      </w:pPr>
      <w:r>
        <w:rPr>
          <w:b w:val="0"/>
          <w:i w:val="0"/>
          <w:color w:val="212529"/>
          <w:sz w:val="18"/>
          <w:rFonts w:eastAsia="Consolas" w:ascii="Consolas" w:hAnsi="Consolas"/>
        </w:rPr>
        <w:t>def consistency_check(sec, pos):</w:t>
        <w:br/>
        <w:t xml:space="preserve">    """仅做提示，不自动改正 status"""</w:t>
        <w:br/>
        <w:t xml:space="preserve">    issues = []</w:t>
        <w:br/>
        <w:t xml:space="preserve">    has_pos = pos['quantity'] &gt; 1e-9</w:t>
        <w:br/>
        <w:t xml:space="preserve">    if has_pos and sec['status'] != '持仓中':</w:t>
        <w:br/>
        <w:t xml:space="preserve">        issues.append({</w:t>
        <w:br/>
        <w:t xml:space="preserve">            'code': 'POSITION_HOLDING_STATUS_MISMATCH',</w:t>
        <w:br/>
        <w:t xml:space="preserve">            'level': 'warn',</w:t>
        <w:br/>
        <w:t xml:space="preserve">            'message': '当前持仓 {} {}，但 status={}... 本系统不自动调整 status'</w:t>
        <w:br/>
        <w:t xml:space="preserve">            .format(pos['quantity'], pos['currency'], sec['status'])</w:t>
        <w:br/>
        <w:t xml:space="preserve">        })</w:t>
        <w:br/>
        <w:t xml:space="preserve">    if not has_pos and sec['status'] == '持仓中':</w:t>
        <w:br/>
        <w:t xml:space="preserve">        issues.append({</w:t>
        <w:br/>
        <w:t xml:space="preserve">            'code': 'STATUS_HOLDING_NO_POSITION',</w:t>
        <w:br/>
        <w:t xml:space="preserve">            'message': 'status=持仓中 但当前无持仓...'</w:t>
        <w:br/>
        <w:t xml:space="preserve">        })</w:t>
        <w:br/>
        <w:t xml:space="preserve">    return {'has_position': has_pos, 'issues': issues, 'checked': True}</w:t>
      </w:r>
    </w:p>
    <w:p>
      <w:r>
        <w:br w:type="page"/>
      </w:r>
    </w:p>
    <w:p>
      <w:pPr>
        <w:spacing w:line="336" w:lineRule="auto" w:before="480" w:after="240"/>
        <w:pBdr>
          <w:bottom w:val="single" w:sz="18" w:color="1F3A68" w:space="4"/>
        </w:pBdr>
      </w:pPr>
      <w:r>
        <w:rPr>
          <w:b/>
          <w:i w:val="0"/>
          <w:color w:val="1F3A68"/>
          <w:sz w:val="44"/>
          <w:rFonts w:eastAsia="宋体" w:ascii="Times New Roman" w:hAnsi="Times New Roman"/>
        </w:rPr>
        <w:t>14. 仍未解决的开放问题</w:t>
      </w:r>
    </w:p>
    <w:p>
      <w:pPr>
        <w:spacing w:line="360" w:lineRule="auto" w:before="0" w:after="80"/>
      </w:pPr>
      <w:r>
        <w:rPr>
          <w:b w:val="0"/>
          <w:i/>
          <w:color w:val="6C757D"/>
          <w:sz w:val="21"/>
          <w:rFonts w:eastAsia="宋体" w:ascii="Times New Roman" w:hAnsi="Times New Roman"/>
        </w:rPr>
        <w:t>以下问题本轮（v1.0.1）暂未实施，列于此以供下一轮决策。</w:t>
      </w:r>
    </w:p>
    <w:p>
      <w:pPr>
        <w:spacing w:line="336" w:lineRule="auto" w:before="240" w:after="80"/>
      </w:pPr>
      <w:r>
        <w:rPr>
          <w:b/>
          <w:i w:val="0"/>
          <w:color w:val="1F3A68"/>
          <w:sz w:val="25"/>
          <w:rFonts w:eastAsia="宋体" w:ascii="Times New Roman" w:hAnsi="Times New Roman"/>
        </w:rPr>
        <w:t>14.1 设计稿已写但未实施</w:t>
      </w:r>
    </w:p>
    <w:tbl>
      <w:tblPr>
        <w:tblW w:type="auto" w:w="0"/>
        <w:tblLayout w:type="fixed"/>
        <w:tblLook w:firstColumn="1" w:firstRow="1" w:lastColumn="0" w:lastRow="0" w:noHBand="0" w:noVBand="1" w:val="04A0"/>
      </w:tblPr>
      <w:tblGrid>
        <w:gridCol w:w="2310"/>
        <w:gridCol w:w="2310"/>
        <w:gridCol w:w="2310"/>
        <w:gridCol w:w="2310"/>
      </w:tblGrid>
      <w:tr>
        <w:tc>
          <w:tcPr>
            <w:tcW w:type="dxa" w:w="85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编号</w:t>
            </w:r>
          </w:p>
        </w:tc>
        <w:tc>
          <w:tcPr>
            <w:tcW w:type="dxa" w:w="2835"/>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项</w:t>
            </w:r>
          </w:p>
        </w:tc>
        <w:tc>
          <w:tcPr>
            <w:tcW w:type="dxa" w:w="2551"/>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设计稿</w:t>
            </w:r>
          </w:p>
        </w:tc>
        <w:tc>
          <w:tcPr>
            <w:tcW w:type="dxa" w:w="2551"/>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进入实施前需</w:t>
            </w:r>
          </w:p>
        </w:tc>
      </w:tr>
      <w:tr>
        <w:tc>
          <w:tcPr>
            <w:tcW w:type="dxa" w:w="85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O-001</w:t>
            </w:r>
          </w:p>
        </w:tc>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trades 冲正（reversal）业务接口</w:t>
            </w:r>
          </w:p>
        </w:tc>
        <w:tc>
          <w:tcPr>
            <w:tcW w:type="dxa" w:w="2551"/>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tests/design_reversal.md</w:t>
            </w:r>
          </w:p>
        </w:tc>
        <w:tc>
          <w:tcPr>
            <w:tcW w:type="dxa" w:w="2551"/>
            <w:tcBorders>
              <w:top w:val="single" w:sz="4" w:color="DEE2E6"/>
              <w:left w:val="single" w:sz="4" w:color="DEE2E6"/>
              <w:bottom w:val="single" w:sz="4" w:color="DEE2E6"/>
              <w:right w:val="single" w:sz="4" w:color="DEE2E6"/>
            </w:tcBorders>
            <w:vAlign w:val="center"/>
          </w:tcPr>
          <w:p>
            <w:pPr>
              <w:spacing w:line="324" w:lineRule="auto"/>
            </w:pPr>
            <w:r>
              <w:rPr>
                <w:b w:val="0"/>
                <w:i w:val="0"/>
                <w:color w:val="C0392B"/>
                <w:sz w:val="20"/>
                <w:rFonts w:eastAsia="宋体" w:ascii="Times New Roman" w:hAnsi="Times New Roman"/>
              </w:rPr>
              <w:t>用户对设计稿的反馈 / 批准</w:t>
            </w:r>
          </w:p>
        </w:tc>
      </w:tr>
      <w:tr>
        <w:tc>
          <w:tcPr>
            <w:tcW w:type="dxa" w:w="85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O-002</w:t>
            </w:r>
          </w:p>
        </w:tc>
        <w:tc>
          <w:tcPr>
            <w:tcW w:type="dxa" w:w="28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research_pool 字段从 securities 迁到 research 表</w:t>
            </w:r>
          </w:p>
        </w:tc>
        <w:tc>
          <w:tcPr>
            <w:tcW w:type="dxa" w:w="255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tests/design_research_pool_history.md</w:t>
            </w:r>
          </w:p>
        </w:tc>
        <w:tc>
          <w:tcPr>
            <w:tcW w:type="dxa" w:w="2551"/>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color w:val="C0392B"/>
                <w:sz w:val="20"/>
                <w:rFonts w:eastAsia="宋体" w:ascii="Times New Roman" w:hAnsi="Times New Roman"/>
              </w:rPr>
              <w:t>设计稿 §3 中三条审批门槛（含用户是否同意"仅回填最新版本"）</w:t>
            </w:r>
          </w:p>
        </w:tc>
      </w:tr>
    </w:tbl>
    <w:p>
      <w:pPr>
        <w:spacing w:line="336" w:lineRule="auto" w:before="240" w:after="80"/>
      </w:pPr>
      <w:r>
        <w:rPr>
          <w:b/>
          <w:i w:val="0"/>
          <w:color w:val="1F3A68"/>
          <w:sz w:val="25"/>
          <w:rFonts w:eastAsia="宋体" w:ascii="Times New Roman" w:hAnsi="Times New Roman"/>
        </w:rPr>
        <w:t>14.2 已识别风险（待用户评估）</w:t>
      </w:r>
    </w:p>
    <w:tbl>
      <w:tblPr>
        <w:tblW w:type="auto" w:w="0"/>
        <w:tblLayout w:type="fixed"/>
        <w:tblLook w:firstColumn="1" w:firstRow="1" w:lastColumn="0" w:lastRow="0" w:noHBand="0" w:noVBand="1" w:val="04A0"/>
      </w:tblPr>
      <w:tblGrid>
        <w:gridCol w:w="3081"/>
        <w:gridCol w:w="3081"/>
        <w:gridCol w:w="3081"/>
      </w:tblGrid>
      <w:tr>
        <w:tc>
          <w:tcPr>
            <w:tcW w:type="dxa" w:w="850"/>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编号</w:t>
            </w:r>
          </w:p>
        </w:tc>
        <w:tc>
          <w:tcPr>
            <w:tcW w:type="dxa" w:w="5102"/>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风险</w:t>
            </w:r>
          </w:p>
        </w:tc>
        <w:tc>
          <w:tcPr>
            <w:tcW w:type="dxa" w:w="2835"/>
            <w:shd w:val="clear" w:color="auto" w:fill="1F3A68"/>
            <w:tcBorders>
              <w:top w:val="single" w:sz="4" w:color="DEE2E6"/>
              <w:left w:val="single" w:sz="4" w:color="DEE2E6"/>
              <w:bottom w:val="single" w:sz="4" w:color="DEE2E6"/>
              <w:right w:val="single" w:sz="4" w:color="DEE2E6"/>
            </w:tcBorders>
            <w:vAlign w:val="center"/>
          </w:tcPr>
          <w:p>
            <w:pPr>
              <w:spacing w:line="324" w:lineRule="auto"/>
            </w:pPr>
            <w:r>
              <w:rPr>
                <w:b/>
                <w:i w:val="0"/>
                <w:color w:val="FFFFFF"/>
                <w:sz w:val="20"/>
                <w:rFonts w:eastAsia="宋体" w:ascii="Times New Roman" w:hAnsi="Times New Roman"/>
              </w:rPr>
              <w:t>评估维度</w:t>
            </w:r>
          </w:p>
        </w:tc>
      </w:tr>
      <w:tr>
        <w:tc>
          <w:tcPr>
            <w:tcW w:type="dxa" w:w="85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R-012</w:t>
            </w:r>
          </w:p>
        </w:tc>
        <w:tc>
          <w:tcPr>
            <w:tcW w:type="dxa" w:w="51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行情源（腾讯）单点依赖 — 第三方免费接口不保证 SLA</w:t>
            </w:r>
          </w:p>
        </w:tc>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是否未来切换到 iFinD / Wind / 多源</w:t>
            </w:r>
          </w:p>
        </w:tc>
      </w:tr>
      <w:tr>
        <w:tc>
          <w:tcPr>
            <w:tcW w:type="dxa" w:w="850"/>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Consolas" w:ascii="Consolas" w:hAnsi="Consolas"/>
              </w:rPr>
              <w:t>R-013</w:t>
            </w:r>
          </w:p>
        </w:tc>
        <w:tc>
          <w:tcPr>
            <w:tcW w:type="dxa" w:w="5102"/>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SQLite 在多进程同时写入的场景下表现未知</w:t>
            </w:r>
          </w:p>
        </w:tc>
        <w:tc>
          <w:tcPr>
            <w:tcW w:type="dxa" w:w="2835"/>
            <w:tcBorders>
              <w:top w:val="single" w:sz="4" w:color="DEE2E6"/>
              <w:left w:val="single" w:sz="4" w:color="DEE2E6"/>
              <w:bottom w:val="single" w:sz="4" w:color="DEE2E6"/>
              <w:right w:val="single" w:sz="4" w:color="DEE2E6"/>
            </w:tcBorders>
            <w:shd w:val="clear" w:color="auto" w:fill="F7F9FC"/>
            <w:vAlign w:val="center"/>
          </w:tcPr>
          <w:p>
            <w:pPr>
              <w:spacing w:line="324" w:lineRule="auto"/>
            </w:pPr>
            <w:r>
              <w:rPr>
                <w:b w:val="0"/>
                <w:i w:val="0"/>
                <w:sz w:val="20"/>
                <w:rFonts w:eastAsia="宋体" w:ascii="Times New Roman" w:hAnsi="Times New Roman"/>
              </w:rPr>
              <w:t>是否需要单实例保证 / 是否有跨进程迁移计划</w:t>
            </w:r>
          </w:p>
        </w:tc>
      </w:tr>
      <w:tr>
        <w:tc>
          <w:tcPr>
            <w:tcW w:type="dxa" w:w="850"/>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Consolas" w:ascii="Consolas" w:hAnsi="Consolas"/>
              </w:rPr>
              <w:t>R-014</w:t>
            </w:r>
          </w:p>
        </w:tc>
        <w:tc>
          <w:tcPr>
            <w:tcW w:type="dxa" w:w="5102"/>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trades 误录目前无修复路径（依赖 O-001 设计稿实现）</w:t>
            </w:r>
          </w:p>
        </w:tc>
        <w:tc>
          <w:tcPr>
            <w:tcW w:type="dxa" w:w="2835"/>
            <w:tcBorders>
              <w:top w:val="single" w:sz="4" w:color="DEE2E6"/>
              <w:left w:val="single" w:sz="4" w:color="DEE2E6"/>
              <w:bottom w:val="single" w:sz="4" w:color="DEE2E6"/>
              <w:right w:val="single" w:sz="4" w:color="DEE2E6"/>
            </w:tcBorders>
            <w:vAlign w:val="center"/>
          </w:tcPr>
          <w:p>
            <w:pPr>
              <w:spacing w:line="324" w:lineRule="auto"/>
            </w:pPr>
            <w:r>
              <w:rPr>
                <w:b w:val="0"/>
                <w:i w:val="0"/>
                <w:sz w:val="20"/>
                <w:rFonts w:eastAsia="宋体" w:ascii="Times New Roman" w:hAnsi="Times New Roman"/>
              </w:rPr>
              <w:t>用户对冲正设计的接受度</w:t>
            </w:r>
          </w:p>
        </w:tc>
      </w:tr>
    </w:tbl>
    <w:p>
      <w:pPr>
        <w:spacing w:line="336" w:lineRule="auto" w:before="240" w:after="80"/>
      </w:pPr>
      <w:r>
        <w:rPr>
          <w:b/>
          <w:i w:val="0"/>
          <w:color w:val="1F3A68"/>
          <w:sz w:val="25"/>
          <w:rFonts w:eastAsia="宋体" w:ascii="Times New Roman" w:hAnsi="Times New Roman"/>
        </w:rPr>
        <w:t>14.3 测试覆盖盲区（建议下版补充）</w:t>
      </w:r>
    </w:p>
    <w:p>
      <w:pPr>
        <w:pStyle w:val="ListBullet"/>
        <w:spacing w:line="360" w:lineRule="auto"/>
      </w:pPr>
      <w:r>
        <w:rPr>
          <w:b w:val="0"/>
          <w:i w:val="0"/>
          <w:sz w:val="21"/>
          <w:rFonts w:eastAsia="宋体" w:ascii="Times New Roman" w:hAnsi="Times New Roman"/>
        </w:rPr>
        <w:t>SQLite 并发写测试（WAL 下 4 个并发 writer 的 SQLITE_BUSY 行为）</w:t>
      </w:r>
    </w:p>
    <w:p>
      <w:pPr>
        <w:pStyle w:val="ListBullet"/>
        <w:spacing w:line="360" w:lineRule="auto"/>
      </w:pPr>
      <w:r>
        <w:rPr>
          <w:b w:val="0"/>
          <w:i w:val="0"/>
          <w:sz w:val="21"/>
          <w:rFonts w:eastAsia="宋体" w:ascii="Times New Roman" w:hAnsi="Times New Roman"/>
        </w:rPr>
        <w:t>极端大数据量（&gt;10,000 笔交易流水）的 UI 性能</w:t>
      </w:r>
    </w:p>
    <w:p>
      <w:pPr>
        <w:pStyle w:val="ListBullet"/>
        <w:spacing w:line="360" w:lineRule="auto"/>
      </w:pPr>
      <w:r>
        <w:rPr>
          <w:b w:val="0"/>
          <w:i w:val="0"/>
          <w:sz w:val="21"/>
          <w:rFonts w:eastAsia="宋体" w:ascii="Times New Roman" w:hAnsi="Times New Roman"/>
        </w:rPr>
        <w:t>断网 / 弱网 / 心跳异常的恢复路径</w:t>
      </w:r>
    </w:p>
    <w:p>
      <w:pPr>
        <w:pStyle w:val="ListBullet"/>
        <w:spacing w:line="360" w:lineRule="auto"/>
      </w:pPr>
      <w:r>
        <w:rPr>
          <w:b w:val="0"/>
          <w:i w:val="0"/>
          <w:sz w:val="21"/>
          <w:rFonts w:eastAsia="宋体" w:ascii="Times New Roman" w:hAnsi="Times New Roman"/>
        </w:rPr>
        <w:t>多用户 / 多角色场景（当前明确定位单用户工具，未覆盖）</w:t>
      </w:r>
    </w:p>
    <w:p>
      <w:pPr>
        <w:pStyle w:val="ListBullet"/>
        <w:spacing w:line="360" w:lineRule="auto"/>
      </w:pPr>
      <w:r>
        <w:rPr>
          <w:b w:val="0"/>
          <w:i w:val="0"/>
          <w:sz w:val="21"/>
          <w:rFonts w:eastAsia="宋体" w:ascii="Times New Roman" w:hAnsi="Times New Roman"/>
        </w:rPr>
        <w:t>深穿信息卡 → 工作台导入向导（current 直接走 API body 导入，非 Markdown）</w:t>
      </w:r>
    </w:p>
    <w:p>
      <w:pPr>
        <w:spacing w:line="336" w:lineRule="auto" w:before="240" w:after="80"/>
      </w:pPr>
      <w:r>
        <w:rPr>
          <w:b/>
          <w:i w:val="0"/>
          <w:color w:val="1F3A68"/>
          <w:sz w:val="25"/>
          <w:rFonts w:eastAsia="宋体" w:ascii="Times New Roman" w:hAnsi="Times New Roman"/>
        </w:rPr>
        <w:t>13.4 签字栏</w:t>
      </w:r>
    </w:p>
    <w:tbl>
      <w:tblPr>
        <w:tblW w:type="auto" w:w="0"/>
        <w:tblLook w:firstColumn="1" w:firstRow="1" w:lastColumn="0" w:lastRow="0" w:noHBand="0" w:noVBand="1" w:val="04A0"/>
      </w:tblPr>
      <w:tblGrid>
        <w:gridCol w:w="4621"/>
        <w:gridCol w:w="4621"/>
      </w:tblGrid>
      <w:tr>
        <w:tc>
          <w:tcPr>
            <w:tcW w:type="dxa" w:w="4621"/>
            <w:shd w:val="clear" w:color="auto" w:fill="E8EEF7"/>
            <w:tcBorders>
              <w:top w:val="single" w:sz="4" w:color="DEE2E6"/>
              <w:left w:val="single" w:sz="4" w:color="DEE2E6"/>
              <w:bottom w:val="single" w:sz="4" w:color="DEE2E6"/>
              <w:right w:val="single" w:sz="4" w:color="DEE2E6"/>
            </w:tcBorders>
          </w:tcPr>
          <w:p>
            <w:pPr>
              <w:spacing w:line="336" w:lineRule="auto"/>
              <w:jc w:val="center"/>
            </w:pPr>
            <w:r>
              <w:rPr>
                <w:b/>
                <w:i w:val="0"/>
                <w:color w:val="1F3A68"/>
                <w:sz w:val="21"/>
                <w:rFonts w:eastAsia="宋体" w:ascii="Times New Roman" w:hAnsi="Times New Roman"/>
              </w:rPr>
              <w:t>编制方（开发组）</w:t>
            </w:r>
          </w:p>
        </w:tc>
        <w:tc>
          <w:tcPr>
            <w:tcW w:type="dxa" w:w="4621"/>
            <w:shd w:val="clear" w:color="auto" w:fill="E8EEF7"/>
            <w:tcBorders>
              <w:top w:val="single" w:sz="4" w:color="DEE2E6"/>
              <w:left w:val="single" w:sz="4" w:color="DEE2E6"/>
              <w:bottom w:val="single" w:sz="4" w:color="DEE2E6"/>
              <w:right w:val="single" w:sz="4" w:color="DEE2E6"/>
            </w:tcBorders>
          </w:tcPr>
          <w:p>
            <w:pPr>
              <w:spacing w:line="336" w:lineRule="auto"/>
              <w:jc w:val="center"/>
            </w:pPr>
            <w:r>
              <w:rPr>
                <w:b/>
                <w:i w:val="0"/>
                <w:color w:val="1F3A68"/>
                <w:sz w:val="21"/>
                <w:rFonts w:eastAsia="宋体" w:ascii="Times New Roman" w:hAnsi="Times New Roman"/>
              </w:rPr>
              <w:t>审计方（独立第三方）</w:t>
            </w:r>
          </w:p>
        </w:tc>
      </w:tr>
      <w:tr>
        <w:trPr>
          <w:trHeight w:val="2400" w:hRule="atLeast"/>
          <w:trHeight w:val="2400" w:hRule="atLeast"/>
        </w:trPr>
        <w:tc>
          <w:tcPr>
            <w:tcW w:type="dxa" w:w="4621"/>
            <w:tcBorders>
              <w:top w:val="single" w:sz="4" w:color="DEE2E6"/>
              <w:left w:val="single" w:sz="4" w:color="DEE2E6"/>
              <w:bottom w:val="single" w:sz="4" w:color="DEE2E6"/>
              <w:right w:val="single" w:sz="4" w:color="DEE2E6"/>
            </w:tcBorders>
          </w:tcPr>
          <w:p>
            <w:pPr>
              <w:spacing w:line="384" w:lineRule="auto"/>
            </w:pPr>
            <w:r>
              <w:rPr>
                <w:b w:val="0"/>
                <w:i w:val="0"/>
                <w:sz w:val="20"/>
                <w:rFonts w:eastAsia="宋体" w:ascii="Times New Roman" w:hAnsi="Times New Roman"/>
              </w:rPr>
              <w:t>姓名：</w:t>
            </w:r>
          </w:p>
          <w:p>
            <w:pPr>
              <w:spacing w:line="384" w:lineRule="auto"/>
            </w:pPr>
            <w:r>
              <w:rPr>
                <w:b w:val="0"/>
                <w:i w:val="0"/>
                <w:sz w:val="20"/>
                <w:rFonts w:eastAsia="宋体" w:ascii="Times New Roman" w:hAnsi="Times New Roman"/>
              </w:rPr>
            </w:r>
          </w:p>
          <w:p>
            <w:pPr>
              <w:spacing w:line="384" w:lineRule="auto"/>
            </w:pPr>
            <w:r>
              <w:rPr>
                <w:b w:val="0"/>
                <w:i w:val="0"/>
                <w:sz w:val="20"/>
                <w:rFonts w:eastAsia="宋体" w:ascii="Times New Roman" w:hAnsi="Times New Roman"/>
              </w:rPr>
            </w:r>
          </w:p>
          <w:p>
            <w:pPr>
              <w:spacing w:line="384" w:lineRule="auto"/>
            </w:pPr>
            <w:r>
              <w:rPr>
                <w:b w:val="0"/>
                <w:i w:val="0"/>
                <w:sz w:val="20"/>
                <w:rFonts w:eastAsia="宋体" w:ascii="Times New Roman" w:hAnsi="Times New Roman"/>
              </w:rPr>
              <w:t>日期：</w:t>
            </w:r>
          </w:p>
          <w:p>
            <w:pPr>
              <w:spacing w:line="384" w:lineRule="auto"/>
            </w:pPr>
            <w:r>
              <w:rPr>
                <w:b w:val="0"/>
                <w:i w:val="0"/>
                <w:sz w:val="20"/>
                <w:rFonts w:eastAsia="宋体" w:ascii="Times New Roman" w:hAnsi="Times New Roman"/>
              </w:rPr>
            </w:r>
          </w:p>
          <w:p>
            <w:pPr>
              <w:spacing w:line="384" w:lineRule="auto"/>
            </w:pPr>
            <w:r>
              <w:rPr>
                <w:b w:val="0"/>
                <w:i w:val="0"/>
                <w:sz w:val="20"/>
                <w:rFonts w:eastAsia="宋体" w:ascii="Times New Roman" w:hAnsi="Times New Roman"/>
              </w:rPr>
            </w:r>
          </w:p>
          <w:p>
            <w:pPr>
              <w:spacing w:line="384" w:lineRule="auto"/>
            </w:pPr>
            <w:r>
              <w:rPr>
                <w:b w:val="0"/>
                <w:i w:val="0"/>
                <w:sz w:val="20"/>
                <w:rFonts w:eastAsia="宋体" w:ascii="Times New Roman" w:hAnsi="Times New Roman"/>
              </w:rPr>
              <w:t>签名：</w:t>
            </w:r>
          </w:p>
          <w:p>
            <w:pPr>
              <w:spacing w:line="384" w:lineRule="auto"/>
            </w:pPr>
            <w:r>
              <w:rPr>
                <w:b w:val="0"/>
                <w:i w:val="0"/>
                <w:sz w:val="20"/>
                <w:rFonts w:eastAsia="宋体" w:ascii="Times New Roman" w:hAnsi="Times New Roman"/>
              </w:rPr>
            </w:r>
          </w:p>
        </w:tc>
        <w:tc>
          <w:tcPr>
            <w:tcW w:type="dxa" w:w="4621"/>
            <w:tcBorders>
              <w:top w:val="single" w:sz="4" w:color="DEE2E6"/>
              <w:left w:val="single" w:sz="4" w:color="DEE2E6"/>
              <w:bottom w:val="single" w:sz="4" w:color="DEE2E6"/>
              <w:right w:val="single" w:sz="4" w:color="DEE2E6"/>
            </w:tcBorders>
          </w:tcPr>
          <w:p>
            <w:pPr>
              <w:spacing w:line="384" w:lineRule="auto"/>
            </w:pPr>
            <w:r>
              <w:rPr>
                <w:b w:val="0"/>
                <w:i w:val="0"/>
                <w:sz w:val="20"/>
                <w:rFonts w:eastAsia="宋体" w:ascii="Times New Roman" w:hAnsi="Times New Roman"/>
              </w:rPr>
              <w:t>姓名：</w:t>
            </w:r>
          </w:p>
          <w:p>
            <w:pPr>
              <w:spacing w:line="384" w:lineRule="auto"/>
            </w:pPr>
            <w:r>
              <w:rPr>
                <w:b w:val="0"/>
                <w:i w:val="0"/>
                <w:sz w:val="20"/>
                <w:rFonts w:eastAsia="宋体" w:ascii="Times New Roman" w:hAnsi="Times New Roman"/>
              </w:rPr>
            </w:r>
          </w:p>
          <w:p>
            <w:pPr>
              <w:spacing w:line="384" w:lineRule="auto"/>
            </w:pPr>
            <w:r>
              <w:rPr>
                <w:b w:val="0"/>
                <w:i w:val="0"/>
                <w:sz w:val="20"/>
                <w:rFonts w:eastAsia="宋体" w:ascii="Times New Roman" w:hAnsi="Times New Roman"/>
              </w:rPr>
            </w:r>
          </w:p>
          <w:p>
            <w:pPr>
              <w:spacing w:line="384" w:lineRule="auto"/>
            </w:pPr>
            <w:r>
              <w:rPr>
                <w:b w:val="0"/>
                <w:i w:val="0"/>
                <w:sz w:val="20"/>
                <w:rFonts w:eastAsia="宋体" w:ascii="Times New Roman" w:hAnsi="Times New Roman"/>
              </w:rPr>
              <w:t>日期：</w:t>
            </w:r>
          </w:p>
          <w:p>
            <w:pPr>
              <w:spacing w:line="384" w:lineRule="auto"/>
            </w:pPr>
            <w:r>
              <w:rPr>
                <w:b w:val="0"/>
                <w:i w:val="0"/>
                <w:sz w:val="20"/>
                <w:rFonts w:eastAsia="宋体" w:ascii="Times New Roman" w:hAnsi="Times New Roman"/>
              </w:rPr>
            </w:r>
          </w:p>
          <w:p>
            <w:pPr>
              <w:spacing w:line="384" w:lineRule="auto"/>
            </w:pPr>
            <w:r>
              <w:rPr>
                <w:b w:val="0"/>
                <w:i w:val="0"/>
                <w:sz w:val="20"/>
                <w:rFonts w:eastAsia="宋体" w:ascii="Times New Roman" w:hAnsi="Times New Roman"/>
              </w:rPr>
            </w:r>
          </w:p>
          <w:p>
            <w:pPr>
              <w:spacing w:line="384" w:lineRule="auto"/>
            </w:pPr>
            <w:r>
              <w:rPr>
                <w:b w:val="0"/>
                <w:i w:val="0"/>
                <w:sz w:val="20"/>
                <w:rFonts w:eastAsia="宋体" w:ascii="Times New Roman" w:hAnsi="Times New Roman"/>
              </w:rPr>
              <w:t>签名：</w:t>
            </w:r>
          </w:p>
          <w:p>
            <w:pPr>
              <w:spacing w:line="384" w:lineRule="auto"/>
            </w:pPr>
            <w:r>
              <w:rPr>
                <w:b w:val="0"/>
                <w:i w:val="0"/>
                <w:sz w:val="20"/>
                <w:rFonts w:eastAsia="宋体" w:ascii="Times New Roman" w:hAnsi="Times New Roman"/>
              </w:rPr>
            </w:r>
          </w:p>
        </w:tc>
      </w:tr>
    </w:tbl>
    <w:p>
      <w:pPr>
        <w:spacing w:before="720" w:line="408" w:lineRule="auto"/>
        <w:jc w:val="center"/>
      </w:pPr>
      <w:r>
        <w:rPr>
          <w:b w:val="0"/>
          <w:i/>
          <w:color w:val="6C757D"/>
          <w:sz w:val="20"/>
          <w:rFonts w:eastAsia="宋体" w:ascii="Times New Roman" w:hAnsi="Times New Roman"/>
        </w:rPr>
        <w:t>本文档由 WorkBuddy 投研工作台开发组编制</w:t>
        <w:br/>
        <w:t>文档路径：output\20260910-audit\stage3\A-H投研交易工作台交付审计文档-v1.0.1.docx</w:t>
      </w:r>
    </w:p>
    <w:sectPr w:rsidR="00FC693F" w:rsidRPr="0006063C" w:rsidSect="00034616">
      <w:pgSz w:w="11906" w:h="16838"/>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Fonts w:eastAsia="宋体"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