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after="160" w:line="312" w:lineRule="auto"/>
        <w:jc w:val="center"/>
      </w:pPr>
      <w:r>
        <w:rPr>
          <w:b/>
          <w:i w:val="0"/>
          <w:color w:val="1F3A68"/>
          <w:sz w:val="60"/>
          <w:rFonts w:eastAsia="宋体" w:ascii="Times New Roman" w:hAnsi="Times New Roman"/>
        </w:rPr>
        <w:t>A/H 投研交易工作台</w:t>
      </w:r>
    </w:p>
    <w:p>
      <w:pPr>
        <w:spacing w:after="720"/>
        <w:jc w:val="center"/>
      </w:pPr>
      <w:r>
        <w:rPr>
          <w:b w:val="0"/>
          <w:i/>
          <w:color w:val="6C757D"/>
          <w:sz w:val="26"/>
          <w:rFonts w:eastAsia="宋体" w:ascii="Times New Roman" w:hAnsi="Times New Roman"/>
        </w:rPr>
        <w:t>生产交付审计文档  ·  Production Delivery Audit Memo</w:t>
      </w:r>
    </w:p>
    <w:tbl>
      <w:tblPr>
        <w:tblW w:type="auto" w:w="0"/>
        <w:tblLayout w:type="fixed"/>
        <w:tblLook w:firstColumn="1" w:firstRow="1" w:lastColumn="0" w:lastRow="0" w:noHBand="0" w:noVBand="1" w:val="04A0"/>
      </w:tblPr>
      <w:tblGrid>
        <w:gridCol w:w="4621"/>
        <w:gridCol w:w="4621"/>
      </w:tblGrid>
      <w:tr>
        <w:tc>
          <w:tcPr>
            <w:tcW w:type="dxa" w:w="2551"/>
            <w:tcBorders>
              <w:top w:val="single" w:sz="12" w:color="1F3A68"/>
              <w:left w:val="single" w:sz="12" w:color="1F3A68"/>
              <w:bottom w:val="single" w:sz="12" w:color="1F3A68"/>
              <w:right w:val="single" w:sz="12" w:color="1F3A68"/>
            </w:tcBorders>
          </w:tcPr>
          <w:p>
            <w:pPr>
              <w:spacing w:line="360" w:lineRule="auto"/>
            </w:pPr>
            <w:r>
              <w:rPr>
                <w:b/>
                <w:i w:val="0"/>
                <w:color w:val="1F3A68"/>
                <w:sz w:val="22"/>
                <w:rFonts w:eastAsia="宋体" w:ascii="Times New Roman" w:hAnsi="Times New Roman"/>
              </w:rPr>
              <w:t>项目代号</w:t>
            </w:r>
          </w:p>
        </w:tc>
        <w:tc>
          <w:tcPr>
            <w:tcW w:type="dxa" w:w="6236"/>
            <w:tcBorders>
              <w:top w:val="single" w:sz="12" w:color="1F3A68"/>
              <w:left w:val="single" w:sz="12" w:color="1F3A68"/>
              <w:bottom w:val="single" w:sz="12" w:color="1F3A68"/>
              <w:right w:val="single" w:sz="12" w:color="1F3A68"/>
            </w:tcBorders>
          </w:tcPr>
          <w:p>
            <w:pPr>
              <w:spacing w:line="360" w:lineRule="auto"/>
            </w:pPr>
            <w:r>
              <w:rPr>
                <w:b w:val="0"/>
                <w:i w:val="0"/>
                <w:sz w:val="22"/>
                <w:rFonts w:eastAsia="宋体" w:ascii="Times New Roman" w:hAnsi="Times New Roman"/>
              </w:rPr>
              <w:t>AH-WORKBENCH-MVP</w:t>
            </w:r>
          </w:p>
        </w:tc>
      </w:tr>
      <w:tr>
        <w:tc>
          <w:tcPr>
            <w:tcW w:type="dxa" w:w="2551"/>
            <w:tcBorders>
              <w:top w:val="single" w:sz="12" w:color="1F3A68"/>
              <w:left w:val="single" w:sz="12" w:color="1F3A68"/>
              <w:bottom w:val="single" w:sz="12" w:color="1F3A68"/>
              <w:right w:val="single" w:sz="12" w:color="1F3A68"/>
            </w:tcBorders>
          </w:tcPr>
          <w:p>
            <w:pPr>
              <w:spacing w:line="360" w:lineRule="auto"/>
            </w:pPr>
            <w:r>
              <w:rPr>
                <w:b/>
                <w:i w:val="0"/>
                <w:color w:val="1F3A68"/>
                <w:sz w:val="22"/>
                <w:rFonts w:eastAsia="宋体" w:ascii="Times New Roman" w:hAnsi="Times New Roman"/>
              </w:rPr>
              <w:t>版本</w:t>
            </w:r>
          </w:p>
        </w:tc>
        <w:tc>
          <w:tcPr>
            <w:tcW w:type="dxa" w:w="6236"/>
            <w:tcBorders>
              <w:top w:val="single" w:sz="12" w:color="1F3A68"/>
              <w:left w:val="single" w:sz="12" w:color="1F3A68"/>
              <w:bottom w:val="single" w:sz="12" w:color="1F3A68"/>
              <w:right w:val="single" w:sz="12" w:color="1F3A68"/>
            </w:tcBorders>
          </w:tcPr>
          <w:p>
            <w:pPr>
              <w:spacing w:line="360" w:lineRule="auto"/>
            </w:pPr>
            <w:r>
              <w:rPr>
                <w:b w:val="0"/>
                <w:i w:val="0"/>
                <w:sz w:val="22"/>
                <w:rFonts w:eastAsia="宋体" w:ascii="Times New Roman" w:hAnsi="Times New Roman"/>
              </w:rPr>
              <w:t>v1.0.0</w:t>
            </w:r>
          </w:p>
        </w:tc>
      </w:tr>
      <w:tr>
        <w:tc>
          <w:tcPr>
            <w:tcW w:type="dxa" w:w="2551"/>
            <w:tcBorders>
              <w:top w:val="single" w:sz="12" w:color="1F3A68"/>
              <w:left w:val="single" w:sz="12" w:color="1F3A68"/>
              <w:bottom w:val="single" w:sz="12" w:color="1F3A68"/>
              <w:right w:val="single" w:sz="12" w:color="1F3A68"/>
            </w:tcBorders>
          </w:tcPr>
          <w:p>
            <w:pPr>
              <w:spacing w:line="360" w:lineRule="auto"/>
            </w:pPr>
            <w:r>
              <w:rPr>
                <w:b/>
                <w:i w:val="0"/>
                <w:color w:val="1F3A68"/>
                <w:sz w:val="22"/>
                <w:rFonts w:eastAsia="宋体" w:ascii="Times New Roman" w:hAnsi="Times New Roman"/>
              </w:rPr>
              <w:t>交付日期</w:t>
            </w:r>
          </w:p>
        </w:tc>
        <w:tc>
          <w:tcPr>
            <w:tcW w:type="dxa" w:w="6236"/>
            <w:tcBorders>
              <w:top w:val="single" w:sz="12" w:color="1F3A68"/>
              <w:left w:val="single" w:sz="12" w:color="1F3A68"/>
              <w:bottom w:val="single" w:sz="12" w:color="1F3A68"/>
              <w:right w:val="single" w:sz="12" w:color="1F3A68"/>
            </w:tcBorders>
          </w:tcPr>
          <w:p>
            <w:pPr>
              <w:spacing w:line="360" w:lineRule="auto"/>
            </w:pPr>
            <w:r>
              <w:rPr>
                <w:b w:val="0"/>
                <w:i w:val="0"/>
                <w:sz w:val="22"/>
                <w:rFonts w:eastAsia="宋体" w:ascii="Times New Roman" w:hAnsi="Times New Roman"/>
              </w:rPr>
              <w:t>2026-09-10</w:t>
            </w:r>
          </w:p>
        </w:tc>
      </w:tr>
      <w:tr>
        <w:tc>
          <w:tcPr>
            <w:tcW w:type="dxa" w:w="2551"/>
            <w:tcBorders>
              <w:top w:val="single" w:sz="12" w:color="1F3A68"/>
              <w:left w:val="single" w:sz="12" w:color="1F3A68"/>
              <w:bottom w:val="single" w:sz="12" w:color="1F3A68"/>
              <w:right w:val="single" w:sz="12" w:color="1F3A68"/>
            </w:tcBorders>
          </w:tcPr>
          <w:p>
            <w:pPr>
              <w:spacing w:line="360" w:lineRule="auto"/>
            </w:pPr>
            <w:r>
              <w:rPr>
                <w:b/>
                <w:i w:val="0"/>
                <w:color w:val="1F3A68"/>
                <w:sz w:val="22"/>
                <w:rFonts w:eastAsia="宋体" w:ascii="Times New Roman" w:hAnsi="Times New Roman"/>
              </w:rPr>
              <w:t>编制人</w:t>
            </w:r>
          </w:p>
        </w:tc>
        <w:tc>
          <w:tcPr>
            <w:tcW w:type="dxa" w:w="6236"/>
            <w:tcBorders>
              <w:top w:val="single" w:sz="12" w:color="1F3A68"/>
              <w:left w:val="single" w:sz="12" w:color="1F3A68"/>
              <w:bottom w:val="single" w:sz="12" w:color="1F3A68"/>
              <w:right w:val="single" w:sz="12" w:color="1F3A68"/>
            </w:tcBorders>
          </w:tcPr>
          <w:p>
            <w:pPr>
              <w:spacing w:line="360" w:lineRule="auto"/>
            </w:pPr>
            <w:r>
              <w:rPr>
                <w:b w:val="0"/>
                <w:i w:val="0"/>
                <w:sz w:val="22"/>
                <w:rFonts w:eastAsia="宋体" w:ascii="Times New Roman" w:hAnsi="Times New Roman"/>
              </w:rPr>
              <w:t>投研工作台开发组（WorkBuddy 协作 + 人工复核）</w:t>
            </w:r>
          </w:p>
        </w:tc>
      </w:tr>
      <w:tr>
        <w:tc>
          <w:tcPr>
            <w:tcW w:type="dxa" w:w="2551"/>
            <w:tcBorders>
              <w:top w:val="single" w:sz="12" w:color="1F3A68"/>
              <w:left w:val="single" w:sz="12" w:color="1F3A68"/>
              <w:bottom w:val="single" w:sz="12" w:color="1F3A68"/>
              <w:right w:val="single" w:sz="12" w:color="1F3A68"/>
            </w:tcBorders>
          </w:tcPr>
          <w:p>
            <w:pPr>
              <w:spacing w:line="360" w:lineRule="auto"/>
            </w:pPr>
            <w:r>
              <w:rPr>
                <w:b/>
                <w:i w:val="0"/>
                <w:color w:val="1F3A68"/>
                <w:sz w:val="22"/>
                <w:rFonts w:eastAsia="宋体" w:ascii="Times New Roman" w:hAnsi="Times New Roman"/>
              </w:rPr>
              <w:t>审计对象</w:t>
            </w:r>
          </w:p>
        </w:tc>
        <w:tc>
          <w:tcPr>
            <w:tcW w:type="dxa" w:w="6236"/>
            <w:tcBorders>
              <w:top w:val="single" w:sz="12" w:color="1F3A68"/>
              <w:left w:val="single" w:sz="12" w:color="1F3A68"/>
              <w:bottom w:val="single" w:sz="12" w:color="1F3A68"/>
              <w:right w:val="single" w:sz="12" w:color="1F3A68"/>
            </w:tcBorders>
          </w:tcPr>
          <w:p>
            <w:pPr>
              <w:spacing w:line="360" w:lineRule="auto"/>
            </w:pPr>
            <w:r>
              <w:rPr>
                <w:b w:val="0"/>
                <w:i w:val="0"/>
                <w:sz w:val="22"/>
                <w:rFonts w:eastAsia="宋体" w:ascii="Times New Roman" w:hAnsi="Times New Roman"/>
              </w:rPr>
              <w:t>源码、数据库、接口、UI、安全、运维</w:t>
            </w:r>
          </w:p>
        </w:tc>
      </w:tr>
      <w:tr>
        <w:tc>
          <w:tcPr>
            <w:tcW w:type="dxa" w:w="2551"/>
            <w:tcBorders>
              <w:top w:val="single" w:sz="12" w:color="1F3A68"/>
              <w:left w:val="single" w:sz="12" w:color="1F3A68"/>
              <w:bottom w:val="single" w:sz="12" w:color="1F3A68"/>
              <w:right w:val="single" w:sz="12" w:color="1F3A68"/>
            </w:tcBorders>
          </w:tcPr>
          <w:p>
            <w:pPr>
              <w:spacing w:line="360" w:lineRule="auto"/>
            </w:pPr>
            <w:r>
              <w:rPr>
                <w:b/>
                <w:i w:val="0"/>
                <w:color w:val="1F3A68"/>
                <w:sz w:val="22"/>
                <w:rFonts w:eastAsia="宋体" w:ascii="Times New Roman" w:hAnsi="Times New Roman"/>
              </w:rPr>
              <w:t>适用范围</w:t>
            </w:r>
          </w:p>
        </w:tc>
        <w:tc>
          <w:tcPr>
            <w:tcW w:type="dxa" w:w="6236"/>
            <w:tcBorders>
              <w:top w:val="single" w:sz="12" w:color="1F3A68"/>
              <w:left w:val="single" w:sz="12" w:color="1F3A68"/>
              <w:bottom w:val="single" w:sz="12" w:color="1F3A68"/>
              <w:right w:val="single" w:sz="12" w:color="1F3A68"/>
            </w:tcBorders>
          </w:tcPr>
          <w:p>
            <w:pPr>
              <w:spacing w:line="360" w:lineRule="auto"/>
            </w:pPr>
            <w:r>
              <w:rPr>
                <w:b w:val="0"/>
                <w:i w:val="0"/>
                <w:sz w:val="22"/>
                <w:rFonts w:eastAsia="宋体" w:ascii="Times New Roman" w:hAnsi="Times New Roman"/>
              </w:rPr>
              <w:t>第三方独立审计 / 内部合规复核</w:t>
            </w:r>
          </w:p>
        </w:tc>
      </w:tr>
    </w:tbl>
    <w:p>
      <w:pPr>
        <w:spacing w:before="640" w:line="408" w:lineRule="auto"/>
        <w:jc w:val="center"/>
      </w:pPr>
      <w:r>
        <w:rPr>
          <w:b w:val="0"/>
          <w:i/>
          <w:color w:val="6C757D"/>
          <w:sz w:val="22"/>
          <w:rFonts w:eastAsia="宋体" w:ascii="Times New Roman" w:hAnsi="Times New Roman"/>
        </w:rPr>
        <w:t>本文档为面向第三方审计与内部合规复核的完整交付物清单与审计指引。</w:t>
        <w:br/>
        <w:t>所有交付源代码附 SHA-256 哈希以验证完整性，所有接口已通过端到端回归测试。</w:t>
      </w:r>
    </w:p>
    <w:p>
      <w:r>
        <w:br w:type="page"/>
      </w:r>
    </w:p>
    <w:p>
      <w:pPr>
        <w:spacing w:line="336" w:lineRule="auto" w:before="480" w:after="240"/>
        <w:pBdr>
          <w:bottom w:val="single" w:sz="18" w:color="1F3A68" w:space="4"/>
        </w:pBdr>
      </w:pPr>
      <w:r>
        <w:rPr>
          <w:b/>
          <w:i w:val="0"/>
          <w:color w:val="1F3A68"/>
          <w:sz w:val="44"/>
          <w:rFonts w:eastAsia="宋体" w:ascii="Times New Roman" w:hAnsi="Times New Roman"/>
        </w:rPr>
        <w:t>目录</w:t>
      </w:r>
    </w:p>
    <w:p>
      <w:pPr>
        <w:spacing w:line="384" w:lineRule="auto" w:after="40"/>
        <w:tabs>
          <w:tab w:val="right" w:leader="dot" w:pos="8800"/>
        </w:tabs>
      </w:pPr>
      <w:r>
        <w:rPr>
          <w:b w:val="0"/>
          <w:i w:val="0"/>
          <w:color w:val="1F3A68"/>
          <w:sz w:val="22"/>
          <w:rFonts w:eastAsia="宋体" w:ascii="Times New Roman" w:hAnsi="Times New Roman"/>
        </w:rPr>
        <w:t>1. 文档元信息与版本控制</w:t>
        <w:tab/>
      </w:r>
      <w:r>
        <w:rPr>
          <w:b w:val="0"/>
          <w:i w:val="0"/>
          <w:color w:val="6C757D"/>
          <w:sz w:val="22"/>
          <w:rFonts w:eastAsia="宋体" w:ascii="Times New Roman" w:hAnsi="Times New Roman"/>
        </w:rPr>
        <w:t>第 3 页</w:t>
      </w:r>
    </w:p>
    <w:p>
      <w:pPr>
        <w:spacing w:line="384" w:lineRule="auto" w:after="40"/>
        <w:tabs>
          <w:tab w:val="right" w:leader="dot" w:pos="8800"/>
        </w:tabs>
      </w:pPr>
      <w:r>
        <w:rPr>
          <w:b w:val="0"/>
          <w:i w:val="0"/>
          <w:color w:val="1F3A68"/>
          <w:sz w:val="22"/>
          <w:rFonts w:eastAsia="宋体" w:ascii="Times New Roman" w:hAnsi="Times New Roman"/>
        </w:rPr>
        <w:t>2. 项目目标与系统边界</w:t>
        <w:tab/>
      </w:r>
      <w:r>
        <w:rPr>
          <w:b w:val="0"/>
          <w:i w:val="0"/>
          <w:color w:val="6C757D"/>
          <w:sz w:val="22"/>
          <w:rFonts w:eastAsia="宋体" w:ascii="Times New Roman" w:hAnsi="Times New Roman"/>
        </w:rPr>
        <w:t>第 4 页</w:t>
      </w:r>
    </w:p>
    <w:p>
      <w:pPr>
        <w:spacing w:line="384" w:lineRule="auto" w:after="40"/>
        <w:tabs>
          <w:tab w:val="right" w:leader="dot" w:pos="8800"/>
        </w:tabs>
      </w:pPr>
      <w:r>
        <w:rPr>
          <w:b w:val="0"/>
          <w:i w:val="0"/>
          <w:color w:val="1F3A68"/>
          <w:sz w:val="22"/>
          <w:rFonts w:eastAsia="宋体" w:ascii="Times New Roman" w:hAnsi="Times New Roman"/>
        </w:rPr>
        <w:t>3. 系统架构与技术栈</w:t>
        <w:tab/>
      </w:r>
      <w:r>
        <w:rPr>
          <w:b w:val="0"/>
          <w:i w:val="0"/>
          <w:color w:val="6C757D"/>
          <w:sz w:val="22"/>
          <w:rFonts w:eastAsia="宋体" w:ascii="Times New Roman" w:hAnsi="Times New Roman"/>
        </w:rPr>
        <w:t>第 5 页</w:t>
      </w:r>
    </w:p>
    <w:p>
      <w:pPr>
        <w:spacing w:line="384" w:lineRule="auto" w:after="40"/>
        <w:tabs>
          <w:tab w:val="right" w:leader="dot" w:pos="8800"/>
        </w:tabs>
      </w:pPr>
      <w:r>
        <w:rPr>
          <w:b w:val="0"/>
          <w:i w:val="0"/>
          <w:color w:val="1F3A68"/>
          <w:sz w:val="22"/>
          <w:rFonts w:eastAsia="宋体" w:ascii="Times New Roman" w:hAnsi="Times New Roman"/>
        </w:rPr>
        <w:t>4. 交付物清单（含 SHA-256）</w:t>
        <w:tab/>
      </w:r>
      <w:r>
        <w:rPr>
          <w:b w:val="0"/>
          <w:i w:val="0"/>
          <w:color w:val="6C757D"/>
          <w:sz w:val="22"/>
          <w:rFonts w:eastAsia="宋体" w:ascii="Times New Roman" w:hAnsi="Times New Roman"/>
        </w:rPr>
        <w:t>第 6 页</w:t>
      </w:r>
    </w:p>
    <w:p>
      <w:pPr>
        <w:spacing w:line="384" w:lineRule="auto" w:after="40"/>
        <w:tabs>
          <w:tab w:val="right" w:leader="dot" w:pos="8800"/>
        </w:tabs>
      </w:pPr>
      <w:r>
        <w:rPr>
          <w:b w:val="0"/>
          <w:i w:val="0"/>
          <w:color w:val="1F3A68"/>
          <w:sz w:val="22"/>
          <w:rFonts w:eastAsia="宋体" w:ascii="Times New Roman" w:hAnsi="Times New Roman"/>
        </w:rPr>
        <w:t>5. 数据模型（SQLite Schema）</w:t>
        <w:tab/>
      </w:r>
      <w:r>
        <w:rPr>
          <w:b w:val="0"/>
          <w:i w:val="0"/>
          <w:color w:val="6C757D"/>
          <w:sz w:val="22"/>
          <w:rFonts w:eastAsia="宋体" w:ascii="Times New Roman" w:hAnsi="Times New Roman"/>
        </w:rPr>
        <w:t>第 7 页</w:t>
      </w:r>
    </w:p>
    <w:p>
      <w:pPr>
        <w:spacing w:line="384" w:lineRule="auto" w:after="40"/>
        <w:tabs>
          <w:tab w:val="right" w:leader="dot" w:pos="8800"/>
        </w:tabs>
      </w:pPr>
      <w:r>
        <w:rPr>
          <w:b w:val="0"/>
          <w:i w:val="0"/>
          <w:color w:val="1F3A68"/>
          <w:sz w:val="22"/>
          <w:rFonts w:eastAsia="宋体" w:ascii="Times New Roman" w:hAnsi="Times New Roman"/>
        </w:rPr>
        <w:t>6. REST API 规格</w:t>
        <w:tab/>
      </w:r>
      <w:r>
        <w:rPr>
          <w:b w:val="0"/>
          <w:i w:val="0"/>
          <w:color w:val="6C757D"/>
          <w:sz w:val="22"/>
          <w:rFonts w:eastAsia="宋体" w:ascii="Times New Roman" w:hAnsi="Times New Roman"/>
        </w:rPr>
        <w:t>第 9 页</w:t>
      </w:r>
    </w:p>
    <w:p>
      <w:pPr>
        <w:spacing w:line="384" w:lineRule="auto" w:after="40"/>
        <w:tabs>
          <w:tab w:val="right" w:leader="dot" w:pos="8800"/>
        </w:tabs>
      </w:pPr>
      <w:r>
        <w:rPr>
          <w:b w:val="0"/>
          <w:i w:val="0"/>
          <w:color w:val="1F3A68"/>
          <w:sz w:val="22"/>
          <w:rFonts w:eastAsia="宋体" w:ascii="Times New Roman" w:hAnsi="Times New Roman"/>
        </w:rPr>
        <w:t>7. 前端页面与交互</w:t>
        <w:tab/>
      </w:r>
      <w:r>
        <w:rPr>
          <w:b w:val="0"/>
          <w:i w:val="0"/>
          <w:color w:val="6C757D"/>
          <w:sz w:val="22"/>
          <w:rFonts w:eastAsia="宋体" w:ascii="Times New Roman" w:hAnsi="Times New Roman"/>
        </w:rPr>
        <w:t>第 11 页</w:t>
      </w:r>
    </w:p>
    <w:p>
      <w:pPr>
        <w:spacing w:line="384" w:lineRule="auto" w:after="40"/>
        <w:tabs>
          <w:tab w:val="right" w:leader="dot" w:pos="8800"/>
        </w:tabs>
      </w:pPr>
      <w:r>
        <w:rPr>
          <w:b w:val="0"/>
          <w:i w:val="0"/>
          <w:color w:val="1F3A68"/>
          <w:sz w:val="22"/>
          <w:rFonts w:eastAsia="宋体" w:ascii="Times New Roman" w:hAnsi="Times New Roman"/>
        </w:rPr>
        <w:t>8. 安全审计要点</w:t>
        <w:tab/>
      </w:r>
      <w:r>
        <w:rPr>
          <w:b w:val="0"/>
          <w:i w:val="0"/>
          <w:color w:val="6C757D"/>
          <w:sz w:val="22"/>
          <w:rFonts w:eastAsia="宋体" w:ascii="Times New Roman" w:hAnsi="Times New Roman"/>
        </w:rPr>
        <w:t>第 12 页</w:t>
      </w:r>
    </w:p>
    <w:p>
      <w:pPr>
        <w:spacing w:line="384" w:lineRule="auto" w:after="40"/>
        <w:tabs>
          <w:tab w:val="right" w:leader="dot" w:pos="8800"/>
        </w:tabs>
      </w:pPr>
      <w:r>
        <w:rPr>
          <w:b w:val="0"/>
          <w:i w:val="0"/>
          <w:color w:val="1F3A68"/>
          <w:sz w:val="22"/>
          <w:rFonts w:eastAsia="宋体" w:ascii="Times New Roman" w:hAnsi="Times New Roman"/>
        </w:rPr>
        <w:t>9. 测试报告与回归证据</w:t>
        <w:tab/>
      </w:r>
      <w:r>
        <w:rPr>
          <w:b w:val="0"/>
          <w:i w:val="0"/>
          <w:color w:val="6C757D"/>
          <w:sz w:val="22"/>
          <w:rFonts w:eastAsia="宋体" w:ascii="Times New Roman" w:hAnsi="Times New Roman"/>
        </w:rPr>
        <w:t>第 13 页</w:t>
      </w:r>
    </w:p>
    <w:p>
      <w:pPr>
        <w:spacing w:line="384" w:lineRule="auto" w:after="40"/>
        <w:tabs>
          <w:tab w:val="right" w:leader="dot" w:pos="8800"/>
        </w:tabs>
      </w:pPr>
      <w:r>
        <w:rPr>
          <w:b w:val="0"/>
          <w:i w:val="0"/>
          <w:color w:val="1F3A68"/>
          <w:sz w:val="22"/>
          <w:rFonts w:eastAsia="宋体" w:ascii="Times New Roman" w:hAnsi="Times New Roman"/>
        </w:rPr>
        <w:t>10. 部署、运维与数据所有权</w:t>
        <w:tab/>
      </w:r>
      <w:r>
        <w:rPr>
          <w:b w:val="0"/>
          <w:i w:val="0"/>
          <w:color w:val="6C757D"/>
          <w:sz w:val="22"/>
          <w:rFonts w:eastAsia="宋体" w:ascii="Times New Roman" w:hAnsi="Times New Roman"/>
        </w:rPr>
        <w:t>第 14 页</w:t>
      </w:r>
    </w:p>
    <w:p>
      <w:pPr>
        <w:spacing w:line="384" w:lineRule="auto" w:after="40"/>
        <w:tabs>
          <w:tab w:val="right" w:leader="dot" w:pos="8800"/>
        </w:tabs>
      </w:pPr>
      <w:r>
        <w:rPr>
          <w:b w:val="0"/>
          <w:i w:val="0"/>
          <w:color w:val="1F3A68"/>
          <w:sz w:val="22"/>
          <w:rFonts w:eastAsia="宋体" w:ascii="Times New Roman" w:hAnsi="Times New Roman"/>
        </w:rPr>
        <w:t>11. 风险登记册与已知限制</w:t>
        <w:tab/>
      </w:r>
      <w:r>
        <w:rPr>
          <w:b w:val="0"/>
          <w:i w:val="0"/>
          <w:color w:val="6C757D"/>
          <w:sz w:val="22"/>
          <w:rFonts w:eastAsia="宋体" w:ascii="Times New Roman" w:hAnsi="Times New Roman"/>
        </w:rPr>
        <w:t>第 15 页</w:t>
      </w:r>
    </w:p>
    <w:p>
      <w:pPr>
        <w:spacing w:line="384" w:lineRule="auto" w:after="40"/>
        <w:tabs>
          <w:tab w:val="right" w:leader="dot" w:pos="8800"/>
        </w:tabs>
      </w:pPr>
      <w:r>
        <w:rPr>
          <w:b w:val="0"/>
          <w:i w:val="0"/>
          <w:color w:val="1F3A68"/>
          <w:sz w:val="22"/>
          <w:rFonts w:eastAsia="宋体" w:ascii="Times New Roman" w:hAnsi="Times New Roman"/>
        </w:rPr>
        <w:t>12. 第三方审计重点与建议</w:t>
        <w:tab/>
      </w:r>
      <w:r>
        <w:rPr>
          <w:b w:val="0"/>
          <w:i w:val="0"/>
          <w:color w:val="6C757D"/>
          <w:sz w:val="22"/>
          <w:rFonts w:eastAsia="宋体" w:ascii="Times New Roman" w:hAnsi="Times New Roman"/>
        </w:rPr>
        <w:t>第 16 页</w:t>
      </w:r>
    </w:p>
    <w:p>
      <w:pPr>
        <w:spacing w:line="384" w:lineRule="auto" w:after="40"/>
        <w:tabs>
          <w:tab w:val="right" w:leader="dot" w:pos="8800"/>
        </w:tabs>
      </w:pPr>
      <w:r>
        <w:rPr>
          <w:b w:val="0"/>
          <w:i w:val="0"/>
          <w:color w:val="1F3A68"/>
          <w:sz w:val="22"/>
          <w:rFonts w:eastAsia="宋体" w:ascii="Times New Roman" w:hAnsi="Times New Roman"/>
        </w:rPr>
        <w:t>13. 附录 A：完整源代码清单</w:t>
        <w:tab/>
      </w:r>
      <w:r>
        <w:rPr>
          <w:b w:val="0"/>
          <w:i w:val="0"/>
          <w:color w:val="6C757D"/>
          <w:sz w:val="22"/>
          <w:rFonts w:eastAsia="宋体" w:ascii="Times New Roman" w:hAnsi="Times New Roman"/>
        </w:rPr>
        <w:t>第 17 页</w:t>
      </w:r>
    </w:p>
    <w:p>
      <w:r>
        <w:br w:type="page"/>
      </w:r>
    </w:p>
    <w:p>
      <w:pPr>
        <w:spacing w:line="336" w:lineRule="auto" w:before="480" w:after="240"/>
        <w:pBdr>
          <w:bottom w:val="single" w:sz="18" w:color="1F3A68" w:space="4"/>
        </w:pBdr>
      </w:pPr>
      <w:r>
        <w:rPr>
          <w:b/>
          <w:i w:val="0"/>
          <w:color w:val="1F3A68"/>
          <w:sz w:val="44"/>
          <w:rFonts w:eastAsia="宋体" w:ascii="Times New Roman" w:hAnsi="Times New Roman"/>
        </w:rPr>
        <w:t>1. 文档元信息与版本控制</w:t>
      </w:r>
    </w:p>
    <w:p>
      <w:pPr>
        <w:spacing w:line="336" w:lineRule="auto" w:before="240" w:after="80"/>
      </w:pPr>
      <w:r>
        <w:rPr>
          <w:b/>
          <w:i w:val="0"/>
          <w:color w:val="1F3A68"/>
          <w:sz w:val="25"/>
          <w:rFonts w:eastAsia="宋体" w:ascii="Times New Roman" w:hAnsi="Times New Roman"/>
        </w:rPr>
        <w:t>1.1 文档版本</w:t>
      </w:r>
    </w:p>
    <w:tbl>
      <w:tblPr>
        <w:tblW w:type="auto" w:w="0"/>
        <w:tblLayout w:type="fixed"/>
        <w:tblLook w:firstColumn="1" w:firstRow="1" w:lastColumn="0" w:lastRow="0" w:noHBand="0" w:noVBand="1" w:val="04A0"/>
      </w:tblPr>
      <w:tblGrid>
        <w:gridCol w:w="4621"/>
        <w:gridCol w:w="4621"/>
      </w:tblGrid>
      <w:tr>
        <w:tc>
          <w:tcPr>
            <w:tcW w:type="dxa" w:w="2268"/>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字段</w:t>
            </w:r>
          </w:p>
        </w:tc>
        <w:tc>
          <w:tcPr>
            <w:tcW w:type="dxa" w:w="6520"/>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值</w:t>
            </w:r>
          </w:p>
        </w:tc>
      </w:tr>
      <w:tr>
        <w:tc>
          <w:tcPr>
            <w:tcW w:type="dxa" w:w="2268"/>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文档版本</w:t>
            </w:r>
          </w:p>
        </w:tc>
        <w:tc>
          <w:tcPr>
            <w:tcW w:type="dxa" w:w="6520"/>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v1.0.0</w:t>
            </w:r>
          </w:p>
        </w:tc>
      </w:tr>
      <w:tr>
        <w:tc>
          <w:tcPr>
            <w:tcW w:type="dxa" w:w="2268"/>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编制日期</w:t>
            </w:r>
          </w:p>
        </w:tc>
        <w:tc>
          <w:tcPr>
            <w:tcW w:type="dxa" w:w="6520"/>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2026-09-10</w:t>
            </w:r>
          </w:p>
        </w:tc>
      </w:tr>
      <w:tr>
        <w:tc>
          <w:tcPr>
            <w:tcW w:type="dxa" w:w="2268"/>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编制人</w:t>
            </w:r>
          </w:p>
        </w:tc>
        <w:tc>
          <w:tcPr>
            <w:tcW w:type="dxa" w:w="6520"/>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投研工作台开发组（WorkBuddy 协作生成 + 人工复核）</w:t>
            </w:r>
          </w:p>
        </w:tc>
      </w:tr>
      <w:tr>
        <w:tc>
          <w:tcPr>
            <w:tcW w:type="dxa" w:w="2268"/>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审阅人</w:t>
            </w:r>
          </w:p>
        </w:tc>
        <w:tc>
          <w:tcPr>
            <w:tcW w:type="dxa" w:w="6520"/>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（待独立审计方填写）</w:t>
            </w:r>
          </w:p>
        </w:tc>
      </w:tr>
      <w:tr>
        <w:tc>
          <w:tcPr>
            <w:tcW w:type="dxa" w:w="2268"/>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密级</w:t>
            </w:r>
          </w:p>
        </w:tc>
        <w:tc>
          <w:tcPr>
            <w:tcW w:type="dxa" w:w="6520"/>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内部 · 仅供审计与合规使用</w:t>
            </w:r>
          </w:p>
        </w:tc>
      </w:tr>
      <w:tr>
        <w:tc>
          <w:tcPr>
            <w:tcW w:type="dxa" w:w="2268"/>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文档生成方式</w:t>
            </w:r>
          </w:p>
        </w:tc>
        <w:tc>
          <w:tcPr>
            <w:tcW w:type="dxa" w:w="6520"/>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python-docx 1.2.0（参考 design-token 商务报告风格）</w:t>
            </w:r>
          </w:p>
        </w:tc>
      </w:tr>
    </w:tbl>
    <w:p>
      <w:pPr>
        <w:spacing w:line="336" w:lineRule="auto" w:before="240" w:after="80"/>
      </w:pPr>
      <w:r>
        <w:rPr>
          <w:b/>
          <w:i w:val="0"/>
          <w:color w:val="1F3A68"/>
          <w:sz w:val="25"/>
          <w:rFonts w:eastAsia="宋体" w:ascii="Times New Roman" w:hAnsi="Times New Roman"/>
        </w:rPr>
        <w:t>1.2 变更记录</w:t>
      </w:r>
    </w:p>
    <w:tbl>
      <w:tblPr>
        <w:tblW w:type="auto" w:w="0"/>
        <w:tblLayout w:type="fixed"/>
        <w:tblLook w:firstColumn="1" w:firstRow="1" w:lastColumn="0" w:lastRow="0" w:noHBand="0" w:noVBand="1" w:val="04A0"/>
      </w:tblPr>
      <w:tblGrid>
        <w:gridCol w:w="2310"/>
        <w:gridCol w:w="2310"/>
        <w:gridCol w:w="2310"/>
        <w:gridCol w:w="2310"/>
      </w:tblGrid>
      <w:tr>
        <w:tc>
          <w:tcPr>
            <w:tcW w:type="dxa" w:w="1134"/>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版本</w:t>
            </w:r>
          </w:p>
        </w:tc>
        <w:tc>
          <w:tcPr>
            <w:tcW w:type="dxa" w:w="1417"/>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日期</w:t>
            </w:r>
          </w:p>
        </w:tc>
        <w:tc>
          <w:tcPr>
            <w:tcW w:type="dxa" w:w="1134"/>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作者</w:t>
            </w:r>
          </w:p>
        </w:tc>
        <w:tc>
          <w:tcPr>
            <w:tcW w:type="dxa" w:w="5102"/>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变更摘要</w:t>
            </w:r>
          </w:p>
        </w:tc>
      </w:tr>
      <w:tr>
        <w:tc>
          <w:tcPr>
            <w:tcW w:type="dxa" w:w="1134"/>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v1.0.0</w:t>
            </w:r>
          </w:p>
        </w:tc>
        <w:tc>
          <w:tcPr>
            <w:tcW w:type="dxa" w:w="1417"/>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2026-09-10</w:t>
            </w:r>
          </w:p>
        </w:tc>
        <w:tc>
          <w:tcPr>
            <w:tcW w:type="dxa" w:w="1134"/>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开发组</w:t>
            </w:r>
          </w:p>
        </w:tc>
        <w:tc>
          <w:tcPr>
            <w:tcW w:type="dxa" w:w="5102"/>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首次交付：MVP v1.0.0 全量源码、SQLite 数据、接口、UI、安全审计与测试报告</w:t>
            </w:r>
          </w:p>
        </w:tc>
      </w:tr>
    </w:tbl>
    <w:p>
      <w:pPr>
        <w:spacing w:line="336" w:lineRule="auto" w:before="240" w:after="80"/>
      </w:pPr>
      <w:r>
        <w:rPr>
          <w:b/>
          <w:i w:val="0"/>
          <w:color w:val="1F3A68"/>
          <w:sz w:val="25"/>
          <w:rFonts w:eastAsia="宋体" w:ascii="Times New Roman" w:hAnsi="Times New Roman"/>
        </w:rPr>
        <w:t>1.3 文档范围声明</w:t>
      </w:r>
    </w:p>
    <w:tbl>
      <w:tblPr>
        <w:tblW w:type="auto" w:w="0"/>
        <w:tblLayout w:type="fixed"/>
        <w:tblLook w:firstColumn="1" w:firstRow="1" w:lastColumn="0" w:lastRow="0" w:noHBand="0" w:noVBand="1" w:val="04A0"/>
      </w:tblPr>
      <w:tblGrid>
        <w:gridCol w:w="9242"/>
      </w:tblGrid>
      <w:tr>
        <w:tc>
          <w:tcPr>
            <w:tcW w:type="dxa" w:w="9242"/>
            <w:shd w:val="clear" w:color="auto" w:fill="FEF7E6"/>
            <w:tcBorders>
              <w:top w:val="single" w:sz="8" w:color="B7791F"/>
              <w:left w:val="single" w:sz="8" w:color="B7791F"/>
              <w:bottom w:val="single" w:sz="8" w:color="B7791F"/>
              <w:right w:val="single" w:sz="8" w:color="B7791F"/>
            </w:tcBorders>
          </w:tcPr>
          <w:p>
            <w:pPr>
              <w:spacing w:line="360" w:lineRule="auto" w:after="80"/>
            </w:pPr>
            <w:r>
              <w:rPr>
                <w:b/>
                <w:i w:val="0"/>
                <w:color w:val="B7791F"/>
                <w:sz w:val="20"/>
                <w:rFonts w:eastAsia="宋体" w:ascii="Times New Roman" w:hAnsi="Times New Roman"/>
              </w:rPr>
              <w:t xml:space="preserve">⚠ 警示   </w:t>
            </w:r>
          </w:p>
          <w:p>
            <w:pPr>
              <w:spacing w:line="360" w:lineRule="auto" w:after="0"/>
            </w:pPr>
            <w:r>
              <w:rPr>
                <w:b w:val="0"/>
                <w:i w:val="0"/>
                <w:color w:val="212529"/>
                <w:sz w:val="20"/>
                <w:rFonts w:eastAsia="宋体" w:ascii="Times New Roman" w:hAnsi="Times New Roman"/>
              </w:rPr>
              <w:t>本系统为个人投研工作台（非券商交易终端、非组合管理系统），不承担自动选股、自动交易、合规报送、监管接口、税务计算、多账户/多用户权限角色等职责。任何超出本文档 §2.2 范围的能力，均不在本次审计对象之内。</w:t>
            </w:r>
          </w:p>
        </w:tc>
      </w:tr>
    </w:tbl>
    <w:p>
      <w:pPr>
        <w:spacing w:after="0"/>
      </w:pPr>
    </w:p>
    <w:p>
      <w:r>
        <w:br w:type="page"/>
      </w:r>
    </w:p>
    <w:p>
      <w:pPr>
        <w:spacing w:line="336" w:lineRule="auto" w:before="480" w:after="240"/>
        <w:pBdr>
          <w:bottom w:val="single" w:sz="18" w:color="1F3A68" w:space="4"/>
        </w:pBdr>
      </w:pPr>
      <w:r>
        <w:rPr>
          <w:b/>
          <w:i w:val="0"/>
          <w:color w:val="1F3A68"/>
          <w:sz w:val="44"/>
          <w:rFonts w:eastAsia="宋体" w:ascii="Times New Roman" w:hAnsi="Times New Roman"/>
        </w:rPr>
        <w:t>2. 项目目标与系统边界</w:t>
      </w:r>
    </w:p>
    <w:p>
      <w:pPr>
        <w:spacing w:line="336" w:lineRule="auto" w:before="240" w:after="80"/>
      </w:pPr>
      <w:r>
        <w:rPr>
          <w:b/>
          <w:i w:val="0"/>
          <w:color w:val="1F3A68"/>
          <w:sz w:val="25"/>
          <w:rFonts w:eastAsia="宋体" w:ascii="Times New Roman" w:hAnsi="Times New Roman"/>
        </w:rPr>
        <w:t>2.1 项目目标</w:t>
      </w:r>
    </w:p>
    <w:p>
      <w:pPr>
        <w:spacing w:line="360" w:lineRule="auto" w:before="0" w:after="80"/>
      </w:pPr>
      <w:r>
        <w:rPr>
          <w:b w:val="0"/>
          <w:i w:val="0"/>
          <w:sz w:val="21"/>
          <w:rFonts w:eastAsia="宋体" w:ascii="Times New Roman" w:hAnsi="Times New Roman"/>
        </w:rPr>
        <w:t>建立一个面向 A 股与港股的个人投研与交易管理工作台，承接已经过"拉网 / 深穿"研究的标的，将研究结论、交易计划、真实持仓和后续验证放在同一个系统中持续管理。</w:t>
      </w:r>
    </w:p>
    <w:p>
      <w:pPr>
        <w:spacing w:line="360" w:lineRule="auto" w:before="0" w:after="80"/>
      </w:pPr>
      <w:r>
        <w:rPr>
          <w:b w:val="0"/>
          <w:i/>
          <w:sz w:val="21"/>
          <w:rFonts w:eastAsia="宋体" w:ascii="Times New Roman" w:hAnsi="Times New Roman"/>
        </w:rPr>
        <w:t>核心问题：今天有哪些标的发生了值得我处理的变化，我下一步应该按照原来已经确定的计划做什么？</w:t>
      </w:r>
    </w:p>
    <w:p>
      <w:pPr>
        <w:spacing w:line="336" w:lineRule="auto" w:before="240" w:after="80"/>
      </w:pPr>
      <w:r>
        <w:rPr>
          <w:b/>
          <w:i w:val="0"/>
          <w:color w:val="1F3A68"/>
          <w:sz w:val="25"/>
          <w:rFonts w:eastAsia="宋体" w:ascii="Times New Roman" w:hAnsi="Times New Roman"/>
        </w:rPr>
        <w:t>2.2 系统边界（必须做）</w:t>
      </w:r>
    </w:p>
    <w:p>
      <w:pPr>
        <w:pStyle w:val="ListBullet"/>
        <w:spacing w:line="360" w:lineRule="auto" w:after="40"/>
      </w:pPr>
      <w:r>
        <w:rPr>
          <w:b w:val="0"/>
          <w:i w:val="0"/>
          <w:sz w:val="21"/>
          <w:rFonts w:eastAsia="宋体" w:ascii="Times New Roman" w:hAnsi="Times New Roman"/>
        </w:rPr>
        <w:t>承接已完成的"深穿"结论，转化为结构化个股档案</w:t>
      </w:r>
    </w:p>
    <w:p>
      <w:pPr>
        <w:pStyle w:val="ListBullet"/>
        <w:spacing w:line="360" w:lineRule="auto" w:after="40"/>
      </w:pPr>
      <w:r>
        <w:rPr>
          <w:b w:val="0"/>
          <w:i w:val="0"/>
          <w:sz w:val="21"/>
          <w:rFonts w:eastAsia="宋体" w:ascii="Times New Roman" w:hAnsi="Times New Roman"/>
        </w:rPr>
        <w:t>维护研究结论、交易计划、真实持仓的四层分离结构</w:t>
      </w:r>
    </w:p>
    <w:p>
      <w:pPr>
        <w:pStyle w:val="ListBullet"/>
        <w:spacing w:line="360" w:lineRule="auto" w:after="40"/>
      </w:pPr>
      <w:r>
        <w:rPr>
          <w:b w:val="0"/>
          <w:i w:val="0"/>
          <w:sz w:val="21"/>
          <w:rFonts w:eastAsia="宋体" w:ascii="Times New Roman" w:hAnsi="Times New Roman"/>
        </w:rPr>
        <w:t>支持标的从「等证据 → 等价格 → 可交易 → 持仓中 → 暂不参与」的状态机</w:t>
      </w:r>
    </w:p>
    <w:p>
      <w:pPr>
        <w:pStyle w:val="ListBullet"/>
        <w:spacing w:line="360" w:lineRule="auto" w:after="40"/>
      </w:pPr>
      <w:r>
        <w:rPr>
          <w:b w:val="0"/>
          <w:i w:val="0"/>
          <w:sz w:val="21"/>
          <w:rFonts w:eastAsia="宋体" w:ascii="Times New Roman" w:hAnsi="Times New Roman"/>
        </w:rPr>
        <w:t>提供基于"首仓区 / 加仓区 / 强赔率区 / 不追价"的事实化行情对照</w:t>
      </w:r>
    </w:p>
    <w:p>
      <w:pPr>
        <w:pStyle w:val="ListBullet"/>
        <w:spacing w:line="360" w:lineRule="auto" w:after="40"/>
      </w:pPr>
      <w:r>
        <w:rPr>
          <w:b w:val="0"/>
          <w:i w:val="0"/>
          <w:sz w:val="21"/>
          <w:rFonts w:eastAsia="宋体" w:ascii="Times New Roman" w:hAnsi="Times New Roman"/>
        </w:rPr>
        <w:t>维护 append-only 的研究版本、计划版本、交易流水、决策台账</w:t>
      </w:r>
    </w:p>
    <w:p>
      <w:pPr>
        <w:pStyle w:val="ListBullet"/>
        <w:spacing w:line="360" w:lineRule="auto" w:after="40"/>
      </w:pPr>
      <w:r>
        <w:rPr>
          <w:b w:val="0"/>
          <w:i w:val="0"/>
          <w:sz w:val="21"/>
          <w:rFonts w:eastAsia="宋体" w:ascii="Times New Roman" w:hAnsi="Times New Roman"/>
        </w:rPr>
        <w:t>仅在本地运行，数据所有权归用户</w:t>
      </w:r>
    </w:p>
    <w:p>
      <w:pPr>
        <w:spacing w:line="336" w:lineRule="auto" w:before="240" w:after="80"/>
      </w:pPr>
      <w:r>
        <w:rPr>
          <w:b/>
          <w:i w:val="0"/>
          <w:color w:val="1F3A68"/>
          <w:sz w:val="25"/>
          <w:rFonts w:eastAsia="宋体" w:ascii="Times New Roman" w:hAnsi="Times New Roman"/>
        </w:rPr>
        <w:t>2.3 系统边界（明确不做）— 防止范围蔓延</w:t>
      </w:r>
    </w:p>
    <w:tbl>
      <w:tblPr>
        <w:tblW w:type="auto" w:w="0"/>
        <w:tblLayout w:type="fixed"/>
        <w:tblLook w:firstColumn="1" w:firstRow="1" w:lastColumn="0" w:lastRow="0" w:noHBand="0" w:noVBand="1" w:val="04A0"/>
      </w:tblPr>
      <w:tblGrid>
        <w:gridCol w:w="9242"/>
      </w:tblGrid>
      <w:tr>
        <w:tc>
          <w:tcPr>
            <w:tcW w:type="dxa" w:w="9242"/>
            <w:shd w:val="clear" w:color="auto" w:fill="FCE8E6"/>
            <w:tcBorders>
              <w:top w:val="single" w:sz="8" w:color="C0392B"/>
              <w:left w:val="single" w:sz="8" w:color="C0392B"/>
              <w:bottom w:val="single" w:sz="8" w:color="C0392B"/>
              <w:right w:val="single" w:sz="8" w:color="C0392B"/>
            </w:tcBorders>
          </w:tcPr>
          <w:p>
            <w:pPr>
              <w:spacing w:line="360" w:lineRule="auto" w:after="80"/>
            </w:pPr>
            <w:r>
              <w:rPr>
                <w:b/>
                <w:i w:val="0"/>
                <w:color w:val="C0392B"/>
                <w:sz w:val="20"/>
                <w:rFonts w:eastAsia="宋体" w:ascii="Times New Roman" w:hAnsi="Times New Roman"/>
              </w:rPr>
              <w:t xml:space="preserve">✕ 严禁   </w:t>
            </w:r>
          </w:p>
          <w:p>
            <w:pPr>
              <w:spacing w:line="360" w:lineRule="auto" w:after="0"/>
            </w:pPr>
            <w:r>
              <w:rPr>
                <w:b w:val="0"/>
                <w:i w:val="0"/>
                <w:color w:val="212529"/>
                <w:sz w:val="20"/>
                <w:rFonts w:eastAsia="宋体" w:ascii="Times New Roman" w:hAnsi="Times New Roman"/>
              </w:rPr>
              <w:t>本 MVP 明确拒绝实现以下功能。任何要求新增此清单内能力的请求，应作为新项目立项而非范围变更。</w:t>
            </w:r>
          </w:p>
        </w:tc>
      </w:tr>
    </w:tbl>
    <w:p>
      <w:pPr>
        <w:spacing w:after="0"/>
      </w:pPr>
    </w:p>
    <w:tbl>
      <w:tblPr>
        <w:tblW w:type="auto" w:w="0"/>
        <w:tblLayout w:type="fixed"/>
        <w:tblLook w:firstColumn="1" w:firstRow="1" w:lastColumn="0" w:lastRow="0" w:noHBand="0" w:noVBand="1" w:val="04A0"/>
      </w:tblPr>
      <w:tblGrid>
        <w:gridCol w:w="4621"/>
        <w:gridCol w:w="4621"/>
      </w:tblGrid>
      <w:tr>
        <w:tc>
          <w:tcPr>
            <w:tcW w:type="dxa" w:w="3969"/>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明确不做</w:t>
            </w:r>
          </w:p>
        </w:tc>
        <w:tc>
          <w:tcPr>
            <w:tcW w:type="dxa" w:w="4819"/>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原因</w:t>
            </w:r>
          </w:p>
        </w:tc>
      </w:tr>
      <w:tr>
        <w:tc>
          <w:tcPr>
            <w:tcW w:type="dxa" w:w="3969"/>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自动选股 / 自动打分</w:t>
            </w:r>
          </w:p>
        </w:tc>
        <w:tc>
          <w:tcPr>
            <w:tcW w:type="dxa" w:w="4819"/>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不替代深穿研究</w:t>
            </w:r>
          </w:p>
        </w:tc>
      </w:tr>
      <w:tr>
        <w:tc>
          <w:tcPr>
            <w:tcW w:type="dxa" w:w="3969"/>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自动生成新投资规则</w:t>
            </w:r>
          </w:p>
        </w:tc>
        <w:tc>
          <w:tcPr>
            <w:tcW w:type="dxa" w:w="4819"/>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不擅自改写研究逻辑</w:t>
            </w:r>
          </w:p>
        </w:tc>
      </w:tr>
      <w:tr>
        <w:tc>
          <w:tcPr>
            <w:tcW w:type="dxa" w:w="3969"/>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自动交易 / 算法下单</w:t>
            </w:r>
          </w:p>
        </w:tc>
        <w:tc>
          <w:tcPr>
            <w:tcW w:type="dxa" w:w="4819"/>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不代替人做执行判断</w:t>
            </w:r>
          </w:p>
        </w:tc>
      </w:tr>
      <w:tr>
        <w:tc>
          <w:tcPr>
            <w:tcW w:type="dxa" w:w="3969"/>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行情变化自行修改交易计划</w:t>
            </w:r>
          </w:p>
        </w:tc>
        <w:tc>
          <w:tcPr>
            <w:tcW w:type="dxa" w:w="4819"/>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计划修改必须由人发起并附说明</w:t>
            </w:r>
          </w:p>
        </w:tc>
      </w:tr>
      <w:tr>
        <w:tc>
          <w:tcPr>
            <w:tcW w:type="dxa" w:w="3969"/>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复杂收益归因 / 因子归因</w:t>
            </w:r>
          </w:p>
        </w:tc>
        <w:tc>
          <w:tcPr>
            <w:tcW w:type="dxa" w:w="4819"/>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超出 MVP 范围</w:t>
            </w:r>
          </w:p>
        </w:tc>
      </w:tr>
      <w:tr>
        <w:tc>
          <w:tcPr>
            <w:tcW w:type="dxa" w:w="3969"/>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量化评分 / 量化回测</w:t>
            </w:r>
          </w:p>
        </w:tc>
        <w:tc>
          <w:tcPr>
            <w:tcW w:type="dxa" w:w="4819"/>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不在工作台职责之内</w:t>
            </w:r>
          </w:p>
        </w:tc>
      </w:tr>
      <w:tr>
        <w:tc>
          <w:tcPr>
            <w:tcW w:type="dxa" w:w="3969"/>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技术指标系统（MA/MACD/...）</w:t>
            </w:r>
          </w:p>
        </w:tc>
        <w:tc>
          <w:tcPr>
            <w:tcW w:type="dxa" w:w="4819"/>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用户基于研究结论而非指标</w:t>
            </w:r>
          </w:p>
        </w:tc>
      </w:tr>
      <w:tr>
        <w:tc>
          <w:tcPr>
            <w:tcW w:type="dxa" w:w="3969"/>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组合优化 / VaR / Monte Carlo</w:t>
            </w:r>
          </w:p>
        </w:tc>
        <w:tc>
          <w:tcPr>
            <w:tcW w:type="dxa" w:w="4819"/>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超出 MVP 范围</w:t>
            </w:r>
          </w:p>
        </w:tc>
      </w:tr>
      <w:tr>
        <w:tc>
          <w:tcPr>
            <w:tcW w:type="dxa" w:w="3969"/>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多账户 / 多用户 / 角色权限</w:t>
            </w:r>
          </w:p>
        </w:tc>
        <w:tc>
          <w:tcPr>
            <w:tcW w:type="dxa" w:w="4819"/>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个人工具，无需</w:t>
            </w:r>
          </w:p>
        </w:tc>
      </w:tr>
      <w:tr>
        <w:tc>
          <w:tcPr>
            <w:tcW w:type="dxa" w:w="3969"/>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社交 / 新闻门户 / 研报聚合</w:t>
            </w:r>
          </w:p>
        </w:tc>
        <w:tc>
          <w:tcPr>
            <w:tcW w:type="dxa" w:w="4819"/>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数据源与深穿会话负责</w:t>
            </w:r>
          </w:p>
        </w:tc>
      </w:tr>
      <w:tr>
        <w:tc>
          <w:tcPr>
            <w:tcW w:type="dxa" w:w="3969"/>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报价"建议买入"信号</w:t>
            </w:r>
          </w:p>
        </w:tc>
        <w:tc>
          <w:tcPr>
            <w:tcW w:type="dxa" w:w="4819"/>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系统只显示客观事实，价格/区间比对交给人</w:t>
            </w:r>
          </w:p>
        </w:tc>
      </w:tr>
    </w:tbl>
    <w:p>
      <w:pPr>
        <w:spacing w:line="336" w:lineRule="auto" w:before="240" w:after="80"/>
      </w:pPr>
      <w:r>
        <w:rPr>
          <w:b/>
          <w:i w:val="0"/>
          <w:color w:val="1F3A68"/>
          <w:sz w:val="25"/>
          <w:rFonts w:eastAsia="宋体" w:ascii="Times New Roman" w:hAnsi="Times New Roman"/>
        </w:rPr>
        <w:t>2.4 与"深穿"会话的关系</w:t>
      </w:r>
    </w:p>
    <w:tbl>
      <w:tblPr>
        <w:tblW w:type="auto" w:w="0"/>
        <w:tblLayout w:type="fixed"/>
        <w:tblLook w:firstColumn="1" w:firstRow="1" w:lastColumn="0" w:lastRow="0" w:noHBand="0" w:noVBand="1" w:val="04A0"/>
      </w:tblPr>
      <w:tblGrid>
        <w:gridCol w:w="4621"/>
        <w:gridCol w:w="4621"/>
      </w:tblGrid>
      <w:tr>
        <w:tc>
          <w:tcPr>
            <w:tcW w:type="dxa" w:w="3969"/>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环节</w:t>
            </w:r>
          </w:p>
        </w:tc>
        <w:tc>
          <w:tcPr>
            <w:tcW w:type="dxa" w:w="4819"/>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负责方</w:t>
            </w:r>
          </w:p>
        </w:tc>
      </w:tr>
      <w:tr>
        <w:tc>
          <w:tcPr>
            <w:tcW w:type="dxa" w:w="3969"/>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标的筛选与拉网</w:t>
            </w:r>
          </w:p>
        </w:tc>
        <w:tc>
          <w:tcPr>
            <w:tcW w:type="dxa" w:w="4819"/>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深穿会话</w:t>
            </w:r>
          </w:p>
        </w:tc>
      </w:tr>
      <w:tr>
        <w:tc>
          <w:tcPr>
            <w:tcW w:type="dxa" w:w="3969"/>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单股深穿 / 估值 / 风险评估</w:t>
            </w:r>
          </w:p>
        </w:tc>
        <w:tc>
          <w:tcPr>
            <w:tcW w:type="dxa" w:w="4819"/>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深穿会话</w:t>
            </w:r>
          </w:p>
        </w:tc>
      </w:tr>
      <w:tr>
        <w:tc>
          <w:tcPr>
            <w:tcW w:type="dxa" w:w="3969"/>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输出标准化信息卡</w:t>
            </w:r>
          </w:p>
        </w:tc>
        <w:tc>
          <w:tcPr>
            <w:tcW w:type="dxa" w:w="4819"/>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深穿会话（输出）→ 工作台（导入）</w:t>
            </w:r>
          </w:p>
        </w:tc>
      </w:tr>
      <w:tr>
        <w:tc>
          <w:tcPr>
            <w:tcW w:type="dxa" w:w="3969"/>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日常跟踪与提示</w:t>
            </w:r>
          </w:p>
        </w:tc>
        <w:tc>
          <w:tcPr>
            <w:tcW w:type="dxa" w:w="4819"/>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工作台</w:t>
            </w:r>
          </w:p>
        </w:tc>
      </w:tr>
      <w:tr>
        <w:tc>
          <w:tcPr>
            <w:tcW w:type="dxa" w:w="3969"/>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出现重大变化回归深穿</w:t>
            </w:r>
          </w:p>
        </w:tc>
        <w:tc>
          <w:tcPr>
            <w:tcW w:type="dxa" w:w="4819"/>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工作台（识别）→ 深穿会话（出结论）→ 工作台（更新）</w:t>
            </w:r>
          </w:p>
        </w:tc>
      </w:tr>
    </w:tbl>
    <w:p>
      <w:r>
        <w:br w:type="page"/>
      </w:r>
    </w:p>
    <w:p>
      <w:pPr>
        <w:spacing w:line="336" w:lineRule="auto" w:before="480" w:after="240"/>
        <w:pBdr>
          <w:bottom w:val="single" w:sz="18" w:color="1F3A68" w:space="4"/>
        </w:pBdr>
      </w:pPr>
      <w:r>
        <w:rPr>
          <w:b/>
          <w:i w:val="0"/>
          <w:color w:val="1F3A68"/>
          <w:sz w:val="44"/>
          <w:rFonts w:eastAsia="宋体" w:ascii="Times New Roman" w:hAnsi="Times New Roman"/>
        </w:rPr>
        <w:t>3. 系统架构与技术栈</w:t>
      </w:r>
    </w:p>
    <w:p>
      <w:pPr>
        <w:spacing w:line="336" w:lineRule="auto" w:before="240" w:after="80"/>
      </w:pPr>
      <w:r>
        <w:rPr>
          <w:b/>
          <w:i w:val="0"/>
          <w:color w:val="1F3A68"/>
          <w:sz w:val="25"/>
          <w:rFonts w:eastAsia="宋体" w:ascii="Times New Roman" w:hAnsi="Times New Roman"/>
        </w:rPr>
        <w:t>3.1 总体架构</w:t>
      </w:r>
    </w:p>
    <w:p>
      <w:pPr>
        <w:spacing w:line="324" w:lineRule="auto" w:after="160"/>
        <w:ind w:left="160"/>
        <w:pBdr>
          <w:left w:val="single" w:sz="18" w:color="1F3A68" w:space="6"/>
        </w:pBdr>
        <w:shd w:val="clear" w:color="auto" w:fill="F7F9FC"/>
      </w:pPr>
      <w:r>
        <w:rPr>
          <w:b w:val="0"/>
          <w:i w:val="0"/>
          <w:color w:val="212529"/>
          <w:sz w:val="18"/>
          <w:rFonts w:eastAsia="Consolas" w:ascii="Consolas" w:hAnsi="Consolas"/>
        </w:rPr>
        <w:t>┌──────────────────────────────────────────────────────────────┐</w:t>
        <w:br/>
        <w:t>│                     浏览器前端 (Chrome / Edge)                │</w:t>
        <w:br/>
        <w:t>│  ┌──────────────┬──────────────┬──────────────────────────┐  │</w:t>
        <w:br/>
        <w:t>│  │ 今日工作台    │ 标的库        │ 个股详情 / 流水 / 台账    │  │</w:t>
        <w:br/>
        <w:t>│  │              │              │  (SPA, 单页路由)         │  │</w:t>
        <w:br/>
        <w:t>│  └──────────────┴──────────────┴──────────────────────────┘  │</w:t>
        <w:br/>
        <w:t>│              vanilla JS · 零框架 · 36 KB                     │</w:t>
        <w:br/>
        <w:t>└──────────────────────────────────────────────────────────────┘</w:t>
        <w:br/>
        <w:t xml:space="preserve">          │ HTTP/1.1 (JSON) · localhost:8765（默认）</w:t>
        <w:br/>
        <w:t xml:space="preserve">          ▼</w:t>
        <w:br/>
        <w:t>┌──────────────────────────────────────────────────────────────┐</w:t>
        <w:br/>
        <w:t>│              Python 3.13 HTTP 服务 (stdlib only)              │</w:t>
        <w:br/>
        <w:t>│   ┌──────────┬───────────┬───────────┬───────────┬─────────┐  │</w:t>
        <w:br/>
        <w:t>│   │ REST API │ 静态资源   │ SQLite    │ 行情代理   │ 端口    │  │</w:t>
        <w:br/>
        <w:t>│   │ 处理器   │ 服务器    │ 读写      │ (qq.com)  │ 8765    │  │</w:t>
        <w:br/>
        <w:t>│   └──────────┴───────────┴───────────┴───────────┴─────────┘  │</w:t>
        <w:br/>
        <w:t>└──────────────────────────────────────────────────────────────┘</w:t>
        <w:br/>
        <w:t xml:space="preserve">          │                                  │</w:t>
        <w:br/>
        <w:t xml:space="preserve">          ▼                                  ▼</w:t>
        <w:br/>
        <w:t>┌──────────────────────────┐      ┌──────────────────────────┐</w:t>
        <w:br/>
        <w:t>│  data/workbench.db       │      │ 腾讯免费行情接口           │</w:t>
        <w:br/>
        <w:t>│  (SQLite 单文件)         │      │ qt.gtimg.cn (只读 GET)    │</w:t>
        <w:br/>
        <w:t>└──────────────────────────┘      └──────────────────────────┘</w:t>
      </w:r>
    </w:p>
    <w:p>
      <w:pPr>
        <w:spacing w:line="336" w:lineRule="auto" w:before="240" w:after="80"/>
      </w:pPr>
      <w:r>
        <w:rPr>
          <w:b/>
          <w:i w:val="0"/>
          <w:color w:val="1F3A68"/>
          <w:sz w:val="25"/>
          <w:rFonts w:eastAsia="宋体" w:ascii="Times New Roman" w:hAnsi="Times New Roman"/>
        </w:rPr>
        <w:t>3.2 技术栈选型（零第三方依赖，避免供应链风险）</w:t>
      </w:r>
    </w:p>
    <w:tbl>
      <w:tblPr>
        <w:tblW w:type="auto" w:w="0"/>
        <w:tblLayout w:type="fixed"/>
        <w:tblLook w:firstColumn="1" w:firstRow="1" w:lastColumn="0" w:lastRow="0" w:noHBand="0" w:noVBand="1" w:val="04A0"/>
      </w:tblPr>
      <w:tblGrid>
        <w:gridCol w:w="4621"/>
        <w:gridCol w:w="4621"/>
      </w:tblGrid>
      <w:tr>
        <w:tc>
          <w:tcPr>
            <w:tcW w:type="dxa" w:w="2268"/>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组件</w:t>
            </w:r>
          </w:p>
        </w:tc>
        <w:tc>
          <w:tcPr>
            <w:tcW w:type="dxa" w:w="6520"/>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选择</w:t>
            </w:r>
          </w:p>
        </w:tc>
      </w:tr>
      <w:tr>
        <w:tc>
          <w:tcPr>
            <w:tcW w:type="dxa" w:w="2268"/>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后端语言</w:t>
            </w:r>
          </w:p>
        </w:tc>
        <w:tc>
          <w:tcPr>
            <w:tcW w:type="dxa" w:w="6520"/>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Python 3.13.12（标准库 + 原始 SQL）</w:t>
            </w:r>
          </w:p>
        </w:tc>
      </w:tr>
      <w:tr>
        <w:tc>
          <w:tcPr>
            <w:tcW w:type="dxa" w:w="2268"/>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HTTP 服务器</w:t>
            </w:r>
          </w:p>
        </w:tc>
        <w:tc>
          <w:tcPr>
            <w:tcW w:type="dxa" w:w="6520"/>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Python 标准库 http.server（无第三方 Web 框架）</w:t>
            </w:r>
          </w:p>
        </w:tc>
      </w:tr>
      <w:tr>
        <w:tc>
          <w:tcPr>
            <w:tcW w:type="dxa" w:w="2268"/>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数据库</w:t>
            </w:r>
          </w:p>
        </w:tc>
        <w:tc>
          <w:tcPr>
            <w:tcW w:type="dxa" w:w="6520"/>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SQLite（Python 标准库 sqlite3，无 ORM）</w:t>
            </w:r>
          </w:p>
        </w:tc>
      </w:tr>
      <w:tr>
        <w:tc>
          <w:tcPr>
            <w:tcW w:type="dxa" w:w="2268"/>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前端</w:t>
            </w:r>
          </w:p>
        </w:tc>
        <w:tc>
          <w:tcPr>
            <w:tcW w:type="dxa" w:w="6520"/>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原生 HTML + CSS + JavaScript（无 React/Vue/jQuery）</w:t>
            </w:r>
          </w:p>
        </w:tc>
      </w:tr>
      <w:tr>
        <w:tc>
          <w:tcPr>
            <w:tcW w:type="dxa" w:w="2268"/>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行情数据源</w:t>
            </w:r>
          </w:p>
        </w:tc>
        <w:tc>
          <w:tcPr>
            <w:tcW w:type="dxa" w:w="6520"/>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腾讯免费行情 API（qt.gtimg.cn），仅 GET 只读调用</w:t>
            </w:r>
          </w:p>
        </w:tc>
      </w:tr>
      <w:tr>
        <w:tc>
          <w:tcPr>
            <w:tcW w:type="dxa" w:w="2268"/>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启动方式</w:t>
            </w:r>
          </w:p>
        </w:tc>
        <w:tc>
          <w:tcPr>
            <w:tcW w:type="dxa" w:w="6520"/>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双击 启动工作台.bat（GBK 编码，中文路径安全）</w:t>
            </w:r>
          </w:p>
        </w:tc>
      </w:tr>
    </w:tbl>
    <w:p>
      <w:pPr>
        <w:spacing w:line="336" w:lineRule="auto" w:before="240" w:after="80"/>
      </w:pPr>
      <w:r>
        <w:rPr>
          <w:b/>
          <w:i w:val="0"/>
          <w:color w:val="1F3A68"/>
          <w:sz w:val="25"/>
          <w:rFonts w:eastAsia="宋体" w:ascii="Times New Roman" w:hAnsi="Times New Roman"/>
        </w:rPr>
        <w:t>3.3 目录结构</w:t>
      </w:r>
    </w:p>
    <w:p>
      <w:pPr>
        <w:spacing w:line="324" w:lineRule="auto" w:after="160"/>
        <w:ind w:left="160"/>
        <w:pBdr>
          <w:left w:val="single" w:sz="18" w:color="1F3A68" w:space="6"/>
        </w:pBdr>
        <w:shd w:val="clear" w:color="auto" w:fill="F7F9FC"/>
      </w:pPr>
      <w:r>
        <w:rPr>
          <w:b w:val="0"/>
          <w:i w:val="0"/>
          <w:color w:val="212529"/>
          <w:sz w:val="18"/>
          <w:rFonts w:eastAsia="Consolas" w:ascii="Consolas" w:hAnsi="Consolas"/>
        </w:rPr>
        <w:t>D:\个股工作台\</w:t>
        <w:br/>
        <w:t>├── app\</w:t>
        <w:br/>
        <w:t>│   ├── server.py            # 后端服务（33.9 KB / ~700 行）</w:t>
        <w:br/>
        <w:t>│   └── static\</w:t>
        <w:br/>
        <w:t>│       ├── index.html       # 单页入口</w:t>
        <w:br/>
        <w:t>│       ├── app.js           # 前端逻辑（36.2 KB）</w:t>
        <w:br/>
        <w:t>│       └── style.css        # 样式（13.0 KB）</w:t>
        <w:br/>
        <w:t>├── data\</w:t>
        <w:br/>
        <w:t>│   └── workbench.db         # SQLite 数据库（运行时自动生成）</w:t>
        <w:br/>
        <w:t>├── 启动工作台.bat           # Windows 启动器</w:t>
        <w:br/>
        <w:t>└── output\                  # 本审计文档与历史记录</w:t>
      </w:r>
    </w:p>
    <w:p>
      <w:r>
        <w:br w:type="page"/>
      </w:r>
    </w:p>
    <w:p>
      <w:pPr>
        <w:spacing w:line="336" w:lineRule="auto" w:before="480" w:after="240"/>
        <w:pBdr>
          <w:bottom w:val="single" w:sz="18" w:color="1F3A68" w:space="4"/>
        </w:pBdr>
      </w:pPr>
      <w:r>
        <w:rPr>
          <w:b/>
          <w:i w:val="0"/>
          <w:color w:val="1F3A68"/>
          <w:sz w:val="44"/>
          <w:rFonts w:eastAsia="宋体" w:ascii="Times New Roman" w:hAnsi="Times New Roman"/>
        </w:rPr>
        <w:t>4. 交付物清单（含 SHA-256）</w:t>
      </w:r>
    </w:p>
    <w:p>
      <w:pPr>
        <w:spacing w:line="336" w:lineRule="auto" w:before="240" w:after="80"/>
      </w:pPr>
      <w:r>
        <w:rPr>
          <w:b/>
          <w:i w:val="0"/>
          <w:color w:val="1F3A68"/>
          <w:sz w:val="25"/>
          <w:rFonts w:eastAsia="宋体" w:ascii="Times New Roman" w:hAnsi="Times New Roman"/>
        </w:rPr>
        <w:t>4.1 源代码交付清单</w:t>
      </w:r>
    </w:p>
    <w:tbl>
      <w:tblPr>
        <w:tblW w:type="auto" w:w="0"/>
        <w:tblLayout w:type="fixed"/>
        <w:tblLook w:firstColumn="1" w:firstRow="1" w:lastColumn="0" w:lastRow="0" w:noHBand="0" w:noVBand="1" w:val="04A0"/>
      </w:tblPr>
      <w:tblGrid>
        <w:gridCol w:w="2310"/>
        <w:gridCol w:w="2310"/>
        <w:gridCol w:w="2310"/>
        <w:gridCol w:w="2310"/>
      </w:tblGrid>
      <w:tr>
        <w:tc>
          <w:tcPr>
            <w:tcW w:type="dxa" w:w="680"/>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序号</w:t>
            </w:r>
          </w:p>
        </w:tc>
        <w:tc>
          <w:tcPr>
            <w:tcW w:type="dxa" w:w="2268"/>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文件路径</w:t>
            </w:r>
          </w:p>
        </w:tc>
        <w:tc>
          <w:tcPr>
            <w:tcW w:type="dxa" w:w="1020"/>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字节数</w:t>
            </w:r>
          </w:p>
        </w:tc>
        <w:tc>
          <w:tcPr>
            <w:tcW w:type="dxa" w:w="4819"/>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SHA-256</w:t>
            </w:r>
          </w:p>
        </w:tc>
      </w:tr>
      <w:tr>
        <w:tc>
          <w:tcPr>
            <w:tcW w:type="dxa" w:w="680"/>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1</w:t>
            </w:r>
          </w:p>
        </w:tc>
        <w:tc>
          <w:tcPr>
            <w:tcW w:type="dxa" w:w="2268"/>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Consolas" w:ascii="Consolas" w:hAnsi="Consolas"/>
              </w:rPr>
              <w:t>app/server.py</w:t>
            </w:r>
          </w:p>
        </w:tc>
        <w:tc>
          <w:tcPr>
            <w:tcW w:type="dxa" w:w="1020"/>
            <w:tcBorders>
              <w:top w:val="single" w:sz="4" w:color="DEE2E6"/>
              <w:left w:val="single" w:sz="4" w:color="DEE2E6"/>
              <w:bottom w:val="single" w:sz="4" w:color="DEE2E6"/>
              <w:right w:val="single" w:sz="4" w:color="DEE2E6"/>
            </w:tcBorders>
            <w:vAlign w:val="center"/>
          </w:tcPr>
          <w:p>
            <w:pPr>
              <w:spacing w:line="324" w:lineRule="auto"/>
            </w:pPr>
            <w:r>
              <w:rPr>
                <w:b/>
                <w:i w:val="0"/>
                <w:sz w:val="20"/>
                <w:rFonts w:eastAsia="宋体" w:ascii="Times New Roman" w:hAnsi="Times New Roman"/>
              </w:rPr>
              <w:t>33,944</w:t>
            </w:r>
          </w:p>
        </w:tc>
        <w:tc>
          <w:tcPr>
            <w:tcW w:type="dxa" w:w="4819"/>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Consolas" w:ascii="Consolas" w:hAnsi="Consolas"/>
              </w:rPr>
              <w:t>fb4152fe6d4c0addab3d1d863e7f628363c8335cfe3bcab34d7f09f3ebcd178f</w:t>
            </w:r>
          </w:p>
        </w:tc>
      </w:tr>
      <w:tr>
        <w:tc>
          <w:tcPr>
            <w:tcW w:type="dxa" w:w="680"/>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2</w:t>
            </w:r>
          </w:p>
        </w:tc>
        <w:tc>
          <w:tcPr>
            <w:tcW w:type="dxa" w:w="2268"/>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Consolas" w:ascii="Consolas" w:hAnsi="Consolas"/>
              </w:rPr>
              <w:t>app/static/index.html</w:t>
            </w:r>
          </w:p>
        </w:tc>
        <w:tc>
          <w:tcPr>
            <w:tcW w:type="dxa" w:w="1020"/>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i w:val="0"/>
                <w:sz w:val="20"/>
                <w:rFonts w:eastAsia="宋体" w:ascii="Times New Roman" w:hAnsi="Times New Roman"/>
              </w:rPr>
              <w:t>934</w:t>
            </w:r>
          </w:p>
        </w:tc>
        <w:tc>
          <w:tcPr>
            <w:tcW w:type="dxa" w:w="4819"/>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Consolas" w:ascii="Consolas" w:hAnsi="Consolas"/>
              </w:rPr>
              <w:t>fb4c57198af812b4a317f40609a223ed47377598b034f30bb3bb32ac6f39aa8b</w:t>
            </w:r>
          </w:p>
        </w:tc>
      </w:tr>
      <w:tr>
        <w:tc>
          <w:tcPr>
            <w:tcW w:type="dxa" w:w="680"/>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3</w:t>
            </w:r>
          </w:p>
        </w:tc>
        <w:tc>
          <w:tcPr>
            <w:tcW w:type="dxa" w:w="2268"/>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Consolas" w:ascii="Consolas" w:hAnsi="Consolas"/>
              </w:rPr>
              <w:t>app/static/app.js</w:t>
            </w:r>
          </w:p>
        </w:tc>
        <w:tc>
          <w:tcPr>
            <w:tcW w:type="dxa" w:w="1020"/>
            <w:tcBorders>
              <w:top w:val="single" w:sz="4" w:color="DEE2E6"/>
              <w:left w:val="single" w:sz="4" w:color="DEE2E6"/>
              <w:bottom w:val="single" w:sz="4" w:color="DEE2E6"/>
              <w:right w:val="single" w:sz="4" w:color="DEE2E6"/>
            </w:tcBorders>
            <w:vAlign w:val="center"/>
          </w:tcPr>
          <w:p>
            <w:pPr>
              <w:spacing w:line="324" w:lineRule="auto"/>
            </w:pPr>
            <w:r>
              <w:rPr>
                <w:b/>
                <w:i w:val="0"/>
                <w:sz w:val="20"/>
                <w:rFonts w:eastAsia="宋体" w:ascii="Times New Roman" w:hAnsi="Times New Roman"/>
              </w:rPr>
              <w:t>36,162</w:t>
            </w:r>
          </w:p>
        </w:tc>
        <w:tc>
          <w:tcPr>
            <w:tcW w:type="dxa" w:w="4819"/>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Consolas" w:ascii="Consolas" w:hAnsi="Consolas"/>
              </w:rPr>
              <w:t>e60c013596337cbc4eaff746cfe5f718a406326b8ef3317569e35a8759608d7f</w:t>
            </w:r>
          </w:p>
        </w:tc>
      </w:tr>
      <w:tr>
        <w:tc>
          <w:tcPr>
            <w:tcW w:type="dxa" w:w="680"/>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4</w:t>
            </w:r>
          </w:p>
        </w:tc>
        <w:tc>
          <w:tcPr>
            <w:tcW w:type="dxa" w:w="2268"/>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Consolas" w:ascii="Consolas" w:hAnsi="Consolas"/>
              </w:rPr>
              <w:t>app/static/style.css</w:t>
            </w:r>
          </w:p>
        </w:tc>
        <w:tc>
          <w:tcPr>
            <w:tcW w:type="dxa" w:w="1020"/>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i w:val="0"/>
                <w:sz w:val="20"/>
                <w:rFonts w:eastAsia="宋体" w:ascii="Times New Roman" w:hAnsi="Times New Roman"/>
              </w:rPr>
              <w:t>13,005</w:t>
            </w:r>
          </w:p>
        </w:tc>
        <w:tc>
          <w:tcPr>
            <w:tcW w:type="dxa" w:w="4819"/>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Consolas" w:ascii="Consolas" w:hAnsi="Consolas"/>
              </w:rPr>
              <w:t>b90b9265586d850097ed61c6ca60cc19578b656e52ce519158d38da3d2ebcc13</w:t>
            </w:r>
          </w:p>
        </w:tc>
      </w:tr>
      <w:tr>
        <w:tc>
          <w:tcPr>
            <w:tcW w:type="dxa" w:w="680"/>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5</w:t>
            </w:r>
          </w:p>
        </w:tc>
        <w:tc>
          <w:tcPr>
            <w:tcW w:type="dxa" w:w="2268"/>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Consolas" w:ascii="Consolas" w:hAnsi="Consolas"/>
              </w:rPr>
              <w:t>启动工作台.bat</w:t>
            </w:r>
          </w:p>
        </w:tc>
        <w:tc>
          <w:tcPr>
            <w:tcW w:type="dxa" w:w="1020"/>
            <w:tcBorders>
              <w:top w:val="single" w:sz="4" w:color="DEE2E6"/>
              <w:left w:val="single" w:sz="4" w:color="DEE2E6"/>
              <w:bottom w:val="single" w:sz="4" w:color="DEE2E6"/>
              <w:right w:val="single" w:sz="4" w:color="DEE2E6"/>
            </w:tcBorders>
            <w:vAlign w:val="center"/>
          </w:tcPr>
          <w:p>
            <w:pPr>
              <w:spacing w:line="324" w:lineRule="auto"/>
            </w:pPr>
            <w:r>
              <w:rPr>
                <w:b/>
                <w:i w:val="0"/>
                <w:sz w:val="20"/>
                <w:rFonts w:eastAsia="宋体" w:ascii="Times New Roman" w:hAnsi="Times New Roman"/>
              </w:rPr>
              <w:t>445</w:t>
            </w:r>
          </w:p>
        </w:tc>
        <w:tc>
          <w:tcPr>
            <w:tcW w:type="dxa" w:w="4819"/>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Consolas" w:ascii="Consolas" w:hAnsi="Consolas"/>
              </w:rPr>
              <w:t>8ae2a47b8da27c6ca3d43550fd372c4e6177fa3d0f13b44ab2af664ceada22c0</w:t>
            </w:r>
          </w:p>
        </w:tc>
      </w:tr>
    </w:tbl>
    <w:p>
      <w:pPr>
        <w:spacing w:line="360" w:lineRule="auto" w:before="0" w:after="80"/>
      </w:pPr>
      <w:r>
        <w:rPr>
          <w:b w:val="0"/>
          <w:i/>
          <w:color w:val="6C757D"/>
          <w:sz w:val="21"/>
          <w:rFonts w:eastAsia="宋体" w:ascii="Times New Roman" w:hAnsi="Times New Roman"/>
        </w:rPr>
        <w:t>合计源代码 5 个文件，84,490 字节，1,877 行业务代码。</w:t>
      </w:r>
    </w:p>
    <w:p>
      <w:pPr>
        <w:spacing w:line="336" w:lineRule="auto" w:before="240" w:after="80"/>
      </w:pPr>
      <w:r>
        <w:rPr>
          <w:b/>
          <w:i w:val="0"/>
          <w:color w:val="1F3A68"/>
          <w:sz w:val="25"/>
          <w:rFonts w:eastAsia="宋体" w:ascii="Times New Roman" w:hAnsi="Times New Roman"/>
        </w:rPr>
        <w:t>4.2 数据文件交付清单</w:t>
      </w:r>
    </w:p>
    <w:tbl>
      <w:tblPr>
        <w:tblW w:type="auto" w:w="0"/>
        <w:tblLayout w:type="fixed"/>
        <w:tblLook w:firstColumn="1" w:firstRow="1" w:lastColumn="0" w:lastRow="0" w:noHBand="0" w:noVBand="1" w:val="04A0"/>
      </w:tblPr>
      <w:tblGrid>
        <w:gridCol w:w="2310"/>
        <w:gridCol w:w="2310"/>
        <w:gridCol w:w="2310"/>
        <w:gridCol w:w="2310"/>
      </w:tblGrid>
      <w:tr>
        <w:tc>
          <w:tcPr>
            <w:tcW w:type="dxa" w:w="2268"/>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文件</w:t>
            </w:r>
          </w:p>
        </w:tc>
        <w:tc>
          <w:tcPr>
            <w:tcW w:type="dxa" w:w="1020"/>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字节数</w:t>
            </w:r>
          </w:p>
        </w:tc>
        <w:tc>
          <w:tcPr>
            <w:tcW w:type="dxa" w:w="3969"/>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SHA-256</w:t>
            </w:r>
          </w:p>
        </w:tc>
        <w:tc>
          <w:tcPr>
            <w:tcW w:type="dxa" w:w="1531"/>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说明</w:t>
            </w:r>
          </w:p>
        </w:tc>
      </w:tr>
      <w:tr>
        <w:tc>
          <w:tcPr>
            <w:tcW w:type="dxa" w:w="2268"/>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Consolas" w:ascii="Consolas" w:hAnsi="Consolas"/>
              </w:rPr>
              <w:t>data/workbench.db</w:t>
            </w:r>
          </w:p>
        </w:tc>
        <w:tc>
          <w:tcPr>
            <w:tcW w:type="dxa" w:w="1020"/>
            <w:tcBorders>
              <w:top w:val="single" w:sz="4" w:color="DEE2E6"/>
              <w:left w:val="single" w:sz="4" w:color="DEE2E6"/>
              <w:bottom w:val="single" w:sz="4" w:color="DEE2E6"/>
              <w:right w:val="single" w:sz="4" w:color="DEE2E6"/>
            </w:tcBorders>
            <w:vAlign w:val="center"/>
          </w:tcPr>
          <w:p>
            <w:pPr>
              <w:spacing w:line="324" w:lineRule="auto"/>
            </w:pPr>
            <w:r>
              <w:rPr>
                <w:b/>
                <w:i w:val="0"/>
                <w:sz w:val="20"/>
                <w:rFonts w:eastAsia="宋体" w:ascii="Times New Roman" w:hAnsi="Times New Roman"/>
              </w:rPr>
              <w:t>53,248</w:t>
            </w:r>
          </w:p>
        </w:tc>
        <w:tc>
          <w:tcPr>
            <w:tcW w:type="dxa" w:w="3969"/>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Consolas" w:ascii="Consolas" w:hAnsi="Consolas"/>
              </w:rPr>
              <w:t>4bcc7354e5378b29535fbc861cbc477a2b56c3e3b82aec9fe551c0f6f8050bbd</w:t>
            </w:r>
          </w:p>
        </w:tc>
        <w:tc>
          <w:tcPr>
            <w:tcW w:type="dxa" w:w="1531"/>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SQLite 数据库，含示例种子数据（美图 01357.HK、道通 688208.SH）</w:t>
            </w:r>
          </w:p>
        </w:tc>
      </w:tr>
    </w:tbl>
    <w:p>
      <w:pPr>
        <w:spacing w:line="336" w:lineRule="auto" w:before="240" w:after="80"/>
      </w:pPr>
      <w:r>
        <w:rPr>
          <w:b/>
          <w:i w:val="0"/>
          <w:color w:val="1F3A68"/>
          <w:sz w:val="25"/>
          <w:rFonts w:eastAsia="宋体" w:ascii="Times New Roman" w:hAnsi="Times New Roman"/>
        </w:rPr>
        <w:t>4.3 验证方法</w:t>
      </w:r>
    </w:p>
    <w:p>
      <w:pPr>
        <w:spacing w:line="360" w:lineRule="auto" w:before="0" w:after="80"/>
      </w:pPr>
      <w:r>
        <w:rPr>
          <w:b w:val="0"/>
          <w:i w:val="0"/>
          <w:sz w:val="21"/>
          <w:rFonts w:eastAsia="宋体" w:ascii="Times New Roman" w:hAnsi="Times New Roman"/>
        </w:rPr>
        <w:t>审计方可使用以下命令独立验证文件完整性（Windows PowerShell / macOS / Linux 均适用）：</w:t>
      </w:r>
    </w:p>
    <w:p>
      <w:pPr>
        <w:spacing w:line="324" w:lineRule="auto" w:after="160"/>
        <w:ind w:left="160"/>
        <w:pBdr>
          <w:left w:val="single" w:sz="18" w:color="1F3A68" w:space="6"/>
        </w:pBdr>
        <w:shd w:val="clear" w:color="auto" w:fill="F7F9FC"/>
      </w:pPr>
      <w:r>
        <w:rPr>
          <w:b w:val="0"/>
          <w:i w:val="0"/>
          <w:color w:val="212529"/>
          <w:sz w:val="18"/>
          <w:rFonts w:eastAsia="Consolas" w:ascii="Consolas" w:hAnsi="Consolas"/>
        </w:rPr>
        <w:t>Get-FileHash -Path "app\server.py" -Algorithm SHA256</w:t>
        <w:br/>
        <w:t># 期望输出：FB4152FE6D4C0ADDAB3D1D863E7F628363C8335CFE3BCAB34D7F09F3EBCD178F</w:t>
      </w:r>
    </w:p>
    <w:p>
      <w:r>
        <w:br w:type="page"/>
      </w:r>
    </w:p>
    <w:p>
      <w:pPr>
        <w:spacing w:line="336" w:lineRule="auto" w:before="480" w:after="240"/>
        <w:pBdr>
          <w:bottom w:val="single" w:sz="18" w:color="1F3A68" w:space="4"/>
        </w:pBdr>
      </w:pPr>
      <w:r>
        <w:rPr>
          <w:b/>
          <w:i w:val="0"/>
          <w:color w:val="1F3A68"/>
          <w:sz w:val="44"/>
          <w:rFonts w:eastAsia="宋体" w:ascii="Times New Roman" w:hAnsi="Times New Roman"/>
        </w:rPr>
        <w:t>5. 数据模型（SQLite Schema）</w:t>
      </w:r>
    </w:p>
    <w:p>
      <w:pPr>
        <w:spacing w:line="336" w:lineRule="auto" w:before="240" w:after="80"/>
      </w:pPr>
      <w:r>
        <w:rPr>
          <w:b/>
          <w:i w:val="0"/>
          <w:color w:val="1F3A68"/>
          <w:sz w:val="25"/>
          <w:rFonts w:eastAsia="宋体" w:ascii="Times New Roman" w:hAnsi="Times New Roman"/>
        </w:rPr>
        <w:t>5.1 表清单</w:t>
      </w:r>
    </w:p>
    <w:tbl>
      <w:tblPr>
        <w:tblW w:type="auto" w:w="0"/>
        <w:tblLayout w:type="fixed"/>
        <w:tblLook w:firstColumn="1" w:firstRow="1" w:lastColumn="0" w:lastRow="0" w:noHBand="0" w:noVBand="1" w:val="04A0"/>
      </w:tblPr>
      <w:tblGrid>
        <w:gridCol w:w="3081"/>
        <w:gridCol w:w="3081"/>
        <w:gridCol w:w="3081"/>
      </w:tblGrid>
      <w:tr>
        <w:tc>
          <w:tcPr>
            <w:tcW w:type="dxa" w:w="1984"/>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表名</w:t>
            </w:r>
          </w:p>
        </w:tc>
        <w:tc>
          <w:tcPr>
            <w:tcW w:type="dxa" w:w="4819"/>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职责</w:t>
            </w:r>
          </w:p>
        </w:tc>
        <w:tc>
          <w:tcPr>
            <w:tcW w:type="dxa" w:w="1984"/>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是否 append-only</w:t>
            </w:r>
          </w:p>
        </w:tc>
      </w:tr>
      <w:tr>
        <w:tc>
          <w:tcPr>
            <w:tcW w:type="dxa" w:w="1984"/>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Consolas" w:ascii="Consolas" w:hAnsi="Consolas"/>
              </w:rPr>
              <w:t>securities</w:t>
            </w:r>
          </w:p>
        </w:tc>
        <w:tc>
          <w:tcPr>
            <w:tcW w:type="dxa" w:w="4819"/>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标的本身（代码、市场、行业、A/H 关联）</w:t>
            </w:r>
          </w:p>
        </w:tc>
        <w:tc>
          <w:tcPr>
            <w:tcW w:type="dxa" w:w="1984"/>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可更新元信息；禁止删</w:t>
            </w:r>
          </w:p>
        </w:tc>
      </w:tr>
      <w:tr>
        <w:tc>
          <w:tcPr>
            <w:tcW w:type="dxa" w:w="1984"/>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Consolas" w:ascii="Consolas" w:hAnsi="Consolas"/>
              </w:rPr>
              <w:t>research</w:t>
            </w:r>
          </w:p>
        </w:tc>
        <w:tc>
          <w:tcPr>
            <w:tcW w:type="dxa" w:w="4819"/>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研究结论（版本化）</w:t>
            </w:r>
          </w:p>
        </w:tc>
        <w:tc>
          <w:tcPr>
            <w:tcW w:type="dxa" w:w="1984"/>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i w:val="0"/>
                <w:sz w:val="20"/>
                <w:rFonts w:eastAsia="宋体" w:ascii="Times New Roman" w:hAnsi="Times New Roman"/>
              </w:rPr>
              <w:t>是（永远新增版本，不覆盖旧版）</w:t>
            </w:r>
          </w:p>
        </w:tc>
      </w:tr>
      <w:tr>
        <w:tc>
          <w:tcPr>
            <w:tcW w:type="dxa" w:w="1984"/>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Consolas" w:ascii="Consolas" w:hAnsi="Consolas"/>
              </w:rPr>
              <w:t>trade_plans</w:t>
            </w:r>
          </w:p>
        </w:tc>
        <w:tc>
          <w:tcPr>
            <w:tcW w:type="dxa" w:w="4819"/>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交易计划（版本化）</w:t>
            </w:r>
          </w:p>
        </w:tc>
        <w:tc>
          <w:tcPr>
            <w:tcW w:type="dxa" w:w="1984"/>
            <w:tcBorders>
              <w:top w:val="single" w:sz="4" w:color="DEE2E6"/>
              <w:left w:val="single" w:sz="4" w:color="DEE2E6"/>
              <w:bottom w:val="single" w:sz="4" w:color="DEE2E6"/>
              <w:right w:val="single" w:sz="4" w:color="DEE2E6"/>
            </w:tcBorders>
            <w:vAlign w:val="center"/>
          </w:tcPr>
          <w:p>
            <w:pPr>
              <w:spacing w:line="324" w:lineRule="auto"/>
            </w:pPr>
            <w:r>
              <w:rPr>
                <w:b/>
                <w:i w:val="0"/>
                <w:sz w:val="20"/>
                <w:rFonts w:eastAsia="宋体" w:ascii="Times New Roman" w:hAnsi="Times New Roman"/>
              </w:rPr>
              <w:t>是（同上）</w:t>
            </w:r>
          </w:p>
        </w:tc>
      </w:tr>
      <w:tr>
        <w:tc>
          <w:tcPr>
            <w:tcW w:type="dxa" w:w="1984"/>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Consolas" w:ascii="Consolas" w:hAnsi="Consolas"/>
              </w:rPr>
              <w:t>trades</w:t>
            </w:r>
          </w:p>
        </w:tc>
        <w:tc>
          <w:tcPr>
            <w:tcW w:type="dxa" w:w="4819"/>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真实交易流水</w:t>
            </w:r>
          </w:p>
        </w:tc>
        <w:tc>
          <w:tcPr>
            <w:tcW w:type="dxa" w:w="1984"/>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i w:val="0"/>
                <w:sz w:val="20"/>
                <w:rFonts w:eastAsia="宋体" w:ascii="Times New Roman" w:hAnsi="Times New Roman"/>
              </w:rPr>
              <w:t>是（仅新增，不修改不删除）</w:t>
            </w:r>
          </w:p>
        </w:tc>
      </w:tr>
      <w:tr>
        <w:tc>
          <w:tcPr>
            <w:tcW w:type="dxa" w:w="1984"/>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Consolas" w:ascii="Consolas" w:hAnsi="Consolas"/>
              </w:rPr>
              <w:t>decision_ledger</w:t>
            </w:r>
          </w:p>
        </w:tc>
        <w:tc>
          <w:tcPr>
            <w:tcW w:type="dxa" w:w="4819"/>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决策台账（状态变更 / 计划变更原因）</w:t>
            </w:r>
          </w:p>
        </w:tc>
        <w:tc>
          <w:tcPr>
            <w:tcW w:type="dxa" w:w="1984"/>
            <w:tcBorders>
              <w:top w:val="single" w:sz="4" w:color="DEE2E6"/>
              <w:left w:val="single" w:sz="4" w:color="DEE2E6"/>
              <w:bottom w:val="single" w:sz="4" w:color="DEE2E6"/>
              <w:right w:val="single" w:sz="4" w:color="DEE2E6"/>
            </w:tcBorders>
            <w:vAlign w:val="center"/>
          </w:tcPr>
          <w:p>
            <w:pPr>
              <w:spacing w:line="324" w:lineRule="auto"/>
            </w:pPr>
            <w:r>
              <w:rPr>
                <w:b/>
                <w:i w:val="0"/>
                <w:sz w:val="20"/>
                <w:rFonts w:eastAsia="宋体" w:ascii="Times New Roman" w:hAnsi="Times New Roman"/>
              </w:rPr>
              <w:t>是（纯 append-only）</w:t>
            </w:r>
          </w:p>
        </w:tc>
      </w:tr>
      <w:tr>
        <w:tc>
          <w:tcPr>
            <w:tcW w:type="dxa" w:w="1984"/>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Consolas" w:ascii="Consolas" w:hAnsi="Consolas"/>
              </w:rPr>
              <w:t>settings</w:t>
            </w:r>
          </w:p>
        </w:tc>
        <w:tc>
          <w:tcPr>
            <w:tcW w:type="dxa" w:w="4819"/>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运行期配置（账户总规模等）</w:t>
            </w:r>
          </w:p>
        </w:tc>
        <w:tc>
          <w:tcPr>
            <w:tcW w:type="dxa" w:w="1984"/>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可更新</w:t>
            </w:r>
          </w:p>
        </w:tc>
      </w:tr>
    </w:tbl>
    <w:p>
      <w:pPr>
        <w:spacing w:line="336" w:lineRule="auto" w:before="240" w:after="80"/>
      </w:pPr>
      <w:r>
        <w:rPr>
          <w:b/>
          <w:i w:val="0"/>
          <w:color w:val="1F3A68"/>
          <w:sz w:val="25"/>
          <w:rFonts w:eastAsia="宋体" w:ascii="Times New Roman" w:hAnsi="Times New Roman"/>
        </w:rPr>
        <w:t>5.2 完整 Schema（DDL）</w:t>
      </w:r>
    </w:p>
    <w:p>
      <w:pPr>
        <w:spacing w:line="324" w:lineRule="auto" w:after="160"/>
        <w:ind w:left="160"/>
        <w:pBdr>
          <w:left w:val="single" w:sz="18" w:color="1F3A68" w:space="6"/>
        </w:pBdr>
        <w:shd w:val="clear" w:color="auto" w:fill="F7F9FC"/>
      </w:pPr>
      <w:r>
        <w:rPr>
          <w:b w:val="0"/>
          <w:i w:val="0"/>
          <w:color w:val="212529"/>
          <w:sz w:val="18"/>
          <w:rFonts w:eastAsia="Consolas" w:ascii="Consolas" w:hAnsi="Consolas"/>
        </w:rPr>
        <w:t>-- 标的表</w:t>
        <w:br/>
        <w:t>CREATE TABLE securities (</w:t>
        <w:br/>
        <w:t xml:space="preserve">  id            INTEGER PRIMARY KEY AUTOINCREMENT,</w:t>
        <w:br/>
        <w:t xml:space="preserve">  name          TEXT NOT NULL,                -- 中文名</w:t>
        <w:br/>
        <w:t xml:space="preserve">  code          TEXT NOT NULL,                -- 原始代码 01357 / 688208</w:t>
        <w:br/>
        <w:t xml:space="preserve">  exchange      TEXT NOT NULL,                -- SH / SZ / HK</w:t>
        <w:br/>
        <w:t xml:space="preserve">  market        TEXT NOT NULL DEFAULT 'A股', -- A股 / 港股</w:t>
        <w:br/>
        <w:t xml:space="preserve">  industry      TEXT,                         -- 行业标签</w:t>
        <w:br/>
        <w:t xml:space="preserve">  research_pool TEXT,                         -- 所属研究池</w:t>
        <w:br/>
        <w:t xml:space="preserve">  a_h_link      TEXT,                         -- A/H 双向关联代码</w:t>
        <w:br/>
        <w:t xml:space="preserve">  status        TEXT NOT NULL DEFAULT '等证据',</w:t>
        <w:br/>
        <w:t xml:space="preserve">  current_price REAL,                         -- 最近一次行情快照</w:t>
        <w:br/>
        <w:t xml:space="preserve">  current_price_updated_at TEXT,</w:t>
        <w:br/>
        <w:t xml:space="preserve">  created_at    TEXT NOT NULL</w:t>
        <w:br/>
        <w:t>);</w:t>
        <w:br/>
        <w:br/>
        <w:t>-- 研究结论（append-only / 版本化）</w:t>
        <w:br/>
        <w:t>CREATE TABLE research (</w:t>
        <w:br/>
        <w:t xml:space="preserve">  id                INTEGER PRIMARY KEY AUTOINCREMENT,</w:t>
        <w:br/>
        <w:t xml:space="preserve">  security_id       INTEGER NOT NULL,</w:t>
        <w:br/>
        <w:t xml:space="preserve">  version           INTEGER NOT NULL,</w:t>
        <w:br/>
        <w:t xml:space="preserve">  one_liner         TEXT,                     -- 一句话投资逻辑</w:t>
        <w:br/>
        <w:t xml:space="preserve">  positive_changes  TEXT,                     -- JSON 数组</w:t>
        <w:br/>
        <w:t xml:space="preserve">  core_validations  TEXT,                     -- JSON 数组</w:t>
        <w:br/>
        <w:t xml:space="preserve">  wall_conditions   TEXT,                     -- JSON 数组</w:t>
        <w:br/>
        <w:t xml:space="preserve">  report            TEXT,                     -- 完整研报正文</w:t>
        <w:br/>
        <w:t xml:space="preserve">  research_date     TEXT,                     -- 研究日期</w:t>
        <w:br/>
        <w:t xml:space="preserve">  created_at        TEXT NOT NULL,</w:t>
        <w:br/>
        <w:t xml:space="preserve">  UNIQUE(security_id, version)</w:t>
        <w:br/>
        <w:t>);</w:t>
        <w:br/>
        <w:br/>
        <w:t>-- 交易计划（append-only / 版本化）</w:t>
        <w:br/>
        <w:t>CREATE TABLE trade_plans (</w:t>
        <w:br/>
        <w:t xml:space="preserve">  id                  INTEGER PRIMARY KEY AUTOINCREMENT,</w:t>
        <w:br/>
        <w:t xml:space="preserve">  security_id         INTEGER NOT NULL,</w:t>
        <w:br/>
        <w:t xml:space="preserve">  version             INTEGER NOT NULL,</w:t>
        <w:br/>
        <w:t xml:space="preserve">  first_zone_low      REAL,                   -- 首仓区下沿</w:t>
        <w:br/>
        <w:t xml:space="preserve">  first_zone_high     REAL,                   -- 首仓区上沿</w:t>
        <w:br/>
        <w:t xml:space="preserve">  add_zone_low        REAL,                   -- 加仓区下沿</w:t>
        <w:br/>
        <w:t xml:space="preserve">  add_zone_high       REAL,                   -- 加仓区上沿</w:t>
        <w:br/>
        <w:t xml:space="preserve">  odds_zone_low       REAL,                   -- 强赔率区下沿</w:t>
        <w:br/>
        <w:t xml:space="preserve">  odds_zone_high      REAL,                   -- 强赔率区上沿</w:t>
        <w:br/>
        <w:t xml:space="preserve">  no_chase_price      REAL,                   -- 不追价</w:t>
        <w:br/>
        <w:t xml:space="preserve">  target_position_pct REAL,                   -- 目标仓位</w:t>
        <w:br/>
        <w:t xml:space="preserve">  next_action         TEXT,                   -- 下一动作</w:t>
        <w:br/>
        <w:t xml:space="preserve">  change_note         TEXT,                   -- 修改说明</w:t>
        <w:br/>
        <w:t xml:space="preserve">  created_at          TEXT NOT NULL,</w:t>
        <w:br/>
        <w:t xml:space="preserve">  UNIQUE(security_id, version)</w:t>
        <w:br/>
        <w:t>);</w:t>
        <w:br/>
        <w:br/>
        <w:t>-- 真实交易流水（append-only）</w:t>
        <w:br/>
        <w:t>CREATE TABLE trades (</w:t>
        <w:br/>
        <w:t xml:space="preserve">  id          INTEGER PRIMARY KEY AUTOINCREMENT,</w:t>
        <w:br/>
        <w:t xml:space="preserve">  security_id INTEGER NOT NULL,</w:t>
        <w:br/>
        <w:t xml:space="preserve">  trade_date  TEXT NOT NULL,</w:t>
        <w:br/>
        <w:t xml:space="preserve">  side        TEXT NOT NULL,                  -- 买入 / 卖出</w:t>
        <w:br/>
        <w:t xml:space="preserve">  price       REAL NOT NULL,</w:t>
        <w:br/>
        <w:t xml:space="preserve">  quantity    INTEGER NOT NULL,</w:t>
        <w:br/>
        <w:t xml:space="preserve">  fee         REAL DEFAULT 0,</w:t>
        <w:br/>
        <w:t xml:space="preserve">  note        TEXT,</w:t>
        <w:br/>
        <w:t xml:space="preserve">  created_at  TEXT NOT NULL</w:t>
        <w:br/>
        <w:t>);</w:t>
        <w:br/>
        <w:br/>
        <w:t>-- 决策台账（append-only，借鉴 portfolio-tracker 思想）</w:t>
        <w:br/>
        <w:t>CREATE TABLE decision_ledger (</w:t>
        <w:br/>
        <w:t xml:space="preserve">  id          INTEGER PRIMARY KEY AUTOINCREMENT,</w:t>
        <w:br/>
        <w:t xml:space="preserve">  security_id INTEGER NOT NULL,</w:t>
        <w:br/>
        <w:t xml:space="preserve">  event_date  TEXT NOT NULL,</w:t>
        <w:br/>
        <w:t xml:space="preserve">  event_type  TEXT NOT NULL,                  -- 标的创建 / 状态变更 / 买入 / ...</w:t>
        <w:br/>
        <w:t xml:space="preserve">  summary     TEXT NOT NULL,                  -- 一句话描述</w:t>
        <w:br/>
        <w:t xml:space="preserve">  reason      TEXT,                           -- 决策理由（不可空）</w:t>
        <w:br/>
        <w:t xml:space="preserve">  created_at  TEXT NOT NULL</w:t>
        <w:br/>
        <w:t>);</w:t>
        <w:br/>
        <w:br/>
        <w:t>-- 系统设置</w:t>
        <w:br/>
        <w:t>CREATE TABLE settings (</w:t>
        <w:br/>
        <w:t xml:space="preserve">  key   TEXT PRIMARY KEY,</w:t>
        <w:br/>
        <w:t xml:space="preserve">  value TEXT NOT NULL</w:t>
        <w:br/>
        <w:t>);</w:t>
      </w:r>
    </w:p>
    <w:p>
      <w:pPr>
        <w:spacing w:line="336" w:lineRule="auto" w:before="240" w:after="80"/>
      </w:pPr>
      <w:r>
        <w:rPr>
          <w:b/>
          <w:i w:val="0"/>
          <w:color w:val="1F3A68"/>
          <w:sz w:val="25"/>
          <w:rFonts w:eastAsia="宋体" w:ascii="Times New Roman" w:hAnsi="Times New Roman"/>
        </w:rPr>
        <w:t>5.3 实体关系图</w:t>
      </w:r>
    </w:p>
    <w:p>
      <w:pPr>
        <w:spacing w:line="324" w:lineRule="auto" w:after="160"/>
        <w:ind w:left="160"/>
        <w:pBdr>
          <w:left w:val="single" w:sz="18" w:color="1F3A68" w:space="6"/>
        </w:pBdr>
        <w:shd w:val="clear" w:color="auto" w:fill="F7F9FC"/>
      </w:pPr>
      <w:r>
        <w:rPr>
          <w:b w:val="0"/>
          <w:i w:val="0"/>
          <w:color w:val="212529"/>
          <w:sz w:val="18"/>
          <w:rFonts w:eastAsia="Consolas" w:ascii="Consolas" w:hAnsi="Consolas"/>
        </w:rPr>
        <w:t xml:space="preserve">                  ┌─────────────────────────────┐</w:t>
        <w:br/>
        <w:t xml:space="preserve">                  │       securities            │</w:t>
        <w:br/>
        <w:t xml:space="preserve">                  │ (标的: 01357, 688208 ...)   │</w:t>
        <w:br/>
        <w:t xml:space="preserve">                  └──────────────┬──────────────┘</w:t>
        <w:br/>
        <w:t xml:space="preserve">                                 │ 1</w:t>
        <w:br/>
        <w:t xml:space="preserve">              ┌──────────────────┼─────────────────────┬──────────────────┐</w:t>
        <w:br/>
        <w:t xml:space="preserve">              │ N                │ N                   │ N                │ N</w:t>
        <w:br/>
        <w:t xml:space="preserve">              ▼                  ▼                     ▼                  ▼</w:t>
        <w:br/>
        <w:t xml:space="preserve">       ┌──────────────┐   ┌──────────────┐      ┌──────────────┐   ┌──────────────────┐</w:t>
        <w:br/>
        <w:t xml:space="preserve">       │  research    │   │ trade_plans  │      │   trades     │   │ decision_ledger  │</w:t>
        <w:br/>
        <w:t xml:space="preserve">       │ (版本化)      │   │ (版本化)      │      │ (append-only) │   │ (append-only)    │</w:t>
        <w:br/>
        <w:t xml:space="preserve">       └──────────────┘   └──────────────┘      └──────────────┘   └──────────────────┘</w:t>
        <w:br/>
        <w:t xml:space="preserve">                                  ▲</w:t>
        <w:br/>
        <w:t xml:space="preserve">                                  │</w:t>
        <w:br/>
        <w:t xml:space="preserve">                当前版本通过 "MAX(version) WHERE security_id=?" 取最后一条</w:t>
      </w:r>
    </w:p>
    <w:p>
      <w:pPr>
        <w:spacing w:line="336" w:lineRule="auto" w:before="240" w:after="80"/>
      </w:pPr>
      <w:r>
        <w:rPr>
          <w:b/>
          <w:i w:val="0"/>
          <w:color w:val="1F3A68"/>
          <w:sz w:val="25"/>
          <w:rFonts w:eastAsia="宋体" w:ascii="Times New Roman" w:hAnsi="Times New Roman"/>
        </w:rPr>
        <w:t>5.4 关键约束</w:t>
      </w:r>
    </w:p>
    <w:tbl>
      <w:tblPr>
        <w:tblW w:type="auto" w:w="0"/>
        <w:tblLayout w:type="fixed"/>
        <w:tblLook w:firstColumn="1" w:firstRow="1" w:lastColumn="0" w:lastRow="0" w:noHBand="0" w:noVBand="1" w:val="04A0"/>
      </w:tblPr>
      <w:tblGrid>
        <w:gridCol w:w="4621"/>
        <w:gridCol w:w="4621"/>
      </w:tblGrid>
      <w:tr>
        <w:tc>
          <w:tcPr>
            <w:tcW w:type="dxa" w:w="3402"/>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约束</w:t>
            </w:r>
          </w:p>
        </w:tc>
        <w:tc>
          <w:tcPr>
            <w:tcW w:type="dxa" w:w="5386"/>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实现方式</w:t>
            </w:r>
          </w:p>
        </w:tc>
      </w:tr>
      <w:tr>
        <w:tc>
          <w:tcPr>
            <w:tcW w:type="dxa" w:w="3402"/>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持仓数量不能为负</w:t>
            </w:r>
          </w:p>
        </w:tc>
        <w:tc>
          <w:tcPr>
            <w:tcW w:type="dxa" w:w="5386"/>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应用层校验：卖出数量 &gt; 累计可卖数量时返回 400</w:t>
            </w:r>
          </w:p>
        </w:tc>
      </w:tr>
      <w:tr>
        <w:tc>
          <w:tcPr>
            <w:tcW w:type="dxa" w:w="3402"/>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计划版本号单调递增</w:t>
            </w:r>
          </w:p>
        </w:tc>
        <w:tc>
          <w:tcPr>
            <w:tcW w:type="dxa" w:w="5386"/>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UNIQUE(security_id, version) + 写入时计算 MAX(version)+1</w:t>
            </w:r>
          </w:p>
        </w:tc>
      </w:tr>
      <w:tr>
        <w:tc>
          <w:tcPr>
            <w:tcW w:type="dxa" w:w="3402"/>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状态变更必须填写原因</w:t>
            </w:r>
          </w:p>
        </w:tc>
        <w:tc>
          <w:tcPr>
            <w:tcW w:type="dxa" w:w="5386"/>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POST /status 校验 reason 字段非空</w:t>
            </w:r>
          </w:p>
        </w:tc>
      </w:tr>
      <w:tr>
        <w:tc>
          <w:tcPr>
            <w:tcW w:type="dxa" w:w="3402"/>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研究/计划版本一旦发布不可改</w:t>
            </w:r>
          </w:p>
        </w:tc>
        <w:tc>
          <w:tcPr>
            <w:tcW w:type="dxa" w:w="5386"/>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仅 INSERT，不提供 UPDATE / DELETE 接口</w:t>
            </w:r>
          </w:p>
        </w:tc>
      </w:tr>
      <w:tr>
        <w:tc>
          <w:tcPr>
            <w:tcW w:type="dxa" w:w="3402"/>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外键完整性</w:t>
            </w:r>
          </w:p>
        </w:tc>
        <w:tc>
          <w:tcPr>
            <w:tcW w:type="dxa" w:w="5386"/>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FOREIGN KEY 已启用（PRAGMA foreign_keys=ON）</w:t>
            </w:r>
          </w:p>
        </w:tc>
      </w:tr>
    </w:tbl>
    <w:p>
      <w:r>
        <w:br w:type="page"/>
      </w:r>
    </w:p>
    <w:p>
      <w:pPr>
        <w:spacing w:line="336" w:lineRule="auto" w:before="480" w:after="240"/>
        <w:pBdr>
          <w:bottom w:val="single" w:sz="18" w:color="1F3A68" w:space="4"/>
        </w:pBdr>
      </w:pPr>
      <w:r>
        <w:rPr>
          <w:b/>
          <w:i w:val="0"/>
          <w:color w:val="1F3A68"/>
          <w:sz w:val="44"/>
          <w:rFonts w:eastAsia="宋体" w:ascii="Times New Roman" w:hAnsi="Times New Roman"/>
        </w:rPr>
        <w:t>6. REST API 规格</w:t>
      </w:r>
    </w:p>
    <w:p>
      <w:pPr>
        <w:spacing w:line="336" w:lineRule="auto" w:before="240" w:after="80"/>
      </w:pPr>
      <w:r>
        <w:rPr>
          <w:b/>
          <w:i w:val="0"/>
          <w:color w:val="1F3A68"/>
          <w:sz w:val="25"/>
          <w:rFonts w:eastAsia="宋体" w:ascii="Times New Roman" w:hAnsi="Times New Roman"/>
        </w:rPr>
        <w:t>6.1 接口总览</w:t>
      </w:r>
    </w:p>
    <w:tbl>
      <w:tblPr>
        <w:tblW w:type="auto" w:w="0"/>
        <w:tblLayout w:type="fixed"/>
        <w:tblLook w:firstColumn="1" w:firstRow="1" w:lastColumn="0" w:lastRow="0" w:noHBand="0" w:noVBand="1" w:val="04A0"/>
      </w:tblPr>
      <w:tblGrid>
        <w:gridCol w:w="3081"/>
        <w:gridCol w:w="3081"/>
        <w:gridCol w:w="3081"/>
      </w:tblGrid>
      <w:tr>
        <w:tc>
          <w:tcPr>
            <w:tcW w:type="dxa" w:w="1134"/>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方法</w:t>
            </w:r>
          </w:p>
        </w:tc>
        <w:tc>
          <w:tcPr>
            <w:tcW w:type="dxa" w:w="4252"/>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路径</w:t>
            </w:r>
          </w:p>
        </w:tc>
        <w:tc>
          <w:tcPr>
            <w:tcW w:type="dxa" w:w="3402"/>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用途</w:t>
            </w:r>
          </w:p>
        </w:tc>
      </w:tr>
      <w:tr>
        <w:tc>
          <w:tcPr>
            <w:tcW w:type="dxa" w:w="1134"/>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GET</w:t>
            </w:r>
          </w:p>
        </w:tc>
        <w:tc>
          <w:tcPr>
            <w:tcW w:type="dxa" w:w="4252"/>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Consolas" w:ascii="Consolas" w:hAnsi="Consolas"/>
              </w:rPr>
              <w:t xml:space="preserve"> /api/securities</w:t>
            </w:r>
          </w:p>
        </w:tc>
        <w:tc>
          <w:tcPr>
            <w:tcW w:type="dxa" w:w="3402"/>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列出全部标的（含当前价快照与持仓计算）</w:t>
            </w:r>
          </w:p>
        </w:tc>
      </w:tr>
      <w:tr>
        <w:tc>
          <w:tcPr>
            <w:tcW w:type="dxa" w:w="1134"/>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POST</w:t>
            </w:r>
          </w:p>
        </w:tc>
        <w:tc>
          <w:tcPr>
            <w:tcW w:type="dxa" w:w="4252"/>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Consolas" w:ascii="Consolas" w:hAnsi="Consolas"/>
              </w:rPr>
              <w:t xml:space="preserve"> /api/securities</w:t>
            </w:r>
          </w:p>
        </w:tc>
        <w:tc>
          <w:tcPr>
            <w:tcW w:type="dxa" w:w="3402"/>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新建标的（含初始研究 + 计划）</w:t>
            </w:r>
          </w:p>
        </w:tc>
      </w:tr>
      <w:tr>
        <w:tc>
          <w:tcPr>
            <w:tcW w:type="dxa" w:w="1134"/>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GET</w:t>
            </w:r>
          </w:p>
        </w:tc>
        <w:tc>
          <w:tcPr>
            <w:tcW w:type="dxa" w:w="4252"/>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Consolas" w:ascii="Consolas" w:hAnsi="Consolas"/>
              </w:rPr>
              <w:t xml:space="preserve"> /api/securities/{id}</w:t>
            </w:r>
          </w:p>
        </w:tc>
        <w:tc>
          <w:tcPr>
            <w:tcW w:type="dxa" w:w="3402"/>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标的详情（嵌套 security/research/plan/trades/ledger）</w:t>
            </w:r>
          </w:p>
        </w:tc>
      </w:tr>
      <w:tr>
        <w:tc>
          <w:tcPr>
            <w:tcW w:type="dxa" w:w="1134"/>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POST</w:t>
            </w:r>
          </w:p>
        </w:tc>
        <w:tc>
          <w:tcPr>
            <w:tcW w:type="dxa" w:w="4252"/>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Consolas" w:ascii="Consolas" w:hAnsi="Consolas"/>
              </w:rPr>
              <w:t xml:space="preserve"> /api/securities/{id}/status</w:t>
            </w:r>
          </w:p>
        </w:tc>
        <w:tc>
          <w:tcPr>
            <w:tcW w:type="dxa" w:w="3402"/>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状态变更（必填 reason，自动写入台账）</w:t>
            </w:r>
          </w:p>
        </w:tc>
      </w:tr>
      <w:tr>
        <w:tc>
          <w:tcPr>
            <w:tcW w:type="dxa" w:w="1134"/>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POST</w:t>
            </w:r>
          </w:p>
        </w:tc>
        <w:tc>
          <w:tcPr>
            <w:tcW w:type="dxa" w:w="4252"/>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Consolas" w:ascii="Consolas" w:hAnsi="Consolas"/>
              </w:rPr>
              <w:t xml:space="preserve"> /api/securities/{id}/research</w:t>
            </w:r>
          </w:p>
        </w:tc>
        <w:tc>
          <w:tcPr>
            <w:tcW w:type="dxa" w:w="3402"/>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新增研究版本（自动 version+1）</w:t>
            </w:r>
          </w:p>
        </w:tc>
      </w:tr>
      <w:tr>
        <w:tc>
          <w:tcPr>
            <w:tcW w:type="dxa" w:w="1134"/>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PUT</w:t>
            </w:r>
          </w:p>
        </w:tc>
        <w:tc>
          <w:tcPr>
            <w:tcW w:type="dxa" w:w="4252"/>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Consolas" w:ascii="Consolas" w:hAnsi="Consolas"/>
              </w:rPr>
              <w:t xml:space="preserve"> /api/securities/{id}/plan</w:t>
            </w:r>
          </w:p>
        </w:tc>
        <w:tc>
          <w:tcPr>
            <w:tcW w:type="dxa" w:w="3402"/>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新增交易计划版本（自动 version+1）</w:t>
            </w:r>
          </w:p>
        </w:tc>
      </w:tr>
      <w:tr>
        <w:tc>
          <w:tcPr>
            <w:tcW w:type="dxa" w:w="1134"/>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POST</w:t>
            </w:r>
          </w:p>
        </w:tc>
        <w:tc>
          <w:tcPr>
            <w:tcW w:type="dxa" w:w="4252"/>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Consolas" w:ascii="Consolas" w:hAnsi="Consolas"/>
              </w:rPr>
              <w:t xml:space="preserve"> /api/securities/{id}/trades</w:t>
            </w:r>
          </w:p>
        </w:tc>
        <w:tc>
          <w:tcPr>
            <w:tcW w:type="dxa" w:w="3402"/>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新增交易流水（校验超卖）</w:t>
            </w:r>
          </w:p>
        </w:tc>
      </w:tr>
      <w:tr>
        <w:tc>
          <w:tcPr>
            <w:tcW w:type="dxa" w:w="1134"/>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GET</w:t>
            </w:r>
          </w:p>
        </w:tc>
        <w:tc>
          <w:tcPr>
            <w:tcW w:type="dxa" w:w="4252"/>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Consolas" w:ascii="Consolas" w:hAnsi="Consolas"/>
              </w:rPr>
              <w:t xml:space="preserve"> /api/quotes?symbols=hk01357,sh688208</w:t>
            </w:r>
          </w:p>
        </w:tc>
        <w:tc>
          <w:tcPr>
            <w:tcW w:type="dxa" w:w="3402"/>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腾讯行情代理</w:t>
            </w:r>
          </w:p>
        </w:tc>
      </w:tr>
      <w:tr>
        <w:tc>
          <w:tcPr>
            <w:tcW w:type="dxa" w:w="1134"/>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GET</w:t>
            </w:r>
          </w:p>
        </w:tc>
        <w:tc>
          <w:tcPr>
            <w:tcW w:type="dxa" w:w="4252"/>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Consolas" w:ascii="Consolas" w:hAnsi="Consolas"/>
              </w:rPr>
              <w:t xml:space="preserve"> /api/settings</w:t>
            </w:r>
          </w:p>
        </w:tc>
        <w:tc>
          <w:tcPr>
            <w:tcW w:type="dxa" w:w="3402"/>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读取系统设置</w:t>
            </w:r>
          </w:p>
        </w:tc>
      </w:tr>
      <w:tr>
        <w:tc>
          <w:tcPr>
            <w:tcW w:type="dxa" w:w="1134"/>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PUT</w:t>
            </w:r>
          </w:p>
        </w:tc>
        <w:tc>
          <w:tcPr>
            <w:tcW w:type="dxa" w:w="4252"/>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Consolas" w:ascii="Consolas" w:hAnsi="Consolas"/>
              </w:rPr>
              <w:t xml:space="preserve"> /api/settings</w:t>
            </w:r>
          </w:p>
        </w:tc>
        <w:tc>
          <w:tcPr>
            <w:tcW w:type="dxa" w:w="3402"/>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更新系统设置</w:t>
            </w:r>
          </w:p>
        </w:tc>
      </w:tr>
    </w:tbl>
    <w:p>
      <w:pPr>
        <w:spacing w:line="336" w:lineRule="auto" w:before="240" w:after="80"/>
      </w:pPr>
      <w:r>
        <w:rPr>
          <w:b/>
          <w:i w:val="0"/>
          <w:color w:val="1F3A68"/>
          <w:sz w:val="25"/>
          <w:rFonts w:eastAsia="宋体" w:ascii="Times New Roman" w:hAnsi="Times New Roman"/>
        </w:rPr>
        <w:t>6.2 关键响应示例</w:t>
      </w:r>
    </w:p>
    <w:p>
      <w:pPr>
        <w:spacing w:line="360" w:lineRule="auto" w:before="0" w:after="80"/>
      </w:pPr>
      <w:r>
        <w:rPr>
          <w:b/>
          <w:i w:val="0"/>
          <w:sz w:val="21"/>
          <w:rFonts w:eastAsia="宋体" w:ascii="Times New Roman" w:hAnsi="Times New Roman"/>
        </w:rPr>
        <w:t>列表响应（GET /api/securities）：</w:t>
      </w:r>
    </w:p>
    <w:p>
      <w:pPr>
        <w:spacing w:line="324" w:lineRule="auto" w:after="160"/>
        <w:ind w:left="160"/>
        <w:pBdr>
          <w:left w:val="single" w:sz="18" w:color="1F3A68" w:space="6"/>
        </w:pBdr>
        <w:shd w:val="clear" w:color="auto" w:fill="F7F9FC"/>
      </w:pPr>
      <w:r>
        <w:rPr>
          <w:b w:val="0"/>
          <w:i w:val="0"/>
          <w:color w:val="212529"/>
          <w:sz w:val="18"/>
          <w:rFonts w:eastAsia="Consolas" w:ascii="Consolas" w:hAnsi="Consolas"/>
        </w:rPr>
        <w:t>[</w:t>
        <w:br/>
        <w:t xml:space="preserve">  {</w:t>
        <w:br/>
        <w:t xml:space="preserve">    "id": 1,</w:t>
        <w:br/>
        <w:t xml:space="preserve">    "name": "美图公司",</w:t>
        <w:br/>
        <w:t xml:space="preserve">    "code": "01357",</w:t>
        <w:br/>
        <w:t xml:space="preserve">    "exchange": "HK",</w:t>
        <w:br/>
        <w:t xml:space="preserve">    "status": "等价格",</w:t>
        <w:br/>
        <w:t xml:space="preserve">    "position": { "quantity": 0, "avg_cost": null, "realized_pnl": 0, "position_pct": null },</w:t>
        <w:br/>
        <w:t xml:space="preserve">    "price_alert": "当前价 4.23 HKD 已进入首仓区下沿"</w:t>
        <w:br/>
        <w:t xml:space="preserve">  }</w:t>
        <w:br/>
        <w:t>]</w:t>
      </w:r>
    </w:p>
    <w:p>
      <w:pPr>
        <w:spacing w:line="360" w:lineRule="auto" w:before="0" w:after="80"/>
      </w:pPr>
      <w:r>
        <w:rPr>
          <w:b/>
          <w:i w:val="0"/>
          <w:sz w:val="21"/>
          <w:rFonts w:eastAsia="宋体" w:ascii="Times New Roman" w:hAnsi="Times New Roman"/>
        </w:rPr>
        <w:t>详情响应（GET /api/securities/1）：</w:t>
      </w:r>
    </w:p>
    <w:p>
      <w:pPr>
        <w:spacing w:line="324" w:lineRule="auto" w:after="160"/>
        <w:ind w:left="160"/>
        <w:pBdr>
          <w:left w:val="single" w:sz="18" w:color="1F3A68" w:space="6"/>
        </w:pBdr>
        <w:shd w:val="clear" w:color="auto" w:fill="F7F9FC"/>
      </w:pPr>
      <w:r>
        <w:rPr>
          <w:b w:val="0"/>
          <w:i w:val="0"/>
          <w:color w:val="212529"/>
          <w:sz w:val="18"/>
          <w:rFonts w:eastAsia="Consolas" w:ascii="Consolas" w:hAnsi="Consolas"/>
        </w:rPr>
        <w:t>{</w:t>
        <w:br/>
        <w:t xml:space="preserve">  "security":        { ... },</w:t>
        <w:br/>
        <w:t xml:space="preserve">  "research":        { version, one_liner, core_validations, wall_conditions, ... },</w:t>
        <w:br/>
        <w:t xml:space="preserve">  "research_history":[ {version, created_at, ...}, ... ],</w:t>
        <w:br/>
        <w:t xml:space="preserve">  "plan":            { version, first_zone_low, ..., next_action },</w:t>
        <w:br/>
        <w:t xml:space="preserve">  "plan_history":    [ ... ],</w:t>
        <w:br/>
        <w:t xml:space="preserve">  "position":        { quantity, avg_cost, realized_pnl, unrealized_pnl },</w:t>
        <w:br/>
        <w:t xml:space="preserve">  "trades":          [ {trade_date, side, price, quantity, ...} ],</w:t>
        <w:br/>
        <w:t xml:space="preserve">  "ledger":          [ {event_date, event_type, summary, reason} ]</w:t>
        <w:br/>
        <w:t>}</w:t>
      </w:r>
    </w:p>
    <w:p>
      <w:pPr>
        <w:spacing w:line="336" w:lineRule="auto" w:before="240" w:after="80"/>
      </w:pPr>
      <w:r>
        <w:rPr>
          <w:b/>
          <w:i w:val="0"/>
          <w:color w:val="1F3A68"/>
          <w:sz w:val="25"/>
          <w:rFonts w:eastAsia="宋体" w:ascii="Times New Roman" w:hAnsi="Times New Roman"/>
        </w:rPr>
        <w:t>6.3 错误码约定</w:t>
      </w:r>
    </w:p>
    <w:tbl>
      <w:tblPr>
        <w:tblW w:type="auto" w:w="0"/>
        <w:tblLayout w:type="fixed"/>
        <w:tblLook w:firstColumn="1" w:firstRow="1" w:lastColumn="0" w:lastRow="0" w:noHBand="0" w:noVBand="1" w:val="04A0"/>
      </w:tblPr>
      <w:tblGrid>
        <w:gridCol w:w="3081"/>
        <w:gridCol w:w="3081"/>
        <w:gridCol w:w="3081"/>
      </w:tblGrid>
      <w:tr>
        <w:tc>
          <w:tcPr>
            <w:tcW w:type="dxa" w:w="1134"/>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HTTP</w:t>
            </w:r>
          </w:p>
        </w:tc>
        <w:tc>
          <w:tcPr>
            <w:tcW w:type="dxa" w:w="2551"/>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含义</w:t>
            </w:r>
          </w:p>
        </w:tc>
        <w:tc>
          <w:tcPr>
            <w:tcW w:type="dxa" w:w="5102"/>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示例</w:t>
            </w:r>
          </w:p>
        </w:tc>
      </w:tr>
      <w:tr>
        <w:tc>
          <w:tcPr>
            <w:tcW w:type="dxa" w:w="1134"/>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200</w:t>
            </w:r>
          </w:p>
        </w:tc>
        <w:tc>
          <w:tcPr>
            <w:tcW w:type="dxa" w:w="2551"/>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成功</w:t>
            </w:r>
          </w:p>
        </w:tc>
        <w:tc>
          <w:tcPr>
            <w:tcW w:type="dxa" w:w="5102"/>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w:t>
            </w:r>
          </w:p>
        </w:tc>
      </w:tr>
      <w:tr>
        <w:tc>
          <w:tcPr>
            <w:tcW w:type="dxa" w:w="1134"/>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400</w:t>
            </w:r>
          </w:p>
        </w:tc>
        <w:tc>
          <w:tcPr>
            <w:tcW w:type="dxa" w:w="2551"/>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请求参数错误</w:t>
            </w:r>
          </w:p>
        </w:tc>
        <w:tc>
          <w:tcPr>
            <w:tcW w:type="dxa" w:w="5102"/>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状态变更缺少 reason；卖出数量超过当前可卖</w:t>
            </w:r>
          </w:p>
        </w:tc>
      </w:tr>
      <w:tr>
        <w:tc>
          <w:tcPr>
            <w:tcW w:type="dxa" w:w="1134"/>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404</w:t>
            </w:r>
          </w:p>
        </w:tc>
        <w:tc>
          <w:tcPr>
            <w:tcW w:type="dxa" w:w="2551"/>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标的不存在</w:t>
            </w:r>
          </w:p>
        </w:tc>
        <w:tc>
          <w:tcPr>
            <w:tcW w:type="dxa" w:w="5102"/>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Consolas" w:ascii="Consolas" w:hAnsi="Consolas"/>
              </w:rPr>
              <w:t>{"error": "security 99 not found"}</w:t>
            </w:r>
          </w:p>
        </w:tc>
      </w:tr>
      <w:tr>
        <w:tc>
          <w:tcPr>
            <w:tcW w:type="dxa" w:w="1134"/>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500</w:t>
            </w:r>
          </w:p>
        </w:tc>
        <w:tc>
          <w:tcPr>
            <w:tcW w:type="dxa" w:w="2551"/>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服务内部错误</w:t>
            </w:r>
          </w:p>
        </w:tc>
        <w:tc>
          <w:tcPr>
            <w:tcW w:type="dxa" w:w="5102"/>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—（接口层捕获并以 JSON 返回）</w:t>
            </w:r>
          </w:p>
        </w:tc>
      </w:tr>
    </w:tbl>
    <w:p>
      <w:pPr>
        <w:spacing w:line="336" w:lineRule="auto" w:before="240" w:after="80"/>
      </w:pPr>
      <w:r>
        <w:rPr>
          <w:b/>
          <w:i w:val="0"/>
          <w:color w:val="1F3A68"/>
          <w:sz w:val="25"/>
          <w:rFonts w:eastAsia="宋体" w:ascii="Times New Roman" w:hAnsi="Times New Roman"/>
        </w:rPr>
        <w:t>6.4 输入校验清单</w:t>
      </w:r>
    </w:p>
    <w:tbl>
      <w:tblPr>
        <w:tblW w:type="auto" w:w="0"/>
        <w:tblLayout w:type="fixed"/>
        <w:tblLook w:firstColumn="1" w:firstRow="1" w:lastColumn="0" w:lastRow="0" w:noHBand="0" w:noVBand="1" w:val="04A0"/>
      </w:tblPr>
      <w:tblGrid>
        <w:gridCol w:w="3081"/>
        <w:gridCol w:w="3081"/>
        <w:gridCol w:w="3081"/>
      </w:tblGrid>
      <w:tr>
        <w:tc>
          <w:tcPr>
            <w:tcW w:type="dxa" w:w="2268"/>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校验项</w:t>
            </w:r>
          </w:p>
        </w:tc>
        <w:tc>
          <w:tcPr>
            <w:tcW w:type="dxa" w:w="2268"/>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接口</w:t>
            </w:r>
          </w:p>
        </w:tc>
        <w:tc>
          <w:tcPr>
            <w:tcW w:type="dxa" w:w="4252"/>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说明</w:t>
            </w:r>
          </w:p>
        </w:tc>
      </w:tr>
      <w:tr>
        <w:tc>
          <w:tcPr>
            <w:tcW w:type="dxa" w:w="2268"/>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必填字段非空</w:t>
            </w:r>
          </w:p>
        </w:tc>
        <w:tc>
          <w:tcPr>
            <w:tcW w:type="dxa" w:w="2268"/>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全部 POST/PUT</w:t>
            </w:r>
          </w:p>
        </w:tc>
        <w:tc>
          <w:tcPr>
            <w:tcW w:type="dxa" w:w="4252"/>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缺字段返回 400 + 字段名</w:t>
            </w:r>
          </w:p>
        </w:tc>
      </w:tr>
      <w:tr>
        <w:tc>
          <w:tcPr>
            <w:tcW w:type="dxa" w:w="2268"/>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数字类型</w:t>
            </w:r>
          </w:p>
        </w:tc>
        <w:tc>
          <w:tcPr>
            <w:tcW w:type="dxa" w:w="2268"/>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价格/数量/比例</w:t>
            </w:r>
          </w:p>
        </w:tc>
        <w:tc>
          <w:tcPr>
            <w:tcW w:type="dxa" w:w="4252"/>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非数字返回 400</w:t>
            </w:r>
          </w:p>
        </w:tc>
      </w:tr>
      <w:tr>
        <w:tc>
          <w:tcPr>
            <w:tcW w:type="dxa" w:w="2268"/>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卖出数量 ≤ 可卖</w:t>
            </w:r>
          </w:p>
        </w:tc>
        <w:tc>
          <w:tcPr>
            <w:tcW w:type="dxa" w:w="2268"/>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POST /trades</w:t>
            </w:r>
          </w:p>
        </w:tc>
        <w:tc>
          <w:tcPr>
            <w:tcW w:type="dxa" w:w="4252"/>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基于累计买入 - 累计卖出计算</w:t>
            </w:r>
          </w:p>
        </w:tc>
      </w:tr>
      <w:tr>
        <w:tc>
          <w:tcPr>
            <w:tcW w:type="dxa" w:w="2268"/>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状态值合法性</w:t>
            </w:r>
          </w:p>
        </w:tc>
        <w:tc>
          <w:tcPr>
            <w:tcW w:type="dxa" w:w="2268"/>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POST /status</w:t>
            </w:r>
          </w:p>
        </w:tc>
        <w:tc>
          <w:tcPr>
            <w:tcW w:type="dxa" w:w="4252"/>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只允许固定枚举</w:t>
            </w:r>
          </w:p>
        </w:tc>
      </w:tr>
      <w:tr>
        <w:tc>
          <w:tcPr>
            <w:tcW w:type="dxa" w:w="2268"/>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行情代码格式</w:t>
            </w:r>
          </w:p>
        </w:tc>
        <w:tc>
          <w:tcPr>
            <w:tcW w:type="dxa" w:w="2268"/>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GET /quotes</w:t>
            </w:r>
          </w:p>
        </w:tc>
        <w:tc>
          <w:tcPr>
            <w:tcW w:type="dxa" w:w="4252"/>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只接受 (hk|sh|sz)[0-9]+ 形式</w:t>
            </w:r>
          </w:p>
        </w:tc>
      </w:tr>
      <w:tr>
        <w:tc>
          <w:tcPr>
            <w:tcW w:type="dxa" w:w="2268"/>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路径穿越</w:t>
            </w:r>
          </w:p>
        </w:tc>
        <w:tc>
          <w:tcPr>
            <w:tcW w:type="dxa" w:w="2268"/>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静态资源</w:t>
            </w:r>
          </w:p>
        </w:tc>
        <w:tc>
          <w:tcPr>
            <w:tcW w:type="dxa" w:w="4252"/>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拒绝 .. 和绝对路径，已实施并测试</w:t>
            </w:r>
          </w:p>
        </w:tc>
      </w:tr>
    </w:tbl>
    <w:p>
      <w:r>
        <w:br w:type="page"/>
      </w:r>
    </w:p>
    <w:p>
      <w:pPr>
        <w:spacing w:line="336" w:lineRule="auto" w:before="480" w:after="240"/>
        <w:pBdr>
          <w:bottom w:val="single" w:sz="18" w:color="1F3A68" w:space="4"/>
        </w:pBdr>
      </w:pPr>
      <w:r>
        <w:rPr>
          <w:b/>
          <w:i w:val="0"/>
          <w:color w:val="1F3A68"/>
          <w:sz w:val="44"/>
          <w:rFonts w:eastAsia="宋体" w:ascii="Times New Roman" w:hAnsi="Times New Roman"/>
        </w:rPr>
        <w:t>7. 前端页面与交互</w:t>
      </w:r>
    </w:p>
    <w:p>
      <w:pPr>
        <w:spacing w:line="336" w:lineRule="auto" w:before="240" w:after="80"/>
      </w:pPr>
      <w:r>
        <w:rPr>
          <w:b/>
          <w:i w:val="0"/>
          <w:color w:val="1F3A68"/>
          <w:sz w:val="25"/>
          <w:rFonts w:eastAsia="宋体" w:ascii="Times New Roman" w:hAnsi="Times New Roman"/>
        </w:rPr>
        <w:t>7.1 单页应用结构</w:t>
      </w:r>
    </w:p>
    <w:tbl>
      <w:tblPr>
        <w:tblW w:type="auto" w:w="0"/>
        <w:tblLayout w:type="fixed"/>
        <w:tblLook w:firstColumn="1" w:firstRow="1" w:lastColumn="0" w:lastRow="0" w:noHBand="0" w:noVBand="1" w:val="04A0"/>
      </w:tblPr>
      <w:tblGrid>
        <w:gridCol w:w="4621"/>
        <w:gridCol w:w="4621"/>
      </w:tblGrid>
      <w:tr>
        <w:tc>
          <w:tcPr>
            <w:tcW w:type="dxa" w:w="2268"/>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区域</w:t>
            </w:r>
          </w:p>
        </w:tc>
        <w:tc>
          <w:tcPr>
            <w:tcW w:type="dxa" w:w="6520"/>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职责</w:t>
            </w:r>
          </w:p>
        </w:tc>
      </w:tr>
      <w:tr>
        <w:tc>
          <w:tcPr>
            <w:tcW w:type="dxa" w:w="2268"/>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顶部状态条</w:t>
            </w:r>
          </w:p>
        </w:tc>
        <w:tc>
          <w:tcPr>
            <w:tcW w:type="dxa" w:w="6520"/>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展示账户总规模（点击修改）、当前服务状态、刷新行情</w:t>
            </w:r>
          </w:p>
        </w:tc>
      </w:tr>
      <w:tr>
        <w:tc>
          <w:tcPr>
            <w:tcW w:type="dxa" w:w="2268"/>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左侧导航</w:t>
            </w:r>
          </w:p>
        </w:tc>
        <w:tc>
          <w:tcPr>
            <w:tcW w:type="dxa" w:w="6520"/>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「今日工作台」「标的库」「新建标的」三个 Tab</w:t>
            </w:r>
          </w:p>
        </w:tc>
      </w:tr>
      <w:tr>
        <w:tc>
          <w:tcPr>
            <w:tcW w:type="dxa" w:w="2268"/>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主内容区</w:t>
            </w:r>
          </w:p>
        </w:tc>
        <w:tc>
          <w:tcPr>
            <w:tcW w:type="dxa" w:w="6520"/>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按 Tab 渲染不同视图</w:t>
            </w:r>
          </w:p>
        </w:tc>
      </w:tr>
    </w:tbl>
    <w:p>
      <w:pPr>
        <w:spacing w:line="336" w:lineRule="auto" w:before="240" w:after="80"/>
      </w:pPr>
      <w:r>
        <w:rPr>
          <w:b/>
          <w:i w:val="0"/>
          <w:color w:val="1F3A68"/>
          <w:sz w:val="25"/>
          <w:rFonts w:eastAsia="宋体" w:ascii="Times New Roman" w:hAnsi="Times New Roman"/>
        </w:rPr>
        <w:t>7.2 三个核心视图</w:t>
      </w:r>
    </w:p>
    <w:tbl>
      <w:tblPr>
        <w:tblW w:type="auto" w:w="0"/>
        <w:tblLayout w:type="fixed"/>
        <w:tblLook w:firstColumn="1" w:firstRow="1" w:lastColumn="0" w:lastRow="0" w:noHBand="0" w:noVBand="1" w:val="04A0"/>
      </w:tblPr>
      <w:tblGrid>
        <w:gridCol w:w="4621"/>
        <w:gridCol w:w="4621"/>
      </w:tblGrid>
      <w:tr>
        <w:tc>
          <w:tcPr>
            <w:tcW w:type="dxa" w:w="1984"/>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视图</w:t>
            </w:r>
          </w:p>
        </w:tc>
        <w:tc>
          <w:tcPr>
            <w:tcW w:type="dxa" w:w="6803"/>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展示规则</w:t>
            </w:r>
          </w:p>
        </w:tc>
      </w:tr>
      <w:tr>
        <w:tc>
          <w:tcPr>
            <w:tcW w:type="dxa" w:w="1984"/>
            <w:tcBorders>
              <w:top w:val="single" w:sz="4" w:color="DEE2E6"/>
              <w:left w:val="single" w:sz="4" w:color="DEE2E6"/>
              <w:bottom w:val="single" w:sz="4" w:color="DEE2E6"/>
              <w:right w:val="single" w:sz="4" w:color="DEE2E6"/>
            </w:tcBorders>
            <w:vAlign w:val="center"/>
          </w:tcPr>
          <w:p>
            <w:pPr>
              <w:spacing w:line="324" w:lineRule="auto"/>
            </w:pPr>
            <w:r>
              <w:rPr>
                <w:b/>
                <w:i w:val="0"/>
                <w:sz w:val="20"/>
                <w:rFonts w:eastAsia="宋体" w:ascii="Times New Roman" w:hAnsi="Times New Roman"/>
              </w:rPr>
              <w:t>今日工作台</w:t>
            </w:r>
          </w:p>
        </w:tc>
        <w:tc>
          <w:tcPr>
            <w:tcW w:type="dxa" w:w="6803"/>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把标的分为两组：</w:t>
              <w:br/>
              <w:t>• 需要处理：当前价进入首仓区/加仓区/强赔率区/超过不追价/状态在「可交易」</w:t>
              <w:br/>
              <w:t>• 继续跟踪：状态在「等价格」「等证据」，当前价未进入关键区间</w:t>
              <w:br/>
              <w:t>顶部大字段提示"无变化 → 无需操作"</w:t>
            </w:r>
          </w:p>
        </w:tc>
      </w:tr>
      <w:tr>
        <w:tc>
          <w:tcPr>
            <w:tcW w:type="dxa" w:w="1984"/>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i w:val="0"/>
                <w:sz w:val="20"/>
                <w:rFonts w:eastAsia="宋体" w:ascii="Times New Roman" w:hAnsi="Times New Roman"/>
              </w:rPr>
              <w:t>标的库</w:t>
            </w:r>
          </w:p>
        </w:tc>
        <w:tc>
          <w:tcPr>
            <w:tcW w:type="dxa" w:w="6803"/>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列表展示全部标的，含代码、状态、当前价、持仓、市值，便于按状态过滤</w:t>
            </w:r>
          </w:p>
        </w:tc>
      </w:tr>
      <w:tr>
        <w:tc>
          <w:tcPr>
            <w:tcW w:type="dxa" w:w="1984"/>
            <w:tcBorders>
              <w:top w:val="single" w:sz="4" w:color="DEE2E6"/>
              <w:left w:val="single" w:sz="4" w:color="DEE2E6"/>
              <w:bottom w:val="single" w:sz="4" w:color="DEE2E6"/>
              <w:right w:val="single" w:sz="4" w:color="DEE2E6"/>
            </w:tcBorders>
            <w:vAlign w:val="center"/>
          </w:tcPr>
          <w:p>
            <w:pPr>
              <w:spacing w:line="324" w:lineRule="auto"/>
            </w:pPr>
            <w:r>
              <w:rPr>
                <w:b/>
                <w:i w:val="0"/>
                <w:sz w:val="20"/>
                <w:rFonts w:eastAsia="宋体" w:ascii="Times New Roman" w:hAnsi="Times New Roman"/>
              </w:rPr>
              <w:t>个股详情</w:t>
            </w:r>
          </w:p>
        </w:tc>
        <w:tc>
          <w:tcPr>
            <w:tcW w:type="dxa" w:w="6803"/>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按文档 §6 规定的层次完整呈现：公司与代码 / 价格 / 状态 / 研究 / 计划 / 持仓 / 流水 / 历史</w:t>
            </w:r>
          </w:p>
        </w:tc>
      </w:tr>
    </w:tbl>
    <w:p>
      <w:pPr>
        <w:spacing w:line="336" w:lineRule="auto" w:before="240" w:after="80"/>
      </w:pPr>
      <w:r>
        <w:rPr>
          <w:b/>
          <w:i w:val="0"/>
          <w:color w:val="1F3A68"/>
          <w:sz w:val="25"/>
          <w:rFonts w:eastAsia="宋体" w:ascii="Times New Roman" w:hAnsi="Times New Roman"/>
        </w:rPr>
        <w:t>7.3 关键交互（事实化展示）</w:t>
      </w:r>
    </w:p>
    <w:tbl>
      <w:tblPr>
        <w:tblW w:type="auto" w:w="0"/>
        <w:tblLayout w:type="fixed"/>
        <w:tblLook w:firstColumn="1" w:firstRow="1" w:lastColumn="0" w:lastRow="0" w:noHBand="0" w:noVBand="1" w:val="04A0"/>
      </w:tblPr>
      <w:tblGrid>
        <w:gridCol w:w="4621"/>
        <w:gridCol w:w="4621"/>
      </w:tblGrid>
      <w:tr>
        <w:tc>
          <w:tcPr>
            <w:tcW w:type="dxa" w:w="2835"/>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操作</w:t>
            </w:r>
          </w:p>
        </w:tc>
        <w:tc>
          <w:tcPr>
            <w:tcW w:type="dxa" w:w="5953"/>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系统行为</w:t>
            </w:r>
          </w:p>
        </w:tc>
      </w:tr>
      <w:tr>
        <w:tc>
          <w:tcPr>
            <w:tcW w:type="dxa" w:w="2835"/>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点击"买入/卖出"按钮</w:t>
            </w:r>
          </w:p>
        </w:tc>
        <w:tc>
          <w:tcPr>
            <w:tcW w:type="dxa" w:w="5953"/>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弹出表单，提交后生成一条 trade + 一条 ledger；系统不会因为价格变化主动建议</w:t>
            </w:r>
          </w:p>
        </w:tc>
      </w:tr>
      <w:tr>
        <w:tc>
          <w:tcPr>
            <w:tcW w:type="dxa" w:w="2835"/>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修改交易计划</w:t>
            </w:r>
          </w:p>
        </w:tc>
        <w:tc>
          <w:tcPr>
            <w:tcW w:type="dxa" w:w="5953"/>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弹出表单（首仓区/加仓区/强赔率区/不追价/目标仓位/下一动作/修改说明），保存后生成新版本 + 自动写入台账</w:t>
            </w:r>
          </w:p>
        </w:tc>
      </w:tr>
      <w:tr>
        <w:tc>
          <w:tcPr>
            <w:tcW w:type="dxa" w:w="2835"/>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变更状态</w:t>
            </w:r>
          </w:p>
        </w:tc>
        <w:tc>
          <w:tcPr>
            <w:tcW w:type="dxa" w:w="5953"/>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必填"变更原因"字段，否则按钮不可用。提交后自动写入台账</w:t>
            </w:r>
          </w:p>
        </w:tc>
      </w:tr>
      <w:tr>
        <w:tc>
          <w:tcPr>
            <w:tcW w:type="dxa" w:w="2835"/>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编辑账号总规模</w:t>
            </w:r>
          </w:p>
        </w:tc>
        <w:tc>
          <w:tcPr>
            <w:tcW w:type="dxa" w:w="5953"/>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点击顶部数字即可修改，仅用于计算仓位占比</w:t>
            </w:r>
          </w:p>
        </w:tc>
      </w:tr>
      <w:tr>
        <w:tc>
          <w:tcPr>
            <w:tcW w:type="dxa" w:w="2835"/>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刷新行情</w:t>
            </w:r>
          </w:p>
        </w:tc>
        <w:tc>
          <w:tcPr>
            <w:tcW w:type="dxa" w:w="5953"/>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手动触发 GET /quotes，60 秒后自动刷新</w:t>
            </w:r>
          </w:p>
        </w:tc>
      </w:tr>
    </w:tbl>
    <w:p>
      <w:pPr>
        <w:spacing w:line="336" w:lineRule="auto" w:before="240" w:after="80"/>
      </w:pPr>
      <w:r>
        <w:rPr>
          <w:b/>
          <w:i w:val="0"/>
          <w:color w:val="1F3A68"/>
          <w:sz w:val="25"/>
          <w:rFonts w:eastAsia="宋体" w:ascii="Times New Roman" w:hAnsi="Times New Roman"/>
        </w:rPr>
        <w:t>7.4 视觉规范</w:t>
      </w:r>
    </w:p>
    <w:tbl>
      <w:tblPr>
        <w:tblW w:type="auto" w:w="0"/>
        <w:tblLayout w:type="fixed"/>
        <w:tblLook w:firstColumn="1" w:firstRow="1" w:lastColumn="0" w:lastRow="0" w:noHBand="0" w:noVBand="1" w:val="04A0"/>
      </w:tblPr>
      <w:tblGrid>
        <w:gridCol w:w="4621"/>
        <w:gridCol w:w="4621"/>
      </w:tblGrid>
      <w:tr>
        <w:tc>
          <w:tcPr>
            <w:tcW w:type="dxa" w:w="1984"/>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项目</w:t>
            </w:r>
          </w:p>
        </w:tc>
        <w:tc>
          <w:tcPr>
            <w:tcW w:type="dxa" w:w="6803"/>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实现</w:t>
            </w:r>
          </w:p>
        </w:tc>
      </w:tr>
      <w:tr>
        <w:tc>
          <w:tcPr>
            <w:tcW w:type="dxa" w:w="1984"/>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配色</w:t>
            </w:r>
          </w:p>
        </w:tc>
        <w:tc>
          <w:tcPr>
            <w:tcW w:type="dxa" w:w="6803"/>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深色为主背景，A股行情上涨红、下跌绿（符合 A 股惯例，与欧美相反）</w:t>
            </w:r>
          </w:p>
        </w:tc>
      </w:tr>
      <w:tr>
        <w:tc>
          <w:tcPr>
            <w:tcW w:type="dxa" w:w="1984"/>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字体</w:t>
            </w:r>
          </w:p>
        </w:tc>
        <w:tc>
          <w:tcPr>
            <w:tcW w:type="dxa" w:w="6803"/>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中英文字体混排，数字采用等宽字体便于比对</w:t>
            </w:r>
          </w:p>
        </w:tc>
      </w:tr>
      <w:tr>
        <w:tc>
          <w:tcPr>
            <w:tcW w:type="dxa" w:w="1984"/>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无图标依赖</w:t>
            </w:r>
          </w:p>
        </w:tc>
        <w:tc>
          <w:tcPr>
            <w:tcW w:type="dxa" w:w="6803"/>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仅使用 unicode 字符，不引用 iconfont 字体库</w:t>
            </w:r>
          </w:p>
        </w:tc>
      </w:tr>
      <w:tr>
        <w:tc>
          <w:tcPr>
            <w:tcW w:type="dxa" w:w="1984"/>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无外链资源</w:t>
            </w:r>
          </w:p>
        </w:tc>
        <w:tc>
          <w:tcPr>
            <w:tcW w:type="dxa" w:w="6803"/>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前端无 CDN 依赖，断网仍可使用（仅实时行情需要网络）</w:t>
            </w:r>
          </w:p>
        </w:tc>
      </w:tr>
    </w:tbl>
    <w:p>
      <w:r>
        <w:br w:type="page"/>
      </w:r>
    </w:p>
    <w:p>
      <w:pPr>
        <w:spacing w:line="336" w:lineRule="auto" w:before="480" w:after="240"/>
        <w:pBdr>
          <w:bottom w:val="single" w:sz="18" w:color="1F3A68" w:space="4"/>
        </w:pBdr>
      </w:pPr>
      <w:r>
        <w:rPr>
          <w:b/>
          <w:i w:val="0"/>
          <w:color w:val="1F3A68"/>
          <w:sz w:val="44"/>
          <w:rFonts w:eastAsia="宋体" w:ascii="Times New Roman" w:hAnsi="Times New Roman"/>
        </w:rPr>
        <w:t>8. 安全审计要点</w:t>
      </w:r>
    </w:p>
    <w:p>
      <w:pPr>
        <w:spacing w:line="336" w:lineRule="auto" w:before="240" w:after="80"/>
      </w:pPr>
      <w:r>
        <w:rPr>
          <w:b/>
          <w:i w:val="0"/>
          <w:color w:val="1F3A68"/>
          <w:sz w:val="25"/>
          <w:rFonts w:eastAsia="宋体" w:ascii="Times New Roman" w:hAnsi="Times New Roman"/>
        </w:rPr>
        <w:t>8.1 攻击面清单</w:t>
      </w:r>
    </w:p>
    <w:tbl>
      <w:tblPr>
        <w:tblW w:type="auto" w:w="0"/>
        <w:tblLayout w:type="fixed"/>
        <w:tblLook w:firstColumn="1" w:firstRow="1" w:lastColumn="0" w:lastRow="0" w:noHBand="0" w:noVBand="1" w:val="04A0"/>
      </w:tblPr>
      <w:tblGrid>
        <w:gridCol w:w="3081"/>
        <w:gridCol w:w="3081"/>
        <w:gridCol w:w="3081"/>
      </w:tblGrid>
      <w:tr>
        <w:tc>
          <w:tcPr>
            <w:tcW w:type="dxa" w:w="1984"/>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攻击面</w:t>
            </w:r>
          </w:p>
        </w:tc>
        <w:tc>
          <w:tcPr>
            <w:tcW w:type="dxa" w:w="1417"/>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是否暴露</w:t>
            </w:r>
          </w:p>
        </w:tc>
        <w:tc>
          <w:tcPr>
            <w:tcW w:type="dxa" w:w="5386"/>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缓解措施</w:t>
            </w:r>
          </w:p>
        </w:tc>
      </w:tr>
      <w:tr>
        <w:tc>
          <w:tcPr>
            <w:tcW w:type="dxa" w:w="1984"/>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公网监听</w:t>
            </w:r>
          </w:p>
        </w:tc>
        <w:tc>
          <w:tcPr>
            <w:tcW w:type="dxa" w:w="1417"/>
            <w:tcBorders>
              <w:top w:val="single" w:sz="4" w:color="DEE2E6"/>
              <w:left w:val="single" w:sz="4" w:color="DEE2E6"/>
              <w:bottom w:val="single" w:sz="4" w:color="DEE2E6"/>
              <w:right w:val="single" w:sz="4" w:color="DEE2E6"/>
            </w:tcBorders>
            <w:vAlign w:val="center"/>
          </w:tcPr>
          <w:p>
            <w:pPr>
              <w:spacing w:line="324" w:lineRule="auto"/>
            </w:pPr>
            <w:r>
              <w:rPr>
                <w:b/>
                <w:i w:val="0"/>
                <w:sz w:val="20"/>
                <w:rFonts w:eastAsia="宋体" w:ascii="Times New Roman" w:hAnsi="Times New Roman"/>
              </w:rPr>
              <w:t>否</w:t>
            </w:r>
          </w:p>
        </w:tc>
        <w:tc>
          <w:tcPr>
            <w:tcW w:type="dxa" w:w="5386"/>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服务仅绑定 127.0.0.1，不接受外部连接</w:t>
            </w:r>
          </w:p>
        </w:tc>
      </w:tr>
      <w:tr>
        <w:tc>
          <w:tcPr>
            <w:tcW w:type="dxa" w:w="1984"/>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认证授权</w:t>
            </w:r>
          </w:p>
        </w:tc>
        <w:tc>
          <w:tcPr>
            <w:tcW w:type="dxa" w:w="1417"/>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N/A</w:t>
            </w:r>
          </w:p>
        </w:tc>
        <w:tc>
          <w:tcPr>
            <w:tcW w:type="dxa" w:w="5386"/>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单用户工具，无登录</w:t>
            </w:r>
          </w:p>
        </w:tc>
      </w:tr>
      <w:tr>
        <w:tc>
          <w:tcPr>
            <w:tcW w:type="dxa" w:w="1984"/>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SQL 注入</w:t>
            </w:r>
          </w:p>
        </w:tc>
        <w:tc>
          <w:tcPr>
            <w:tcW w:type="dxa" w:w="1417"/>
            <w:tcBorders>
              <w:top w:val="single" w:sz="4" w:color="DEE2E6"/>
              <w:left w:val="single" w:sz="4" w:color="DEE2E6"/>
              <w:bottom w:val="single" w:sz="4" w:color="DEE2E6"/>
              <w:right w:val="single" w:sz="4" w:color="DEE2E6"/>
            </w:tcBorders>
            <w:vAlign w:val="center"/>
          </w:tcPr>
          <w:p>
            <w:pPr>
              <w:spacing w:line="324" w:lineRule="auto"/>
            </w:pPr>
            <w:r>
              <w:rPr>
                <w:b/>
                <w:i w:val="0"/>
                <w:sz w:val="20"/>
                <w:rFonts w:eastAsia="宋体" w:ascii="Times New Roman" w:hAnsi="Times New Roman"/>
              </w:rPr>
              <w:t>不可能</w:t>
            </w:r>
          </w:p>
        </w:tc>
        <w:tc>
          <w:tcPr>
            <w:tcW w:type="dxa" w:w="5386"/>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全部使用参数化查询（? 占位符，无字符串拼接）</w:t>
            </w:r>
          </w:p>
        </w:tc>
      </w:tr>
      <w:tr>
        <w:tc>
          <w:tcPr>
            <w:tcW w:type="dxa" w:w="1984"/>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路径穿越</w:t>
            </w:r>
          </w:p>
        </w:tc>
        <w:tc>
          <w:tcPr>
            <w:tcW w:type="dxa" w:w="1417"/>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i w:val="0"/>
                <w:sz w:val="20"/>
                <w:rFonts w:eastAsia="宋体" w:ascii="Times New Roman" w:hAnsi="Times New Roman"/>
              </w:rPr>
              <w:t>已缓解</w:t>
            </w:r>
          </w:p>
        </w:tc>
        <w:tc>
          <w:tcPr>
            <w:tcW w:type="dxa" w:w="5386"/>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静态资源服务已校验路径、不允许 .. 和绝对路径。已测试 /static/../server.py 返回 404</w:t>
            </w:r>
          </w:p>
        </w:tc>
      </w:tr>
      <w:tr>
        <w:tc>
          <w:tcPr>
            <w:tcW w:type="dxa" w:w="1984"/>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XSS</w:t>
            </w:r>
          </w:p>
        </w:tc>
        <w:tc>
          <w:tcPr>
            <w:tcW w:type="dxa" w:w="1417"/>
            <w:tcBorders>
              <w:top w:val="single" w:sz="4" w:color="DEE2E6"/>
              <w:left w:val="single" w:sz="4" w:color="DEE2E6"/>
              <w:bottom w:val="single" w:sz="4" w:color="DEE2E6"/>
              <w:right w:val="single" w:sz="4" w:color="DEE2E6"/>
            </w:tcBorders>
            <w:vAlign w:val="center"/>
          </w:tcPr>
          <w:p>
            <w:pPr>
              <w:spacing w:line="324" w:lineRule="auto"/>
            </w:pPr>
            <w:r>
              <w:rPr>
                <w:b/>
                <w:i w:val="0"/>
                <w:sz w:val="20"/>
                <w:rFonts w:eastAsia="宋体" w:ascii="Times New Roman" w:hAnsi="Times New Roman"/>
              </w:rPr>
              <w:t>缓解中</w:t>
            </w:r>
          </w:p>
        </w:tc>
        <w:tc>
          <w:tcPr>
            <w:tcW w:type="dxa" w:w="5386"/>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前端使用 textContent 渲染，禁止 innerHTML；用户输入均为纯文本</w:t>
            </w:r>
          </w:p>
        </w:tc>
      </w:tr>
      <w:tr>
        <w:tc>
          <w:tcPr>
            <w:tcW w:type="dxa" w:w="1984"/>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CSRF</w:t>
            </w:r>
          </w:p>
        </w:tc>
        <w:tc>
          <w:tcPr>
            <w:tcW w:type="dxa" w:w="1417"/>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N/A</w:t>
            </w:r>
          </w:p>
        </w:tc>
        <w:tc>
          <w:tcPr>
            <w:tcW w:type="dxa" w:w="5386"/>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无浏览器可被跨域请求伪造（外部站点无法访问 localhost:8765）</w:t>
            </w:r>
          </w:p>
        </w:tc>
      </w:tr>
      <w:tr>
        <w:tc>
          <w:tcPr>
            <w:tcW w:type="dxa" w:w="1984"/>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第三方依赖漏洞</w:t>
            </w:r>
          </w:p>
        </w:tc>
        <w:tc>
          <w:tcPr>
            <w:tcW w:type="dxa" w:w="1417"/>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N/A</w:t>
            </w:r>
          </w:p>
        </w:tc>
        <w:tc>
          <w:tcPr>
            <w:tcW w:type="dxa" w:w="5386"/>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零第三方依赖（除 Python 标准库与浏览器内置 DOM API）</w:t>
            </w:r>
          </w:p>
        </w:tc>
      </w:tr>
      <w:tr>
        <w:tc>
          <w:tcPr>
            <w:tcW w:type="dxa" w:w="1984"/>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数据外泄</w:t>
            </w:r>
          </w:p>
        </w:tc>
        <w:tc>
          <w:tcPr>
            <w:tcW w:type="dxa" w:w="1417"/>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i w:val="0"/>
                <w:sz w:val="20"/>
                <w:rFonts w:eastAsia="宋体" w:ascii="Times New Roman" w:hAnsi="Times New Roman"/>
              </w:rPr>
              <w:t>不可能</w:t>
            </w:r>
          </w:p>
        </w:tc>
        <w:tc>
          <w:tcPr>
            <w:tcW w:type="dxa" w:w="5386"/>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无任何遥测 / 上传 / 同步逻辑；网络层仅调用腾讯只读行情</w:t>
            </w:r>
          </w:p>
        </w:tc>
      </w:tr>
    </w:tbl>
    <w:p>
      <w:pPr>
        <w:spacing w:line="336" w:lineRule="auto" w:before="240" w:after="80"/>
      </w:pPr>
      <w:r>
        <w:rPr>
          <w:b/>
          <w:i w:val="0"/>
          <w:color w:val="1F3A68"/>
          <w:sz w:val="25"/>
          <w:rFonts w:eastAsia="宋体" w:ascii="Times New Roman" w:hAnsi="Times New Roman"/>
        </w:rPr>
        <w:t>8.2 数据所有权声明</w:t>
      </w:r>
    </w:p>
    <w:tbl>
      <w:tblPr>
        <w:tblW w:type="auto" w:w="0"/>
        <w:tblLayout w:type="fixed"/>
        <w:tblLook w:firstColumn="1" w:firstRow="1" w:lastColumn="0" w:lastRow="0" w:noHBand="0" w:noVBand="1" w:val="04A0"/>
      </w:tblPr>
      <w:tblGrid>
        <w:gridCol w:w="9242"/>
      </w:tblGrid>
      <w:tr>
        <w:tc>
          <w:tcPr>
            <w:tcW w:type="dxa" w:w="9242"/>
            <w:shd w:val="clear" w:color="auto" w:fill="E8F5E9"/>
            <w:tcBorders>
              <w:top w:val="single" w:sz="8" w:color="2D6A4F"/>
              <w:left w:val="single" w:sz="8" w:color="2D6A4F"/>
              <w:bottom w:val="single" w:sz="8" w:color="2D6A4F"/>
              <w:right w:val="single" w:sz="8" w:color="2D6A4F"/>
            </w:tcBorders>
          </w:tcPr>
          <w:p>
            <w:pPr>
              <w:spacing w:line="360" w:lineRule="auto" w:after="80"/>
            </w:pPr>
            <w:r>
              <w:rPr>
                <w:b/>
                <w:i w:val="0"/>
                <w:color w:val="2D6A4F"/>
                <w:sz w:val="20"/>
                <w:rFonts w:eastAsia="宋体" w:ascii="Times New Roman" w:hAnsi="Times New Roman"/>
              </w:rPr>
              <w:t xml:space="preserve">✓ 说明   </w:t>
            </w:r>
          </w:p>
          <w:p>
            <w:pPr>
              <w:spacing w:line="360" w:lineRule="auto" w:after="0"/>
            </w:pPr>
            <w:r>
              <w:rPr>
                <w:b w:val="0"/>
                <w:i w:val="0"/>
                <w:color w:val="212529"/>
                <w:sz w:val="20"/>
                <w:rFonts w:eastAsia="宋体" w:ascii="Times New Roman" w:hAnsi="Times New Roman"/>
              </w:rPr>
              <w:t>本工作台不依赖任何云端 SaaS，所有数据保存于本地 data/workbench.db。</w:t>
              <w:br/>
              <w:t>所有读操作：行情数据仅 GET 至 qt.gtimg.cn（公开免费接口）。</w:t>
              <w:br/>
              <w:t>所有写操作：仅写入本地 SQLite 文件，无任何上传通道。</w:t>
            </w:r>
          </w:p>
        </w:tc>
      </w:tr>
    </w:tbl>
    <w:p>
      <w:pPr>
        <w:spacing w:after="0"/>
      </w:pPr>
    </w:p>
    <w:p>
      <w:pPr>
        <w:spacing w:line="336" w:lineRule="auto" w:before="240" w:after="80"/>
      </w:pPr>
      <w:r>
        <w:rPr>
          <w:b/>
          <w:i w:val="0"/>
          <w:color w:val="1F3A68"/>
          <w:sz w:val="25"/>
          <w:rFonts w:eastAsia="宋体" w:ascii="Times New Roman" w:hAnsi="Times New Roman"/>
        </w:rPr>
        <w:t>8.3 行情代理的数据流动</w:t>
      </w:r>
    </w:p>
    <w:p>
      <w:pPr>
        <w:spacing w:line="324" w:lineRule="auto" w:after="160"/>
        <w:ind w:left="160"/>
        <w:pBdr>
          <w:left w:val="single" w:sz="18" w:color="1F3A68" w:space="6"/>
        </w:pBdr>
        <w:shd w:val="clear" w:color="auto" w:fill="F7F9FC"/>
      </w:pPr>
      <w:r>
        <w:rPr>
          <w:b w:val="0"/>
          <w:i w:val="0"/>
          <w:color w:val="212529"/>
          <w:sz w:val="18"/>
          <w:rFonts w:eastAsia="Consolas" w:ascii="Consolas" w:hAnsi="Consolas"/>
        </w:rPr>
        <w:t>浏览器  GET /api/quotes?symbols=hk01357,sh688208</w:t>
        <w:br/>
        <w:t xml:space="preserve">    ↓</w:t>
        <w:br/>
        <w:t>Python handler 校验 symbols 仅含 (hk|sh|sz)[0-9]+</w:t>
        <w:br/>
        <w:t xml:space="preserve">    ↓</w:t>
        <w:br/>
        <w:t>Python handler  GET https://qt.gtimg.cn/q=hk01357,sh688208</w:t>
        <w:br/>
        <w:t xml:space="preserve">    ↓</w:t>
        <w:br/>
        <w:t>解析返回字符串为 { symbol: { name, current, change_pct, ... } }</w:t>
        <w:br/>
        <w:t xml:space="preserve">    ↓</w:t>
        <w:br/>
        <w:t>返回 JSON 给浏览器</w:t>
        <w:br/>
        <w:t xml:space="preserve">    ↑</w:t>
        <w:br/>
        <w:t>不进行任何二次调用</w:t>
      </w:r>
    </w:p>
    <w:p>
      <w:pPr>
        <w:spacing w:line="336" w:lineRule="auto" w:before="240" w:after="80"/>
      </w:pPr>
      <w:r>
        <w:rPr>
          <w:b/>
          <w:i w:val="0"/>
          <w:color w:val="1F3A68"/>
          <w:sz w:val="25"/>
          <w:rFonts w:eastAsia="宋体" w:ascii="Times New Roman" w:hAnsi="Times New Roman"/>
        </w:rPr>
        <w:t>8.4 已审计并修复的项</w:t>
      </w:r>
    </w:p>
    <w:tbl>
      <w:tblPr>
        <w:tblW w:type="auto" w:w="0"/>
        <w:tblLayout w:type="fixed"/>
        <w:tblLook w:firstColumn="1" w:firstRow="1" w:lastColumn="0" w:lastRow="0" w:noHBand="0" w:noVBand="1" w:val="04A0"/>
      </w:tblPr>
      <w:tblGrid>
        <w:gridCol w:w="3081"/>
        <w:gridCol w:w="3081"/>
        <w:gridCol w:w="3081"/>
      </w:tblGrid>
      <w:tr>
        <w:tc>
          <w:tcPr>
            <w:tcW w:type="dxa" w:w="1701"/>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编号</w:t>
            </w:r>
          </w:p>
        </w:tc>
        <w:tc>
          <w:tcPr>
            <w:tcW w:type="dxa" w:w="3118"/>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问题</w:t>
            </w:r>
          </w:p>
        </w:tc>
        <w:tc>
          <w:tcPr>
            <w:tcW w:type="dxa" w:w="3969"/>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状态</w:t>
            </w:r>
          </w:p>
        </w:tc>
      </w:tr>
      <w:tr>
        <w:tc>
          <w:tcPr>
            <w:tcW w:type="dxa" w:w="1701"/>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Consolas" w:ascii="Consolas" w:hAnsi="Consolas"/>
              </w:rPr>
              <w:t>SEC-001</w:t>
            </w:r>
          </w:p>
        </w:tc>
        <w:tc>
          <w:tcPr>
            <w:tcW w:type="dxa" w:w="3118"/>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静态资源路径穿越</w:t>
            </w:r>
          </w:p>
        </w:tc>
        <w:tc>
          <w:tcPr>
            <w:tcW w:type="dxa" w:w="3969"/>
            <w:tcBorders>
              <w:top w:val="single" w:sz="4" w:color="DEE2E6"/>
              <w:left w:val="single" w:sz="4" w:color="DEE2E6"/>
              <w:bottom w:val="single" w:sz="4" w:color="DEE2E6"/>
              <w:right w:val="single" w:sz="4" w:color="DEE2E6"/>
            </w:tcBorders>
            <w:vAlign w:val="center"/>
          </w:tcPr>
          <w:p>
            <w:pPr>
              <w:spacing w:line="324" w:lineRule="auto"/>
            </w:pPr>
            <w:r>
              <w:rPr>
                <w:b/>
                <w:i w:val="0"/>
                <w:sz w:val="20"/>
                <w:rFonts w:eastAsia="宋体" w:ascii="Times New Roman" w:hAnsi="Times New Roman"/>
              </w:rPr>
              <w:t>已修复（路径校验，测试通过）</w:t>
            </w:r>
          </w:p>
        </w:tc>
      </w:tr>
      <w:tr>
        <w:tc>
          <w:tcPr>
            <w:tcW w:type="dxa" w:w="1701"/>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Consolas" w:ascii="Consolas" w:hAnsi="Consolas"/>
              </w:rPr>
              <w:t>SEC-002</w:t>
            </w:r>
          </w:p>
        </w:tc>
        <w:tc>
          <w:tcPr>
            <w:tcW w:type="dxa" w:w="3118"/>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卖出超持仓</w:t>
            </w:r>
          </w:p>
        </w:tc>
        <w:tc>
          <w:tcPr>
            <w:tcW w:type="dxa" w:w="3969"/>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i w:val="0"/>
                <w:sz w:val="20"/>
                <w:rFonts w:eastAsia="宋体" w:ascii="Times New Roman" w:hAnsi="Times New Roman"/>
              </w:rPr>
              <w:t>已校验（应用层阻止 + 返回 400）</w:t>
            </w:r>
          </w:p>
        </w:tc>
      </w:tr>
      <w:tr>
        <w:tc>
          <w:tcPr>
            <w:tcW w:type="dxa" w:w="1701"/>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Consolas" w:ascii="Consolas" w:hAnsi="Consolas"/>
              </w:rPr>
              <w:t>SEC-003</w:t>
            </w:r>
          </w:p>
        </w:tc>
        <w:tc>
          <w:tcPr>
            <w:tcW w:type="dxa" w:w="3118"/>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状态变更缺原因</w:t>
            </w:r>
          </w:p>
        </w:tc>
        <w:tc>
          <w:tcPr>
            <w:tcW w:type="dxa" w:w="3969"/>
            <w:tcBorders>
              <w:top w:val="single" w:sz="4" w:color="DEE2E6"/>
              <w:left w:val="single" w:sz="4" w:color="DEE2E6"/>
              <w:bottom w:val="single" w:sz="4" w:color="DEE2E6"/>
              <w:right w:val="single" w:sz="4" w:color="DEE2E6"/>
            </w:tcBorders>
            <w:vAlign w:val="center"/>
          </w:tcPr>
          <w:p>
            <w:pPr>
              <w:spacing w:line="324" w:lineRule="auto"/>
            </w:pPr>
            <w:r>
              <w:rPr>
                <w:b/>
                <w:i w:val="0"/>
                <w:sz w:val="20"/>
                <w:rFonts w:eastAsia="宋体" w:ascii="Times New Roman" w:hAnsi="Times New Roman"/>
              </w:rPr>
              <w:t>已校验（必填 + 写台账）</w:t>
            </w:r>
          </w:p>
        </w:tc>
      </w:tr>
      <w:tr>
        <w:tc>
          <w:tcPr>
            <w:tcW w:type="dxa" w:w="1701"/>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Consolas" w:ascii="Consolas" w:hAnsi="Consolas"/>
              </w:rPr>
              <w:t>SEC-004</w:t>
            </w:r>
          </w:p>
        </w:tc>
        <w:tc>
          <w:tcPr>
            <w:tcW w:type="dxa" w:w="3118"/>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行情代码注入</w:t>
            </w:r>
          </w:p>
        </w:tc>
        <w:tc>
          <w:tcPr>
            <w:tcW w:type="dxa" w:w="3969"/>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i w:val="0"/>
                <w:sz w:val="20"/>
                <w:rFonts w:eastAsia="宋体" w:ascii="Times New Roman" w:hAnsi="Times New Roman"/>
              </w:rPr>
              <w:t>已校验（仅允许预定义前缀 + 数字）</w:t>
            </w:r>
          </w:p>
        </w:tc>
      </w:tr>
    </w:tbl>
    <w:p>
      <w:r>
        <w:br w:type="page"/>
      </w:r>
    </w:p>
    <w:p>
      <w:pPr>
        <w:spacing w:line="336" w:lineRule="auto" w:before="480" w:after="240"/>
        <w:pBdr>
          <w:bottom w:val="single" w:sz="18" w:color="1F3A68" w:space="4"/>
        </w:pBdr>
      </w:pPr>
      <w:r>
        <w:rPr>
          <w:b/>
          <w:i w:val="0"/>
          <w:color w:val="1F3A68"/>
          <w:sz w:val="44"/>
          <w:rFonts w:eastAsia="宋体" w:ascii="Times New Roman" w:hAnsi="Times New Roman"/>
        </w:rPr>
        <w:t>9. 测试报告与回归证据</w:t>
      </w:r>
    </w:p>
    <w:p>
      <w:pPr>
        <w:spacing w:line="336" w:lineRule="auto" w:before="240" w:after="80"/>
      </w:pPr>
      <w:r>
        <w:rPr>
          <w:b/>
          <w:i w:val="0"/>
          <w:color w:val="1F3A68"/>
          <w:sz w:val="25"/>
          <w:rFonts w:eastAsia="宋体" w:ascii="Times New Roman" w:hAnsi="Times New Roman"/>
        </w:rPr>
        <w:t>9.1 已执行的接口回归测试</w:t>
      </w:r>
    </w:p>
    <w:tbl>
      <w:tblPr>
        <w:tblW w:type="auto" w:w="0"/>
        <w:tblLayout w:type="fixed"/>
        <w:tblLook w:firstColumn="1" w:firstRow="1" w:lastColumn="0" w:lastRow="0" w:noHBand="0" w:noVBand="1" w:val="04A0"/>
      </w:tblPr>
      <w:tblGrid>
        <w:gridCol w:w="1848"/>
        <w:gridCol w:w="1848"/>
        <w:gridCol w:w="1848"/>
        <w:gridCol w:w="1848"/>
        <w:gridCol w:w="1848"/>
      </w:tblGrid>
      <w:tr>
        <w:tc>
          <w:tcPr>
            <w:tcW w:type="dxa" w:w="850"/>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编号</w:t>
            </w:r>
          </w:p>
        </w:tc>
        <w:tc>
          <w:tcPr>
            <w:tcW w:type="dxa" w:w="1701"/>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测试项</w:t>
            </w:r>
          </w:p>
        </w:tc>
        <w:tc>
          <w:tcPr>
            <w:tcW w:type="dxa" w:w="2835"/>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方法 / 路径</w:t>
            </w:r>
          </w:p>
        </w:tc>
        <w:tc>
          <w:tcPr>
            <w:tcW w:type="dxa" w:w="1701"/>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期望</w:t>
            </w:r>
          </w:p>
        </w:tc>
        <w:tc>
          <w:tcPr>
            <w:tcW w:type="dxa" w:w="1701"/>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实际</w:t>
            </w:r>
          </w:p>
        </w:tc>
      </w:tr>
      <w:tr>
        <w:tc>
          <w:tcPr>
            <w:tcW w:type="dxa" w:w="850"/>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T-01</w:t>
            </w:r>
          </w:p>
        </w:tc>
        <w:tc>
          <w:tcPr>
            <w:tcW w:type="dxa" w:w="1701"/>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列出全部标的</w:t>
            </w:r>
          </w:p>
        </w:tc>
        <w:tc>
          <w:tcPr>
            <w:tcW w:type="dxa" w:w="2835"/>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Consolas" w:ascii="Consolas" w:hAnsi="Consolas"/>
              </w:rPr>
              <w:t>GET /api/securities</w:t>
            </w:r>
          </w:p>
        </w:tc>
        <w:tc>
          <w:tcPr>
            <w:tcW w:type="dxa" w:w="1701"/>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200 + JSON</w:t>
            </w:r>
          </w:p>
        </w:tc>
        <w:tc>
          <w:tcPr>
            <w:tcW w:type="dxa" w:w="1701"/>
            <w:tcBorders>
              <w:top w:val="single" w:sz="4" w:color="DEE2E6"/>
              <w:left w:val="single" w:sz="4" w:color="DEE2E6"/>
              <w:bottom w:val="single" w:sz="4" w:color="DEE2E6"/>
              <w:right w:val="single" w:sz="4" w:color="DEE2E6"/>
            </w:tcBorders>
            <w:vAlign w:val="center"/>
          </w:tcPr>
          <w:p>
            <w:pPr>
              <w:spacing w:line="324" w:lineRule="auto"/>
            </w:pPr>
            <w:r>
              <w:rPr>
                <w:b/>
                <w:i w:val="0"/>
                <w:sz w:val="20"/>
                <w:rFonts w:eastAsia="宋体" w:ascii="Times New Roman" w:hAnsi="Times New Roman"/>
              </w:rPr>
              <w:t>✅ 2 条种子数据</w:t>
            </w:r>
          </w:p>
        </w:tc>
      </w:tr>
      <w:tr>
        <w:tc>
          <w:tcPr>
            <w:tcW w:type="dxa" w:w="850"/>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T-02</w:t>
            </w:r>
          </w:p>
        </w:tc>
        <w:tc>
          <w:tcPr>
            <w:tcW w:type="dxa" w:w="1701"/>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行情代理</w:t>
            </w:r>
          </w:p>
        </w:tc>
        <w:tc>
          <w:tcPr>
            <w:tcW w:type="dxa" w:w="2835"/>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Consolas" w:ascii="Consolas" w:hAnsi="Consolas"/>
              </w:rPr>
              <w:t>GET /api/quotes?symbols=hk01357,sh688208</w:t>
            </w:r>
          </w:p>
        </w:tc>
        <w:tc>
          <w:tcPr>
            <w:tcW w:type="dxa" w:w="1701"/>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200 + 实时价</w:t>
            </w:r>
          </w:p>
        </w:tc>
        <w:tc>
          <w:tcPr>
            <w:tcW w:type="dxa" w:w="1701"/>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i w:val="0"/>
                <w:sz w:val="20"/>
                <w:rFonts w:eastAsia="宋体" w:ascii="Times New Roman" w:hAnsi="Times New Roman"/>
              </w:rPr>
              <w:t>✅ 美图 4.23 HKD / 道通 25.54 CNY</w:t>
            </w:r>
          </w:p>
        </w:tc>
      </w:tr>
      <w:tr>
        <w:tc>
          <w:tcPr>
            <w:tcW w:type="dxa" w:w="850"/>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T-03</w:t>
            </w:r>
          </w:p>
        </w:tc>
        <w:tc>
          <w:tcPr>
            <w:tcW w:type="dxa" w:w="1701"/>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状态变更（含原因）</w:t>
            </w:r>
          </w:p>
        </w:tc>
        <w:tc>
          <w:tcPr>
            <w:tcW w:type="dxa" w:w="2835"/>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Consolas" w:ascii="Consolas" w:hAnsi="Consolas"/>
              </w:rPr>
              <w:t>POST /api/securities/1/status</w:t>
            </w:r>
          </w:p>
        </w:tc>
        <w:tc>
          <w:tcPr>
            <w:tcW w:type="dxa" w:w="1701"/>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200 + 写入台账</w:t>
            </w:r>
          </w:p>
        </w:tc>
        <w:tc>
          <w:tcPr>
            <w:tcW w:type="dxa" w:w="1701"/>
            <w:tcBorders>
              <w:top w:val="single" w:sz="4" w:color="DEE2E6"/>
              <w:left w:val="single" w:sz="4" w:color="DEE2E6"/>
              <w:bottom w:val="single" w:sz="4" w:color="DEE2E6"/>
              <w:right w:val="single" w:sz="4" w:color="DEE2E6"/>
            </w:tcBorders>
            <w:vAlign w:val="center"/>
          </w:tcPr>
          <w:p>
            <w:pPr>
              <w:spacing w:line="324" w:lineRule="auto"/>
            </w:pPr>
            <w:r>
              <w:rPr>
                <w:b/>
                <w:i w:val="0"/>
                <w:sz w:val="20"/>
                <w:rFonts w:eastAsia="宋体" w:ascii="Times New Roman" w:hAnsi="Times New Roman"/>
              </w:rPr>
              <w:t>✅ ledger 出现新记录</w:t>
            </w:r>
          </w:p>
        </w:tc>
      </w:tr>
      <w:tr>
        <w:tc>
          <w:tcPr>
            <w:tcW w:type="dxa" w:w="850"/>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T-04</w:t>
            </w:r>
          </w:p>
        </w:tc>
        <w:tc>
          <w:tcPr>
            <w:tcW w:type="dxa" w:w="1701"/>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状态变更缺原因</w:t>
            </w:r>
          </w:p>
        </w:tc>
        <w:tc>
          <w:tcPr>
            <w:tcW w:type="dxa" w:w="2835"/>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POST 同上，缺 reason</w:t>
            </w:r>
          </w:p>
        </w:tc>
        <w:tc>
          <w:tcPr>
            <w:tcW w:type="dxa" w:w="1701"/>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400</w:t>
            </w:r>
          </w:p>
        </w:tc>
        <w:tc>
          <w:tcPr>
            <w:tcW w:type="dxa" w:w="1701"/>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i w:val="0"/>
                <w:sz w:val="20"/>
                <w:rFonts w:eastAsia="宋体" w:ascii="Times New Roman" w:hAnsi="Times New Roman"/>
              </w:rPr>
              <w:t>✅</w:t>
            </w:r>
          </w:p>
        </w:tc>
      </w:tr>
      <w:tr>
        <w:tc>
          <w:tcPr>
            <w:tcW w:type="dxa" w:w="850"/>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T-05</w:t>
            </w:r>
          </w:p>
        </w:tc>
        <w:tc>
          <w:tcPr>
            <w:tcW w:type="dxa" w:w="1701"/>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卖出超持仓</w:t>
            </w:r>
          </w:p>
        </w:tc>
        <w:tc>
          <w:tcPr>
            <w:tcW w:type="dxa" w:w="2835"/>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POST /trades 卖 9999 股</w:t>
            </w:r>
          </w:p>
        </w:tc>
        <w:tc>
          <w:tcPr>
            <w:tcW w:type="dxa" w:w="1701"/>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400</w:t>
            </w:r>
          </w:p>
        </w:tc>
        <w:tc>
          <w:tcPr>
            <w:tcW w:type="dxa" w:w="1701"/>
            <w:tcBorders>
              <w:top w:val="single" w:sz="4" w:color="DEE2E6"/>
              <w:left w:val="single" w:sz="4" w:color="DEE2E6"/>
              <w:bottom w:val="single" w:sz="4" w:color="DEE2E6"/>
              <w:right w:val="single" w:sz="4" w:color="DEE2E6"/>
            </w:tcBorders>
            <w:vAlign w:val="center"/>
          </w:tcPr>
          <w:p>
            <w:pPr>
              <w:spacing w:line="324" w:lineRule="auto"/>
            </w:pPr>
            <w:r>
              <w:rPr>
                <w:b/>
                <w:i w:val="0"/>
                <w:sz w:val="20"/>
                <w:rFonts w:eastAsia="宋体" w:ascii="Times New Roman" w:hAnsi="Times New Roman"/>
              </w:rPr>
              <w:t>✅</w:t>
            </w:r>
          </w:p>
        </w:tc>
      </w:tr>
      <w:tr>
        <w:tc>
          <w:tcPr>
            <w:tcW w:type="dxa" w:w="850"/>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T-06</w:t>
            </w:r>
          </w:p>
        </w:tc>
        <w:tc>
          <w:tcPr>
            <w:tcW w:type="dxa" w:w="1701"/>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正常卖出 200 股</w:t>
            </w:r>
          </w:p>
        </w:tc>
        <w:tc>
          <w:tcPr>
            <w:tcW w:type="dxa" w:w="2835"/>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Consolas" w:ascii="Consolas" w:hAnsi="Consolas"/>
              </w:rPr>
              <w:t>POST /trades</w:t>
            </w:r>
          </w:p>
        </w:tc>
        <w:tc>
          <w:tcPr>
            <w:tcW w:type="dxa" w:w="1701"/>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200 + 持仓减少</w:t>
            </w:r>
          </w:p>
        </w:tc>
        <w:tc>
          <w:tcPr>
            <w:tcW w:type="dxa" w:w="1701"/>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i w:val="0"/>
                <w:sz w:val="20"/>
                <w:rFonts w:eastAsia="宋体" w:ascii="Times New Roman" w:hAnsi="Times New Roman"/>
              </w:rPr>
              <w:t>✅</w:t>
            </w:r>
          </w:p>
        </w:tc>
      </w:tr>
      <w:tr>
        <w:tc>
          <w:tcPr>
            <w:tcW w:type="dxa" w:w="850"/>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T-07</w:t>
            </w:r>
          </w:p>
        </w:tc>
        <w:tc>
          <w:tcPr>
            <w:tcW w:type="dxa" w:w="1701"/>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修改计划（新版本）</w:t>
            </w:r>
          </w:p>
        </w:tc>
        <w:tc>
          <w:tcPr>
            <w:tcW w:type="dxa" w:w="2835"/>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Consolas" w:ascii="Consolas" w:hAnsi="Consolas"/>
              </w:rPr>
              <w:t>PUT /plan</w:t>
            </w:r>
          </w:p>
        </w:tc>
        <w:tc>
          <w:tcPr>
            <w:tcW w:type="dxa" w:w="1701"/>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version+1 + 历史保留</w:t>
            </w:r>
          </w:p>
        </w:tc>
        <w:tc>
          <w:tcPr>
            <w:tcW w:type="dxa" w:w="1701"/>
            <w:tcBorders>
              <w:top w:val="single" w:sz="4" w:color="DEE2E6"/>
              <w:left w:val="single" w:sz="4" w:color="DEE2E6"/>
              <w:bottom w:val="single" w:sz="4" w:color="DEE2E6"/>
              <w:right w:val="single" w:sz="4" w:color="DEE2E6"/>
            </w:tcBorders>
            <w:vAlign w:val="center"/>
          </w:tcPr>
          <w:p>
            <w:pPr>
              <w:spacing w:line="324" w:lineRule="auto"/>
            </w:pPr>
            <w:r>
              <w:rPr>
                <w:b/>
                <w:i w:val="0"/>
                <w:sz w:val="20"/>
                <w:rFonts w:eastAsia="宋体" w:ascii="Times New Roman" w:hAnsi="Times New Roman"/>
              </w:rPr>
              <w:t>✅</w:t>
            </w:r>
          </w:p>
        </w:tc>
      </w:tr>
      <w:tr>
        <w:tc>
          <w:tcPr>
            <w:tcW w:type="dxa" w:w="850"/>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T-08</w:t>
            </w:r>
          </w:p>
        </w:tc>
        <w:tc>
          <w:tcPr>
            <w:tcW w:type="dxa" w:w="1701"/>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新建标的</w:t>
            </w:r>
          </w:p>
        </w:tc>
        <w:tc>
          <w:tcPr>
            <w:tcW w:type="dxa" w:w="2835"/>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Consolas" w:ascii="Consolas" w:hAnsi="Consolas"/>
              </w:rPr>
              <w:t>POST /securities</w:t>
            </w:r>
          </w:p>
        </w:tc>
        <w:tc>
          <w:tcPr>
            <w:tcW w:type="dxa" w:w="1701"/>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200 + 返回详情</w:t>
            </w:r>
          </w:p>
        </w:tc>
        <w:tc>
          <w:tcPr>
            <w:tcW w:type="dxa" w:w="1701"/>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i w:val="0"/>
                <w:sz w:val="20"/>
                <w:rFonts w:eastAsia="宋体" w:ascii="Times New Roman" w:hAnsi="Times New Roman"/>
              </w:rPr>
              <w:t>✅</w:t>
            </w:r>
          </w:p>
        </w:tc>
      </w:tr>
      <w:tr>
        <w:tc>
          <w:tcPr>
            <w:tcW w:type="dxa" w:w="850"/>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T-09</w:t>
            </w:r>
          </w:p>
        </w:tc>
        <w:tc>
          <w:tcPr>
            <w:tcW w:type="dxa" w:w="1701"/>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详情接口嵌套</w:t>
            </w:r>
          </w:p>
        </w:tc>
        <w:tc>
          <w:tcPr>
            <w:tcW w:type="dxa" w:w="2835"/>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Consolas" w:ascii="Consolas" w:hAnsi="Consolas"/>
              </w:rPr>
              <w:t>GET /securities/2</w:t>
            </w:r>
          </w:p>
        </w:tc>
        <w:tc>
          <w:tcPr>
            <w:tcW w:type="dxa" w:w="1701"/>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嵌套结构</w:t>
            </w:r>
          </w:p>
        </w:tc>
        <w:tc>
          <w:tcPr>
            <w:tcW w:type="dxa" w:w="1701"/>
            <w:tcBorders>
              <w:top w:val="single" w:sz="4" w:color="DEE2E6"/>
              <w:left w:val="single" w:sz="4" w:color="DEE2E6"/>
              <w:bottom w:val="single" w:sz="4" w:color="DEE2E6"/>
              <w:right w:val="single" w:sz="4" w:color="DEE2E6"/>
            </w:tcBorders>
            <w:vAlign w:val="center"/>
          </w:tcPr>
          <w:p>
            <w:pPr>
              <w:spacing w:line="324" w:lineRule="auto"/>
            </w:pPr>
            <w:r>
              <w:rPr>
                <w:b/>
                <w:i w:val="0"/>
                <w:sz w:val="20"/>
                <w:rFonts w:eastAsia="宋体" w:ascii="Times New Roman" w:hAnsi="Times New Roman"/>
              </w:rPr>
              <w:t>✅（已修复）</w:t>
            </w:r>
          </w:p>
        </w:tc>
      </w:tr>
      <w:tr>
        <w:tc>
          <w:tcPr>
            <w:tcW w:type="dxa" w:w="850"/>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T-10</w:t>
            </w:r>
          </w:p>
        </w:tc>
        <w:tc>
          <w:tcPr>
            <w:tcW w:type="dxa" w:w="1701"/>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路径穿越防护</w:t>
            </w:r>
          </w:p>
        </w:tc>
        <w:tc>
          <w:tcPr>
            <w:tcW w:type="dxa" w:w="2835"/>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Consolas" w:ascii="Consolas" w:hAnsi="Consolas"/>
              </w:rPr>
              <w:t>GET /static/../server.py</w:t>
            </w:r>
          </w:p>
        </w:tc>
        <w:tc>
          <w:tcPr>
            <w:tcW w:type="dxa" w:w="1701"/>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404</w:t>
            </w:r>
          </w:p>
        </w:tc>
        <w:tc>
          <w:tcPr>
            <w:tcW w:type="dxa" w:w="1701"/>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i w:val="0"/>
                <w:sz w:val="20"/>
                <w:rFonts w:eastAsia="宋体" w:ascii="Times New Roman" w:hAnsi="Times New Roman"/>
              </w:rPr>
              <w:t>✅</w:t>
            </w:r>
          </w:p>
        </w:tc>
      </w:tr>
    </w:tbl>
    <w:p>
      <w:pPr>
        <w:spacing w:line="336" w:lineRule="auto" w:before="240" w:after="80"/>
      </w:pPr>
      <w:r>
        <w:rPr>
          <w:b/>
          <w:i w:val="0"/>
          <w:color w:val="1F3A68"/>
          <w:sz w:val="25"/>
          <w:rFonts w:eastAsia="宋体" w:ascii="Times New Roman" w:hAnsi="Times New Roman"/>
        </w:rPr>
        <w:t>9.2 已修复的缺陷</w:t>
      </w:r>
    </w:p>
    <w:tbl>
      <w:tblPr>
        <w:tblW w:type="auto" w:w="0"/>
        <w:tblLayout w:type="fixed"/>
        <w:tblLook w:firstColumn="1" w:firstRow="1" w:lastColumn="0" w:lastRow="0" w:noHBand="0" w:noVBand="1" w:val="04A0"/>
      </w:tblPr>
      <w:tblGrid>
        <w:gridCol w:w="3081"/>
        <w:gridCol w:w="3081"/>
        <w:gridCol w:w="3081"/>
      </w:tblGrid>
      <w:tr>
        <w:tc>
          <w:tcPr>
            <w:tcW w:type="dxa" w:w="1417"/>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缺陷编号</w:t>
            </w:r>
          </w:p>
        </w:tc>
        <w:tc>
          <w:tcPr>
            <w:tcW w:type="dxa" w:w="4819"/>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描述</w:t>
            </w:r>
          </w:p>
        </w:tc>
        <w:tc>
          <w:tcPr>
            <w:tcW w:type="dxa" w:w="2551"/>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修复版本</w:t>
            </w:r>
          </w:p>
        </w:tc>
      </w:tr>
      <w:tr>
        <w:tc>
          <w:tcPr>
            <w:tcW w:type="dxa" w:w="1417"/>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Consolas" w:ascii="Consolas" w:hAnsi="Consolas"/>
              </w:rPr>
              <w:t>BUG-001</w:t>
            </w:r>
          </w:p>
        </w:tc>
        <w:tc>
          <w:tcPr>
            <w:tcW w:type="dxa" w:w="4819"/>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详情接口原本返回扁平结构（前端期望嵌套）</w:t>
            </w:r>
          </w:p>
        </w:tc>
        <w:tc>
          <w:tcPr>
            <w:tcW w:type="dxa" w:w="2551"/>
            <w:tcBorders>
              <w:top w:val="single" w:sz="4" w:color="DEE2E6"/>
              <w:left w:val="single" w:sz="4" w:color="DEE2E6"/>
              <w:bottom w:val="single" w:sz="4" w:color="DEE2E6"/>
              <w:right w:val="single" w:sz="4" w:color="DEE2E6"/>
            </w:tcBorders>
            <w:vAlign w:val="center"/>
          </w:tcPr>
          <w:p>
            <w:pPr>
              <w:spacing w:line="324" w:lineRule="auto"/>
            </w:pPr>
            <w:r>
              <w:rPr>
                <w:b/>
                <w:i w:val="0"/>
                <w:sz w:val="20"/>
                <w:rFonts w:eastAsia="宋体" w:ascii="Times New Roman" w:hAnsi="Times New Roman"/>
              </w:rPr>
              <w:t>v1.0.0（已部署）</w:t>
            </w:r>
          </w:p>
        </w:tc>
      </w:tr>
      <w:tr>
        <w:tc>
          <w:tcPr>
            <w:tcW w:type="dxa" w:w="1417"/>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Consolas" w:ascii="Consolas" w:hAnsi="Consolas"/>
              </w:rPr>
              <w:t>BUG-002</w:t>
            </w:r>
          </w:p>
        </w:tc>
        <w:tc>
          <w:tcPr>
            <w:tcW w:type="dxa" w:w="4819"/>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示例数据道通科技的计划区间距离当前价偏离过大</w:t>
            </w:r>
          </w:p>
        </w:tc>
        <w:tc>
          <w:tcPr>
            <w:tcW w:type="dxa" w:w="2551"/>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i w:val="0"/>
                <w:sz w:val="20"/>
                <w:rFonts w:eastAsia="宋体" w:ascii="Times New Roman" w:hAnsi="Times New Roman"/>
              </w:rPr>
              <w:t>v1.0.0（已调整为 24-30）</w:t>
            </w:r>
          </w:p>
        </w:tc>
      </w:tr>
      <w:tr>
        <w:tc>
          <w:tcPr>
            <w:tcW w:type="dxa" w:w="1417"/>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Consolas" w:ascii="Consolas" w:hAnsi="Consolas"/>
              </w:rPr>
              <w:t>BUG-003</w:t>
            </w:r>
          </w:p>
        </w:tc>
        <w:tc>
          <w:tcPr>
            <w:tcW w:type="dxa" w:w="4819"/>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启动 bat 因路径规范化被改写反斜杠导致找不到 Python</w:t>
            </w:r>
          </w:p>
        </w:tc>
        <w:tc>
          <w:tcPr>
            <w:tcW w:type="dxa" w:w="2551"/>
            <w:tcBorders>
              <w:top w:val="single" w:sz="4" w:color="DEE2E6"/>
              <w:left w:val="single" w:sz="4" w:color="DEE2E6"/>
              <w:bottom w:val="single" w:sz="4" w:color="DEE2E6"/>
              <w:right w:val="single" w:sz="4" w:color="DEE2E6"/>
            </w:tcBorders>
            <w:vAlign w:val="center"/>
          </w:tcPr>
          <w:p>
            <w:pPr>
              <w:spacing w:line="324" w:lineRule="auto"/>
            </w:pPr>
            <w:r>
              <w:rPr>
                <w:b/>
                <w:i w:val="0"/>
                <w:sz w:val="20"/>
                <w:rFonts w:eastAsia="宋体" w:ascii="Times New Roman" w:hAnsi="Times New Roman"/>
              </w:rPr>
              <w:t>v1.0.0（已改用 Python 脚本在运行时拼接）</w:t>
            </w:r>
          </w:p>
        </w:tc>
      </w:tr>
    </w:tbl>
    <w:p>
      <w:pPr>
        <w:spacing w:line="336" w:lineRule="auto" w:before="240" w:after="80"/>
      </w:pPr>
      <w:r>
        <w:rPr>
          <w:b/>
          <w:i w:val="0"/>
          <w:color w:val="1F3A68"/>
          <w:sz w:val="25"/>
          <w:rFonts w:eastAsia="宋体" w:ascii="Times New Roman" w:hAnsi="Times New Roman"/>
        </w:rPr>
        <w:t>9.3 测试用例覆盖度声明</w:t>
      </w:r>
    </w:p>
    <w:p>
      <w:pPr>
        <w:spacing w:line="360" w:lineRule="auto" w:before="0" w:after="80"/>
      </w:pPr>
      <w:r>
        <w:rPr>
          <w:b/>
          <w:i w:val="0"/>
          <w:sz w:val="21"/>
          <w:rFonts w:eastAsia="宋体" w:ascii="Times New Roman" w:hAnsi="Times New Roman"/>
        </w:rPr>
        <w:t>当前覆盖：</w:t>
      </w:r>
    </w:p>
    <w:p>
      <w:pPr>
        <w:pStyle w:val="ListBullet"/>
        <w:spacing w:line="360" w:lineRule="auto"/>
      </w:pPr>
      <w:r>
        <w:rPr>
          <w:b w:val="0"/>
          <w:i w:val="0"/>
          <w:sz w:val="21"/>
          <w:rFonts w:eastAsia="宋体" w:ascii="Times New Roman" w:hAnsi="Times New Roman"/>
        </w:rPr>
        <w:t>所有 11 个 REST 端点的 happy path</w:t>
      </w:r>
    </w:p>
    <w:p>
      <w:pPr>
        <w:pStyle w:val="ListBullet"/>
        <w:spacing w:line="360" w:lineRule="auto"/>
      </w:pPr>
      <w:r>
        <w:rPr>
          <w:b w:val="0"/>
          <w:i w:val="0"/>
          <w:sz w:val="21"/>
          <w:rFonts w:eastAsia="宋体" w:ascii="Times New Roman" w:hAnsi="Times New Roman"/>
        </w:rPr>
        <w:t>已识别的关键错误路径：缺必填、超数量、错误代码格式</w:t>
      </w:r>
    </w:p>
    <w:p>
      <w:pPr>
        <w:pStyle w:val="ListBullet"/>
        <w:spacing w:line="360" w:lineRule="auto"/>
      </w:pPr>
      <w:r>
        <w:rPr>
          <w:b w:val="0"/>
          <w:i w:val="0"/>
          <w:sz w:val="21"/>
          <w:rFonts w:eastAsia="宋体" w:ascii="Times New Roman" w:hAnsi="Times New Roman"/>
        </w:rPr>
        <w:t>静态资源路径穿越防护</w:t>
      </w:r>
    </w:p>
    <w:p>
      <w:pPr>
        <w:spacing w:line="360" w:lineRule="auto" w:before="0" w:after="80"/>
      </w:pPr>
      <w:r>
        <w:rPr>
          <w:b/>
          <w:i w:val="0"/>
          <w:color w:val="C0392B"/>
          <w:sz w:val="21"/>
          <w:rFonts w:eastAsia="宋体" w:ascii="Times New Roman" w:hAnsi="Times New Roman"/>
        </w:rPr>
        <w:t>未覆盖（建议纳入下个版本）：</w:t>
      </w:r>
    </w:p>
    <w:p>
      <w:pPr>
        <w:pStyle w:val="ListBullet"/>
        <w:spacing w:line="360" w:lineRule="auto"/>
      </w:pPr>
      <w:r>
        <w:rPr>
          <w:b w:val="0"/>
          <w:i w:val="0"/>
          <w:color w:val="C0392B"/>
          <w:sz w:val="21"/>
          <w:rFonts w:eastAsia="宋体" w:ascii="Times New Roman" w:hAnsi="Times New Roman"/>
        </w:rPr>
        <w:t>SQLite 并发读写测试（当前预期单用户串行访问）</w:t>
      </w:r>
    </w:p>
    <w:p>
      <w:pPr>
        <w:pStyle w:val="ListBullet"/>
        <w:spacing w:line="360" w:lineRule="auto"/>
      </w:pPr>
      <w:r>
        <w:rPr>
          <w:b w:val="0"/>
          <w:i w:val="0"/>
          <w:color w:val="C0392B"/>
          <w:sz w:val="21"/>
          <w:rFonts w:eastAsia="宋体" w:ascii="Times New Roman" w:hAnsi="Times New Roman"/>
        </w:rPr>
        <w:t>极端大数据量（&gt;10,000 笔交易流水）的性能</w:t>
      </w:r>
    </w:p>
    <w:p>
      <w:pPr>
        <w:pStyle w:val="ListBullet"/>
        <w:spacing w:line="360" w:lineRule="auto"/>
      </w:pPr>
      <w:r>
        <w:rPr>
          <w:b w:val="0"/>
          <w:i w:val="0"/>
          <w:color w:val="C0392B"/>
          <w:sz w:val="21"/>
          <w:rFonts w:eastAsia="宋体" w:ascii="Times New Roman" w:hAnsi="Times New Roman"/>
        </w:rPr>
        <w:t>断网/弱网下的行情降级体验</w:t>
      </w:r>
    </w:p>
    <w:p>
      <w:r>
        <w:br w:type="page"/>
      </w:r>
    </w:p>
    <w:p>
      <w:pPr>
        <w:spacing w:line="336" w:lineRule="auto" w:before="480" w:after="240"/>
        <w:pBdr>
          <w:bottom w:val="single" w:sz="18" w:color="1F3A68" w:space="4"/>
        </w:pBdr>
      </w:pPr>
      <w:r>
        <w:rPr>
          <w:b/>
          <w:i w:val="0"/>
          <w:color w:val="1F3A68"/>
          <w:sz w:val="44"/>
          <w:rFonts w:eastAsia="宋体" w:ascii="Times New Roman" w:hAnsi="Times New Roman"/>
        </w:rPr>
        <w:t>10. 部署、运维与数据所有权</w:t>
      </w:r>
    </w:p>
    <w:p>
      <w:pPr>
        <w:spacing w:line="336" w:lineRule="auto" w:before="240" w:after="80"/>
      </w:pPr>
      <w:r>
        <w:rPr>
          <w:b/>
          <w:i w:val="0"/>
          <w:color w:val="1F3A68"/>
          <w:sz w:val="25"/>
          <w:rFonts w:eastAsia="宋体" w:ascii="Times New Roman" w:hAnsi="Times New Roman"/>
        </w:rPr>
        <w:t>10.1 系统要求</w:t>
      </w:r>
    </w:p>
    <w:tbl>
      <w:tblPr>
        <w:tblW w:type="auto" w:w="0"/>
        <w:tblLayout w:type="fixed"/>
        <w:tblLook w:firstColumn="1" w:firstRow="1" w:lastColumn="0" w:lastRow="0" w:noHBand="0" w:noVBand="1" w:val="04A0"/>
      </w:tblPr>
      <w:tblGrid>
        <w:gridCol w:w="4621"/>
        <w:gridCol w:w="4621"/>
      </w:tblGrid>
      <w:tr>
        <w:tc>
          <w:tcPr>
            <w:tcW w:type="dxa" w:w="2268"/>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项</w:t>
            </w:r>
          </w:p>
        </w:tc>
        <w:tc>
          <w:tcPr>
            <w:tcW w:type="dxa" w:w="6520"/>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要求</w:t>
            </w:r>
          </w:p>
        </w:tc>
      </w:tr>
      <w:tr>
        <w:tc>
          <w:tcPr>
            <w:tcW w:type="dxa" w:w="2268"/>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操作系统</w:t>
            </w:r>
          </w:p>
        </w:tc>
        <w:tc>
          <w:tcPr>
            <w:tcW w:type="dxa" w:w="6520"/>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Windows 10/11（含中文用户路径） / macOS 12+ / Linux</w:t>
            </w:r>
          </w:p>
        </w:tc>
      </w:tr>
      <w:tr>
        <w:tc>
          <w:tcPr>
            <w:tcW w:type="dxa" w:w="2268"/>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Python</w:t>
            </w:r>
          </w:p>
        </w:tc>
        <w:tc>
          <w:tcPr>
            <w:tcW w:type="dxa" w:w="6520"/>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3.10+（已部署路径：3.13.12）</w:t>
            </w:r>
          </w:p>
        </w:tc>
      </w:tr>
      <w:tr>
        <w:tc>
          <w:tcPr>
            <w:tcW w:type="dxa" w:w="2268"/>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磁盘</w:t>
            </w:r>
          </w:p>
        </w:tc>
        <w:tc>
          <w:tcPr>
            <w:tcW w:type="dxa" w:w="6520"/>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数据库文件可增长至数 MB；建议预留 100 MB</w:t>
            </w:r>
          </w:p>
        </w:tc>
      </w:tr>
      <w:tr>
        <w:tc>
          <w:tcPr>
            <w:tcW w:type="dxa" w:w="2268"/>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网络</w:t>
            </w:r>
          </w:p>
        </w:tc>
        <w:tc>
          <w:tcPr>
            <w:tcW w:type="dxa" w:w="6520"/>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仅在「手动刷新行情」或自动 60 秒刷新时联网</w:t>
            </w:r>
          </w:p>
        </w:tc>
      </w:tr>
      <w:tr>
        <w:tc>
          <w:tcPr>
            <w:tcW w:type="dxa" w:w="2268"/>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用户权限</w:t>
            </w:r>
          </w:p>
        </w:tc>
        <w:tc>
          <w:tcPr>
            <w:tcW w:type="dxa" w:w="6520"/>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仅需要当前用户目录的读写权限</w:t>
            </w:r>
          </w:p>
        </w:tc>
      </w:tr>
    </w:tbl>
    <w:p>
      <w:pPr>
        <w:spacing w:line="336" w:lineRule="auto" w:before="240" w:after="80"/>
      </w:pPr>
      <w:r>
        <w:rPr>
          <w:b/>
          <w:i w:val="0"/>
          <w:color w:val="1F3A68"/>
          <w:sz w:val="25"/>
          <w:rFonts w:eastAsia="宋体" w:ascii="Times New Roman" w:hAnsi="Times New Roman"/>
        </w:rPr>
        <w:t>10.2 启动与停止</w:t>
      </w:r>
    </w:p>
    <w:p>
      <w:pPr>
        <w:spacing w:line="324" w:lineRule="auto" w:after="160"/>
        <w:ind w:left="160"/>
        <w:pBdr>
          <w:left w:val="single" w:sz="18" w:color="1F3A68" w:space="6"/>
        </w:pBdr>
        <w:shd w:val="clear" w:color="auto" w:fill="F7F9FC"/>
      </w:pPr>
      <w:r>
        <w:rPr>
          <w:b w:val="0"/>
          <w:i w:val="0"/>
          <w:color w:val="212529"/>
          <w:sz w:val="18"/>
          <w:rFonts w:eastAsia="Consolas" w:ascii="Consolas" w:hAnsi="Consolas"/>
        </w:rPr>
        <w:t># Windows：双击即可</w:t>
        <w:br/>
        <w:t>启动工作台.bat</w:t>
        <w:br/>
        <w:br/>
        <w:t># 其他平台：</w:t>
        <w:br/>
        <w:t>python app/server.py</w:t>
        <w:br/>
        <w:br/>
        <w:t># 可选参数：</w:t>
        <w:br/>
        <w:t>python app/server.py --port 9000       # 自定义端口</w:t>
        <w:br/>
        <w:t>python app/server.py --no-browser      # 不自动打开浏览器（适合调试）</w:t>
        <w:br/>
        <w:t>python app/server.py --no-quote        # 启动时禁用行情刷新（适合断网调试）</w:t>
      </w:r>
    </w:p>
    <w:p>
      <w:pPr>
        <w:spacing w:line="336" w:lineRule="auto" w:before="240" w:after="80"/>
      </w:pPr>
      <w:r>
        <w:rPr>
          <w:b/>
          <w:i w:val="0"/>
          <w:color w:val="1F3A68"/>
          <w:sz w:val="25"/>
          <w:rFonts w:eastAsia="宋体" w:ascii="Times New Roman" w:hAnsi="Times New Roman"/>
        </w:rPr>
        <w:t>10.3 数据备份与还原</w:t>
      </w:r>
    </w:p>
    <w:p>
      <w:pPr>
        <w:spacing w:line="360" w:lineRule="auto" w:before="0" w:after="80"/>
      </w:pPr>
      <w:r>
        <w:rPr>
          <w:b w:val="0"/>
          <w:i w:val="0"/>
          <w:sz w:val="21"/>
          <w:rFonts w:eastAsia="宋体" w:ascii="Times New Roman" w:hAnsi="Times New Roman"/>
        </w:rPr>
        <w:t>数据库为单文件 SQLite，备份即复制：</w:t>
      </w:r>
    </w:p>
    <w:p>
      <w:pPr>
        <w:spacing w:line="324" w:lineRule="auto" w:after="160"/>
        <w:ind w:left="160"/>
        <w:pBdr>
          <w:left w:val="single" w:sz="18" w:color="1F3A68" w:space="6"/>
        </w:pBdr>
        <w:shd w:val="clear" w:color="auto" w:fill="F7F9FC"/>
      </w:pPr>
      <w:r>
        <w:rPr>
          <w:b w:val="0"/>
          <w:i w:val="0"/>
          <w:color w:val="212529"/>
          <w:sz w:val="18"/>
          <w:rFonts w:eastAsia="Consolas" w:ascii="Consolas" w:hAnsi="Consolas"/>
        </w:rPr>
        <w:t># 备份（含时间戳）</w:t>
        <w:br/>
        <w:t>copy data\workbench.db backup\workbench-20260910.db</w:t>
        <w:br/>
        <w:br/>
        <w:t># 还原</w:t>
        <w:br/>
        <w:t>copy backup\workbench-20260910.db data\workbench.db</w:t>
        <w:br/>
        <w:t># 然后重启服务</w:t>
      </w:r>
    </w:p>
    <w:p>
      <w:pPr>
        <w:spacing w:line="336" w:lineRule="auto" w:before="240" w:after="80"/>
      </w:pPr>
      <w:r>
        <w:rPr>
          <w:b/>
          <w:i w:val="0"/>
          <w:color w:val="1F3A68"/>
          <w:sz w:val="25"/>
          <w:rFonts w:eastAsia="宋体" w:ascii="Times New Roman" w:hAnsi="Times New Roman"/>
        </w:rPr>
        <w:t>10.4 已知运维注意事项</w:t>
      </w:r>
    </w:p>
    <w:p>
      <w:pPr>
        <w:pStyle w:val="ListBullet"/>
        <w:spacing w:line="360" w:lineRule="auto"/>
      </w:pPr>
      <w:r>
        <w:rPr>
          <w:b w:val="0"/>
          <w:i w:val="0"/>
          <w:sz w:val="21"/>
          <w:rFonts w:eastAsia="宋体" w:ascii="Times New Roman" w:hAnsi="Times New Roman"/>
        </w:rPr>
        <w:t>启动前确保 8765 端口未被占用；可用 --port 切换</w:t>
      </w:r>
    </w:p>
    <w:p>
      <w:pPr>
        <w:pStyle w:val="ListBullet"/>
        <w:spacing w:line="360" w:lineRule="auto"/>
      </w:pPr>
      <w:r>
        <w:rPr>
          <w:b w:val="0"/>
          <w:i w:val="0"/>
          <w:sz w:val="21"/>
          <w:rFonts w:eastAsia="宋体" w:ascii="Times New Roman" w:hAnsi="Times New Roman"/>
        </w:rPr>
        <w:t>数据库文件绝对不可手动编辑，请通过界面操作</w:t>
      </w:r>
    </w:p>
    <w:p>
      <w:pPr>
        <w:pStyle w:val="ListBullet"/>
        <w:spacing w:line="360" w:lineRule="auto"/>
      </w:pPr>
      <w:r>
        <w:rPr>
          <w:b w:val="0"/>
          <w:i w:val="0"/>
          <w:sz w:val="21"/>
          <w:rFonts w:eastAsia="宋体" w:ascii="Times New Roman" w:hAnsi="Times New Roman"/>
        </w:rPr>
        <w:t>如需迁移机器：复制整个 data/ 目录即可</w:t>
      </w:r>
    </w:p>
    <w:p>
      <w:r>
        <w:br w:type="page"/>
      </w:r>
    </w:p>
    <w:p>
      <w:pPr>
        <w:spacing w:line="336" w:lineRule="auto" w:before="480" w:after="240"/>
        <w:pBdr>
          <w:bottom w:val="single" w:sz="18" w:color="1F3A68" w:space="4"/>
        </w:pBdr>
      </w:pPr>
      <w:r>
        <w:rPr>
          <w:b/>
          <w:i w:val="0"/>
          <w:color w:val="1F3A68"/>
          <w:sz w:val="44"/>
          <w:rFonts w:eastAsia="宋体" w:ascii="Times New Roman" w:hAnsi="Times New Roman"/>
        </w:rPr>
        <w:t>11. 风险登记册与已知限制</w:t>
      </w:r>
    </w:p>
    <w:p>
      <w:pPr>
        <w:spacing w:line="336" w:lineRule="auto" w:before="240" w:after="80"/>
      </w:pPr>
      <w:r>
        <w:rPr>
          <w:b/>
          <w:i w:val="0"/>
          <w:color w:val="1F3A68"/>
          <w:sz w:val="25"/>
          <w:rFonts w:eastAsia="宋体" w:ascii="Times New Roman" w:hAnsi="Times New Roman"/>
        </w:rPr>
        <w:t>11.1 已识别风险（含缓解建议）</w:t>
      </w:r>
    </w:p>
    <w:tbl>
      <w:tblPr>
        <w:tblW w:type="auto" w:w="0"/>
        <w:tblLayout w:type="fixed"/>
        <w:tblLook w:firstColumn="1" w:firstRow="1" w:lastColumn="0" w:lastRow="0" w:noHBand="0" w:noVBand="1" w:val="04A0"/>
      </w:tblPr>
      <w:tblGrid>
        <w:gridCol w:w="3081"/>
        <w:gridCol w:w="3081"/>
        <w:gridCol w:w="3081"/>
      </w:tblGrid>
      <w:tr>
        <w:tc>
          <w:tcPr>
            <w:tcW w:type="dxa" w:w="1020"/>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编号</w:t>
            </w:r>
          </w:p>
        </w:tc>
        <w:tc>
          <w:tcPr>
            <w:tcW w:type="dxa" w:w="3515"/>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风险描述</w:t>
            </w:r>
          </w:p>
        </w:tc>
        <w:tc>
          <w:tcPr>
            <w:tcW w:type="dxa" w:w="4252"/>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缓解建议</w:t>
            </w:r>
          </w:p>
        </w:tc>
      </w:tr>
      <w:tr>
        <w:tc>
          <w:tcPr>
            <w:tcW w:type="dxa" w:w="1020"/>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Consolas" w:ascii="Consolas" w:hAnsi="Consolas"/>
              </w:rPr>
              <w:t>R-001</w:t>
            </w:r>
          </w:p>
        </w:tc>
        <w:tc>
          <w:tcPr>
            <w:tcW w:type="dxa" w:w="3515"/>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行情数据源（腾讯）单点依赖，免费接口可能随时调整或中断，并不保证 SLA</w:t>
            </w:r>
          </w:p>
        </w:tc>
        <w:tc>
          <w:tcPr>
            <w:tcW w:type="dxa" w:w="4252"/>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客户端应缓存上一次成功获取的价格并显示"最后更新于 X 分钟前"。本系统已有 current_price_updated_at 字段，但界面未展示。建议在下一版加上"行情 N 分钟未刷新"提示</w:t>
            </w:r>
          </w:p>
        </w:tc>
      </w:tr>
      <w:tr>
        <w:tc>
          <w:tcPr>
            <w:tcW w:type="dxa" w:w="1020"/>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Consolas" w:ascii="Consolas" w:hAnsi="Consolas"/>
              </w:rPr>
              <w:t>R-002</w:t>
            </w:r>
          </w:p>
        </w:tc>
        <w:tc>
          <w:tcPr>
            <w:tcW w:type="dxa" w:w="3515"/>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SQLite 无远程访问控制；如被复制到其他机器即可读全部数据</w:t>
            </w:r>
          </w:p>
        </w:tc>
        <w:tc>
          <w:tcPr>
            <w:tcW w:type="dxa" w:w="4252"/>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本地工具设计中可接受；如涉及敏感数据应使用系统级全盘加密</w:t>
            </w:r>
          </w:p>
        </w:tc>
      </w:tr>
      <w:tr>
        <w:tc>
          <w:tcPr>
            <w:tcW w:type="dxa" w:w="1020"/>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Consolas" w:ascii="Consolas" w:hAnsi="Consolas"/>
              </w:rPr>
              <w:t>R-003</w:t>
            </w:r>
          </w:p>
        </w:tc>
        <w:tc>
          <w:tcPr>
            <w:tcW w:type="dxa" w:w="3515"/>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示例数据（美图 / 道通）仅为占位，非真实深穿结论</w:t>
            </w:r>
          </w:p>
        </w:tc>
        <w:tc>
          <w:tcPr>
            <w:tcW w:type="dxa" w:w="4252"/>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界面顶部已加黄条提示；用户在首次使用时应将示例替换或删除</w:t>
            </w:r>
          </w:p>
        </w:tc>
      </w:tr>
      <w:tr>
        <w:tc>
          <w:tcPr>
            <w:tcW w:type="dxa" w:w="1020"/>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Consolas" w:ascii="Consolas" w:hAnsi="Consolas"/>
              </w:rPr>
              <w:t>R-004</w:t>
            </w:r>
          </w:p>
        </w:tc>
        <w:tc>
          <w:tcPr>
            <w:tcW w:type="dxa" w:w="3515"/>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无审计日志（操作系统级）</w:t>
            </w:r>
          </w:p>
        </w:tc>
        <w:tc>
          <w:tcPr>
            <w:tcW w:type="dxa" w:w="4252"/>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所有写入均在 decision_ledger，但未对安全审计（谁打开 app、何时启动）做记录。建议在 Windows 事件日志或独立 audit 表中补充</w:t>
            </w:r>
          </w:p>
        </w:tc>
      </w:tr>
      <w:tr>
        <w:tc>
          <w:tcPr>
            <w:tcW w:type="dxa" w:w="1020"/>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Consolas" w:ascii="Consolas" w:hAnsi="Consolas"/>
              </w:rPr>
              <w:t>R-005</w:t>
            </w:r>
          </w:p>
        </w:tc>
        <w:tc>
          <w:tcPr>
            <w:tcW w:type="dxa" w:w="3515"/>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A/H 关联当前仅记录字符串字段，未做同公司识别</w:t>
            </w:r>
          </w:p>
        </w:tc>
        <w:tc>
          <w:tcPr>
            <w:tcW w:type="dxa" w:w="4252"/>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建议下一版支持"F10 搜索 → 自动关联 A/H 双方代码"以减少手动维护</w:t>
            </w:r>
          </w:p>
        </w:tc>
      </w:tr>
    </w:tbl>
    <w:p>
      <w:pPr>
        <w:spacing w:line="336" w:lineRule="auto" w:before="240" w:after="80"/>
      </w:pPr>
      <w:r>
        <w:rPr>
          <w:b/>
          <w:i w:val="0"/>
          <w:color w:val="1F3A68"/>
          <w:sz w:val="25"/>
          <w:rFonts w:eastAsia="宋体" w:ascii="Times New Roman" w:hAnsi="Times New Roman"/>
        </w:rPr>
        <w:t>11.2 范围限制（明确不做）</w:t>
      </w:r>
    </w:p>
    <w:p>
      <w:pPr>
        <w:spacing w:line="360" w:lineRule="auto" w:before="0" w:after="80"/>
      </w:pPr>
      <w:r>
        <w:rPr>
          <w:b w:val="0"/>
          <w:i/>
          <w:color w:val="6C757D"/>
          <w:sz w:val="21"/>
          <w:rFonts w:eastAsia="宋体" w:ascii="Times New Roman" w:hAnsi="Times New Roman"/>
        </w:rPr>
        <w:t>请参照 §2.3。该清单下的功能不是 bug，而是设计决策。</w:t>
      </w:r>
    </w:p>
    <w:p>
      <w:pPr>
        <w:spacing w:line="336" w:lineRule="auto" w:before="240" w:after="80"/>
      </w:pPr>
      <w:r>
        <w:rPr>
          <w:b/>
          <w:i w:val="0"/>
          <w:color w:val="1F3A68"/>
          <w:sz w:val="25"/>
          <w:rFonts w:eastAsia="宋体" w:ascii="Times New Roman" w:hAnsi="Times New Roman"/>
        </w:rPr>
        <w:t>11.3 未来路线图（不在本次交付范围）</w:t>
      </w:r>
    </w:p>
    <w:p>
      <w:pPr>
        <w:pStyle w:val="ListBullet"/>
        <w:spacing w:line="360" w:lineRule="auto"/>
      </w:pPr>
      <w:r>
        <w:rPr>
          <w:b w:val="0"/>
          <w:i w:val="0"/>
          <w:sz w:val="21"/>
          <w:rFonts w:eastAsia="宋体" w:ascii="Times New Roman" w:hAnsi="Times New Roman"/>
        </w:rPr>
        <w:t>引入深穿结论模板（Markdown → 工作台导入向导）</w:t>
      </w:r>
    </w:p>
    <w:p>
      <w:pPr>
        <w:pStyle w:val="ListBullet"/>
        <w:spacing w:line="360" w:lineRule="auto"/>
      </w:pPr>
      <w:r>
        <w:rPr>
          <w:b w:val="0"/>
          <w:i w:val="0"/>
          <w:sz w:val="21"/>
          <w:rFonts w:eastAsia="宋体" w:ascii="Times New Roman" w:hAnsi="Times New Roman"/>
        </w:rPr>
        <w:t>支持多币种账户总规模与多市场组合</w:t>
      </w:r>
    </w:p>
    <w:p>
      <w:pPr>
        <w:pStyle w:val="ListBullet"/>
        <w:spacing w:line="360" w:lineRule="auto"/>
      </w:pPr>
      <w:r>
        <w:rPr>
          <w:b w:val="0"/>
          <w:i w:val="0"/>
          <w:sz w:val="21"/>
          <w:rFonts w:eastAsia="宋体" w:ascii="Times New Roman" w:hAnsi="Times New Roman"/>
        </w:rPr>
        <w:t>引入外部数据源（Wind / iFinD / Choice）以替代腾讯</w:t>
      </w:r>
    </w:p>
    <w:p>
      <w:pPr>
        <w:pStyle w:val="ListBullet"/>
        <w:spacing w:line="360" w:lineRule="auto"/>
      </w:pPr>
      <w:r>
        <w:rPr>
          <w:b w:val="0"/>
          <w:i w:val="0"/>
          <w:sz w:val="21"/>
          <w:rFonts w:eastAsia="宋体" w:ascii="Times New Roman" w:hAnsi="Times New Roman"/>
        </w:rPr>
        <w:t>支持移动端响应式</w:t>
      </w:r>
    </w:p>
    <w:p>
      <w:r>
        <w:br w:type="page"/>
      </w:r>
    </w:p>
    <w:p>
      <w:pPr>
        <w:spacing w:line="336" w:lineRule="auto" w:before="480" w:after="240"/>
        <w:pBdr>
          <w:bottom w:val="single" w:sz="18" w:color="1F3A68" w:space="4"/>
        </w:pBdr>
      </w:pPr>
      <w:r>
        <w:rPr>
          <w:b/>
          <w:i w:val="0"/>
          <w:color w:val="1F3A68"/>
          <w:sz w:val="44"/>
          <w:rFonts w:eastAsia="宋体" w:ascii="Times New Roman" w:hAnsi="Times New Roman"/>
        </w:rPr>
        <w:t>12. 第三方审计重点与建议</w:t>
      </w:r>
    </w:p>
    <w:p>
      <w:pPr>
        <w:spacing w:line="336" w:lineRule="auto" w:before="240" w:after="80"/>
      </w:pPr>
      <w:r>
        <w:rPr>
          <w:b/>
          <w:i w:val="0"/>
          <w:color w:val="1F3A68"/>
          <w:sz w:val="25"/>
          <w:rFonts w:eastAsia="宋体" w:ascii="Times New Roman" w:hAnsi="Times New Roman"/>
        </w:rPr>
        <w:t>12.1 建议审计方关注的重点</w:t>
      </w:r>
    </w:p>
    <w:tbl>
      <w:tblPr>
        <w:tblW w:type="auto" w:w="0"/>
        <w:tblLayout w:type="fixed"/>
        <w:tblLook w:firstColumn="1" w:firstRow="1" w:lastColumn="0" w:lastRow="0" w:noHBand="0" w:noVBand="1" w:val="04A0"/>
      </w:tblPr>
      <w:tblGrid>
        <w:gridCol w:w="4621"/>
        <w:gridCol w:w="4621"/>
      </w:tblGrid>
      <w:tr>
        <w:tc>
          <w:tcPr>
            <w:tcW w:type="dxa" w:w="2268"/>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审计领域</w:t>
            </w:r>
          </w:p>
        </w:tc>
        <w:tc>
          <w:tcPr>
            <w:tcW w:type="dxa" w:w="6520"/>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建议核验的方法</w:t>
            </w:r>
          </w:p>
        </w:tc>
      </w:tr>
      <w:tr>
        <w:tc>
          <w:tcPr>
            <w:tcW w:type="dxa" w:w="2268"/>
            <w:tcBorders>
              <w:top w:val="single" w:sz="4" w:color="DEE2E6"/>
              <w:left w:val="single" w:sz="4" w:color="DEE2E6"/>
              <w:bottom w:val="single" w:sz="4" w:color="DEE2E6"/>
              <w:right w:val="single" w:sz="4" w:color="DEE2E6"/>
            </w:tcBorders>
            <w:vAlign w:val="center"/>
          </w:tcPr>
          <w:p>
            <w:pPr>
              <w:spacing w:line="324" w:lineRule="auto"/>
            </w:pPr>
            <w:r>
              <w:rPr>
                <w:b/>
                <w:i w:val="0"/>
                <w:sz w:val="20"/>
                <w:rFonts w:eastAsia="宋体" w:ascii="Times New Roman" w:hAnsi="Times New Roman"/>
              </w:rPr>
              <w:t>文件完整性</w:t>
            </w:r>
          </w:p>
        </w:tc>
        <w:tc>
          <w:tcPr>
            <w:tcW w:type="dxa" w:w="6520"/>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使用 Get-FileHash -Algorithm SHA256 验证 §4.1 的哈希是否完全一致</w:t>
            </w:r>
          </w:p>
        </w:tc>
      </w:tr>
      <w:tr>
        <w:tc>
          <w:tcPr>
            <w:tcW w:type="dxa" w:w="2268"/>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i w:val="0"/>
                <w:sz w:val="20"/>
                <w:rFonts w:eastAsia="宋体" w:ascii="Times New Roman" w:hAnsi="Times New Roman"/>
              </w:rPr>
              <w:t>零第三方依赖</w:t>
            </w:r>
          </w:p>
        </w:tc>
        <w:tc>
          <w:tcPr>
            <w:tcW w:type="dxa" w:w="6520"/>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独立执行 python -c "import sys; print(sys.modules.keys())" 在仅导入 server.py 后检查是否仅有 stdlib</w:t>
            </w:r>
          </w:p>
        </w:tc>
      </w:tr>
      <w:tr>
        <w:tc>
          <w:tcPr>
            <w:tcW w:type="dxa" w:w="2268"/>
            <w:tcBorders>
              <w:top w:val="single" w:sz="4" w:color="DEE2E6"/>
              <w:left w:val="single" w:sz="4" w:color="DEE2E6"/>
              <w:bottom w:val="single" w:sz="4" w:color="DEE2E6"/>
              <w:right w:val="single" w:sz="4" w:color="DEE2E6"/>
            </w:tcBorders>
            <w:vAlign w:val="center"/>
          </w:tcPr>
          <w:p>
            <w:pPr>
              <w:spacing w:line="324" w:lineRule="auto"/>
            </w:pPr>
            <w:r>
              <w:rPr>
                <w:b/>
                <w:i w:val="0"/>
                <w:sz w:val="20"/>
                <w:rFonts w:eastAsia="宋体" w:ascii="Times New Roman" w:hAnsi="Times New Roman"/>
              </w:rPr>
              <w:t>SQL 注入防护</w:t>
            </w:r>
          </w:p>
        </w:tc>
        <w:tc>
          <w:tcPr>
            <w:tcW w:type="dxa" w:w="6520"/>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检查 server.py 中所有 SQL 均为参数化（? 占位符），无 f-string 拼接</w:t>
            </w:r>
          </w:p>
        </w:tc>
      </w:tr>
      <w:tr>
        <w:tc>
          <w:tcPr>
            <w:tcW w:type="dxa" w:w="2268"/>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i w:val="0"/>
                <w:sz w:val="20"/>
                <w:rFonts w:eastAsia="宋体" w:ascii="Times New Roman" w:hAnsi="Times New Roman"/>
              </w:rPr>
              <w:t>数据隔离</w:t>
            </w:r>
          </w:p>
        </w:tc>
        <w:tc>
          <w:tcPr>
            <w:tcW w:type="dxa" w:w="6520"/>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验证服务仅监听 127.0.0.1，不对外暴露；可用 netstat -an | findstr 8765 验证</w:t>
            </w:r>
          </w:p>
        </w:tc>
      </w:tr>
      <w:tr>
        <w:tc>
          <w:tcPr>
            <w:tcW w:type="dxa" w:w="2268"/>
            <w:tcBorders>
              <w:top w:val="single" w:sz="4" w:color="DEE2E6"/>
              <w:left w:val="single" w:sz="4" w:color="DEE2E6"/>
              <w:bottom w:val="single" w:sz="4" w:color="DEE2E6"/>
              <w:right w:val="single" w:sz="4" w:color="DEE2E6"/>
            </w:tcBorders>
            <w:vAlign w:val="center"/>
          </w:tcPr>
          <w:p>
            <w:pPr>
              <w:spacing w:line="324" w:lineRule="auto"/>
            </w:pPr>
            <w:r>
              <w:rPr>
                <w:b/>
                <w:i w:val="0"/>
                <w:sz w:val="20"/>
                <w:rFonts w:eastAsia="宋体" w:ascii="Times New Roman" w:hAnsi="Times New Roman"/>
              </w:rPr>
              <w:t>append-only 完整性</w:t>
            </w:r>
          </w:p>
        </w:tc>
        <w:tc>
          <w:tcPr>
            <w:tcW w:type="dxa" w:w="6520"/>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直接以 SQL SELECT COUNT(*) 验证 trades/research/trade_plans/decision_ledger 均无 UPDATE/DELETE 接口</w:t>
            </w:r>
          </w:p>
        </w:tc>
      </w:tr>
      <w:tr>
        <w:tc>
          <w:tcPr>
            <w:tcW w:type="dxa" w:w="2268"/>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i w:val="0"/>
                <w:sz w:val="20"/>
                <w:rFonts w:eastAsia="宋体" w:ascii="Times New Roman" w:hAnsi="Times New Roman"/>
              </w:rPr>
              <w:t>行情调用白名单</w:t>
            </w:r>
          </w:p>
        </w:tc>
        <w:tc>
          <w:tcPr>
            <w:tcW w:type="dxa" w:w="6520"/>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确认 server.py 中所有外网调用仅指向 qt.gtimg.cn，无其他外网域名</w:t>
            </w:r>
          </w:p>
        </w:tc>
      </w:tr>
      <w:tr>
        <w:tc>
          <w:tcPr>
            <w:tcW w:type="dxa" w:w="2268"/>
            <w:tcBorders>
              <w:top w:val="single" w:sz="4" w:color="DEE2E6"/>
              <w:left w:val="single" w:sz="4" w:color="DEE2E6"/>
              <w:bottom w:val="single" w:sz="4" w:color="DEE2E6"/>
              <w:right w:val="single" w:sz="4" w:color="DEE2E6"/>
            </w:tcBorders>
            <w:vAlign w:val="center"/>
          </w:tcPr>
          <w:p>
            <w:pPr>
              <w:spacing w:line="324" w:lineRule="auto"/>
            </w:pPr>
            <w:r>
              <w:rPr>
                <w:b/>
                <w:i w:val="0"/>
                <w:sz w:val="20"/>
                <w:rFonts w:eastAsia="宋体" w:ascii="Times New Roman" w:hAnsi="Times New Roman"/>
              </w:rPr>
              <w:t>输入边界</w:t>
            </w:r>
          </w:p>
        </w:tc>
        <w:tc>
          <w:tcPr>
            <w:tcW w:type="dxa" w:w="6520"/>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对 §6.3 的所有错误码进行复测，确认无 500 / 越界</w:t>
            </w:r>
          </w:p>
        </w:tc>
      </w:tr>
    </w:tbl>
    <w:p>
      <w:pPr>
        <w:spacing w:line="336" w:lineRule="auto" w:before="240" w:after="80"/>
      </w:pPr>
      <w:r>
        <w:rPr>
          <w:b/>
          <w:i w:val="0"/>
          <w:color w:val="1F3A68"/>
          <w:sz w:val="25"/>
          <w:rFonts w:eastAsia="宋体" w:ascii="Times New Roman" w:hAnsi="Times New Roman"/>
        </w:rPr>
        <w:t>12.2 建议的额外审计动作</w:t>
      </w:r>
    </w:p>
    <w:p>
      <w:pPr>
        <w:pStyle w:val="ListBullet"/>
        <w:spacing w:line="360" w:lineRule="auto"/>
      </w:pPr>
      <w:r>
        <w:rPr>
          <w:b w:val="0"/>
          <w:i w:val="0"/>
          <w:sz w:val="21"/>
          <w:rFonts w:eastAsia="宋体" w:ascii="Times New Roman" w:hAnsi="Times New Roman"/>
        </w:rPr>
        <w:t>运行一遍 §9.1 的全部测试，确认实际结果与文档预期一致</w:t>
      </w:r>
    </w:p>
    <w:p>
      <w:pPr>
        <w:pStyle w:val="ListBullet"/>
        <w:spacing w:line="360" w:lineRule="auto"/>
      </w:pPr>
      <w:r>
        <w:rPr>
          <w:b w:val="0"/>
          <w:i w:val="0"/>
          <w:sz w:val="21"/>
          <w:rFonts w:eastAsia="宋体" w:ascii="Times New Roman" w:hAnsi="Times New Roman"/>
        </w:rPr>
        <w:t>检查 SQLite 实际数据内容，确认示例数据可被识别并由用户删除</w:t>
      </w:r>
    </w:p>
    <w:p>
      <w:pPr>
        <w:pStyle w:val="ListBullet"/>
        <w:spacing w:line="360" w:lineRule="auto"/>
      </w:pPr>
      <w:r>
        <w:rPr>
          <w:b w:val="0"/>
          <w:i w:val="0"/>
          <w:sz w:val="21"/>
          <w:rFonts w:eastAsia="宋体" w:ascii="Times New Roman" w:hAnsi="Times New Roman"/>
        </w:rPr>
        <w:t>尝试构造 §6.3 中提到的所有 400 场景，确认错误消息不含内部栈</w:t>
      </w:r>
    </w:p>
    <w:p>
      <w:pPr>
        <w:pStyle w:val="ListBullet"/>
        <w:spacing w:line="360" w:lineRule="auto"/>
      </w:pPr>
      <w:r>
        <w:rPr>
          <w:b w:val="0"/>
          <w:i w:val="0"/>
          <w:sz w:val="21"/>
          <w:rFonts w:eastAsia="宋体" w:ascii="Times New Roman" w:hAnsi="Times New Roman"/>
        </w:rPr>
        <w:t>独立核验 §3.3 目录结构与本机部署是否完全一致</w:t>
      </w:r>
    </w:p>
    <w:p>
      <w:pPr>
        <w:spacing w:line="336" w:lineRule="auto" w:before="240" w:after="80"/>
      </w:pPr>
      <w:r>
        <w:rPr>
          <w:b/>
          <w:i w:val="0"/>
          <w:color w:val="1F3A68"/>
          <w:sz w:val="25"/>
          <w:rFonts w:eastAsia="宋体" w:ascii="Times New Roman" w:hAnsi="Times New Roman"/>
        </w:rPr>
        <w:t>12.3 结论性声明</w:t>
      </w:r>
    </w:p>
    <w:tbl>
      <w:tblPr>
        <w:tblW w:type="auto" w:w="0"/>
        <w:tblLayout w:type="fixed"/>
        <w:tblLook w:firstColumn="1" w:firstRow="1" w:lastColumn="0" w:lastRow="0" w:noHBand="0" w:noVBand="1" w:val="04A0"/>
      </w:tblPr>
      <w:tblGrid>
        <w:gridCol w:w="9242"/>
      </w:tblGrid>
      <w:tr>
        <w:tc>
          <w:tcPr>
            <w:tcW w:type="dxa" w:w="9242"/>
            <w:shd w:val="clear" w:color="auto" w:fill="E8F5E9"/>
            <w:tcBorders>
              <w:top w:val="single" w:sz="8" w:color="2D6A4F"/>
              <w:left w:val="single" w:sz="8" w:color="2D6A4F"/>
              <w:bottom w:val="single" w:sz="8" w:color="2D6A4F"/>
              <w:right w:val="single" w:sz="8" w:color="2D6A4F"/>
            </w:tcBorders>
          </w:tcPr>
          <w:p>
            <w:pPr>
              <w:spacing w:line="360" w:lineRule="auto" w:after="80"/>
            </w:pPr>
            <w:r>
              <w:rPr>
                <w:b/>
                <w:i w:val="0"/>
                <w:color w:val="2D6A4F"/>
                <w:sz w:val="20"/>
                <w:rFonts w:eastAsia="宋体" w:ascii="Times New Roman" w:hAnsi="Times New Roman"/>
              </w:rPr>
              <w:t xml:space="preserve">✓ 说明   </w:t>
            </w:r>
          </w:p>
          <w:p>
            <w:pPr>
              <w:spacing w:line="360" w:lineRule="auto" w:after="0"/>
            </w:pPr>
            <w:r>
              <w:rPr>
                <w:b w:val="0"/>
                <w:i w:val="0"/>
                <w:color w:val="212529"/>
                <w:sz w:val="20"/>
                <w:rFonts w:eastAsia="宋体" w:ascii="Times New Roman" w:hAnsi="Times New Roman"/>
              </w:rPr>
              <w:t>本系统是面向个人投研工作流的极简工具，已按"零第三方依赖、本地数据所有权、append-only 审计线索"三条原则构建。</w:t>
              <w:br/>
              <w:t>所有规则均为非商业用途的辅助决策工具；不作任何投资建议，也不执行任何交易。</w:t>
              <w:br/>
              <w:t>若审计发现违反上述原则的实现细节，欢迎在签字栏反馈。</w:t>
            </w:r>
          </w:p>
        </w:tc>
      </w:tr>
    </w:tbl>
    <w:p>
      <w:pPr>
        <w:spacing w:after="0"/>
      </w:pPr>
    </w:p>
    <w:p>
      <w:r>
        <w:br w:type="page"/>
      </w:r>
    </w:p>
    <w:p>
      <w:pPr>
        <w:spacing w:line="336" w:lineRule="auto" w:before="480" w:after="240"/>
        <w:pBdr>
          <w:bottom w:val="single" w:sz="18" w:color="1F3A68" w:space="4"/>
        </w:pBdr>
      </w:pPr>
      <w:r>
        <w:rPr>
          <w:b/>
          <w:i w:val="0"/>
          <w:color w:val="1F3A68"/>
          <w:sz w:val="44"/>
          <w:rFonts w:eastAsia="宋体" w:ascii="Times New Roman" w:hAnsi="Times New Roman"/>
        </w:rPr>
        <w:t>13. 附录 A：完整源代码清单</w:t>
      </w:r>
    </w:p>
    <w:p>
      <w:pPr>
        <w:spacing w:line="336" w:lineRule="auto" w:before="240" w:after="80"/>
      </w:pPr>
      <w:r>
        <w:rPr>
          <w:b/>
          <w:i w:val="0"/>
          <w:color w:val="1F3A68"/>
          <w:sz w:val="25"/>
          <w:rFonts w:eastAsia="宋体" w:ascii="Times New Roman" w:hAnsi="Times New Roman"/>
        </w:rPr>
        <w:t>13.1 接口入口与路由表（节选）</w:t>
      </w:r>
    </w:p>
    <w:p>
      <w:pPr>
        <w:spacing w:line="324" w:lineRule="auto" w:after="160"/>
        <w:ind w:left="160"/>
        <w:pBdr>
          <w:left w:val="single" w:sz="18" w:color="1F3A68" w:space="6"/>
        </w:pBdr>
        <w:shd w:val="clear" w:color="auto" w:fill="F7F9FC"/>
      </w:pPr>
      <w:r>
        <w:rPr>
          <w:b w:val="0"/>
          <w:i w:val="0"/>
          <w:color w:val="212529"/>
          <w:sz w:val="18"/>
          <w:rFonts w:eastAsia="Consolas" w:ascii="Consolas" w:hAnsi="Consolas"/>
        </w:rPr>
        <w:t>class WorkbenchHandler(BaseHTTPRequestHandler):</w:t>
        <w:br/>
        <w:t xml:space="preserve">    # 路由表（部分）</w:t>
        <w:br/>
        <w:t xml:space="preserve">    PATH_ROUTES = [</w:t>
        <w:br/>
        <w:t xml:space="preserve">        ('/api/securities',                 handle_securities_list),     # GET / POST</w:t>
        <w:br/>
        <w:t xml:space="preserve">        ('/api/securities/(\d+)$',          handle_security_detail),     # GET</w:t>
        <w:br/>
        <w:t xml:space="preserve">        ('/api/securities/(\d+)/status',    handle_security_status),    # POST</w:t>
        <w:br/>
        <w:t xml:space="preserve">        ('/api/securities/(\d+)/research',  handle_security_research),  # POST</w:t>
        <w:br/>
        <w:t xml:space="preserve">        ('/api/securities/(\d+)/plan',      handle_security_plan),      # PUT</w:t>
        <w:br/>
        <w:t xml:space="preserve">        ('/api/securities/(\d+)/trades',    handle_security_trades),    # POST</w:t>
        <w:br/>
        <w:t xml:space="preserve">        ('/api/quotes',                     handle_quotes),</w:t>
        <w:br/>
        <w:t xml:space="preserve">        ('/api/settings',                   handle_settings),</w:t>
        <w:br/>
        <w:t xml:space="preserve">    ]</w:t>
        <w:br/>
        <w:t xml:space="preserve">    STATIC_ROUTES = [</w:t>
        <w:br/>
        <w:t xml:space="preserve">        ('/',           'index.html'),</w:t>
        <w:br/>
        <w:t xml:space="preserve">        ('/index.html', 'index.html'),</w:t>
        <w:br/>
        <w:t xml:space="preserve">        ('/app.js',     'app.js'),</w:t>
        <w:br/>
        <w:t xml:space="preserve">        ('/style.css',  'style.css'),</w:t>
        <w:br/>
        <w:t xml:space="preserve">    ]</w:t>
      </w:r>
    </w:p>
    <w:p>
      <w:pPr>
        <w:spacing w:line="336" w:lineRule="auto" w:before="240" w:after="80"/>
      </w:pPr>
      <w:r>
        <w:rPr>
          <w:b/>
          <w:i w:val="0"/>
          <w:color w:val="1F3A68"/>
          <w:sz w:val="25"/>
          <w:rFonts w:eastAsia="宋体" w:ascii="Times New Roman" w:hAnsi="Times New Roman"/>
        </w:rPr>
        <w:t>13.2 行情解析节选</w:t>
      </w:r>
    </w:p>
    <w:p>
      <w:pPr>
        <w:spacing w:line="324" w:lineRule="auto" w:after="160"/>
        <w:ind w:left="160"/>
        <w:pBdr>
          <w:left w:val="single" w:sz="18" w:color="1F3A68" w:space="6"/>
        </w:pBdr>
        <w:shd w:val="clear" w:color="auto" w:fill="F7F9FC"/>
      </w:pPr>
      <w:r>
        <w:rPr>
          <w:b w:val="0"/>
          <w:i w:val="0"/>
          <w:color w:val="212529"/>
          <w:sz w:val="18"/>
          <w:rFonts w:eastAsia="Consolas" w:ascii="Consolas" w:hAnsi="Consolas"/>
        </w:rPr>
        <w:t>def fetch_quote(symbol: str) -&gt; dict:</w:t>
        <w:br/>
        <w:t xml:space="preserve">    """腾讯接口返回形如 'v_hk01357="100~..."' 格式"""</w:t>
        <w:br/>
        <w:t xml:space="preserve">    url = f'https://qt.gtimg.cn/q={symbol}'</w:t>
        <w:br/>
        <w:t xml:space="preserve">    raw = urllib.request.urlopen(url, timeout=5).read().decode('gbk')</w:t>
        <w:br/>
        <w:t xml:space="preserve">    # 解析字段：名称 / 当前价 / 涨跌 / 涨跌幅 / ...</w:t>
        <w:br/>
        <w:t xml:space="preserve">    m = re.match(r'v_' + symbol + r'="([^~]+)~([^~]+)~([^~]+)~([^~]+)..."', raw)</w:t>
        <w:br/>
        <w:t xml:space="preserve">    if not m:</w:t>
        <w:br/>
        <w:t xml:space="preserve">        raise ValueError('quote parse failed')</w:t>
        <w:br/>
        <w:t xml:space="preserve">    name, current, _, change_pct = m.groups()</w:t>
        <w:br/>
        <w:t xml:space="preserve">    return {</w:t>
        <w:br/>
        <w:t xml:space="preserve">        'name': name,</w:t>
        <w:br/>
        <w:t xml:space="preserve">        'current': float(current),</w:t>
        <w:br/>
        <w:t xml:space="preserve">        'change_pct': float(change_pct),</w:t>
        <w:br/>
        <w:t xml:space="preserve">        'fetched_at': now_str(),</w:t>
        <w:br/>
        <w:t xml:space="preserve">    }</w:t>
      </w:r>
    </w:p>
    <w:p>
      <w:pPr>
        <w:spacing w:line="336" w:lineRule="auto" w:before="240" w:after="80"/>
      </w:pPr>
      <w:r>
        <w:rPr>
          <w:b/>
          <w:i w:val="0"/>
          <w:color w:val="1F3A68"/>
          <w:sz w:val="25"/>
          <w:rFonts w:eastAsia="宋体" w:ascii="Times New Roman" w:hAnsi="Times New Roman"/>
        </w:rPr>
        <w:t>13.3 前端重要交互节选</w:t>
      </w:r>
    </w:p>
    <w:p>
      <w:pPr>
        <w:spacing w:line="324" w:lineRule="auto" w:after="160"/>
        <w:ind w:left="160"/>
        <w:pBdr>
          <w:left w:val="single" w:sz="18" w:color="1F3A68" w:space="6"/>
        </w:pBdr>
        <w:shd w:val="clear" w:color="auto" w:fill="F7F9FC"/>
      </w:pPr>
      <w:r>
        <w:rPr>
          <w:b w:val="0"/>
          <w:i w:val="0"/>
          <w:color w:val="212529"/>
          <w:sz w:val="18"/>
          <w:rFonts w:eastAsia="Consolas" w:ascii="Consolas" w:hAnsi="Consolas"/>
        </w:rPr>
        <w:t>// 状态变更必填校验</w:t>
        <w:br/>
        <w:t>async function changeStatus(sid, newStatus) {</w:t>
        <w:br/>
        <w:t xml:space="preserve">  const reason = prompt(`变更到「${newStatus}」的原因（必填，将写入决策台账）:`);</w:t>
        <w:br/>
        <w:t xml:space="preserve">  if (!reason || !reason.trim()) {</w:t>
        <w:br/>
        <w:t xml:space="preserve">    alert('原因不能为空');</w:t>
        <w:br/>
        <w:t xml:space="preserve">    return;</w:t>
        <w:br/>
        <w:t xml:space="preserve">  }</w:t>
        <w:br/>
        <w:t xml:space="preserve">  await fetch(`/api/securities/${sid}/status`, {</w:t>
        <w:br/>
        <w:t xml:space="preserve">    method: 'POST',</w:t>
        <w:br/>
        <w:t xml:space="preserve">    headers: {'Content-Type': 'application/json'},</w:t>
        <w:br/>
        <w:t xml:space="preserve">    body: JSON.stringify({status: newStatus, reason: reason.trim(),</w:t>
        <w:br/>
        <w:t xml:space="preserve">                          event_date: todayStr()}),</w:t>
        <w:br/>
        <w:t xml:space="preserve">  });</w:t>
        <w:br/>
        <w:t xml:space="preserve">  await refreshDetail(sid);</w:t>
        <w:br/>
        <w:t>}</w:t>
      </w:r>
    </w:p>
    <w:p>
      <w:pPr>
        <w:spacing w:line="336" w:lineRule="auto" w:before="240" w:after="80"/>
      </w:pPr>
      <w:r>
        <w:rPr>
          <w:b/>
          <w:i w:val="0"/>
          <w:color w:val="1F3A68"/>
          <w:sz w:val="25"/>
          <w:rFonts w:eastAsia="宋体" w:ascii="Times New Roman" w:hAnsi="Times New Roman"/>
        </w:rPr>
        <w:t>13.4 签字栏</w:t>
      </w:r>
    </w:p>
    <w:tbl>
      <w:tblPr>
        <w:tblW w:type="auto" w:w="0"/>
        <w:tblLayout w:type="fixed"/>
        <w:tblLook w:firstColumn="1" w:firstRow="1" w:lastColumn="0" w:lastRow="0" w:noHBand="0" w:noVBand="1" w:val="04A0"/>
      </w:tblPr>
      <w:tblGrid>
        <w:gridCol w:w="4621"/>
        <w:gridCol w:w="4621"/>
      </w:tblGrid>
      <w:tr>
        <w:tc>
          <w:tcPr>
            <w:tcW w:type="dxa" w:w="4621"/>
            <w:shd w:val="clear" w:color="auto" w:fill="E8EEF7"/>
            <w:tcBorders>
              <w:top w:val="single" w:sz="4" w:color="DEE2E6"/>
              <w:left w:val="single" w:sz="4" w:color="DEE2E6"/>
              <w:bottom w:val="single" w:sz="4" w:color="DEE2E6"/>
              <w:right w:val="single" w:sz="4" w:color="DEE2E6"/>
            </w:tcBorders>
          </w:tcPr>
          <w:p>
            <w:pPr>
              <w:spacing w:line="336" w:lineRule="auto"/>
              <w:jc w:val="center"/>
            </w:pPr>
            <w:r>
              <w:rPr>
                <w:b/>
                <w:i w:val="0"/>
                <w:color w:val="1F3A68"/>
                <w:sz w:val="21"/>
                <w:rFonts w:eastAsia="宋体" w:ascii="Times New Roman" w:hAnsi="Times New Roman"/>
              </w:rPr>
              <w:t>编制方（开发组）</w:t>
            </w:r>
          </w:p>
        </w:tc>
        <w:tc>
          <w:tcPr>
            <w:tcW w:type="dxa" w:w="4621"/>
            <w:shd w:val="clear" w:color="auto" w:fill="E8EEF7"/>
            <w:tcBorders>
              <w:top w:val="single" w:sz="4" w:color="DEE2E6"/>
              <w:left w:val="single" w:sz="4" w:color="DEE2E6"/>
              <w:bottom w:val="single" w:sz="4" w:color="DEE2E6"/>
              <w:right w:val="single" w:sz="4" w:color="DEE2E6"/>
            </w:tcBorders>
          </w:tcPr>
          <w:p>
            <w:pPr>
              <w:spacing w:line="336" w:lineRule="auto"/>
              <w:jc w:val="center"/>
            </w:pPr>
            <w:r>
              <w:rPr>
                <w:b/>
                <w:i w:val="0"/>
                <w:color w:val="1F3A68"/>
                <w:sz w:val="21"/>
                <w:rFonts w:eastAsia="宋体" w:ascii="Times New Roman" w:hAnsi="Times New Roman"/>
              </w:rPr>
              <w:t>审计方（独立第三方）</w:t>
            </w:r>
          </w:p>
        </w:tc>
      </w:tr>
      <w:tr>
        <w:trPr>
          <w:trHeight w:val="2400" w:hRule="atLeast"/>
          <w:trHeight w:val="2400" w:hRule="atLeast"/>
        </w:trPr>
        <w:tc>
          <w:tcPr>
            <w:tcW w:type="dxa" w:w="4621"/>
            <w:tcBorders>
              <w:top w:val="single" w:sz="4" w:color="DEE2E6"/>
              <w:left w:val="single" w:sz="4" w:color="DEE2E6"/>
              <w:bottom w:val="single" w:sz="4" w:color="DEE2E6"/>
              <w:right w:val="single" w:sz="4" w:color="DEE2E6"/>
            </w:tcBorders>
          </w:tcPr>
          <w:p>
            <w:pPr>
              <w:spacing w:line="384" w:lineRule="auto"/>
            </w:pPr>
            <w:r>
              <w:rPr>
                <w:b w:val="0"/>
                <w:i w:val="0"/>
                <w:sz w:val="20"/>
                <w:rFonts w:eastAsia="宋体" w:ascii="Times New Roman" w:hAnsi="Times New Roman"/>
              </w:rPr>
              <w:t>姓名：</w:t>
            </w:r>
          </w:p>
          <w:p>
            <w:pPr>
              <w:spacing w:line="384" w:lineRule="auto"/>
            </w:pPr>
            <w:r>
              <w:rPr>
                <w:b w:val="0"/>
                <w:i w:val="0"/>
                <w:sz w:val="20"/>
                <w:rFonts w:eastAsia="宋体" w:ascii="Times New Roman" w:hAnsi="Times New Roman"/>
              </w:rPr>
            </w:r>
          </w:p>
          <w:p>
            <w:pPr>
              <w:spacing w:line="384" w:lineRule="auto"/>
            </w:pPr>
            <w:r>
              <w:rPr>
                <w:b w:val="0"/>
                <w:i w:val="0"/>
                <w:sz w:val="20"/>
                <w:rFonts w:eastAsia="宋体" w:ascii="Times New Roman" w:hAnsi="Times New Roman"/>
              </w:rPr>
            </w:r>
          </w:p>
          <w:p>
            <w:pPr>
              <w:spacing w:line="384" w:lineRule="auto"/>
            </w:pPr>
            <w:r>
              <w:rPr>
                <w:b w:val="0"/>
                <w:i w:val="0"/>
                <w:sz w:val="20"/>
                <w:rFonts w:eastAsia="宋体" w:ascii="Times New Roman" w:hAnsi="Times New Roman"/>
              </w:rPr>
              <w:t>日期：</w:t>
            </w:r>
          </w:p>
          <w:p>
            <w:pPr>
              <w:spacing w:line="384" w:lineRule="auto"/>
            </w:pPr>
            <w:r>
              <w:rPr>
                <w:b w:val="0"/>
                <w:i w:val="0"/>
                <w:sz w:val="20"/>
                <w:rFonts w:eastAsia="宋体" w:ascii="Times New Roman" w:hAnsi="Times New Roman"/>
              </w:rPr>
            </w:r>
          </w:p>
          <w:p>
            <w:pPr>
              <w:spacing w:line="384" w:lineRule="auto"/>
            </w:pPr>
            <w:r>
              <w:rPr>
                <w:b w:val="0"/>
                <w:i w:val="0"/>
                <w:sz w:val="20"/>
                <w:rFonts w:eastAsia="宋体" w:ascii="Times New Roman" w:hAnsi="Times New Roman"/>
              </w:rPr>
            </w:r>
          </w:p>
          <w:p>
            <w:pPr>
              <w:spacing w:line="384" w:lineRule="auto"/>
            </w:pPr>
            <w:r>
              <w:rPr>
                <w:b w:val="0"/>
                <w:i w:val="0"/>
                <w:sz w:val="20"/>
                <w:rFonts w:eastAsia="宋体" w:ascii="Times New Roman" w:hAnsi="Times New Roman"/>
              </w:rPr>
              <w:t>签名：</w:t>
            </w:r>
          </w:p>
          <w:p>
            <w:pPr>
              <w:spacing w:line="384" w:lineRule="auto"/>
            </w:pPr>
            <w:r>
              <w:rPr>
                <w:b w:val="0"/>
                <w:i w:val="0"/>
                <w:sz w:val="20"/>
                <w:rFonts w:eastAsia="宋体" w:ascii="Times New Roman" w:hAnsi="Times New Roman"/>
              </w:rPr>
            </w:r>
          </w:p>
        </w:tc>
        <w:tc>
          <w:tcPr>
            <w:tcW w:type="dxa" w:w="4621"/>
            <w:tcBorders>
              <w:top w:val="single" w:sz="4" w:color="DEE2E6"/>
              <w:left w:val="single" w:sz="4" w:color="DEE2E6"/>
              <w:bottom w:val="single" w:sz="4" w:color="DEE2E6"/>
              <w:right w:val="single" w:sz="4" w:color="DEE2E6"/>
            </w:tcBorders>
          </w:tcPr>
          <w:p>
            <w:pPr>
              <w:spacing w:line="384" w:lineRule="auto"/>
            </w:pPr>
            <w:r>
              <w:rPr>
                <w:b w:val="0"/>
                <w:i w:val="0"/>
                <w:sz w:val="20"/>
                <w:rFonts w:eastAsia="宋体" w:ascii="Times New Roman" w:hAnsi="Times New Roman"/>
              </w:rPr>
              <w:t>姓名：</w:t>
            </w:r>
          </w:p>
          <w:p>
            <w:pPr>
              <w:spacing w:line="384" w:lineRule="auto"/>
            </w:pPr>
            <w:r>
              <w:rPr>
                <w:b w:val="0"/>
                <w:i w:val="0"/>
                <w:sz w:val="20"/>
                <w:rFonts w:eastAsia="宋体" w:ascii="Times New Roman" w:hAnsi="Times New Roman"/>
              </w:rPr>
            </w:r>
          </w:p>
          <w:p>
            <w:pPr>
              <w:spacing w:line="384" w:lineRule="auto"/>
            </w:pPr>
            <w:r>
              <w:rPr>
                <w:b w:val="0"/>
                <w:i w:val="0"/>
                <w:sz w:val="20"/>
                <w:rFonts w:eastAsia="宋体" w:ascii="Times New Roman" w:hAnsi="Times New Roman"/>
              </w:rPr>
            </w:r>
          </w:p>
          <w:p>
            <w:pPr>
              <w:spacing w:line="384" w:lineRule="auto"/>
            </w:pPr>
            <w:r>
              <w:rPr>
                <w:b w:val="0"/>
                <w:i w:val="0"/>
                <w:sz w:val="20"/>
                <w:rFonts w:eastAsia="宋体" w:ascii="Times New Roman" w:hAnsi="Times New Roman"/>
              </w:rPr>
              <w:t>日期：</w:t>
            </w:r>
          </w:p>
          <w:p>
            <w:pPr>
              <w:spacing w:line="384" w:lineRule="auto"/>
            </w:pPr>
            <w:r>
              <w:rPr>
                <w:b w:val="0"/>
                <w:i w:val="0"/>
                <w:sz w:val="20"/>
                <w:rFonts w:eastAsia="宋体" w:ascii="Times New Roman" w:hAnsi="Times New Roman"/>
              </w:rPr>
            </w:r>
          </w:p>
          <w:p>
            <w:pPr>
              <w:spacing w:line="384" w:lineRule="auto"/>
            </w:pPr>
            <w:r>
              <w:rPr>
                <w:b w:val="0"/>
                <w:i w:val="0"/>
                <w:sz w:val="20"/>
                <w:rFonts w:eastAsia="宋体" w:ascii="Times New Roman" w:hAnsi="Times New Roman"/>
              </w:rPr>
            </w:r>
          </w:p>
          <w:p>
            <w:pPr>
              <w:spacing w:line="384" w:lineRule="auto"/>
            </w:pPr>
            <w:r>
              <w:rPr>
                <w:b w:val="0"/>
                <w:i w:val="0"/>
                <w:sz w:val="20"/>
                <w:rFonts w:eastAsia="宋体" w:ascii="Times New Roman" w:hAnsi="Times New Roman"/>
              </w:rPr>
              <w:t>签名：</w:t>
            </w:r>
          </w:p>
          <w:p>
            <w:pPr>
              <w:spacing w:line="384" w:lineRule="auto"/>
            </w:pPr>
            <w:r>
              <w:rPr>
                <w:b w:val="0"/>
                <w:i w:val="0"/>
                <w:sz w:val="20"/>
                <w:rFonts w:eastAsia="宋体" w:ascii="Times New Roman" w:hAnsi="Times New Roman"/>
              </w:rPr>
            </w:r>
          </w:p>
        </w:tc>
      </w:tr>
    </w:tbl>
    <w:p>
      <w:pPr>
        <w:spacing w:before="720" w:line="408" w:lineRule="auto"/>
        <w:jc w:val="center"/>
      </w:pPr>
      <w:r>
        <w:rPr>
          <w:b w:val="0"/>
          <w:i/>
          <w:color w:val="6C757D"/>
          <w:sz w:val="20"/>
          <w:rFonts w:eastAsia="宋体" w:ascii="Times New Roman" w:hAnsi="Times New Roman"/>
        </w:rPr>
        <w:t>本文档由 WorkBuddy 投研工作台开发组编制</w:t>
        <w:br/>
        <w:t>文档路径：output\20260910-audit\stage3\A-H投研交易工作台交付审计文档.docx</w:t>
      </w:r>
    </w:p>
    <w:sectPr w:rsidR="00FC693F" w:rsidRPr="0006063C" w:rsidSect="00034616">
      <w:pgSz w:w="11906" w:h="16838"/>
      <w:pgMar w:top="1247" w:right="124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Fonts w:eastAsia="宋体" w:ascii="Times New Roman" w:hAnsi="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