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j06npz2rnq5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PW03 Planning Summary (20–24 July 2026)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8085"/>
        <w:tblGridChange w:id="0">
          <w:tblGrid>
            <w:gridCol w:w="2115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Complete the June HTML Fasting Report.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Begin the WIMS educational presentation.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Establish the initial YouTube content creation process.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Continue building the Project Office and Project Control framework.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 Deliverables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 – Project Office (8 hrs)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Complete Project Office documentation.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Weekly reporting and website statistics review.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– Project Control (8 hrs)</w:t>
            </w:r>
          </w:p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Complete Configuration Management.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Complete Baseline Management.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Complete Implementation Planning.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WEP – WIMS Education Platform (16 hrs)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Complete HTML June Fasting Report.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Begin introductory educational pages.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Start the WIMS presentation.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WCM – WIMS Communications (4 hrs)</w:t>
            </w:r>
          </w:p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Produce initial YouTube educational content using the current recording setup.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Prepare presentation materials.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 – Planning &amp; Reporting (4 hrs)</w:t>
            </w:r>
          </w:p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Complete Weekly Reporting.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Prepare PW04.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Prepare PM02.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Working Philosophy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Work from the weekly one-page plan.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Record actual effort against component deliverables.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Keep solutions simple and evolve through use.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Focus on publishing and learning rather than perfection.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End of Week Outcome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By Friday PW03 should deliver: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June HTML Fasting Report completed.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Initial WIMS presentation started.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First educational YouTube content produced.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Project Office and Project Control documentation progressed.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PW04 planned and ready to begin on Monday.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566.9291338582677" w:top="566.9291338582677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  <w:t xml:space="preserve">© 2026 Graham Heap        WIMS Weekly Status Review - PW02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/6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