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Font Helvetica Neue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Front of T-shirt</w:t>
      </w:r>
    </w:p>
    <w:tbl>
      <w:tblPr>
        <w:tblStyle w:val="Table1"/>
        <w:tblW w:w="5102.362204724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2.36220472441"/>
        <w:tblGridChange w:id="0">
          <w:tblGrid>
            <w:gridCol w:w="5102.36220472441"/>
          </w:tblGrid>
        </w:tblGridChange>
      </w:tblGrid>
      <w:tr>
        <w:trPr>
          <w:cantSplit w:val="0"/>
          <w:trHeight w:val="2834.645669291339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8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85"/>
              <w:tblGridChange w:id="0">
                <w:tblGrid>
                  <w:gridCol w:w="35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</w:rPr>
                    <w:drawing>
                      <wp:inline distB="114300" distT="114300" distL="114300" distR="114300">
                        <wp:extent cx="494672" cy="451657"/>
                        <wp:effectExtent b="0" l="0" r="0" t="0"/>
                        <wp:docPr id="1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4672" cy="45165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jc w:val="center"/>
                    <w:rPr>
                      <w:rFonts w:ascii="Helvetica Neue" w:cs="Helvetica Neue" w:eastAsia="Helvetica Neue" w:hAnsi="Helvetica Neue"/>
                      <w:b w:val="1"/>
                      <w:bCs w:val="1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bCs w:val="1"/>
                      <w:sz w:val="32"/>
                      <w:szCs w:val="32"/>
                      <w:rtl w:val="0"/>
                    </w:rPr>
                    <w:t xml:space="preserve">Weight Insight Mentor</w:t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902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902"/>
              <w:tblGridChange w:id="0">
                <w:tblGrid>
                  <w:gridCol w:w="49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Helvetica Neue" w:cs="Helvetica Neue" w:eastAsia="Helvetica Neue" w:hAnsi="Helvetica Neu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rtl w:val="0"/>
                    </w:rPr>
                    <w:t xml:space="preserve">www.ths-wim.com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Back of T-Shirt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102.362204724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2.36220472441"/>
        <w:tblGridChange w:id="0">
          <w:tblGrid>
            <w:gridCol w:w="5102.36220472441"/>
          </w:tblGrid>
        </w:tblGridChange>
      </w:tblGrid>
      <w:tr>
        <w:trPr>
          <w:cantSplit w:val="0"/>
          <w:trHeight w:val="2834.645669291339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color w:val="ffffff"/>
                <w:rtl w:val="0"/>
              </w:rPr>
              <w:t xml:space="preserve">"Know Thyself"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</w:rPr>
              <w:drawing>
                <wp:inline distB="114300" distT="114300" distL="114300" distR="114300">
                  <wp:extent cx="494438" cy="45698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38" cy="456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Measure. Learn. Adapt.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THS - The Heap Stack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WIN - Weight Insight Mentor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