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Content Strategy Summary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Two Content Streams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Feature Articles (Opinion / Reflection)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Based on songs, films, books, cultural references, and personal insights.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Focus on goals, outcomes, behaviour, learning, and personal change.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Reflect the WIMS philosophy and voice.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Form a connected series where each article leads into the next.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sequence: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Going for the One (Yes)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Wannabe (Spice Girls)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It's My Life (Bon Jovi)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 be determined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Start with a cultural reference.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Explore the lesson or insight.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Connect it to WIMS.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End with a reference that sets up the next article.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First article release in August.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Build a backlog of future article ideas during June and July.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Health &amp; Understanding Articles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Evidence-based educational content.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Focus on current understanding and best practice.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Research-driven.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Separate from the reflective blog series.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topics: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Blood Sugar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Insulin Resistance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Protein and Satiety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Intermittent Fasting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Hydration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Fluctuation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Plateaus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Help people understand relevant health topics.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 evidence and current understanding.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Support informed decision-making.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Direction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should contain: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application/downloads.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Feature Articles section.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Health &amp; Understanding section.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Supporting documentation and guidance.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Positioning WIMS as a "weight management" system.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Using "weight management" as a primary category or theme.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Understanding.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Learning.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Health.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Outcomes.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Measure, Learn, Adapt.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Immediate Next Steps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Capture WIMS work package ideas.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Create blog/article backlog.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Define website restructuring requirements.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Identify content categories.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Continue developing the first article concept around Going for the One.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August: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Publish first feature article.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Continue building content backlog.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Begin regular publication of Health &amp; Understanding articles.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