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strategic-marketing-design-alignment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description: Alinea el posicionamiento de marca y la estrategia de marketing con decisiones de diseño (estética, sistema visual y componentes) para evitar retrabajo. Usar cuando se define o rediseña identidad visual, UI de marketing, sitios, landing pages o campañas y exista riesgo de estética genérica o desalineada con una audiencia premium.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Definir, validar y traducir el posicionamiento (audiencia, propuesta de valor, nivel de exclusividad y tono) en un **direction set** de diseño accionable (estética, componentes, reglas) antes de producir UI/creativos, minimizando retrabajo por “demasiado común”.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Activation Criteria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Usar este skill cuando: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El equipo inicia un diseño sin claridad de **audiencia objetivo** o **posicionamiento**.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Aparecen señales de “se ve genérico”, “parece de plantilla”, “le falta exclusividad”.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Se requiere elegir entre estéticas (p.ej., “visualmente inmersivo” vs “lujo editorial”).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Se diseñan componentes reutilizables (design system, UI kit) y el costo de retrabajo es alto.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Hay tensión entre marketing (mensaje) y diseño (look &amp; feel).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Inputs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Esperados (si falta algo, pedirlo explícitamente):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Contexto de producto/servicio (1–3 frases).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Objetivo del artefacto (sitio, landing, campaña, app marketing, etc.).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Audiencia objetivo: segmento + nivel socioeconómico + motivaciones + objeciones.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Posicionamiento: “para quién”, “qué promete”, “por qué nosotros”, “contra qué alternativas”.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Lista de competidores o referencias (3–8).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Restricciones: marca existente, paleta/logotipo, canales, plazos, requisitos legales.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Activos actuales (si existen): mocks, componentes, guías, copy, métricas o feedback cualitativo.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Procedure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**Mapear intención y riesgo**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Identificar: qué se está diseñando, para qué etapa del funnel, y dónde duele el retrabajo (componentes, layout, sistema visual).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**Definir el “Luxury/Generic Gate” (prueba de exclusividad)**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Establecer criterios de exclusividad/refinamiento: señales que deben estar presentes (tipografía, grid, whitespace, fotografía, materiales, microcopy, motion, densidad de info).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Definir señales prohibidas (patrones “plantilla”, exceso de gradients genéricos, iconografía stock, CTAs sin jerarquía editorial, componentes demasiado “SaaS común”).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**Construir un Brief de Alineación (1 página)**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Audiencia: quién es + qué valora (estatus, artesanía, discreción, performance, rareza, servicio).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Promesa: beneficio premium (resultado + emoción).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Personalidad: 3–5 adjetivos operables (ej.: “editorial”, “discreto”, “artesanal”, “refinado”, “contemporáneo”).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Tono verbal: reglas de copy (p.ej., menos hype, más precisión; escasez con discreción).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**Traducir a Dirección de Diseño (Design Direction Set)**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Proponer 2–3 direcciones (incluyendo “lujo editorial” si el brief lo exige), cada una con: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- Principios visuales (grid, ritmo, contraste, whitespace).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- Tipografía (familias y jerarquía).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- Color (rol funcional: fondo/acentos/estados; evitar “color de moda” si rompe exclusividad).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- Fotografía/arte (estilo, encuadres, tratamiento, textura).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- Componentes: 6–10 componentes clave con reglas (botones, cards, headers, módulos editoriales, etc.).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- “Anti-patterns” explícitos.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**Validación rápida con stakeholders**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Validar contra: audiencia, exclusividad, coherencia con promesa, diferenciación vs competidores.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Capturar decisiones: qué se aprueba, qué se descarta, y por qué.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6. **Congelar reglas antes de construir**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Convertir la dirección elegida en reglas operables del sistema: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- tokens (tipografía/espaciado/color),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- grid y layout,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- biblioteca mínima de componentes,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- pautas de fotografía y copy.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Decision Logic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**Si** la audiencia valora exclusividad, refinamiento, estatus, artesanía o servicio boutique: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Priorizar **estética de lujo editorial** (jerarquía tipográfica fuerte, layouts editoriales, whitespace generoso, contraste controlado, fotografía premium y consistente).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**Si** el objetivo principal es “impacto sensorial” pero sin señales premium claras: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Mantener “visualmente inmersivo” solo si pasa el Luxury/Generic Gate; de lo contrario, ajustar hacia editorial o una dirección premium equivalente.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**Si** el feedback recurrente incluye “genérico / demasiado común / parece plantilla”: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Detener producción de componentes, ejecutar de nuevo los pasos 2–5 y **redefinir** reglas (no “parchar” pantallas sueltas).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**Si** faltan datos críticos (audiencia/posicionamiento/referencias):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No asumir. Solicitar los mínimos necesarios y proponer hipótesis etiquetadas como “provisional”.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Output Requirements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La respuesta/entregable debe incluir SIEMPRE: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**Alineación Estratégica (Brief 1 página)**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- Audiencia, promesa, personalidad, tono, diferenciadores.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 **Luxury/Generic Gate**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- Criterios (must-have) + anti-patrones (must-not).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**Direcciones de Diseño (2–3)**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- Para cada una: principios, tipografía, color, fotografía, componentes clave, riesgos.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**Recomendación**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- Dirección elegida + justificación ligada a audiencia/posicionamiento.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 **Reglas para ejecución**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Lista concreta de decisiones congeladas (tokens, grid, componentes iniciales, pautas de arte/copy).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No “inventar” audiencia o posicionamiento sin marcarlo como hipótesis.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No entregar solo adjetivos: cada adjetivo debe traducirse a reglas visuales y de componentes.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No optimizar por “tendencia” si reduce diferenciación o exclusividad.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No construir un design system completo; solo el **mínimo** necesario para evitar retrabajo.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Edge Cases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**Feedback contradictorio** (“premium” pero piden colores llamativos y saturados):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Proponer 2 rutas: premium discreto vs premium expresivo, y explicar trade-offs.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**Marca existente muy genérica**: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Mantener identidad base, pero elevar con: tipografía, grid editorial, fotografía, materiales y microcopy.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**Referencias mezcladas** (lujo + gaming + minimalismo extremo):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Separar referencias por intención (estatus / energía / claridad) y reconstruir una dirección coherente.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