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line="276" w:lineRule="auto"/>
        <w:jc w:val="left"/>
      </w:pPr>
      <w:r>
        <w:rPr>
          <w:rFonts w:ascii="Malgun Gothic" w:hAnsi="Malgun Gothic"/>
          <w:b/>
          <w:i w:val="0"/>
          <w:color w:val="C8102E"/>
          <w:sz w:val="17"/>
          <w:rFonts w:ascii="Malgun Gothic" w:eastAsia="Malgun Gothic" w:hAnsi="Malgun Gothic"/>
        </w:rPr>
        <w:t xml:space="preserve">APPROVED FOR PUBLIC RELEASE BY INTELLIGENCE ASSESSMENT DIRECTORATE on 28 September 2026</w:t>
      </w:r>
    </w:p>
    <w:tbl>
      <w:tblPr>
        <w:tblW w:type="auto" w:w="0"/>
        <w:jc w:val="center"/>
        <w:tblLayout w:type="fixed"/>
        <w:tblLook w:firstColumn="1" w:firstRow="1" w:lastColumn="0" w:lastRow="0" w:noHBand="0" w:noVBand="1" w:val="04A0"/>
      </w:tblPr>
      <w:tblGrid>
        <w:gridCol w:w="3324"/>
        <w:gridCol w:w="3324"/>
        <w:gridCol w:w="3324"/>
      </w:tblGrid>
      <w:tr>
        <w:tc>
          <w:tcPr>
            <w:tcW w:type="dxa" w:w="2592"/>
            <w:tcMar>
              <w:top w:w="40" w:type="dxa"/>
              <w:bottom w:w="40" w:type="dxa"/>
              <w:left w:w="40" w:type="dxa"/>
              <w:right w:w="40" w:type="dxa"/>
            </w:tcMar>
            <w:vAlign w:val="center"/>
          </w:tcPr>
          <w:p>
            <w:pPr>
              <w:spacing w:before="0" w:after="40" w:line="276" w:lineRule="auto"/>
              <w:jc w:val="left"/>
            </w:pPr>
            <w:r>
              <w:rPr>
                <w:rFonts w:ascii="Malgun Gothic" w:hAnsi="Malgun Gothic"/>
                <w:b w:val="0"/>
                <w:i w:val="0"/>
                <w:color w:val="4B5563"/>
                <w:sz w:val="16"/>
                <w:rFonts w:ascii="Malgun Gothic" w:eastAsia="Malgun Gothic" w:hAnsi="Malgun Gothic"/>
              </w:rPr>
              <w:t>FORM IA-1036 (Rev. 2026-09)</w:t>
            </w:r>
          </w:p>
        </w:tc>
        <w:tc>
          <w:tcPr>
            <w:tcW w:type="dxa" w:w="4896"/>
            <w:tcMar>
              <w:top w:w="40" w:type="dxa"/>
              <w:bottom w:w="40" w:type="dxa"/>
              <w:left w:w="40" w:type="dxa"/>
              <w:right w:w="40" w:type="dxa"/>
            </w:tcMar>
            <w:vAlign w:val="center"/>
          </w:tcPr>
          <w:p>
            <w:pPr>
              <w:spacing w:before="0" w:after="40" w:line="276" w:lineRule="auto"/>
              <w:jc w:val="center"/>
            </w:pPr>
            <w:r>
              <w:rPr>
                <w:rFonts w:ascii="Malgun Gothic" w:hAnsi="Malgun Gothic"/>
                <w:b/>
                <w:i w:val="0"/>
                <w:color w:val="111827"/>
                <w:sz w:val="19"/>
                <w:rFonts w:ascii="Malgun Gothic" w:eastAsia="Malgun Gothic" w:hAnsi="Malgun Gothic"/>
              </w:rPr>
              <w:t>UNCLASSIFIED</w:t>
            </w:r>
          </w:p>
        </w:tc>
        <w:tc>
          <w:tcPr>
            <w:tcW w:type="dxa" w:w="2592"/>
            <w:tcMar>
              <w:top w:w="40" w:type="dxa"/>
              <w:bottom w:w="40" w:type="dxa"/>
              <w:left w:w="40" w:type="dxa"/>
              <w:right w:w="40" w:type="dxa"/>
            </w:tcMar>
            <w:vAlign w:val="center"/>
          </w:tcPr>
          <w:p>
            <w:pPr>
              <w:spacing w:before="0" w:after="40" w:line="240" w:lineRule="auto"/>
              <w:jc w:val="right"/>
            </w:pPr>
            <w:r>
              <w:rPr>
                <w:rFonts w:ascii="Malgun Gothic" w:hAnsi="Malgun Gothic"/>
                <w:b/>
                <w:i w:val="0"/>
                <w:color w:val="374151"/>
                <w:sz w:val="13"/>
                <w:rFonts w:ascii="Malgun Gothic" w:eastAsia="Malgun Gothic" w:hAnsi="Malgun Gothic"/>
              </w:rPr>
              <w:t>[ OFFICIAL RECORD ]</w:t>
              <w:br/>
              <w:t>AUTHENTICATED</w:t>
            </w:r>
          </w:p>
        </w:tc>
      </w:tr>
    </w:tbl>
    <w:p>
      <w:pPr>
        <w:spacing w:before="160" w:after="40" w:line="276" w:lineRule="auto"/>
        <w:jc w:val="center"/>
      </w:pPr>
      <w:r>
        <w:rPr>
          <w:rFonts w:ascii="Malgun Gothic" w:hAnsi="Malgun Gothic"/>
          <w:b/>
          <w:i w:val="0"/>
          <w:color w:val="111827"/>
          <w:sz w:val="28"/>
          <w:rFonts w:ascii="Malgun Gothic" w:eastAsia="Malgun Gothic" w:hAnsi="Malgun Gothic"/>
        </w:rPr>
        <w:t>INTERNATIONAL AFFAIRS INTELLIGENCE DIRECTORATE</w:t>
      </w:r>
    </w:p>
    <w:p>
      <w:pPr>
        <w:spacing w:before="0" w:after="120" w:line="276" w:lineRule="auto"/>
        <w:jc w:val="center"/>
      </w:pPr>
      <w:r>
        <w:rPr>
          <w:rFonts w:ascii="Malgun Gothic" w:hAnsi="Malgun Gothic"/>
          <w:b w:val="0"/>
          <w:i w:val="0"/>
          <w:color w:val="4B5563"/>
          <w:sz w:val="19"/>
          <w:rFonts w:ascii="Malgun Gothic" w:eastAsia="Malgun Gothic" w:hAnsi="Malgun Gothic"/>
        </w:rPr>
        <w:t>Strategic Threat &amp; Geopolitical Assessment Form  |  국제정세 및 전략위협 평가보고서</w:t>
      </w:r>
    </w:p>
    <w:tbl>
      <w:tblPr>
        <w:tblW w:type="auto" w:w="0"/>
        <w:jc w:val="center"/>
        <w:tblLayout w:type="fixed"/>
        <w:tblLook w:firstColumn="1" w:firstRow="1" w:lastColumn="0" w:lastRow="0" w:noHBand="0" w:noVBand="1" w:val="04A0"/>
        <w:tblBorders>
          <w:top w:val="single" w:sz="6" w:space="0" w:color="9CA3AF"/>
          <w:bottom w:val="single" w:sz="6" w:space="0" w:color="9CA3AF"/>
          <w:insideH w:val="single" w:sz="6" w:space="0" w:color="9CA3AF"/>
          <w:insideV w:val="none"/>
          <w:left w:val="none"/>
          <w:right w:val="none"/>
        </w:tblBorders>
      </w:tblPr>
      <w:tblGrid>
        <w:gridCol w:w="4986"/>
        <w:gridCol w:w="4986"/>
      </w:tblGrid>
      <w:tr>
        <w:tc>
          <w:tcPr>
            <w:tcW w:type="dxa" w:w="6480"/>
            <w:tcMar>
              <w:top w:w="60" w:type="dxa"/>
              <w:bottom w:w="60" w:type="dxa"/>
              <w:left w:w="80" w:type="dxa"/>
              <w:right w:w="80" w:type="dxa"/>
            </w:tcMar>
          </w:tcPr>
          <w:p>
            <w:pPr>
              <w:spacing w:before="0" w:after="40" w:line="276" w:lineRule="auto"/>
              <w:jc w:val="left"/>
            </w:pPr>
            <w:r>
              <w:rPr>
                <w:rFonts w:ascii="Malgun Gothic" w:hAnsi="Malgun Gothic"/>
                <w:b/>
                <w:i w:val="0"/>
                <w:color w:val="1F2937"/>
                <w:sz w:val="16"/>
                <w:rFonts w:ascii="Malgun Gothic" w:eastAsia="Malgun Gothic" w:hAnsi="Malgun Gothic"/>
              </w:rPr>
              <w:t>Form Type: IA-71A - Strategic Threat Dossier</w:t>
            </w:r>
          </w:p>
        </w:tc>
        <w:tc>
          <w:tcPr>
            <w:tcW w:type="dxa" w:w="3600"/>
            <w:tcMar>
              <w:top w:w="60" w:type="dxa"/>
              <w:bottom w:w="60" w:type="dxa"/>
              <w:left w:w="80" w:type="dxa"/>
              <w:right w:w="80" w:type="dxa"/>
            </w:tcMar>
          </w:tcPr>
          <w:p>
            <w:pPr>
              <w:spacing w:before="0" w:after="40" w:line="276" w:lineRule="auto"/>
              <w:jc w:val="left"/>
            </w:pPr>
            <w:r>
              <w:rPr>
                <w:rFonts w:ascii="Malgun Gothic" w:hAnsi="Malgun Gothic"/>
                <w:b/>
                <w:i w:val="0"/>
                <w:color w:val="1F2937"/>
                <w:sz w:val="16"/>
                <w:rFonts w:ascii="Malgun Gothic" w:eastAsia="Malgun Gothic" w:hAnsi="Malgun Gothic"/>
              </w:rPr>
              <w:t xml:space="preserve">Date: 2026-09-28</w:t>
            </w:r>
          </w:p>
        </w:tc>
      </w:tr>
      <w:tr>
        <w:tc>
          <w:tcPr>
            <w:tcW w:type="dxa" w:w="10080"/>
            <w:gridSpan w:val="2"/>
            <w:tcMar>
              <w:top w:w="60" w:type="dxa"/>
              <w:bottom w:w="60" w:type="dxa"/>
              <w:left w:w="80" w:type="dxa"/>
              <w:right w:w="80" w:type="dxa"/>
            </w:tcMar>
          </w:tcPr>
          <w:p>
            <w:pPr>
              <w:spacing w:before="0" w:after="40" w:line="276" w:lineRule="auto"/>
              <w:jc w:val="left"/>
            </w:pPr>
            <w:r>
              <w:rPr>
                <w:rFonts w:ascii="Malgun Gothic" w:hAnsi="Malgun Gothic"/>
                <w:b/>
                <w:i w:val="0"/>
                <w:color w:val="111827"/>
                <w:sz w:val="17"/>
                <w:rFonts w:ascii="Malgun Gothic" w:eastAsia="Malgun Gothic" w:hAnsi="Malgun Gothic"/>
              </w:rPr>
              <w:t xml:space="preserve">Title: (U) 미중 전략적 통상마찰 및 기술 디커플링 동학 평가</w:t>
            </w:r>
          </w:p>
        </w:tc>
      </w:tr>
      <w:tr>
        <w:tc>
          <w:tcPr>
            <w:tcW w:type="dxa" w:w="10080"/>
            <w:gridSpan w:val="2"/>
            <w:tcMar>
              <w:top w:w="60" w:type="dxa"/>
              <w:bottom w:w="60" w:type="dxa"/>
              <w:left w:w="80" w:type="dxa"/>
              <w:right w:w="80" w:type="dxa"/>
            </w:tcMar>
          </w:tcPr>
          <w:p>
            <w:pPr>
              <w:spacing w:before="0" w:after="40" w:line="276" w:lineRule="auto"/>
              <w:jc w:val="left"/>
            </w:pPr>
            <w:r>
              <w:rPr>
                <w:rFonts w:ascii="Malgun Gothic" w:hAnsi="Malgun Gothic"/>
                <w:b w:val="0"/>
                <w:i w:val="0"/>
                <w:color w:val="374151"/>
                <w:sz w:val="16"/>
                <w:rFonts w:ascii="Malgun Gothic" w:eastAsia="Malgun Gothic" w:hAnsi="Malgun Gothic"/>
              </w:rPr>
              <w:t>Approved By: [ ████████ ] CHIEF OF STRATEGIC ASSESSMENT</w:t>
            </w:r>
          </w:p>
        </w:tc>
      </w:tr>
      <w:tr>
        <w:tc>
          <w:tcPr>
            <w:tcW w:type="dxa" w:w="10080"/>
            <w:gridSpan w:val="2"/>
            <w:tcMar>
              <w:top w:w="60" w:type="dxa"/>
              <w:bottom w:w="60" w:type="dxa"/>
              <w:left w:w="80" w:type="dxa"/>
              <w:right w:w="80" w:type="dxa"/>
            </w:tcMar>
          </w:tcPr>
          <w:p>
            <w:pPr>
              <w:spacing w:before="0" w:after="40" w:line="276" w:lineRule="auto"/>
              <w:jc w:val="left"/>
            </w:pPr>
            <w:r>
              <w:rPr>
                <w:rFonts w:ascii="Malgun Gothic" w:hAnsi="Malgun Gothic"/>
                <w:b w:val="0"/>
                <w:i w:val="0"/>
                <w:color w:val="374151"/>
                <w:sz w:val="16"/>
                <w:rFonts w:ascii="Malgun Gothic" w:eastAsia="Malgun Gothic" w:hAnsi="Malgun Gothic"/>
              </w:rPr>
              <w:t>Drafted By:  [ ████████ ] STRATEGIC REGIONAL DESK</w:t>
            </w:r>
          </w:p>
        </w:tc>
      </w:tr>
      <w:tr>
        <w:tc>
          <w:tcPr>
            <w:tcW w:type="dxa" w:w="6480"/>
            <w:tcMar>
              <w:top w:w="60" w:type="dxa"/>
              <w:bottom w:w="60" w:type="dxa"/>
              <w:left w:w="80" w:type="dxa"/>
              <w:right w:w="80" w:type="dxa"/>
            </w:tcMar>
          </w:tcPr>
          <w:p>
            <w:pPr>
              <w:spacing w:before="0" w:after="40" w:line="276" w:lineRule="auto"/>
              <w:jc w:val="left"/>
            </w:pPr>
            <w:r>
              <w:rPr>
                <w:rFonts w:ascii="Malgun Gothic" w:hAnsi="Malgun Gothic"/>
                <w:b/>
                <w:i w:val="0"/>
                <w:color w:val="1F2937"/>
                <w:sz w:val="16"/>
                <w:rFonts w:ascii="Malgun Gothic" w:eastAsia="Malgun Gothic" w:hAnsi="Malgun Gothic"/>
              </w:rPr>
              <w:t xml:space="preserve">Case ID #: 56-USCN-05</w:t>
            </w:r>
          </w:p>
        </w:tc>
        <w:tc>
          <w:tcPr>
            <w:tcW w:type="dxa" w:w="3600"/>
            <w:tcMar>
              <w:top w:w="60" w:type="dxa"/>
              <w:bottom w:w="60" w:type="dxa"/>
              <w:left w:w="80" w:type="dxa"/>
              <w:right w:w="80" w:type="dxa"/>
            </w:tcMar>
          </w:tcPr>
          <w:p>
            <w:pPr>
              <w:spacing w:before="0" w:after="40" w:line="276" w:lineRule="auto"/>
              <w:jc w:val="left"/>
            </w:pPr>
            <w:r>
              <w:rPr>
                <w:rFonts w:ascii="Malgun Gothic" w:hAnsi="Malgun Gothic"/>
                <w:b/>
                <w:i w:val="0"/>
                <w:color w:val="1F2937"/>
                <w:sz w:val="16"/>
                <w:rFonts w:ascii="Malgun Gothic" w:eastAsia="Malgun Gothic" w:hAnsi="Malgun Gothic"/>
              </w:rPr>
              <w:t xml:space="preserve">Subject: (U) SINO-AMERICAN TARIFF CONFRONTATION  TECH ALLIANCE</w:t>
            </w:r>
          </w:p>
        </w:tc>
      </w:tr>
    </w:tbl>
    <w:p>
      <w:pPr>
        <w:spacing w:before="160" w:after="40" w:line="276" w:lineRule="auto"/>
        <w:jc w:val="left"/>
      </w:pPr>
      <w:r>
        <w:rPr>
          <w:rFonts w:ascii="Malgun Gothic" w:hAnsi="Malgun Gothic"/>
          <w:b/>
          <w:i w:val="0"/>
          <w:color w:val="111827"/>
          <w:sz w:val="18"/>
          <w:rFonts w:ascii="Malgun Gothic" w:eastAsia="Malgun Gothic" w:hAnsi="Malgun Gothic"/>
        </w:rPr>
        <w:t xml:space="preserve">Synopsis: (U) DOCUMENT SYNOPSIS CREATED ON 2026-09-28 21:31 KST -- SEE STRATEGIC REPOSITORY FOR LIVE DATA</w:t>
      </w:r>
    </w:p>
    <w:p>
      <w:pPr>
        <w:spacing w:before="0" w:after="60" w:line="288" w:lineRule="auto"/>
        <w:jc w:val="left"/>
      </w:pPr>
      <w:r>
        <w:rPr>
          <w:rFonts w:ascii="Malgun Gothic" w:hAnsi="Malgun Gothic"/>
          <w:b w:val="0"/>
          <w:i w:val="0"/>
          <w:color w:val="1F2937"/>
          <w:sz w:val="17"/>
          <w:rFonts w:ascii="Malgun Gothic" w:eastAsia="Malgun Gothic" w:hAnsi="Malgun Gothic"/>
        </w:rPr>
        <w:t xml:space="preserve">(U) 2025년 1월 트럼프 2기 출범 이후 미중 양국은 관세 폭탄과 보복관세를 주고받으며 한때 미국의 대중 관세가 145%, 중국의 대미 보복관세가 125%까지 치솟았으나, 이후 제네바(5월)·런던(6월)·부산(10월) 합의를 거치며 관세율이 큰 폭으로 낮아졌다. 2026년 9월 현재 양국은 2025년 11월 부산 합의에 따른 1년 휴전 체제 속에 있지만, 5월 베이징 정상회담 성과를 둘러싼 이견과 8월 미국의 '과잉생산 관세' 검토 등으로 긴장이 다시 고조되는 조짐을 보이고 있다.</w:t>
      </w:r>
    </w:p>
    <w:p>
      <w:pPr>
        <w:spacing w:before="0" w:after="160" w:line="288" w:lineRule="auto"/>
        <w:jc w:val="left"/>
      </w:pPr>
      <w:r>
        <w:rPr>
          <w:rFonts w:ascii="Malgun Gothic" w:hAnsi="Malgun Gothic"/>
          <w:b w:val="0"/>
          <w:i w:val="0"/>
          <w:color w:val="1F2937"/>
          <w:sz w:val="17"/>
          <w:rFonts w:ascii="Malgun Gothic" w:eastAsia="Malgun Gothic" w:hAnsi="Malgun Gothic"/>
        </w:rPr>
        <w:t xml:space="preserve">(U) 미중 무역전쟁은 2018년 1차 무역전쟁에서 시작해 트럼프 2기(2025.1~) 들어 IEEPA 펜타닐 관세, '해방의 날' 상호관세, 301조 4년 재검토에 따른 품목별 고율관세, 중국의 희토류 수출통제가 뒤엉키며 전면 재점화됐다. 2025년 한 해 관세율이 100%를 넘나드는 롤러코스터를 거친 뒤 2025년 10~11월 부산·워싱턴 합의로 잠정 봉합됐으나, 반도체·희토류·첨단기술 패권을 둘러싼 구조적 갈등은 해소되지 않았다.</w:t>
      </w:r>
    </w:p>
    <w:p>
      <w:pPr>
        <w:spacing w:before="120" w:after="60" w:line="276" w:lineRule="auto"/>
        <w:jc w:val="left"/>
      </w:pPr>
      <w:r>
        <w:rPr>
          <w:rFonts w:ascii="Malgun Gothic" w:hAnsi="Malgun Gothic"/>
          <w:b/>
          <w:i w:val="0"/>
          <w:color w:val="111827"/>
          <w:sz w:val="20"/>
          <w:rFonts w:ascii="Malgun Gothic" w:eastAsia="Malgun Gothic" w:hAnsi="Malgun Gothic"/>
        </w:rPr>
        <w:t>1. 배경 및 정세 평가 (BACKGROUND AND SCOPE)</w:t>
      </w:r>
    </w:p>
    <w:p>
      <w:pPr>
        <w:spacing w:before="0" w:after="80" w:line="288" w:lineRule="auto"/>
        <w:jc w:val="left"/>
      </w:pPr>
      <w:r>
        <w:rPr>
          <w:rFonts w:ascii="Malgun Gothic" w:hAnsi="Malgun Gothic"/>
          <w:b w:val="0"/>
          <w:i w:val="0"/>
          <w:color w:val="1F2937"/>
          <w:sz w:val="17"/>
          <w:rFonts w:ascii="Malgun Gothic" w:eastAsia="Malgun Gothic" w:hAnsi="Malgun Gothic"/>
        </w:rPr>
        <w:t xml:space="preserve">(U) 트럼프 대통령은 IEEPA·301조·232조 등 여러 법적 근거를 번갈아 활용해 대중 관세를 상시적 협상카드로 운용했고, 연방대법원의 IEEPA 위헌 판결(2026.2) 직후에도 곧바로 대체 법적 근거를 마련해 관세 정책의 연속성을 유지했다. 대중 관세는 대만·한국·EU 등 동맹국과의 개별 협상 지렛대로도 활용됐다.</w:t>
      </w:r>
    </w:p>
    <w:p>
      <w:pPr>
        <w:spacing w:before="80" w:after="60" w:line="276" w:lineRule="auto"/>
        <w:jc w:val="left"/>
      </w:pPr>
      <w:r>
        <w:rPr>
          <w:rFonts w:ascii="Malgun Gothic" w:hAnsi="Malgun Gothic"/>
          <w:b/>
          <w:i w:val="0"/>
          <w:color w:val="1F2937"/>
          <w:sz w:val="18"/>
          <w:rFonts w:ascii="Malgun Gothic" w:eastAsia="Malgun Gothic" w:hAnsi="Malgun Gothic"/>
        </w:rPr>
        <w:t>주요 신호 및 사태 전개 타임라인 (Chronology of Key Intelligence Signals):</w:t>
      </w:r>
    </w:p>
    <w:tbl>
      <w:tblPr>
        <w:tblW w:type="auto" w:w="0"/>
        <w:jc w:val="center"/>
        <w:tblLayout w:type="fixed"/>
        <w:tblLook w:firstColumn="1" w:firstRow="1" w:lastColumn="0" w:lastRow="0" w:noHBand="0" w:noVBand="1" w:val="04A0"/>
        <w:tblBorders>
          <w:top w:val="single" w:sz="6" w:space="0" w:color="111827"/>
          <w:bottom w:val="single" w:sz="6" w:space="0" w:color="111827"/>
          <w:insideH w:val="single" w:sz="6" w:space="0" w:color="111827"/>
          <w:insideV w:val="none"/>
          <w:left w:val="none"/>
          <w:right w:val="none"/>
        </w:tblBorders>
      </w:tblPr>
      <w:tblGrid>
        <w:gridCol w:w="4986"/>
        <w:gridCol w:w="4986"/>
      </w:tblGrid>
      <w:tr>
        <w:tc>
          <w:tcPr>
            <w:tcW w:type="dxa" w:w="2592"/>
            <w:shd w:fill="F3F4F6"/>
            <w:tcMar>
              <w:top w:w="80" w:type="dxa"/>
              <w:bottom w:w="80" w:type="dxa"/>
              <w:left w:w="80" w:type="dxa"/>
              <w:right w:w="80" w:type="dxa"/>
            </w:tcMar>
          </w:tcPr>
          <w:p>
            <w:pPr>
              <w:spacing w:before="0" w:after="40" w:line="276" w:lineRule="auto"/>
              <w:jc w:val="left"/>
            </w:pPr>
            <w:r>
              <w:rPr>
                <w:rFonts w:ascii="Malgun Gothic" w:hAnsi="Malgun Gothic"/>
                <w:b/>
                <w:i w:val="0"/>
                <w:color w:val="111827"/>
                <w:sz w:val="16"/>
                <w:rFonts w:ascii="Malgun Gothic" w:eastAsia="Malgun Gothic" w:hAnsi="Malgun Gothic"/>
              </w:rPr>
              <w:t>단계 (Phase)</w:t>
            </w:r>
          </w:p>
        </w:tc>
        <w:tc>
          <w:tcPr>
            <w:tcW w:type="dxa" w:w="7488"/>
            <w:shd w:fill="F3F4F6"/>
            <w:tcMar>
              <w:top w:w="80" w:type="dxa"/>
              <w:bottom w:w="80" w:type="dxa"/>
              <w:left w:w="80" w:type="dxa"/>
              <w:right w:w="80" w:type="dxa"/>
            </w:tcMar>
          </w:tcPr>
          <w:p>
            <w:pPr>
              <w:spacing w:before="0" w:after="40" w:line="276" w:lineRule="auto"/>
              <w:jc w:val="left"/>
            </w:pPr>
            <w:r>
              <w:rPr>
                <w:rFonts w:ascii="Malgun Gothic" w:hAnsi="Malgun Gothic"/>
                <w:b/>
                <w:i w:val="0"/>
                <w:color w:val="111827"/>
                <w:sz w:val="16"/>
                <w:rFonts w:ascii="Malgun Gothic" w:eastAsia="Malgun Gothic" w:hAnsi="Malgun Gothic"/>
              </w:rPr>
              <w:t>관측 사안 및 정보 신호 (Observed Incident  Signal)</w:t>
            </w:r>
          </w:p>
        </w:tc>
      </w:tr>
      <w:tr>
        <w:tc>
          <w:tcPr>
            <w:tcW w:type="dxa" w:w="2592"/>
            <w:tcMar>
              <w:top w:w="60" w:type="dxa"/>
              <w:bottom w:w="60" w:type="dxa"/>
              <w:left w:w="80" w:type="dxa"/>
              <w:right w:w="80" w:type="dxa"/>
            </w:tcMar>
          </w:tcPr>
          <w:p>
            <w:pPr>
              <w:spacing w:before="0" w:after="40" w:line="276" w:lineRule="auto"/>
              <w:jc w:val="left"/>
            </w:pPr>
            <w:r>
              <w:rPr>
                <w:rFonts w:ascii="Malgun Gothic" w:hAnsi="Malgun Gothic"/>
                <w:b/>
                <w:i w:val="0"/>
                <w:color w:val="1F2937"/>
                <w:sz w:val="16"/>
                <w:rFonts w:ascii="Malgun Gothic" w:eastAsia="Malgun Gothic" w:hAnsi="Malgun Gothic"/>
              </w:rPr>
              <w:t xml:space="preserve">신호 1 (초기 관측)</w:t>
            </w:r>
          </w:p>
        </w:tc>
        <w:tc>
          <w:tcPr>
            <w:tcW w:type="dxa" w:w="7488"/>
            <w:tcMar>
              <w:top w:w="60" w:type="dxa"/>
              <w:bottom w:w="60" w:type="dxa"/>
              <w:left w:w="80" w:type="dxa"/>
              <w:right w:w="80" w:type="dxa"/>
            </w:tcMar>
          </w:tcPr>
          <w:p>
            <w:pPr>
              <w:spacing w:before="0" w:after="40" w:line="276" w:lineRule="auto"/>
              <w:jc w:val="left"/>
            </w:pPr>
            <w:r>
              <w:rPr>
                <w:rFonts w:ascii="Malgun Gothic" w:hAnsi="Malgun Gothic"/>
                <w:b w:val="0"/>
                <w:i w:val="0"/>
                <w:color w:val="1F2937"/>
                <w:sz w:val="16"/>
                <w:rFonts w:ascii="Malgun Gothic" w:eastAsia="Malgun Gothic" w:hAnsi="Malgun Gothic"/>
              </w:rPr>
              <w:t xml:space="preserve">2025년 3월 4일 트럼프 행정부는 국제긴급경제권한법(IEEPA)에 근거해 2월 4일 부과했던 10%의 대중국 '펜타닐 관세'를 20%로 인상했으며, 이는 이후 4월 '해방의 날' 상호관세와 결합해 대중 관세율을 단기간에 100% 이상으로 끌어올리는 출발점이 됐다.</w:t>
            </w:r>
          </w:p>
        </w:tc>
      </w:tr>
      <w:tr>
        <w:tc>
          <w:tcPr>
            <w:tcW w:type="dxa" w:w="2592"/>
            <w:tcMar>
              <w:top w:w="60" w:type="dxa"/>
              <w:bottom w:w="60" w:type="dxa"/>
              <w:left w:w="80" w:type="dxa"/>
              <w:right w:w="80" w:type="dxa"/>
            </w:tcMar>
          </w:tcPr>
          <w:p>
            <w:pPr>
              <w:spacing w:before="0" w:after="40" w:line="276" w:lineRule="auto"/>
              <w:jc w:val="left"/>
            </w:pPr>
            <w:r>
              <w:rPr>
                <w:rFonts w:ascii="Malgun Gothic" w:hAnsi="Malgun Gothic"/>
                <w:b/>
                <w:i w:val="0"/>
                <w:color w:val="1F2937"/>
                <w:sz w:val="16"/>
                <w:rFonts w:ascii="Malgun Gothic" w:eastAsia="Malgun Gothic" w:hAnsi="Malgun Gothic"/>
              </w:rPr>
              <w:t xml:space="preserve">신호 2 (후속 전개)</w:t>
            </w:r>
          </w:p>
        </w:tc>
        <w:tc>
          <w:tcPr>
            <w:tcW w:type="dxa" w:w="7488"/>
            <w:tcMar>
              <w:top w:w="60" w:type="dxa"/>
              <w:bottom w:w="60" w:type="dxa"/>
              <w:left w:w="80" w:type="dxa"/>
              <w:right w:w="80" w:type="dxa"/>
            </w:tcMar>
          </w:tcPr>
          <w:p>
            <w:pPr>
              <w:spacing w:before="0" w:after="40" w:line="276" w:lineRule="auto"/>
              <w:jc w:val="left"/>
            </w:pPr>
            <w:r>
              <w:rPr>
                <w:rFonts w:ascii="Malgun Gothic" w:hAnsi="Malgun Gothic"/>
                <w:b w:val="0"/>
                <w:i w:val="0"/>
                <w:color w:val="1F2937"/>
                <w:sz w:val="16"/>
                <w:rFonts w:ascii="Malgun Gothic" w:eastAsia="Malgun Gothic" w:hAnsi="Malgun Gothic"/>
              </w:rPr>
              <w:t xml:space="preserve">2025년 6월 초 미국은 철강·알루미늄 232조 관세를 25%에서 50%로 인상했고, 6월 9~11일 런던 협상을 거쳐 6월 27일 양국은 5월 제네바 합의(상호관세 90일간 10%로 완화)를 이행하기 위한 세부 프레임워크에 합의, 희토류·첨단기술 교역 재개를 공식화했다.</w:t>
            </w:r>
          </w:p>
        </w:tc>
      </w:tr>
      <w:tr>
        <w:tc>
          <w:tcPr>
            <w:tcW w:type="dxa" w:w="2592"/>
            <w:tcMar>
              <w:top w:w="60" w:type="dxa"/>
              <w:bottom w:w="60" w:type="dxa"/>
              <w:left w:w="80" w:type="dxa"/>
              <w:right w:w="80" w:type="dxa"/>
            </w:tcMar>
          </w:tcPr>
          <w:p>
            <w:pPr>
              <w:spacing w:before="0" w:after="40" w:line="276" w:lineRule="auto"/>
              <w:jc w:val="left"/>
            </w:pPr>
            <w:r>
              <w:rPr>
                <w:rFonts w:ascii="Malgun Gothic" w:hAnsi="Malgun Gothic"/>
                <w:b/>
                <w:i w:val="0"/>
                <w:color w:val="1F2937"/>
                <w:sz w:val="16"/>
                <w:rFonts w:ascii="Malgun Gothic" w:eastAsia="Malgun Gothic" w:hAnsi="Malgun Gothic"/>
              </w:rPr>
              <w:t xml:space="preserve">현재 상태 (Current)</w:t>
            </w:r>
          </w:p>
        </w:tc>
        <w:tc>
          <w:tcPr>
            <w:tcW w:type="dxa" w:w="7488"/>
            <w:tcMar>
              <w:top w:w="60" w:type="dxa"/>
              <w:bottom w:w="60" w:type="dxa"/>
              <w:left w:w="80" w:type="dxa"/>
              <w:right w:w="80" w:type="dxa"/>
            </w:tcMar>
          </w:tcPr>
          <w:p>
            <w:pPr>
              <w:spacing w:before="0" w:after="40" w:line="276" w:lineRule="auto"/>
              <w:jc w:val="left"/>
            </w:pPr>
            <w:r>
              <w:rPr>
                <w:rFonts w:ascii="Malgun Gothic" w:hAnsi="Malgun Gothic"/>
                <w:b w:val="0"/>
                <w:i w:val="0"/>
                <w:color w:val="1F2937"/>
                <w:sz w:val="16"/>
                <w:rFonts w:ascii="Malgun Gothic" w:eastAsia="Malgun Gothic" w:hAnsi="Malgun Gothic"/>
              </w:rPr>
              <w:t xml:space="preserve">2026년 9월 현재 미중은 2025년 10월 부산 APEC 정상회담(한국 개최) 합의에 따른 1년 휴전(대중 관세 57%→47%, 펜타닐 관세 20%→10% 인하, 희토류 통제 일부 유예) 체제를 유지 중이나, 2026년 2월 연방대법원의 IEEPA 관세 위헌 판결로 법적 근거가 232·301·122조 혼합체계로 재편됐다. 5월 베이징 2차 정상회담은 무역·대만 이슈에서 양측이 상이한 해석을 내놓았고, 8월에는 미국이 중국 '과잉생산'에 대한 추가 7.5% 관세를 검토한다는 보도가 나오는 등 휴전은 유지되되 산발적 재점화 리스크가 상존한다.</w:t>
            </w:r>
          </w:p>
        </w:tc>
      </w:tr>
    </w:tbl>
    <w:p>
      <w:pPr>
        <w:spacing w:before="100" w:after="160" w:line="288" w:lineRule="auto"/>
        <w:jc w:val="left"/>
      </w:pPr>
      <w:r>
        <w:rPr>
          <w:rFonts w:ascii="Malgun Gothic" w:hAnsi="Malgun Gothic"/>
          <w:b w:val="0"/>
          <w:i w:val="0"/>
          <w:color w:val="1F2937"/>
          <w:sz w:val="17"/>
          <w:rFonts w:ascii="Malgun Gothic" w:eastAsia="Malgun Gothic" w:hAnsi="Malgun Gothic"/>
        </w:rPr>
        <w:t xml:space="preserve">(U) 분석관 평가 (Analyst Assessment): 표면적 관세율은 2025년 4월 정점(145%) 대비 크게 낮아졌지만, 반도체·전기차·희토류 등 전략물자 분야에서는 여전히 고율관세와 수출통제가 중첩 적용되고 있어 디커플링이 해소되기보다 '관리된 긴장'으로 재편되고 있다고 보는 것이 타당하다. 두 차례 정상회담(2025.10 부산, 2026.5 베이징)에도 불구하고 반도체·대만 등 핵심 쟁점은 합의 대상에서 사실상 배제됐다.</w:t>
      </w:r>
    </w:p>
    <w:p>
      <w:pPr>
        <w:spacing w:before="120" w:after="60" w:line="276" w:lineRule="auto"/>
        <w:jc w:val="left"/>
      </w:pPr>
      <w:r>
        <w:rPr>
          <w:rFonts w:ascii="Malgun Gothic" w:hAnsi="Malgun Gothic"/>
          <w:b/>
          <w:i w:val="0"/>
          <w:color w:val="111827"/>
          <w:sz w:val="20"/>
          <w:rFonts w:ascii="Malgun Gothic" w:eastAsia="Malgun Gothic" w:hAnsi="Malgun Gothic"/>
        </w:rPr>
        <w:t>2. 주요 당사국 전략적 태세 (STAKEHOLDER STRATEGIC POSTURE)</w:t>
      </w:r>
    </w:p>
    <w:tbl>
      <w:tblPr>
        <w:tblW w:type="auto" w:w="0"/>
        <w:jc w:val="center"/>
        <w:tblLayout w:type="fixed"/>
        <w:tblLook w:firstColumn="1" w:firstRow="1" w:lastColumn="0" w:lastRow="0" w:noHBand="0" w:noVBand="1" w:val="04A0"/>
        <w:tblBorders>
          <w:top w:val="single" w:sz="6" w:space="0" w:color="111827"/>
          <w:bottom w:val="single" w:sz="6" w:space="0" w:color="111827"/>
          <w:insideH w:val="single" w:sz="6" w:space="0" w:color="111827"/>
          <w:insideV w:val="none"/>
          <w:left w:val="none"/>
          <w:right w:val="none"/>
        </w:tblBorders>
      </w:tblPr>
      <w:tblGrid>
        <w:gridCol w:w="4986"/>
        <w:gridCol w:w="4986"/>
      </w:tblGrid>
      <w:tr>
        <w:tc>
          <w:tcPr>
            <w:tcW w:type="dxa" w:w="2592"/>
            <w:shd w:fill="F3F4F6"/>
            <w:tcMar>
              <w:top w:w="80" w:type="dxa"/>
              <w:bottom w:w="80" w:type="dxa"/>
              <w:left w:w="80" w:type="dxa"/>
              <w:right w:w="80" w:type="dxa"/>
            </w:tcMar>
          </w:tcPr>
          <w:p>
            <w:pPr>
              <w:spacing w:before="0" w:after="40" w:line="276" w:lineRule="auto"/>
              <w:jc w:val="left"/>
            </w:pPr>
            <w:r>
              <w:rPr>
                <w:rFonts w:ascii="Malgun Gothic" w:hAnsi="Malgun Gothic"/>
                <w:b/>
                <w:i w:val="0"/>
                <w:color w:val="111827"/>
                <w:sz w:val="16"/>
                <w:rFonts w:ascii="Malgun Gothic" w:eastAsia="Malgun Gothic" w:hAnsi="Malgun Gothic"/>
              </w:rPr>
              <w:t>당사국 (Actor)</w:t>
            </w:r>
          </w:p>
        </w:tc>
        <w:tc>
          <w:tcPr>
            <w:tcW w:type="dxa" w:w="7488"/>
            <w:shd w:fill="F3F4F6"/>
            <w:tcMar>
              <w:top w:w="80" w:type="dxa"/>
              <w:bottom w:w="80" w:type="dxa"/>
              <w:left w:w="80" w:type="dxa"/>
              <w:right w:w="80" w:type="dxa"/>
            </w:tcMar>
          </w:tcPr>
          <w:p>
            <w:pPr>
              <w:spacing w:before="0" w:after="40" w:line="276" w:lineRule="auto"/>
              <w:jc w:val="left"/>
            </w:pPr>
            <w:r>
              <w:rPr>
                <w:rFonts w:ascii="Malgun Gothic" w:hAnsi="Malgun Gothic"/>
                <w:b/>
                <w:i w:val="0"/>
                <w:color w:val="111827"/>
                <w:sz w:val="16"/>
                <w:rFonts w:ascii="Malgun Gothic" w:eastAsia="Malgun Gothic" w:hAnsi="Malgun Gothic"/>
              </w:rPr>
              <w:t>공식 입장 및 전략적 대응 태세 (Official Stance  Strategic Posture)</w:t>
            </w:r>
          </w:p>
        </w:tc>
      </w:tr>
      <w:tr>
        <w:tc>
          <w:tcPr>
            <w:tcW w:type="dxa" w:w="2592"/>
            <w:tcMar>
              <w:top w:w="60" w:type="dxa"/>
              <w:bottom w:w="60" w:type="dxa"/>
              <w:left w:w="80" w:type="dxa"/>
              <w:right w:w="80" w:type="dxa"/>
            </w:tcMar>
          </w:tcPr>
          <w:p>
            <w:pPr>
              <w:spacing w:before="0" w:after="40" w:line="276" w:lineRule="auto"/>
              <w:jc w:val="left"/>
            </w:pPr>
            <w:r>
              <w:rPr>
                <w:rFonts w:ascii="Malgun Gothic" w:hAnsi="Malgun Gothic"/>
                <w:b/>
                <w:i w:val="0"/>
                <w:color w:val="1F2937"/>
                <w:sz w:val="16"/>
                <w:rFonts w:ascii="Malgun Gothic" w:eastAsia="Malgun Gothic" w:hAnsi="Malgun Gothic"/>
              </w:rPr>
              <w:t>미국 (United States)</w:t>
            </w:r>
          </w:p>
        </w:tc>
        <w:tc>
          <w:tcPr>
            <w:tcW w:type="dxa" w:w="7488"/>
            <w:tcMar>
              <w:top w:w="60" w:type="dxa"/>
              <w:bottom w:w="60" w:type="dxa"/>
              <w:left w:w="80" w:type="dxa"/>
              <w:right w:w="80" w:type="dxa"/>
            </w:tcMar>
          </w:tcPr>
          <w:p>
            <w:pPr>
              <w:spacing w:before="0" w:after="40" w:line="276" w:lineRule="auto"/>
              <w:jc w:val="left"/>
            </w:pPr>
            <w:r>
              <w:rPr>
                <w:rFonts w:ascii="Malgun Gothic" w:hAnsi="Malgun Gothic"/>
                <w:b w:val="0"/>
                <w:i w:val="0"/>
                <w:color w:val="1F2937"/>
                <w:sz w:val="16"/>
                <w:rFonts w:ascii="Malgun Gothic" w:eastAsia="Malgun Gothic" w:hAnsi="Malgun Gothic"/>
              </w:rPr>
              <w:t xml:space="preserve">미국은 관세를 무역적자 축소·제조업 회귀·대중 기술패권 견제 수단으로 삼되, 동맹국에는 투자·구매 확대를 조건으로 관세를 낮춰주는 양자 딜 방식을 병행한다. 엔비디아 블랙웰 등 최첨단 AI 반도체 수출은 여전히 제한하는 등 안보 민감 품목에서는 강경 기조를 유지한다.</w:t>
            </w:r>
          </w:p>
        </w:tc>
      </w:tr>
      <w:tr>
        <w:tc>
          <w:tcPr>
            <w:tcW w:type="dxa" w:w="2592"/>
            <w:tcMar>
              <w:top w:w="60" w:type="dxa"/>
              <w:bottom w:w="60" w:type="dxa"/>
              <w:left w:w="80" w:type="dxa"/>
              <w:right w:w="80" w:type="dxa"/>
            </w:tcMar>
          </w:tcPr>
          <w:p>
            <w:pPr>
              <w:spacing w:before="0" w:after="40" w:line="276" w:lineRule="auto"/>
              <w:jc w:val="left"/>
            </w:pPr>
            <w:r>
              <w:rPr>
                <w:rFonts w:ascii="Malgun Gothic" w:hAnsi="Malgun Gothic"/>
                <w:b/>
                <w:i w:val="0"/>
                <w:color w:val="1F2937"/>
                <w:sz w:val="16"/>
                <w:rFonts w:ascii="Malgun Gothic" w:eastAsia="Malgun Gothic" w:hAnsi="Malgun Gothic"/>
              </w:rPr>
              <w:t>중국 (China)</w:t>
            </w:r>
          </w:p>
        </w:tc>
        <w:tc>
          <w:tcPr>
            <w:tcW w:type="dxa" w:w="7488"/>
            <w:tcMar>
              <w:top w:w="60" w:type="dxa"/>
              <w:bottom w:w="60" w:type="dxa"/>
              <w:left w:w="80" w:type="dxa"/>
              <w:right w:w="80" w:type="dxa"/>
            </w:tcMar>
          </w:tcPr>
          <w:p>
            <w:pPr>
              <w:spacing w:before="0" w:after="40" w:line="276" w:lineRule="auto"/>
              <w:jc w:val="left"/>
            </w:pPr>
            <w:r>
              <w:rPr>
                <w:rFonts w:ascii="Malgun Gothic" w:hAnsi="Malgun Gothic"/>
                <w:b w:val="0"/>
                <w:i w:val="0"/>
                <w:color w:val="1F2937"/>
                <w:sz w:val="16"/>
                <w:rFonts w:ascii="Malgun Gothic" w:eastAsia="Malgun Gothic" w:hAnsi="Malgun Gothic"/>
              </w:rPr>
              <w:t xml:space="preserve">중국은 희토류·갈륨·게르마늄 등 핵심광물 수출통제를 대미 협상의 핵심 지렛대로 활용하며, 미국의 관세 공세에 농산물·기업 제재 등 맞대응 카드로 대응해왔다. 동시에 대만 문제를 '레드라인'으로 재확인하며 무역 협상과 안보 이슈를 분리하지 않으려는 태도를 보인다.</w:t>
            </w:r>
          </w:p>
        </w:tc>
      </w:tr>
      <w:tr>
        <w:tc>
          <w:tcPr>
            <w:tcW w:type="dxa" w:w="2592"/>
            <w:tcMar>
              <w:top w:w="60" w:type="dxa"/>
              <w:bottom w:w="60" w:type="dxa"/>
              <w:left w:w="80" w:type="dxa"/>
              <w:right w:w="80" w:type="dxa"/>
            </w:tcMar>
          </w:tcPr>
          <w:p>
            <w:pPr>
              <w:spacing w:before="0" w:after="40" w:line="276" w:lineRule="auto"/>
              <w:jc w:val="left"/>
            </w:pPr>
            <w:r>
              <w:rPr>
                <w:rFonts w:ascii="Malgun Gothic" w:hAnsi="Malgun Gothic"/>
                <w:b/>
                <w:i w:val="0"/>
                <w:color w:val="1F2937"/>
                <w:sz w:val="16"/>
                <w:rFonts w:ascii="Malgun Gothic" w:eastAsia="Malgun Gothic" w:hAnsi="Malgun Gothic"/>
              </w:rPr>
              <w:t>대한민국 (South Korea)</w:t>
            </w:r>
          </w:p>
        </w:tc>
        <w:tc>
          <w:tcPr>
            <w:tcW w:type="dxa" w:w="7488"/>
            <w:tcMar>
              <w:top w:w="60" w:type="dxa"/>
              <w:bottom w:w="60" w:type="dxa"/>
              <w:left w:w="80" w:type="dxa"/>
              <w:right w:w="80" w:type="dxa"/>
            </w:tcMar>
          </w:tcPr>
          <w:p>
            <w:pPr>
              <w:spacing w:before="0" w:after="40" w:line="276" w:lineRule="auto"/>
              <w:jc w:val="left"/>
            </w:pPr>
            <w:r>
              <w:rPr>
                <w:rFonts w:ascii="Malgun Gothic" w:hAnsi="Malgun Gothic"/>
                <w:b w:val="0"/>
                <w:i w:val="0"/>
                <w:color w:val="1F2937"/>
                <w:sz w:val="16"/>
                <w:rFonts w:ascii="Malgun Gothic" w:eastAsia="Malgun Gothic" w:hAnsi="Malgun Gothic"/>
              </w:rPr>
              <w:t xml:space="preserve">한국 정부는 자동차·반도체 등 핵심 수출품목에서 미국의 관세 압박을 최소화하기 위해 3500억 달러 규모 대미 투자 패키지를 수용하는 대신, 반도체에서 대만과 동등한 대우, 자동차 관세 15%(EU·일본과 동일)를 확보하는 실리적 접근을 취했다. 동시에 중국의 보복성 수출통제로부터도 자유롭지 않아 미중 사이에서 균형을 모색하고 있다.</w:t>
            </w:r>
          </w:p>
        </w:tc>
      </w:tr>
      <w:tr>
        <w:tc>
          <w:tcPr>
            <w:tcW w:type="dxa" w:w="2592"/>
            <w:tcMar>
              <w:top w:w="60" w:type="dxa"/>
              <w:bottom w:w="60" w:type="dxa"/>
              <w:left w:w="80" w:type="dxa"/>
              <w:right w:w="80" w:type="dxa"/>
            </w:tcMar>
          </w:tcPr>
          <w:p>
            <w:pPr>
              <w:spacing w:before="0" w:after="40" w:line="276" w:lineRule="auto"/>
              <w:jc w:val="left"/>
            </w:pPr>
            <w:r>
              <w:rPr>
                <w:rFonts w:ascii="Malgun Gothic" w:hAnsi="Malgun Gothic"/>
                <w:b/>
                <w:i w:val="0"/>
                <w:color w:val="1F2937"/>
                <w:sz w:val="16"/>
                <w:rFonts w:ascii="Malgun Gothic" w:eastAsia="Malgun Gothic" w:hAnsi="Malgun Gothic"/>
              </w:rPr>
              <w:t>기타 주요국 (Other Actors)</w:t>
            </w:r>
          </w:p>
        </w:tc>
        <w:tc>
          <w:tcPr>
            <w:tcW w:type="dxa" w:w="7488"/>
            <w:tcMar>
              <w:top w:w="60" w:type="dxa"/>
              <w:bottom w:w="60" w:type="dxa"/>
              <w:left w:w="80" w:type="dxa"/>
              <w:right w:w="80" w:type="dxa"/>
            </w:tcMar>
          </w:tcPr>
          <w:p>
            <w:pPr>
              <w:spacing w:before="0" w:after="40" w:line="276" w:lineRule="auto"/>
              <w:jc w:val="left"/>
            </w:pPr>
            <w:r>
              <w:rPr>
                <w:rFonts w:ascii="Malgun Gothic" w:hAnsi="Malgun Gothic"/>
                <w:b w:val="0"/>
                <w:i w:val="0"/>
                <w:color w:val="1F2937"/>
                <w:sz w:val="16"/>
                <w:rFonts w:ascii="Malgun Gothic" w:eastAsia="Malgun Gothic" w:hAnsi="Malgun Gothic"/>
              </w:rPr>
              <w:t xml:space="preserve">EU는 미국의 관세 압박과 중국의 저가 수출 공세 양쪽에서 협공받는 처지로, 2025년 4월 230억 달러 규모 보복관세로 맞섰다가 협상으로 완화했고, 2026년에는 자체 대중 방어조치(유사 301조)를 검토하는 동시에 미국의 환경·노동 규제 완화 요구는 거부하는 등 독자 노선을 강화하고 있다. 일본 등 다른 교역국들도 미국과의 개별 관세 협상을 통해 완충지대를 확보하는 전략을 취하고 있다.</w:t>
            </w:r>
          </w:p>
        </w:tc>
      </w:tr>
    </w:tbl>
    <w:p>
      <w:pPr>
        <w:spacing w:before="200" w:after="60" w:line="276" w:lineRule="auto"/>
        <w:jc w:val="left"/>
      </w:pPr>
      <w:r>
        <w:rPr>
          <w:rFonts w:ascii="Malgun Gothic" w:hAnsi="Malgun Gothic"/>
          <w:b/>
          <w:i w:val="0"/>
          <w:color w:val="111827"/>
          <w:sz w:val="20"/>
          <w:rFonts w:ascii="Malgun Gothic" w:eastAsia="Malgun Gothic" w:hAnsi="Malgun Gothic"/>
        </w:rPr>
        <w:t>3. 경제 및 안보 파급영향 분석 (ECONOMIC AND SECURITY IMPACT ANALYSIS)</w:t>
      </w:r>
    </w:p>
    <w:p>
      <w:pPr>
        <w:spacing w:before="80" w:after="40" w:line="276" w:lineRule="auto"/>
        <w:jc w:val="left"/>
      </w:pPr>
      <w:r>
        <w:rPr>
          <w:rFonts w:ascii="Malgun Gothic" w:hAnsi="Malgun Gothic"/>
          <w:b/>
          <w:i w:val="0"/>
          <w:color w:val="1F2937"/>
          <w:sz w:val="18"/>
          <w:rFonts w:ascii="Malgun Gothic" w:eastAsia="Malgun Gothic" w:hAnsi="Malgun Gothic"/>
        </w:rPr>
        <w:t>■ 안보 및 군사적 파급효과 (Security Dimension)</w:t>
      </w:r>
    </w:p>
    <w:p>
      <w:pPr>
        <w:spacing w:before="0" w:after="40" w:line="276" w:lineRule="auto"/>
        <w:jc w:val="left"/>
      </w:pPr>
      <w:r>
        <w:rPr>
          <w:rFonts w:ascii="Malgun Gothic" w:hAnsi="Malgun Gothic"/>
          <w:b w:val="0"/>
          <w:i w:val="0"/>
          <w:color w:val="1F2937"/>
          <w:sz w:val="17"/>
          <w:rFonts w:ascii="Malgun Gothic" w:eastAsia="Malgun Gothic" w:hAnsi="Malgun Gothic"/>
        </w:rPr>
        <w:t xml:space="preserve">(U) 한반도 안보 영향: 미중 무역전쟁 자체가 북한 문제와 직접 연계된 사안은 아니며, 이번 조사에서 북핵·미사일 문제와의 직접적 인과관계를 뒷받침하는 근거는 확인되지 않았다. 다만 미중 전략경쟁 심화가 한반도를 둘러싼 강대국 정치 전반의 긴장도를 높이는 간접적 배경으로 작용할 수는 있다.</w:t>
      </w:r>
    </w:p>
    <w:p>
      <w:pPr>
        <w:spacing w:before="0" w:after="40" w:line="276" w:lineRule="auto"/>
        <w:jc w:val="left"/>
      </w:pPr>
      <w:r>
        <w:rPr>
          <w:rFonts w:ascii="Malgun Gothic" w:hAnsi="Malgun Gothic"/>
          <w:b w:val="0"/>
          <w:i w:val="0"/>
          <w:color w:val="1F2937"/>
          <w:sz w:val="17"/>
          <w:rFonts w:ascii="Malgun Gothic" w:eastAsia="Malgun Gothic" w:hAnsi="Malgun Gothic"/>
        </w:rPr>
        <w:t xml:space="preserve">(U) 동맹 구도 및 방위태세: 한미동맹은 이번 관세협상에서 안보와 통상을 연계한 '패키지 딜'(관세 인하 대가로 대규모 투자·조선 협력) 형태로 재정의됐으며, 이는 동맹이 군사안보뿐 아니라 산업·공급망 협력으로 그 범위를 확장하고 있음을 보여준다.</w:t>
      </w:r>
    </w:p>
    <w:p>
      <w:pPr>
        <w:spacing w:before="0" w:after="40" w:line="276" w:lineRule="auto"/>
        <w:jc w:val="left"/>
      </w:pPr>
      <w:r>
        <w:rPr>
          <w:rFonts w:ascii="Malgun Gothic" w:hAnsi="Malgun Gothic"/>
          <w:b w:val="0"/>
          <w:i w:val="0"/>
          <w:color w:val="1F2937"/>
          <w:sz w:val="17"/>
          <w:rFonts w:ascii="Malgun Gothic" w:eastAsia="Malgun Gothic" w:hAnsi="Malgun Gothic"/>
        </w:rPr>
        <w:t xml:space="preserve">(U) 군사적 위협 수준: 이 사안은 본질적으로 관세·수출통제를 둘러싼 경제안보 이슈이며, 북한 미사일 위협과의 직접적 관련성은 확인되지 않는다. 굳이 연결한다면 반도체·희토류 등 전략물자 수출통제가 군사안보 위협과 병렬적으로 다뤄지는 '경제안보 위협'으로 부상하는 최근 추세를 보여주는 사례로 이해할 수 있다.</w:t>
      </w:r>
    </w:p>
    <w:p>
      <w:pPr>
        <w:spacing w:before="80" w:after="40" w:line="276" w:lineRule="auto"/>
        <w:jc w:val="left"/>
      </w:pPr>
      <w:r>
        <w:rPr>
          <w:rFonts w:ascii="Malgun Gothic" w:hAnsi="Malgun Gothic"/>
          <w:b/>
          <w:i w:val="0"/>
          <w:color w:val="1F2937"/>
          <w:sz w:val="18"/>
          <w:rFonts w:ascii="Malgun Gothic" w:eastAsia="Malgun Gothic" w:hAnsi="Malgun Gothic"/>
        </w:rPr>
        <w:t>■ 경제 및 통상 파급효과 (Economic Dimension)</w:t>
      </w:r>
    </w:p>
    <w:p>
      <w:pPr>
        <w:spacing w:before="0" w:after="40" w:line="276" w:lineRule="auto"/>
        <w:jc w:val="left"/>
      </w:pPr>
      <w:r>
        <w:rPr>
          <w:rFonts w:ascii="Malgun Gothic" w:hAnsi="Malgun Gothic"/>
          <w:b w:val="0"/>
          <w:i w:val="0"/>
          <w:color w:val="1F2937"/>
          <w:sz w:val="17"/>
          <w:rFonts w:ascii="Malgun Gothic" w:eastAsia="Malgun Gothic" w:hAnsi="Malgun Gothic"/>
        </w:rPr>
        <w:t xml:space="preserve">(U) 통상 및 관세 영향: 미중 간 직접 교역은 고율관세로 위축됐지만, 우회수출(제3국 경유)과 공급망 재편을 통해 전체 무역흐름은 유지·재분산되는 양상이며, 이는 EU가 중국의 우회수출 증가를 문제 삼는 배경이기도 하다. 실제 반도체(HS 8541·8542) 무역 통계(2025년 1월~2026년 6월, USITC DataWeb)를 보면 미국의 대중국 수출은 약 170.5억 달러, 수입은 약 25.9억 달러로 수출이 수입의 6배가 넘는 비대칭 구조를 보이는데, 이는 첨단 로직칩에 대한 수입 규제와는 별개로 미국이 여전히 상당한 반도체를 중국에 판매하고 있음을 시사한다. 다만 이 통계는 첨단·범용 품목을 구분하지 않는 집계치여서 수출통제 자체의 실효성을 증명하지는 않는다.</w:t>
      </w:r>
    </w:p>
    <w:p>
      <w:pPr>
        <w:spacing w:before="0" w:after="40" w:line="276" w:lineRule="auto"/>
        <w:jc w:val="left"/>
      </w:pPr>
      <w:r>
        <w:rPr>
          <w:rFonts w:ascii="Malgun Gothic" w:hAnsi="Malgun Gothic"/>
          <w:b w:val="0"/>
          <w:i w:val="0"/>
          <w:color w:val="1F2937"/>
          <w:sz w:val="17"/>
          <w:rFonts w:ascii="Malgun Gothic" w:eastAsia="Malgun Gothic" w:hAnsi="Malgun Gothic"/>
        </w:rPr>
        <w:t xml:space="preserve">(U) 외환 및 금융시장 영향: 한국이 대미 투자 패키지의 연간 상한을 200억 달러로 설정하고 SPC(특수목적법인) 구조와 환리스크 완화 장치를 마련한 것은, 대규모 대미 투자가 원화 환율에 미칠 충격을 관리하기 위한 조치로 해석된다.</w:t>
      </w:r>
    </w:p>
    <w:p>
      <w:pPr>
        <w:spacing w:before="0" w:after="40" w:line="276" w:lineRule="auto"/>
        <w:jc w:val="left"/>
      </w:pPr>
      <w:r>
        <w:rPr>
          <w:rFonts w:ascii="Malgun Gothic" w:hAnsi="Malgun Gothic"/>
          <w:b w:val="0"/>
          <w:i w:val="0"/>
          <w:color w:val="1F2937"/>
          <w:sz w:val="17"/>
          <w:rFonts w:ascii="Malgun Gothic" w:eastAsia="Malgun Gothic" w:hAnsi="Malgun Gothic"/>
        </w:rPr>
        <w:t xml:space="preserve">(U) 핵심 산업 및 투자 영향: 반도체 등 첨단산업에서는 관세·수출통제 불확실성이 미국 내 생산시설 투자(온쇼어링) 유인으로 작용하는 한편, 한국 기업들은 대미 투자 확대 압박과 대중 사업 불확실성이라는 이중 부담 속에서 투자전략을 재조정하고 있다.</w:t>
      </w:r>
    </w:p>
    <w:p>
      <w:pPr>
        <w:spacing w:before="80" w:after="40" w:line="276" w:lineRule="auto"/>
        <w:jc w:val="left"/>
      </w:pPr>
      <w:r>
        <w:rPr>
          <w:rFonts w:ascii="Malgun Gothic" w:hAnsi="Malgun Gothic"/>
          <w:b/>
          <w:i w:val="0"/>
          <w:color w:val="1F2937"/>
          <w:sz w:val="18"/>
          <w:rFonts w:ascii="Malgun Gothic" w:eastAsia="Malgun Gothic" w:hAnsi="Malgun Gothic"/>
        </w:rPr>
        <w:t>■ 여론 및 전문가 평가 (Public Opinion  Expert Assessment)</w:t>
      </w:r>
    </w:p>
    <w:p>
      <w:pPr>
        <w:spacing w:before="0" w:after="40" w:line="276" w:lineRule="auto"/>
        <w:jc w:val="left"/>
      </w:pPr>
      <w:r>
        <w:rPr>
          <w:rFonts w:ascii="Malgun Gothic" w:hAnsi="Malgun Gothic"/>
          <w:b w:val="0"/>
          <w:i w:val="0"/>
          <w:color w:val="1F2937"/>
          <w:sz w:val="17"/>
          <w:rFonts w:ascii="Malgun Gothic" w:eastAsia="Malgun Gothic" w:hAnsi="Malgun Gothic"/>
        </w:rPr>
        <w:t xml:space="preserve">(U) 국내외 여론 동향: 국내에서는 3500억 달러 규모 대미 투자 부담과 환율·재정 리스크에 대한 우려가 제기되는 동시에, 반도체 분야에서 대만 대비 불리하지 않은 대우를 확보한 점은 성과로 평가받는 등 여론이 엇갈리고 있다.</w:t>
      </w:r>
    </w:p>
    <w:p>
      <w:pPr>
        <w:spacing w:before="0" w:after="40" w:line="276" w:lineRule="auto"/>
        <w:jc w:val="left"/>
      </w:pPr>
      <w:r>
        <w:rPr>
          <w:rFonts w:ascii="Malgun Gothic" w:hAnsi="Malgun Gothic"/>
          <w:b w:val="0"/>
          <w:i w:val="0"/>
          <w:color w:val="1F2937"/>
          <w:sz w:val="17"/>
          <w:rFonts w:ascii="Malgun Gothic" w:eastAsia="Malgun Gothic" w:hAnsi="Malgun Gothic"/>
        </w:rPr>
        <w:t xml:space="preserve">(U) 학계·싱크탱크 전문가 평가: 다수의 통상 전문가들은 2025~2026년의 미중 합의들이 근본적 갈등을 해소한 '전략적 전환'이 아니라 각자의 국내정치·경제적 필요에 따른 '전술적 휴전'에 가깝다고 평가하며, 반도체·희토류를 둘러싼 기술패권 경쟁은 당분간 구조적으로 지속될 것으로 본다.</w:t>
      </w:r>
    </w:p>
    <w:p>
      <w:pPr>
        <w:spacing w:before="200" w:after="60" w:line="276" w:lineRule="auto"/>
        <w:jc w:val="left"/>
      </w:pPr>
      <w:r>
        <w:rPr>
          <w:rFonts w:ascii="Malgun Gothic" w:hAnsi="Malgun Gothic"/>
          <w:b/>
          <w:i w:val="0"/>
          <w:color w:val="111827"/>
          <w:sz w:val="20"/>
          <w:rFonts w:ascii="Malgun Gothic" w:eastAsia="Malgun Gothic" w:hAnsi="Malgun Gothic"/>
        </w:rPr>
        <w:t>4. 위험 전망 및 불확실성 요인 (RISK OUTLOOK AND UNCERTAINTY ANALYSIS)</w:t>
      </w:r>
    </w:p>
    <w:p>
      <w:pPr>
        <w:spacing w:before="0" w:after="20" w:line="276" w:lineRule="auto"/>
        <w:jc w:val="left"/>
      </w:pPr>
      <w:r>
        <w:rPr>
          <w:rFonts w:ascii="Malgun Gothic" w:hAnsi="Malgun Gothic"/>
          <w:b/>
          <w:i w:val="0"/>
          <w:color w:val="1F2937"/>
          <w:sz w:val="17"/>
          <w:rFonts w:ascii="Malgun Gothic" w:eastAsia="Malgun Gothic" w:hAnsi="Malgun Gothic"/>
        </w:rPr>
        <w:t xml:space="preserve">(U) 단기 전망 (3~6개월): 향후 수개월간은 2025년 11월 합의(관세 예외 2026년 12월 31일까지 연장, 희토류 일반허가 유지)의 틀 안에서 대체로 안정을 유지하되, 8월 거론된 '과잉생산 관세' 등 산발적 압박 카드가 계속 등장할 가능성이 크다.</w:t>
      </w:r>
    </w:p>
    <w:p>
      <w:pPr>
        <w:spacing w:before="0" w:after="60" w:line="276" w:lineRule="auto"/>
        <w:jc w:val="left"/>
      </w:pPr>
      <w:r>
        <w:rPr>
          <w:rFonts w:ascii="Malgun Gothic" w:hAnsi="Malgun Gothic"/>
          <w:b w:val="0"/>
          <w:i w:val="0"/>
          <w:color w:val="374151"/>
          <w:sz w:val="17"/>
          <w:rFonts w:ascii="Malgun Gothic" w:eastAsia="Malgun Gothic" w:hAnsi="Malgun Gothic"/>
        </w:rPr>
        <w:t xml:space="preserve">    ▶ 유력 시나리오: 가장 유력한 시나리오는 전면 재확전보다는 반도체 장비·조선·특정 소재 등 부문별로 국지적 조치가 간헐적으로 발생하며 협상이 계속되는 '관리된 긴장'의 지속이다.</w:t>
      </w:r>
    </w:p>
    <w:p>
      <w:pPr>
        <w:spacing w:before="0" w:after="20" w:line="276" w:lineRule="auto"/>
        <w:jc w:val="left"/>
      </w:pPr>
      <w:r>
        <w:rPr>
          <w:rFonts w:ascii="Malgun Gothic" w:hAnsi="Malgun Gothic"/>
          <w:b/>
          <w:i w:val="0"/>
          <w:color w:val="1F2937"/>
          <w:sz w:val="17"/>
          <w:rFonts w:ascii="Malgun Gothic" w:eastAsia="Malgun Gothic" w:hAnsi="Malgun Gothic"/>
        </w:rPr>
        <w:t xml:space="preserve">(U) 중기 전망 (1~3년): 2026년 11월 부산 합의 만료를 전후해 재협상이 이뤄질 것으로 예상되며, 그 결과에 따라 관세 수준이 추가로 낮아지거나 다시 상향될 갈림길에 설 것이다.</w:t>
      </w:r>
    </w:p>
    <w:p>
      <w:pPr>
        <w:spacing w:before="0" w:after="60" w:line="276" w:lineRule="auto"/>
        <w:jc w:val="left"/>
      </w:pPr>
      <w:r>
        <w:rPr>
          <w:rFonts w:ascii="Malgun Gothic" w:hAnsi="Malgun Gothic"/>
          <w:b w:val="0"/>
          <w:i w:val="0"/>
          <w:color w:val="374151"/>
          <w:sz w:val="17"/>
          <w:rFonts w:ascii="Malgun Gothic" w:eastAsia="Malgun Gothic" w:hAnsi="Malgun Gothic"/>
        </w:rPr>
        <w:t xml:space="preserve">    ▶ 주요 전환점: 2026년 11월 미중 관세 휴전 만료 시점과 그 직전 예정될 추가 정상회담이 향후 국면을 가르는 핵심 분기점이 될 전망이다.</w:t>
      </w:r>
    </w:p>
    <w:p>
      <w:pPr>
        <w:spacing w:before="0" w:after="20" w:line="276" w:lineRule="auto"/>
        <w:jc w:val="left"/>
      </w:pPr>
      <w:r>
        <w:rPr>
          <w:rFonts w:ascii="Malgun Gothic" w:hAnsi="Malgun Gothic"/>
          <w:b/>
          <w:i w:val="0"/>
          <w:color w:val="1F2937"/>
          <w:sz w:val="17"/>
          <w:rFonts w:ascii="Malgun Gothic" w:eastAsia="Malgun Gothic" w:hAnsi="Malgun Gothic"/>
        </w:rPr>
        <w:t xml:space="preserve">(U) 장기 구조적 변화: 장기적으로는 반도체·희토류·배터리 등 전략 산업에서 '관리된 디커플링'이 구조화되어, 완전한 통합도 완전한 단절도 아닌 프렌드쇼어링·니어쇼어링 기반의 재편된 공급망 질서가 정착될 가능성이 높다는 것이 다수 통상 전문가들의 견해다.</w:t>
      </w:r>
    </w:p>
    <w:p>
      <w:pPr>
        <w:spacing w:before="0" w:after="80" w:line="276" w:lineRule="auto"/>
        <w:jc w:val="left"/>
      </w:pPr>
      <w:r>
        <w:rPr>
          <w:rFonts w:ascii="Malgun Gothic" w:hAnsi="Malgun Gothic"/>
          <w:b w:val="0"/>
          <w:i w:val="0"/>
          <w:color w:val="374151"/>
          <w:sz w:val="17"/>
          <w:rFonts w:ascii="Malgun Gothic" w:eastAsia="Malgun Gothic" w:hAnsi="Malgun Gothic"/>
        </w:rPr>
        <w:t xml:space="preserve">    ▶ 구조적 리스크: 관세전쟁은 단순 세율 문제를 넘어 반도체 장비·첨단 AI칩·희토류 등 전략물자에 대한 수출통제 상시화, 개별국과의 양자 투자·구매 패키지 딜 방식으로 국제무역 질서의 구조 자체를 바꾸고 있다.</w:t>
      </w:r>
    </w:p>
    <w:p>
      <w:pPr>
        <w:spacing w:before="60" w:after="40" w:line="276" w:lineRule="auto"/>
        <w:jc w:val="left"/>
      </w:pPr>
      <w:r>
        <w:rPr>
          <w:rFonts w:ascii="Malgun Gothic" w:hAnsi="Malgun Gothic"/>
          <w:b/>
          <w:i w:val="0"/>
          <w:color w:val="1F2937"/>
          <w:sz w:val="18"/>
          <w:rFonts w:ascii="Malgun Gothic" w:eastAsia="Malgun Gothic" w:hAnsi="Malgun Gothic"/>
        </w:rPr>
        <w:t>핵심 불확실성 요인 (Key Uncertainties):</w:t>
      </w:r>
    </w:p>
    <w:p>
      <w:pPr>
        <w:spacing w:before="0" w:after="80" w:line="276" w:lineRule="auto"/>
        <w:jc w:val="left"/>
      </w:pPr>
      <w:r>
        <w:rPr>
          <w:rFonts w:ascii="Malgun Gothic" w:hAnsi="Malgun Gothic"/>
          <w:b w:val="0"/>
          <w:i w:val="0"/>
          <w:color w:val="374151"/>
          <w:sz w:val="17"/>
          <w:rFonts w:ascii="Malgun Gothic" w:eastAsia="Malgun Gothic" w:hAnsi="Malgun Gothic"/>
        </w:rPr>
        <w:t xml:space="preserve">• 1. 2025년 10월 부산 합의로 설정된 1년 휴전(2026년 11월 만료 예정)이 갱신될지, 만료를 앞두고 재차 관세 인상 위협이 불거질지가 최대 변수다.</w:t>
        <w:br/>
        <w:t xml:space="preserve">• 2. 연방대법원의 IEEPA 관세 위헌 판결(2026.2) 이후 행정부가 232·301·122조로 법적 근거를 재편했지만, 추가 소송이나 의회의 통상권한 조정 시도가 관세 체계의 안정성을 흔들 수 있다.</w:t>
        <w:br/>
        <w:t xml:space="preserve">• 3. 대만을 둘러싼 지정학적 긴장이 격화될 경우 반도체 공급망 전반에 걸친 통제와 보복이 순식간에 확대될 위험이 있으며, 이는 무역협상과 안보이슈가 사실상 분리되지 않는 구조적 특성 때문이다.</w:t>
        <w:br/>
        <w:t xml:space="preserve"/>
      </w:r>
    </w:p>
    <w:p>
      <w:pPr>
        <w:spacing w:before="200" w:after="60" w:line="276" w:lineRule="auto"/>
        <w:jc w:val="left"/>
      </w:pPr>
      <w:r>
        <w:rPr>
          <w:rFonts w:ascii="Malgun Gothic" w:hAnsi="Malgun Gothic"/>
          <w:b/>
          <w:i w:val="0"/>
          <w:color w:val="111827"/>
          <w:sz w:val="20"/>
          <w:rFonts w:ascii="Malgun Gothic" w:eastAsia="Malgun Gothic" w:hAnsi="Malgun Gothic"/>
        </w:rPr>
        <w:t>5. 핵심 전략적 정책 제언 (KEY STRATEGIC RECOMMENDATIONS)</w:t>
      </w:r>
    </w:p>
    <w:p>
      <w:pPr>
        <w:spacing w:before="0" w:after="80" w:line="276" w:lineRule="auto"/>
        <w:jc w:val="left"/>
      </w:pPr>
      <w:r>
        <w:rPr>
          <w:rFonts w:ascii="Malgun Gothic" w:hAnsi="Malgun Gothic"/>
          <w:b w:val="0"/>
          <w:i w:val="0"/>
          <w:color w:val="1F2937"/>
          <w:sz w:val="17"/>
          <w:rFonts w:ascii="Malgun Gothic" w:eastAsia="Malgun Gothic" w:hAnsi="Malgun Gothic"/>
        </w:rPr>
        <w:t xml:space="preserve">■ 제언 1 (대응 전략 / Response Strategy)</w:t>
        <w:br/>
        <w:t xml:space="preserve">전문가들은 한국이 반도체·배터리 공급망 다변화, 대미 투자 조건의 지속적 재점검, 희토류 등 핵심광물의 대체 조달선 확보를 병행해야 한다고 조언한다.</w:t>
        <w:br/>
        <w:br/>
        <w:t xml:space="preserve">■ 제언 2 (다자외교 포지셔닝 / Multilateral Positioning)</w:t>
        <w:br/>
        <w:t xml:space="preserve">한국은 미중 사이에서 어느 한쪽에 전면적으로 편승하기보다, 반도체·조선 등 경쟁력을 가진 분야에서 미국과의 협력을 강화하면서도 중국 시장·공급망 리스크를 관리하는 '헤징' 전략을 취하고 있다는 평가를 받는다.</w:t>
        <w:br/>
        <w:br/>
        <w:t xml:space="preserve">■ 제언 3 (한미 공조 및 파급효과 / ROK-US Coordination)</w:t>
        <w:br/>
        <w:t xml:space="preserve">한미 양국은 2025년 8월 관세·안보 팩트시트를 통해 자동차 관세 15% 인하와 3500억 달러 투자 패키지를 맞바꾸는 방식으로 통상관계를 재정립했으며, 이는 이후 EU·일본 등 다른 동맹국과의 협상에도 참조점이 됐다.</w:t>
        <w:br/>
        <w:br/>
        <w:t xml:space="preserve"/>
      </w:r>
    </w:p>
    <w:p>
      <w:pPr>
        <w:spacing w:before="200" w:after="60" w:line="276" w:lineRule="auto"/>
        <w:jc w:val="left"/>
      </w:pPr>
      <w:r>
        <w:rPr>
          <w:rFonts w:ascii="Malgun Gothic" w:hAnsi="Malgun Gothic"/>
          <w:b/>
          <w:i w:val="0"/>
          <w:color w:val="111827"/>
          <w:sz w:val="20"/>
          <w:rFonts w:ascii="Malgun Gothic" w:eastAsia="Malgun Gothic" w:hAnsi="Malgun Gothic"/>
        </w:rPr>
        <w:t>6. 데이터베이스 검증 쿼리 및 분석 방법론 (DATABASE QUERIES  METHODOLOGY)</w:t>
      </w:r>
    </w:p>
    <w:p>
      <w:pPr>
        <w:spacing w:before="0" w:after="80" w:line="276" w:lineRule="auto"/>
        <w:jc w:val="left"/>
      </w:pPr>
      <w:r>
        <w:rPr>
          <w:rFonts w:ascii="Malgun Gothic" w:hAnsi="Malgun Gothic"/>
          <w:b w:val="0"/>
          <w:i w:val="0"/>
          <w:color w:val="374151"/>
          <w:sz w:val="17"/>
          <w:rFonts w:ascii="Malgun Gothic" w:eastAsia="Malgun Gothic" w:hAnsi="Malgun Gothic"/>
        </w:rPr>
        <w:t xml:space="preserve">• Wikipedia Pageviews (대중적 관심도): 'US-China Trade War' 일일 조회수 37,640, 7일 대비 변동성 +15.9% 관측.</w:t>
        <w:br/>
        <w:t xml:space="preserve">• Guardian 정부 공식 발표 (외교부/국무부/해당국 피드): 22 matches (USTR, 중국 상무부, 한국 산업부) 매칭 확인.</w:t>
        <w:br/>
        <w:t xml:space="preserve">• 3개 AI 모델 합의도 (Mistral-7B, Qwen2.5-7B, EXAONE-3.5): 미디어 프레이밍 'STRATEGIC COMPETITION (구조적 패권경쟁)' (100.0% (3/3 일치) 일치).</w:t>
        <w:br/>
        <w:t xml:space="preserve">• 검증 상태: 확인 필요. 승인된 조기경보 스냅샷과 사람 검수 상태가 연결되기 전에는 Alert Level을 확정하지 않음.</w:t>
        <w:br/>
        <w:t xml:space="preserve"/>
      </w:r>
    </w:p>
    <w:p>
      <w:pPr>
        <w:spacing w:before="60" w:after="40" w:line="276" w:lineRule="auto"/>
        <w:jc w:val="left"/>
      </w:pPr>
      <w:r>
        <w:rPr>
          <w:rFonts w:ascii="Malgun Gothic" w:hAnsi="Malgun Gothic"/>
          <w:b/>
          <w:i w:val="0"/>
          <w:color w:val="1F2937"/>
          <w:sz w:val="18"/>
          <w:rFonts w:ascii="Malgun Gothic" w:eastAsia="Malgun Gothic" w:hAnsi="Malgun Gothic"/>
        </w:rPr>
        <w:t>주요 출처 및 팩트체크 로그 (Key Sources  Verification Log):</w:t>
      </w:r>
    </w:p>
    <w:p>
      <w:pPr>
        <w:spacing w:before="0" w:after="120" w:line="276" w:lineRule="auto"/>
        <w:jc w:val="left"/>
      </w:pPr>
      <w:r>
        <w:rPr>
          <w:rFonts w:ascii="Malgun Gothic" w:hAnsi="Malgun Gothic"/>
          <w:b w:val="0"/>
          <w:i w:val="0"/>
          <w:color w:val="4B5563"/>
          <w:sz w:val="17"/>
          <w:rFonts w:ascii="Malgun Gothic" w:eastAsia="Malgun Gothic" w:hAnsi="Malgun Gothic"/>
        </w:rPr>
        <w:t xml:space="preserve">Al Jazeera (2025.10.30); The White House (2025.11); 대한민국 정책브리핑 (Korea.kr).</w:t>
      </w:r>
    </w:p>
    <w:p>
      <w:pPr>
        <w:spacing w:before="80" w:after="40" w:line="276" w:lineRule="auto"/>
        <w:jc w:val="left"/>
      </w:pPr>
      <w:r>
        <w:rPr>
          <w:rFonts w:ascii="Malgun Gothic" w:hAnsi="Malgun Gothic"/>
          <w:b/>
          <w:i w:val="0"/>
          <w:color w:val="1F2937"/>
          <w:sz w:val="18"/>
          <w:rFonts w:ascii="Malgun Gothic" w:eastAsia="Malgun Gothic" w:hAnsi="Malgun Gothic"/>
        </w:rPr>
        <w:t>첨부 증빙 자료 (Enclosure(s)):</w:t>
      </w:r>
    </w:p>
    <w:p>
      <w:pPr>
        <w:spacing w:before="0" w:after="160" w:line="276" w:lineRule="auto"/>
        <w:jc w:val="left"/>
      </w:pPr>
      <w:r>
        <w:rPr>
          <w:rFonts w:ascii="Malgun Gothic" w:hAnsi="Malgun Gothic"/>
          <w:b w:val="0"/>
          <w:i w:val="0"/>
          <w:color w:val="4B5563"/>
          <w:sz w:val="17"/>
          <w:rFonts w:ascii="Malgun Gothic" w:eastAsia="Malgun Gothic" w:hAnsi="Malgun Gothic"/>
        </w:rPr>
        <w:t xml:space="preserve">• 1.  U Official_Announcements_Matching_Audit.csv</w:t>
        <w:br/>
        <w:t xml:space="preserve">• 2.  U Wikipedia_Pageviews_7Day_Trend.png</w:t>
        <w:br/>
        <w:t xml:space="preserve">• 3.  U Multi_Agent_Consensus_Audit_Matrix.json</w:t>
        <w:br/>
        <w:t xml:space="preserve"/>
      </w:r>
    </w:p>
    <w:p>
      <w:pPr>
        <w:spacing w:before="160" w:after="240" w:line="276" w:lineRule="auto"/>
        <w:jc w:val="center"/>
      </w:pPr>
      <w:r>
        <w:rPr>
          <w:rFonts w:ascii="Malgun Gothic" w:hAnsi="Malgun Gothic"/>
          <w:b/>
          <w:i w:val="0"/>
          <w:color w:val="1F2937"/>
          <w:sz w:val="20"/>
          <w:rFonts w:ascii="Malgun Gothic" w:eastAsia="Malgun Gothic" w:hAnsi="Malgun Gothic"/>
        </w:rPr>
        <w:t>◆◆</w:t>
      </w:r>
    </w:p>
    <w:sectPr w:rsidR="00FC693F" w:rsidRPr="0006063C" w:rsidSect="00034616">
      <w:headerReference w:type="default" r:id="rId9"/>
      <w:footerReference w:type="default" r:id="rId10"/>
      <w:pgSz w:w="12240" w:h="15840"/>
      <w:pgMar w:top="1134" w:right="1134" w:bottom="1134" w:left="113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40" w:line="276" w:lineRule="auto"/>
      <w:jc w:val="center"/>
    </w:pPr>
    <w:r>
      <w:rPr>
        <w:rFonts w:ascii="Malgun Gothic" w:hAnsi="Malgun Gothic"/>
        <w:b w:val="0"/>
        <w:i w:val="0"/>
        <w:color w:val="9CA3AF"/>
        <w:sz w:val="16"/>
        <w:rFonts w:ascii="Malgun Gothic" w:eastAsia="Malgun Gothic" w:hAnsi="Malgun Gothic"/>
      </w:rPr>
      <w:t>UNCLASSIFIED  |  INTERNATIONAL AFFAIRS INTELLIGENCE DIRECTORATE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80" w:line="276" w:lineRule="auto"/>
      <w:jc w:val="left"/>
    </w:pPr>
    <w:r>
      <w:rPr>
        <w:rFonts w:ascii="Malgun Gothic" w:hAnsi="Malgun Gothic"/>
        <w:b/>
        <w:i w:val="0"/>
        <w:color w:val="6B7280"/>
        <w:sz w:val="16"/>
        <w:rFonts w:ascii="Malgun Gothic" w:eastAsia="Malgun Gothic" w:hAnsi="Malgun Gothic"/>
      </w:rPr>
      <w:t xml:space="preserve">UNCLASSIFIED // 56-USCN-05 // 미중 전략적 통상마찰 및 기술 디커플링 동학 평가</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
  <dc:language/>
</cp:coreProperties>
</file>