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Malgun Gothic" w:hAnsi="Malgun Gothic"/>
          <w:b/>
          <w:i w:val="0"/>
          <w:color w:val="C8102E"/>
          <w:sz w:val="17"/>
          <w:rFonts w:ascii="Malgun Gothic" w:eastAsia="Malgun Gothic" w:hAnsi="Malgun Gothic"/>
        </w:rPr>
        <w:t xml:space="preserve">APPROVED FOR PUBLIC RELEASE BY INTELLIGENCE ASSESSMENT DIRECTORATE on 21 September 2026</w:t>
      </w:r>
    </w:p>
    <w:tbl>
      <w:tblPr>
        <w:tblW w:type="auto" w:w="0"/>
        <w:jc w:val="center"/>
        <w:tblLayout w:type="fixed"/>
        <w:tblLook w:firstColumn="1" w:firstRow="1" w:lastColumn="0" w:lastRow="0" w:noHBand="0" w:noVBand="1" w:val="04A0"/>
      </w:tblPr>
      <w:tblGrid>
        <w:gridCol w:w="3324"/>
        <w:gridCol w:w="3324"/>
        <w:gridCol w:w="3324"/>
      </w:tblGrid>
      <w:tr>
        <w:tc>
          <w:tcPr>
            <w:tcW w:type="dxa" w:w="2592"/>
            <w:tcMar>
              <w:top w:w="40" w:type="dxa"/>
              <w:bottom w:w="40" w:type="dxa"/>
              <w:left w:w="40" w:type="dxa"/>
              <w:right w:w="40" w:type="dxa"/>
            </w:tcMar>
            <w:vAlign w:val="center"/>
          </w:tcPr>
          <w:p>
            <w:pPr>
              <w:spacing w:before="0" w:after="40" w:line="276" w:lineRule="auto"/>
              <w:jc w:val="left"/>
            </w:pPr>
            <w:r>
              <w:rPr>
                <w:rFonts w:ascii="Malgun Gothic" w:hAnsi="Malgun Gothic"/>
                <w:b w:val="0"/>
                <w:i w:val="0"/>
                <w:color w:val="4B5563"/>
                <w:sz w:val="16"/>
                <w:rFonts w:ascii="Malgun Gothic" w:eastAsia="Malgun Gothic" w:hAnsi="Malgun Gothic"/>
              </w:rPr>
              <w:t>FORM IA-1036 (Rev. 2026-09)</w:t>
            </w:r>
          </w:p>
        </w:tc>
        <w:tc>
          <w:tcPr>
            <w:tcW w:type="dxa" w:w="4896"/>
            <w:tcMar>
              <w:top w:w="40" w:type="dxa"/>
              <w:bottom w:w="40" w:type="dxa"/>
              <w:left w:w="40" w:type="dxa"/>
              <w:right w:w="40" w:type="dxa"/>
            </w:tcMar>
            <w:vAlign w:val="center"/>
          </w:tcPr>
          <w:p>
            <w:pPr>
              <w:spacing w:before="0" w:after="40" w:line="276" w:lineRule="auto"/>
              <w:jc w:val="center"/>
            </w:pPr>
            <w:r>
              <w:rPr>
                <w:rFonts w:ascii="Malgun Gothic" w:hAnsi="Malgun Gothic"/>
                <w:b/>
                <w:i w:val="0"/>
                <w:color w:val="111827"/>
                <w:sz w:val="19"/>
                <w:rFonts w:ascii="Malgun Gothic" w:eastAsia="Malgun Gothic" w:hAnsi="Malgun Gothic"/>
              </w:rPr>
              <w:t>UNCLASSIFIED</w:t>
            </w:r>
          </w:p>
        </w:tc>
        <w:tc>
          <w:tcPr>
            <w:tcW w:type="dxa" w:w="2592"/>
            <w:tcMar>
              <w:top w:w="40" w:type="dxa"/>
              <w:bottom w:w="40" w:type="dxa"/>
              <w:left w:w="40" w:type="dxa"/>
              <w:right w:w="40" w:type="dxa"/>
            </w:tcMar>
            <w:vAlign w:val="center"/>
          </w:tcPr>
          <w:p>
            <w:pPr>
              <w:spacing w:before="0" w:after="40" w:line="240" w:lineRule="auto"/>
              <w:jc w:val="right"/>
            </w:pPr>
            <w:r>
              <w:rPr>
                <w:rFonts w:ascii="Malgun Gothic" w:hAnsi="Malgun Gothic"/>
                <w:b/>
                <w:i w:val="0"/>
                <w:color w:val="374151"/>
                <w:sz w:val="13"/>
                <w:rFonts w:ascii="Malgun Gothic" w:eastAsia="Malgun Gothic" w:hAnsi="Malgun Gothic"/>
              </w:rPr>
              <w:t>[ OFFICIAL RECORD ]</w:t>
              <w:br/>
              <w:t>AUTHENTICATED</w:t>
            </w:r>
          </w:p>
        </w:tc>
      </w:tr>
    </w:tbl>
    <w:p>
      <w:pPr>
        <w:spacing w:before="160" w:after="40" w:line="276" w:lineRule="auto"/>
        <w:jc w:val="center"/>
      </w:pPr>
      <w:r>
        <w:rPr>
          <w:rFonts w:ascii="Malgun Gothic" w:hAnsi="Malgun Gothic"/>
          <w:b/>
          <w:i w:val="0"/>
          <w:color w:val="111827"/>
          <w:sz w:val="28"/>
          <w:rFonts w:ascii="Malgun Gothic" w:eastAsia="Malgun Gothic" w:hAnsi="Malgun Gothic"/>
        </w:rPr>
        <w:t>INTERNATIONAL AFFAIRS INTELLIGENCE DIRECTORATE</w:t>
      </w:r>
    </w:p>
    <w:p>
      <w:pPr>
        <w:spacing w:before="0" w:after="120" w:line="276" w:lineRule="auto"/>
        <w:jc w:val="center"/>
      </w:pPr>
      <w:r>
        <w:rPr>
          <w:rFonts w:ascii="Malgun Gothic" w:hAnsi="Malgun Gothic"/>
          <w:b w:val="0"/>
          <w:i w:val="0"/>
          <w:color w:val="4B5563"/>
          <w:sz w:val="19"/>
          <w:rFonts w:ascii="Malgun Gothic" w:eastAsia="Malgun Gothic" w:hAnsi="Malgun Gothic"/>
        </w:rPr>
        <w:t>Strategic Threat &amp; Geopolitical Assessment Form  |  국제정세 및 전략위협 평가보고서</w:t>
      </w:r>
    </w:p>
    <w:tbl>
      <w:tblPr>
        <w:tblW w:type="auto" w:w="0"/>
        <w:jc w:val="center"/>
        <w:tblLayout w:type="fixed"/>
        <w:tblLook w:firstColumn="1" w:firstRow="1" w:lastColumn="0" w:lastRow="0" w:noHBand="0" w:noVBand="1" w:val="04A0"/>
        <w:tblBorders>
          <w:top w:val="single" w:sz="6" w:space="0" w:color="9CA3AF"/>
          <w:bottom w:val="single" w:sz="6" w:space="0" w:color="9CA3AF"/>
          <w:insideH w:val="single" w:sz="6" w:space="0" w:color="9CA3AF"/>
          <w:insideV w:val="none"/>
          <w:left w:val="none"/>
          <w:right w:val="none"/>
        </w:tblBorders>
      </w:tblPr>
      <w:tblGrid>
        <w:gridCol w:w="4986"/>
        <w:gridCol w:w="4986"/>
      </w:tblGrid>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Form Type: IA-71A - Strategic Threat Dossier</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Date: 2026-09-21</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i w:val="0"/>
                <w:color w:val="111827"/>
                <w:sz w:val="17"/>
                <w:rFonts w:ascii="Malgun Gothic" w:eastAsia="Malgun Gothic" w:hAnsi="Malgun Gothic"/>
              </w:rPr>
              <w:t xml:space="preserve">Title: (U) 이란 핵농축 진전 및 중동 지역안보 파급영향 평가</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Approved By: [ ████████ ] CHIEF OF STRATEGIC ASSESSMENT</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Drafted By:  [ ████████ ] STRATEGIC REGIONAL DESK</w:t>
            </w:r>
          </w:p>
        </w:tc>
      </w:tr>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Case ID #: 56-IRN-04</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Subject: (U) IRANIAN ENRICHMENT BREAKOUT  RED SEA PROXY ACTIVITY</w:t>
            </w:r>
          </w:p>
        </w:tc>
      </w:tr>
    </w:tbl>
    <w:p>
      <w:pPr>
        <w:spacing w:before="160" w:after="40" w:line="276" w:lineRule="auto"/>
        <w:jc w:val="left"/>
      </w:pPr>
      <w:r>
        <w:rPr>
          <w:rFonts w:ascii="Malgun Gothic" w:hAnsi="Malgun Gothic"/>
          <w:b/>
          <w:i w:val="0"/>
          <w:color w:val="111827"/>
          <w:sz w:val="18"/>
          <w:rFonts w:ascii="Malgun Gothic" w:eastAsia="Malgun Gothic" w:hAnsi="Malgun Gothic"/>
        </w:rPr>
        <w:t xml:space="preserve">Synopsis: (U) DOCUMENT SYNOPSIS CREATED ON 2026-09-21 15:56 KST -- SEE STRATEGIC REPOSITORY FOR LIVE DATA</w:t>
      </w:r>
    </w:p>
    <w:p>
      <w:pPr>
        <w:spacing w:before="0" w:after="60" w:line="288" w:lineRule="auto"/>
        <w:jc w:val="left"/>
      </w:pPr>
      <w:r>
        <w:rPr>
          <w:rFonts w:ascii="Malgun Gothic" w:hAnsi="Malgun Gothic"/>
          <w:b w:val="0"/>
          <w:i w:val="0"/>
          <w:color w:val="1F2937"/>
          <w:sz w:val="17"/>
          <w:rFonts w:ascii="Malgun Gothic" w:eastAsia="Malgun Gothic" w:hAnsi="Malgun Gothic"/>
        </w:rPr>
        <w:t xml:space="preserve">(U) 2025년 1월 트럼프 2기 출범 이후 '최대 압박'과 협상 시도가 병행되다 2025년 6월 이스라엘·미국의 이란 핵시설 공습(포르도·나탄즈·이스파한)으로 충돌했고, 2026년 2월 28일에는 미·이스라엘의 2차 공습으로 최고지도자 하메네이가 피살되는 전면전으로 확대되었다. 2026년 6월 스위스에서 60일 로드맵 양해각서(MOU)가 체결됐으나 곧 붕괴했고, 9월 1일 현재 호르무즈 해협에서 기뢰·유조선 공격과 미군 보복 공습이 재개된 상태다.</w:t>
      </w:r>
    </w:p>
    <w:p>
      <w:pPr>
        <w:spacing w:before="0" w:after="160" w:line="288" w:lineRule="auto"/>
        <w:jc w:val="left"/>
      </w:pPr>
      <w:r>
        <w:rPr>
          <w:rFonts w:ascii="Malgun Gothic" w:hAnsi="Malgun Gothic"/>
          <w:b w:val="0"/>
          <w:i w:val="0"/>
          <w:color w:val="1F2937"/>
          <w:sz w:val="17"/>
          <w:rFonts w:ascii="Malgun Gothic" w:eastAsia="Malgun Gothic" w:hAnsi="Malgun Gothic"/>
        </w:rPr>
        <w:t xml:space="preserve">(U) 이란 핵협상 이슈는 2018년 트럼프 1기의 JCPOA 탈퇴 이후 누적된 불신 위에서, 트럼프 2기의 서한 외교와 오만 중재 간접협상, 두 차례의 대이란 군사작전, 그리고 최고지도자 교체라는 격변을 거치며 단순한 핵 비확산 문제에서 정권 존속과 중동 질서 재편이 걸린 전면적 지정학 위기로 전환되었다.</w:t>
      </w:r>
    </w:p>
    <w:p>
      <w:pPr>
        <w:spacing w:before="120" w:after="60" w:line="276" w:lineRule="auto"/>
        <w:jc w:val="left"/>
      </w:pPr>
      <w:r>
        <w:rPr>
          <w:rFonts w:ascii="Malgun Gothic" w:hAnsi="Malgun Gothic"/>
          <w:b/>
          <w:i w:val="0"/>
          <w:color w:val="111827"/>
          <w:sz w:val="20"/>
          <w:rFonts w:ascii="Malgun Gothic" w:eastAsia="Malgun Gothic" w:hAnsi="Malgun Gothic"/>
        </w:rPr>
        <w:t>1. 배경 및 정세 평가 (BACKGROUND AND SCOPE)</w:t>
      </w:r>
    </w:p>
    <w:p>
      <w:pPr>
        <w:spacing w:before="0" w:after="80" w:line="288" w:lineRule="auto"/>
        <w:jc w:val="left"/>
      </w:pPr>
      <w:r>
        <w:rPr>
          <w:rFonts w:ascii="Malgun Gothic" w:hAnsi="Malgun Gothic"/>
          <w:b w:val="0"/>
          <w:i w:val="0"/>
          <w:color w:val="1F2937"/>
          <w:sz w:val="17"/>
          <w:rFonts w:ascii="Malgun Gothic" w:eastAsia="Malgun Gothic" w:hAnsi="Malgun Gothic"/>
        </w:rPr>
        <w:t xml:space="preserve">(U) 트럼프 행정부는 '최대 압박' 제재와 서한 외교를 동시에 구사하다 두 차례(2025년 6월, 2026년 2월) 군사작전을 승인했으며, '농축 제로'를 협상의 마지노선으로 고수하고 있다. 재건자금도 국가 투자가 아닌 식량·의약품 구매로만 제한하는 등 일방적이고 거래적인 접근을 일관되게 유지하고 있다.</w:t>
      </w:r>
    </w:p>
    <w:p>
      <w:pPr>
        <w:spacing w:before="80" w:after="60" w:line="276" w:lineRule="auto"/>
        <w:jc w:val="left"/>
      </w:pPr>
      <w:r>
        <w:rPr>
          <w:rFonts w:ascii="Malgun Gothic" w:hAnsi="Malgun Gothic"/>
          <w:b/>
          <w:i w:val="0"/>
          <w:color w:val="1F2937"/>
          <w:sz w:val="18"/>
          <w:rFonts w:ascii="Malgun Gothic" w:eastAsia="Malgun Gothic" w:hAnsi="Malgun Gothic"/>
        </w:rPr>
        <w:t>주요 신호 및 사태 전개 타임라인 (Chronology of Key Intelligence Signals):</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단계 (Phase)</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관측 사안 및 정보 신호 (Observed Incident  Signal)</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1 (초기 관측)</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3월, 트럼프 대통령은 아랍에미리트를 통해 하메네이에게 친서를 보내 핵협상을 촉구하며 약 2개월의 시한을 제시했으나, 이란 지도부는 직접협상 요구를 공개적으로 거부하면서도 오만 중재를 통한 간접협상 가능성은 열어두었다.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2 (후속 전개)</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6월 13~24일 '12일 전쟁' 기간 중 미국은 6월 22일 '한밤의 망치 작전'으로 B-2 폭격기 7대와 GBU-57 벙커버스터 14발을 동원해 포르도·나탄즈·이스파한 핵시설을 타격했고, 이란은 카타르 알우데이드 기지를 공격한 뒤 6월 24일 휴전이 발효됐다. IAEA는 이후 포르도의 '거의 모든 민감 장비'가 파괴됐다고 확인했다.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현재 상태 (Current)</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2026년 2월 28일 미·이스라엘의 2차 공습('에픽 퓨리 작전')으로 하메네이가 사망하고 아들 모즈타바 하메네이가 후계자로 지명됐으며, 40일간의 전면전 끝에 4월 파키스탄 중재 휴전, 6월 17일 스위스 14개항 MOU가 체결됐다. 그러나 7월 휴전이 재붕괴됐고 9월 1일 현재 호르무즈 해협 기뢰 공격과 미군 재타격이 이어지며 공식 협상은 사실상 중단 상태다.</w:t>
            </w:r>
          </w:p>
        </w:tc>
      </w:tr>
    </w:tbl>
    <w:p>
      <w:pPr>
        <w:spacing w:before="100" w:after="160" w:line="288" w:lineRule="auto"/>
        <w:jc w:val="left"/>
      </w:pPr>
      <w:r>
        <w:rPr>
          <w:rFonts w:ascii="Malgun Gothic" w:hAnsi="Malgun Gothic"/>
          <w:b w:val="0"/>
          <w:i w:val="0"/>
          <w:color w:val="1F2937"/>
          <w:sz w:val="17"/>
          <w:rFonts w:ascii="Malgun Gothic" w:eastAsia="Malgun Gothic" w:hAnsi="Malgun Gothic"/>
        </w:rPr>
        <w:t xml:space="preserve">(U) 분석관 평가 (Analyst Assessment): 군사작전으로 핵시설이 파손됐지만 미 국방정보국(DIA) 유출 보고서와 IAEA는 프로그램 지연이 '수개월'에 불과하다고 평가한 반면 미 정부는 '약 2년' 지연을 주장하는 등 피해 평가가 크게 엇갈려, 실제 이란의 핵개발 능력 회복 속도는 불확실하다.</w:t>
      </w:r>
    </w:p>
    <w:p>
      <w:pPr>
        <w:spacing w:before="120" w:after="60" w:line="276" w:lineRule="auto"/>
        <w:jc w:val="left"/>
      </w:pPr>
      <w:r>
        <w:rPr>
          <w:rFonts w:ascii="Malgun Gothic" w:hAnsi="Malgun Gothic"/>
          <w:b/>
          <w:i w:val="0"/>
          <w:color w:val="111827"/>
          <w:sz w:val="20"/>
          <w:rFonts w:ascii="Malgun Gothic" w:eastAsia="Malgun Gothic" w:hAnsi="Malgun Gothic"/>
        </w:rPr>
        <w:t>2. 주요 당사국 전략적 태세 (STAKEHOLDER STRATEGIC POSTURE)</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당사국 (Actor)</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공식 입장 및 전략적 대응 태세 (Official Stance  Strategic Posture)</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미국 (United States)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미국은 이란의 핵무기 보유 저지를 최우선 목표로 군사적 옵션 사용을 불사하며 '농축 제로'와 탄도미사일 문제 논의를 요구하고, 새 지도부(모즈타바 하메네이)와도 협상할 용의를 내비치지만 신뢰 회복은 요원한 상태다.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중국 (China)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중국은 이란산 원유의 최대 수입국으로 미국의 대중 제재(2026년 4~5월, 12개 기업 대상) 대상이 되면서도 러시아와 함께 유엔 스냅백 제재의 정당성에 이의를 제기하며 이란과의 에너지 거래를 지속하고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대한민국 (South Korea)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한국 정부는 미국 지지(38%)와 중립 유지(36%) 여론이 팽팽히 갈리는 가운데 공개적 입장 표명은 자제하면서도, 원유 수입선 다변화를 위한 '산업자원안보기금' 신설을 추진하는 등 실용적 대응에 무게를 두고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기타 주요국 (Other Actors)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이스라엘은 2026년 6월 MOU에 직접 서명하지 않았고 벤그비르 국가안보장관은 '트럼프의 합의가 우리를 구속하지 않는다'고 밝히는 등 독자 행동 여지를 남겼다. 반면 오만·카타르는 핵심 중재자로서 8월 26일 이란과 호르무즈 수익 분배 협정을 맺는 등 걸프국 내에서도 대이란 입장이 갈린다.</w:t>
            </w:r>
          </w:p>
        </w:tc>
      </w:tr>
    </w:tbl>
    <w:p>
      <w:pPr>
        <w:spacing w:before="200" w:after="60" w:line="276" w:lineRule="auto"/>
        <w:jc w:val="left"/>
      </w:pPr>
      <w:r>
        <w:rPr>
          <w:rFonts w:ascii="Malgun Gothic" w:hAnsi="Malgun Gothic"/>
          <w:b/>
          <w:i w:val="0"/>
          <w:color w:val="111827"/>
          <w:sz w:val="20"/>
          <w:rFonts w:ascii="Malgun Gothic" w:eastAsia="Malgun Gothic" w:hAnsi="Malgun Gothic"/>
        </w:rPr>
        <w:t>3. 경제 및 안보 파급영향 분석 (ECONOMIC AND SECURITY IMPACT ANALYSIS)</w:t>
      </w:r>
    </w:p>
    <w:p>
      <w:pPr>
        <w:spacing w:before="80" w:after="40" w:line="276" w:lineRule="auto"/>
        <w:jc w:val="left"/>
      </w:pPr>
      <w:r>
        <w:rPr>
          <w:rFonts w:ascii="Malgun Gothic" w:hAnsi="Malgun Gothic"/>
          <w:b/>
          <w:i w:val="0"/>
          <w:color w:val="1F2937"/>
          <w:sz w:val="18"/>
          <w:rFonts w:ascii="Malgun Gothic" w:eastAsia="Malgun Gothic" w:hAnsi="Malgun Gothic"/>
        </w:rPr>
        <w:t>■ 안보 및 군사적 파급효과 (Security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한반도 안보 영향: 이란이 이스라엘 타격에 사용한 가드르·에마드 미사일은 1980~90년대 북한이 이전한 노동(샤하브-3)·스커드 계열 설계에 기반한 것으로, 전문가들은 '북한의 지원 없었다면 이란이 완패했을 것'이라 평가한다. 이는 북한 미사일 기술이 실전에서 검증됐다는 의미로, 북핵·미사일 위협 평가에 간접적이지만 실질적인 시사점을 준다.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동맹 구도 및 방위태세: 중동 사태로 미군 자산과 외교적 관심이 상당 부분 분산되면서, 한반도 방위와 관련된 미국의 전략자산 운용·확장억제 여력에 대한 우려가 한국 안보 커뮤니티에서 제기되고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군사적 위협 수준: 실전에서 검증된 북한계 미사일 기술이 이란을 통해 고도화(사거리·정확도 개선)되는 정황은, 향후 북한의 대남 미사일 위협 평가 시 실전 성능 데이터로 참고될 수 있다는 점에서 안보 당국의 주목을 받고 있다.</w:t>
      </w:r>
    </w:p>
    <w:p>
      <w:pPr>
        <w:spacing w:before="80" w:after="40" w:line="276" w:lineRule="auto"/>
        <w:jc w:val="left"/>
      </w:pPr>
      <w:r>
        <w:rPr>
          <w:rFonts w:ascii="Malgun Gothic" w:hAnsi="Malgun Gothic"/>
          <w:b/>
          <w:i w:val="0"/>
          <w:color w:val="1F2937"/>
          <w:sz w:val="18"/>
          <w:rFonts w:ascii="Malgun Gothic" w:eastAsia="Malgun Gothic" w:hAnsi="Malgun Gothic"/>
        </w:rPr>
        <w:t>■ 경제 및 통상 파급효과 (Economic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통상 및 관세 영향: 국내 건설사의 2026년 1~5월 중동 수주액은 전년 대비 90% 급감(약 5.6억 달러, 전체 해외수주 비중 60.4%→14.6%)했으나, 종전 논의 진전 시 삼성E 등이 향후 3년간 최대 1,400억 달러 규모 재건 프로젝트의 수혜를 받을 잠재력이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외환 및 금융시장 영향: 원/달러 환율이 경제위기 수준인 1,500원대를 넘나드는 등 유가 급등과 안전자산 선호가 겹치며 원화 약세 압력이 심화됐다.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핵심 산업 및 투자 영향: OECD가 불과 3개월 만에 한국의 2026년 성장률 전망치를 2.1%에서 1.7%로 하향 조정했는데 이는 일본(0.9%)·중국(4.4%)·미국(2.0%) 전망치가 유지되거나 상향된 것과 대조적으로, 에너지 다소비형 제조업(석유화학·철강·반도체) 중심의 산업구조가 투자심리에 부담을 주고 있다.</w:t>
      </w:r>
    </w:p>
    <w:p>
      <w:pPr>
        <w:spacing w:before="80" w:after="40" w:line="276" w:lineRule="auto"/>
        <w:jc w:val="left"/>
      </w:pPr>
      <w:r>
        <w:rPr>
          <w:rFonts w:ascii="Malgun Gothic" w:hAnsi="Malgun Gothic"/>
          <w:b/>
          <w:i w:val="0"/>
          <w:color w:val="1F2937"/>
          <w:sz w:val="18"/>
          <w:rFonts w:ascii="Malgun Gothic" w:eastAsia="Malgun Gothic" w:hAnsi="Malgun Gothic"/>
        </w:rPr>
        <w:t>■ 여론 및 전문가 평가 (Public Opinion  Expert Assessment)</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국내외 여론 동향: 여론조사(hrcopinion, 2026)에 따르면 국민 86%가 이번 전쟁에 관심을 갖고 있으며 92%가 경제에, 79%가 안보에 영향이 있다고 답했다. 미국의 군사작전에는 26%만 정당성을 인정했고 63%는 '작전이 과도했다'고 평가하는 등 비판적 여론이 우세했다.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학계·싱크탱크 전문가 평가: 국내 경제 전문가들은 한국이 원유의 70%·LNG의 20%를 호르무즈 경유 중동에 의존하고 1인당 에너지 소비량이 OECD 평균보다 44% 높은 구조적 취약성 때문에 동일한 충격에도 일본·중국·미국보다 더 크게 흔들린다고 지적하며, 정제설비의 중질유 특화로 수입선 다변화도 단기간에 쉽지 않다고 평가한다.</w:t>
      </w:r>
    </w:p>
    <w:p>
      <w:pPr>
        <w:spacing w:before="200" w:after="60" w:line="276" w:lineRule="auto"/>
        <w:jc w:val="left"/>
      </w:pPr>
      <w:r>
        <w:rPr>
          <w:rFonts w:ascii="Malgun Gothic" w:hAnsi="Malgun Gothic"/>
          <w:b/>
          <w:i w:val="0"/>
          <w:color w:val="111827"/>
          <w:sz w:val="20"/>
          <w:rFonts w:ascii="Malgun Gothic" w:eastAsia="Malgun Gothic" w:hAnsi="Malgun Gothic"/>
        </w:rPr>
        <w:t>4. 위험 전망 및 불확실성 요인 (RISK OUTLOOK AND UNCERTAINTY ANALYSIS)</w:t>
      </w:r>
    </w:p>
    <w:p>
      <w:pPr>
        <w:spacing w:before="0" w:after="20" w:line="276" w:lineRule="auto"/>
        <w:jc w:val="left"/>
      </w:pPr>
      <w:r>
        <w:rPr>
          <w:rFonts w:ascii="Malgun Gothic" w:hAnsi="Malgun Gothic"/>
          <w:b/>
          <w:i w:val="0"/>
          <w:color w:val="1F2937"/>
          <w:sz w:val="17"/>
          <w:rFonts w:ascii="Malgun Gothic" w:eastAsia="Malgun Gothic" w:hAnsi="Malgun Gothic"/>
        </w:rPr>
        <w:t xml:space="preserve">(U) 단기 전망 (3~6개월): 향후 수개월간은 호르무즈 해협을 둘러싼 저강도 공격과 미군의 보복 공습이 간헐적으로 반복되며 유가 변동성이 지속될 가능성이 높고, 카타르·파키스탄 중재의 공식 협상 재개는 제한적일 것으로 보인다.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유력 시나리오: 가장 유력한 단기 시나리오는 전면적 재확전도 완전한 평화협정도 아닌 '불안정한 소강상태'로, 해협 통항이 부분 회복(전쟁 전 대비 약 절반 수준)된 상태에서 산발적 공격이 반복되는 흐름이다.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중기 전망 (1~3년): 6월 MOU에서 설정된 기술 실무협상(핵·제재·분쟁해결)이 재가동될지가 관건이며, 성사되면 300억~500억 달러 규모 석유·가스 인프라 복구와 최대 3,000억 달러 재건기금 논의가 본격화될 수 있다.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주요 전환점: 검증 가능한 핵 합의 체결과 호르무즈 완전 재개방 여부가 중기 국면의 전환점으로, 이것이 이뤄지면 중동 건설·에너지 시장이 재건 특수 국면으로 전환되고 실패하면 장기 소모전으로 고착될 것이다.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장기 구조적 변화: RAND 등 전문가들은 하메네이 사후 이란 정치체제가 근본적으로 변형되었으며 정통성 회복에는 수년~수십 년이 걸릴 수 있다고 평가하고, 이란의 대리세력(헤즈볼라 등) 네트워크는 구조적으로 약화되는 반면 이스라엘-아랍권 관계는 재편될 가능성이 있다고 본다.</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 구조적 리스크: 이번 사태로 중동의 힘의 균형이 이란 축에서 걸프 산유국·이스라엘 축으로 이동하고 있으며, 오만·카타르 등 중재국의 외교적 영향력이 확대되는 구조적 변화가 나타나고 있다.</w:t>
      </w:r>
    </w:p>
    <w:p>
      <w:pPr>
        <w:spacing w:before="60" w:after="40" w:line="276" w:lineRule="auto"/>
        <w:jc w:val="left"/>
      </w:pPr>
      <w:r>
        <w:rPr>
          <w:rFonts w:ascii="Malgun Gothic" w:hAnsi="Malgun Gothic"/>
          <w:b/>
          <w:i w:val="0"/>
          <w:color w:val="1F2937"/>
          <w:sz w:val="18"/>
          <w:rFonts w:ascii="Malgun Gothic" w:eastAsia="Malgun Gothic" w:hAnsi="Malgun Gothic"/>
        </w:rPr>
        <w:t>핵심 불확실성 요인 (Key Uncertainties):</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1. 정권 안정성 불확실성: 세습 없는 최고지도자 체제라는 원칙을 깨고 등극한 모즈타바 하메네이가 아버지가 36년간 구축한 통치 구조를 유지할 능력이 있는지가 향후 이란의 협상 태도와 내부 안정을 좌우할 핵심 변수다.</w:t>
        <w:br/>
        <w:t xml:space="preserve">• 2. 휴전의 지속가능성: 4월과 6월 두 차례 합의된 휴전이 모두 붕괴한 전례가 있고 이스라엘이 MOU 당사자가 아니므로, 향후에도 국지적 교전이 전면전으로 재확산될 위험이 상존한다.</w:t>
        <w:br/>
        <w:t xml:space="preserve">• 3. 핵물질·검증 문제: 이란이 보유한 60% 농축 우라늄 재고의 소재를 IAEA에 공개하지 않아 '지식의 연속성'이 끊긴 상태로, 검증 가능한 비핵화 합의가 이뤄질지, 은닉된 재고가 재무기화될지가 불투명하다.</w:t>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5. 핵심 전략적 정책 제언 (KEY STRATEGIC RECOMMENDATIONS)</w:t>
      </w:r>
    </w:p>
    <w:p>
      <w:pPr>
        <w:spacing w:before="0" w:after="80" w:line="276" w:lineRule="auto"/>
        <w:jc w:val="left"/>
      </w:pPr>
      <w:r>
        <w:rPr>
          <w:rFonts w:ascii="Malgun Gothic" w:hAnsi="Malgun Gothic"/>
          <w:b w:val="0"/>
          <w:i w:val="0"/>
          <w:color w:val="1F2937"/>
          <w:sz w:val="17"/>
          <w:rFonts w:ascii="Malgun Gothic" w:eastAsia="Malgun Gothic" w:hAnsi="Malgun Gothic"/>
        </w:rPr>
        <w:t xml:space="preserve">■ 제언 1 (대응 전략 / Response Strategy)</w:t>
        <w:br/>
        <w:t xml:space="preserve">정부는 원유 수입선 다변화, 산업자원안보기금 신설, 정유업계의 비중동산 원유 도입 확대 등 공급망 리스크 관리에 주력하는 한편, 종전 이후 재건 시장 선점을 위해 건설·플랜트 업계와의 정보 공유 및 수주 지원을 병행하고 있다.</w:t>
        <w:br/>
        <w:br/>
        <w:t xml:space="preserve">■ 제언 2 (다자외교 포지셔닝 / Multilateral Positioning)</w:t>
        <w:br/>
        <w:t xml:space="preserve">한국은 전통적 한미동맹과 중국·이란 등 에너지 공급망 이해관계 사이에서 명시적 편들기를 자제하는 균형 외교 기조를 유지하며, 인도적·경제적 측면(교민 안전, 원유 수급)에 정책 우선순위를 두고 있다.</w:t>
        <w:br/>
        <w:br/>
        <w:t xml:space="preserve">■ 제언 3 (한미 공조 및 파급효과 / ROK-US Coordination)</w:t>
        <w:br/>
        <w:t xml:space="preserve">한미 양국은 동맹 차원의 직접적 마찰은 없으나, 미국의 중동 우선순위 상승이 한반도 정책·주한미군 태세 논의에 미칠 파급 효과와 한국의 대미 공개 지지 여부를 둘러싼 국내 여론 분열(지지 38% vs 중립 36%)이 외교적 부담으로 작용하고 있다.</w:t>
        <w:br/>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6. 데이터베이스 검증 쿼리 및 분석 방법론 (DATABASE QUERIES  METHODOLOGY)</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Wikipedia Pageviews (대중적 관심도): 'Iran Nuclear' 일일 조회수 22,180, 7일 대비 변동성 +31.5% 관측.</w:t>
        <w:br/>
        <w:t xml:space="preserve">• Guardian 정부 공식 발표 (외교부/국무부/해당국 피드): 11 matches (IAEA, IRNA, 미 국무부) 매칭 확인.</w:t>
        <w:br/>
        <w:t xml:space="preserve">• 3개 AI 모델 합의도 (Mistral-7B, Qwen2.5-7B, EXAONE-3.5): 미디어 프레이밍 'ELEVATED RISK (핵임계 도달 위험)' (100.0% (3/3 일치) 일치).</w:t>
        <w:br/>
        <w:t xml:space="preserve">• Sentinel IFCN 검증 팩트체크: 공식 발표 및 주요 언론 피드 대상 허위·왜곡 정보 0건 확인.</w:t>
        <w:br/>
        <w:t xml:space="preserve"/>
      </w:r>
    </w:p>
    <w:p>
      <w:pPr>
        <w:spacing w:before="60" w:after="40" w:line="276" w:lineRule="auto"/>
        <w:jc w:val="left"/>
      </w:pPr>
      <w:r>
        <w:rPr>
          <w:rFonts w:ascii="Malgun Gothic" w:hAnsi="Malgun Gothic"/>
          <w:b/>
          <w:i w:val="0"/>
          <w:color w:val="1F2937"/>
          <w:sz w:val="18"/>
          <w:rFonts w:ascii="Malgun Gothic" w:eastAsia="Malgun Gothic" w:hAnsi="Malgun Gothic"/>
        </w:rPr>
        <w:t>주요 출처 및 팩트체크 로그 (Key Sources  Verification Log):</w:t>
      </w:r>
    </w:p>
    <w:p>
      <w:pPr>
        <w:spacing w:before="0" w:after="120" w:line="276" w:lineRule="auto"/>
        <w:jc w:val="left"/>
      </w:pPr>
      <w:r>
        <w:rPr>
          <w:rFonts w:ascii="Malgun Gothic" w:hAnsi="Malgun Gothic"/>
          <w:b w:val="0"/>
          <w:i w:val="0"/>
          <w:color w:val="4B5563"/>
          <w:sz w:val="17"/>
          <w:rFonts w:ascii="Malgun Gothic" w:eastAsia="Malgun Gothic" w:hAnsi="Malgun Gothic"/>
        </w:rPr>
        <w:t xml:space="preserve">Arms Control Association; Al Jazeera (2026.06.22); The Spokesman-Review (2026.09.01).</w:t>
      </w:r>
    </w:p>
    <w:p>
      <w:pPr>
        <w:spacing w:before="80" w:after="40" w:line="276" w:lineRule="auto"/>
        <w:jc w:val="left"/>
      </w:pPr>
      <w:r>
        <w:rPr>
          <w:rFonts w:ascii="Malgun Gothic" w:hAnsi="Malgun Gothic"/>
          <w:b/>
          <w:i w:val="0"/>
          <w:color w:val="1F2937"/>
          <w:sz w:val="18"/>
          <w:rFonts w:ascii="Malgun Gothic" w:eastAsia="Malgun Gothic" w:hAnsi="Malgun Gothic"/>
        </w:rPr>
        <w:t>첨부 증빙 자료 (Enclosure(s)):</w:t>
      </w:r>
    </w:p>
    <w:p>
      <w:pPr>
        <w:spacing w:before="0" w:after="160" w:line="276" w:lineRule="auto"/>
        <w:jc w:val="left"/>
      </w:pPr>
      <w:r>
        <w:rPr>
          <w:rFonts w:ascii="Malgun Gothic" w:hAnsi="Malgun Gothic"/>
          <w:b w:val="0"/>
          <w:i w:val="0"/>
          <w:color w:val="4B5563"/>
          <w:sz w:val="17"/>
          <w:rFonts w:ascii="Malgun Gothic" w:eastAsia="Malgun Gothic" w:hAnsi="Malgun Gothic"/>
        </w:rPr>
        <w:t xml:space="preserve">• 1.  U Official_Announcements_Matching_Audit.csv</w:t>
        <w:br/>
        <w:t xml:space="preserve">• 2.  U Wikipedia_Pageviews_7Day_Trend.png</w:t>
        <w:br/>
        <w:t xml:space="preserve">• 3.  U Multi_Agent_Consensus_Audit_Matrix.json</w:t>
        <w:br/>
        <w:t xml:space="preserve"/>
      </w:r>
    </w:p>
    <w:p>
      <w:pPr>
        <w:spacing w:before="160" w:after="240" w:line="276" w:lineRule="auto"/>
        <w:jc w:val="center"/>
      </w:pPr>
      <w:r>
        <w:rPr>
          <w:rFonts w:ascii="Malgun Gothic" w:hAnsi="Malgun Gothic"/>
          <w:b/>
          <w:i w:val="0"/>
          <w:color w:val="1F2937"/>
          <w:sz w:val="20"/>
          <w:rFonts w:ascii="Malgun Gothic" w:eastAsia="Malgun Gothic" w:hAnsi="Malgun Gothic"/>
        </w:rPr>
        <w:t>◆◆</w:t>
      </w:r>
    </w:p>
    <w:sectPr w:rsidR="00FC693F" w:rsidRPr="0006063C" w:rsidSect="00034616">
      <w:headerReference w:type="default" r:id="rId9"/>
      <w:footerReference w:type="default" r:id="rId10"/>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76" w:lineRule="auto"/>
      <w:jc w:val="center"/>
    </w:pPr>
    <w:r>
      <w:rPr>
        <w:rFonts w:ascii="Malgun Gothic" w:hAnsi="Malgun Gothic"/>
        <w:b w:val="0"/>
        <w:i w:val="0"/>
        <w:color w:val="9CA3AF"/>
        <w:sz w:val="16"/>
        <w:rFonts w:ascii="Malgun Gothic" w:eastAsia="Malgun Gothic" w:hAnsi="Malgun Gothic"/>
      </w:rPr>
      <w:t>UNCLASSIFIED  |  INTERNATIONAL AFFAIRS INTELLIGENCE DIRECTORATE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276" w:lineRule="auto"/>
      <w:jc w:val="left"/>
    </w:pPr>
    <w:r>
      <w:rPr>
        <w:rFonts w:ascii="Malgun Gothic" w:hAnsi="Malgun Gothic"/>
        <w:b/>
        <w:i w:val="0"/>
        <w:color w:val="6B7280"/>
        <w:sz w:val="16"/>
        <w:rFonts w:ascii="Malgun Gothic" w:eastAsia="Malgun Gothic" w:hAnsi="Malgun Gothic"/>
      </w:rPr>
      <w:t xml:space="preserve">UNCLASSIFIED // 56-IRN-04 // 이란 핵농축 진전 및 중동 지역안보 파급영향 평가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