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Malgun Gothic" w:hAnsi="Malgun Gothic"/>
          <w:b/>
          <w:i w:val="0"/>
          <w:color w:val="C8102E"/>
          <w:sz w:val="17"/>
          <w:rFonts w:ascii="Malgun Gothic" w:eastAsia="Malgun Gothic" w:hAnsi="Malgun Gothic"/>
        </w:rPr>
        <w:t xml:space="preserve">APPROVED FOR PUBLIC RELEASE BY INTELLIGENCE ASSESSMENT DIRECTORATE on 21 September 2026</w:t>
      </w:r>
    </w:p>
    <w:tbl>
      <w:tblPr>
        <w:tblW w:type="auto" w:w="0"/>
        <w:jc w:val="center"/>
        <w:tblLayout w:type="fixed"/>
        <w:tblLook w:firstColumn="1" w:firstRow="1" w:lastColumn="0" w:lastRow="0" w:noHBand="0" w:noVBand="1" w:val="04A0"/>
      </w:tblPr>
      <w:tblGrid>
        <w:gridCol w:w="3324"/>
        <w:gridCol w:w="3324"/>
        <w:gridCol w:w="3324"/>
      </w:tblGrid>
      <w:tr>
        <w:tc>
          <w:tcPr>
            <w:tcW w:type="dxa" w:w="2592"/>
            <w:tcMar>
              <w:top w:w="40" w:type="dxa"/>
              <w:bottom w:w="40" w:type="dxa"/>
              <w:left w:w="40" w:type="dxa"/>
              <w:right w:w="40" w:type="dxa"/>
            </w:tcMar>
            <w:vAlign w:val="center"/>
          </w:tcPr>
          <w:p>
            <w:pPr>
              <w:spacing w:before="0" w:after="40" w:line="276" w:lineRule="auto"/>
              <w:jc w:val="left"/>
            </w:pPr>
            <w:r>
              <w:rPr>
                <w:rFonts w:ascii="Malgun Gothic" w:hAnsi="Malgun Gothic"/>
                <w:b w:val="0"/>
                <w:i w:val="0"/>
                <w:color w:val="4B5563"/>
                <w:sz w:val="16"/>
                <w:rFonts w:ascii="Malgun Gothic" w:eastAsia="Malgun Gothic" w:hAnsi="Malgun Gothic"/>
              </w:rPr>
              <w:t>FORM IA-1036 (Rev. 2026-09)</w:t>
            </w:r>
          </w:p>
        </w:tc>
        <w:tc>
          <w:tcPr>
            <w:tcW w:type="dxa" w:w="4896"/>
            <w:tcMar>
              <w:top w:w="40" w:type="dxa"/>
              <w:bottom w:w="40" w:type="dxa"/>
              <w:left w:w="40" w:type="dxa"/>
              <w:right w:w="40" w:type="dxa"/>
            </w:tcMar>
            <w:vAlign w:val="center"/>
          </w:tcPr>
          <w:p>
            <w:pPr>
              <w:spacing w:before="0" w:after="40" w:line="276" w:lineRule="auto"/>
              <w:jc w:val="center"/>
            </w:pPr>
            <w:r>
              <w:rPr>
                <w:rFonts w:ascii="Malgun Gothic" w:hAnsi="Malgun Gothic"/>
                <w:b/>
                <w:i w:val="0"/>
                <w:color w:val="111827"/>
                <w:sz w:val="19"/>
                <w:rFonts w:ascii="Malgun Gothic" w:eastAsia="Malgun Gothic" w:hAnsi="Malgun Gothic"/>
              </w:rPr>
              <w:t>UNCLASSIFIED</w:t>
            </w:r>
          </w:p>
        </w:tc>
        <w:tc>
          <w:tcPr>
            <w:tcW w:type="dxa" w:w="2592"/>
            <w:tcMar>
              <w:top w:w="40" w:type="dxa"/>
              <w:bottom w:w="40" w:type="dxa"/>
              <w:left w:w="40" w:type="dxa"/>
              <w:right w:w="40" w:type="dxa"/>
            </w:tcMar>
            <w:vAlign w:val="center"/>
          </w:tcPr>
          <w:p>
            <w:pPr>
              <w:spacing w:before="0" w:after="40" w:line="240" w:lineRule="auto"/>
              <w:jc w:val="right"/>
            </w:pPr>
            <w:r>
              <w:rPr>
                <w:rFonts w:ascii="Malgun Gothic" w:hAnsi="Malgun Gothic"/>
                <w:b/>
                <w:i w:val="0"/>
                <w:color w:val="374151"/>
                <w:sz w:val="13"/>
                <w:rFonts w:ascii="Malgun Gothic" w:eastAsia="Malgun Gothic" w:hAnsi="Malgun Gothic"/>
              </w:rPr>
              <w:t>[ OFFICIAL RECORD ]</w:t>
              <w:br/>
              <w:t>AUTHENTICATED</w:t>
            </w:r>
          </w:p>
        </w:tc>
      </w:tr>
    </w:tbl>
    <w:p>
      <w:pPr>
        <w:spacing w:before="160" w:after="40" w:line="276" w:lineRule="auto"/>
        <w:jc w:val="center"/>
      </w:pPr>
      <w:r>
        <w:rPr>
          <w:rFonts w:ascii="Malgun Gothic" w:hAnsi="Malgun Gothic"/>
          <w:b/>
          <w:i w:val="0"/>
          <w:color w:val="111827"/>
          <w:sz w:val="28"/>
          <w:rFonts w:ascii="Malgun Gothic" w:eastAsia="Malgun Gothic" w:hAnsi="Malgun Gothic"/>
        </w:rPr>
        <w:t>INTERNATIONAL AFFAIRS INTELLIGENCE DIRECTORATE</w:t>
      </w:r>
    </w:p>
    <w:p>
      <w:pPr>
        <w:spacing w:before="0" w:after="120" w:line="276" w:lineRule="auto"/>
        <w:jc w:val="center"/>
      </w:pPr>
      <w:r>
        <w:rPr>
          <w:rFonts w:ascii="Malgun Gothic" w:hAnsi="Malgun Gothic"/>
          <w:b w:val="0"/>
          <w:i w:val="0"/>
          <w:color w:val="4B5563"/>
          <w:sz w:val="19"/>
          <w:rFonts w:ascii="Malgun Gothic" w:eastAsia="Malgun Gothic" w:hAnsi="Malgun Gothic"/>
        </w:rPr>
        <w:t>Strategic Threat &amp; Geopolitical Assessment Form  |  국제정세 및 전략위협 평가보고서</w:t>
      </w:r>
    </w:p>
    <w:tbl>
      <w:tblPr>
        <w:tblW w:type="auto" w:w="0"/>
        <w:jc w:val="center"/>
        <w:tblLayout w:type="fixed"/>
        <w:tblLook w:firstColumn="1" w:firstRow="1" w:lastColumn="0" w:lastRow="0" w:noHBand="0" w:noVBand="1" w:val="04A0"/>
        <w:tblBorders>
          <w:top w:val="single" w:sz="6" w:space="0" w:color="9CA3AF"/>
          <w:bottom w:val="single" w:sz="6" w:space="0" w:color="9CA3AF"/>
          <w:insideH w:val="single" w:sz="6" w:space="0" w:color="9CA3AF"/>
          <w:insideV w:val="none"/>
          <w:left w:val="none"/>
          <w:right w:val="none"/>
        </w:tblBorders>
      </w:tblPr>
      <w:tblGrid>
        <w:gridCol w:w="4986"/>
        <w:gridCol w:w="4986"/>
      </w:tblGrid>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Form Type: IA-71A - Strategic Threat Dossier</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Date: 2026-09-21</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i w:val="0"/>
                <w:color w:val="111827"/>
                <w:sz w:val="17"/>
                <w:rFonts w:ascii="Malgun Gothic" w:eastAsia="Malgun Gothic" w:hAnsi="Malgun Gothic"/>
              </w:rPr>
              <w:t xml:space="preserve">Title: (U) 대만해협 군사적 긴장 및 양안관계 전략적 평가</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Approved By: [ ████████ ] CHIEF OF STRATEGIC ASSESSMENT</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Drafted By:  [ ████████ ] STRATEGIC REGIONAL DESK</w:t>
            </w:r>
          </w:p>
        </w:tc>
      </w:tr>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Case ID #: 56-TW-02</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Subject: (U) TAIWAN STRAIT ESCALATION  FIRST ISLAND CHAIN STABILITY</w:t>
            </w:r>
          </w:p>
        </w:tc>
      </w:tr>
    </w:tbl>
    <w:p>
      <w:pPr>
        <w:spacing w:before="160" w:after="40" w:line="276" w:lineRule="auto"/>
        <w:jc w:val="left"/>
      </w:pPr>
      <w:r>
        <w:rPr>
          <w:rFonts w:ascii="Malgun Gothic" w:hAnsi="Malgun Gothic"/>
          <w:b/>
          <w:i w:val="0"/>
          <w:color w:val="111827"/>
          <w:sz w:val="18"/>
          <w:rFonts w:ascii="Malgun Gothic" w:eastAsia="Malgun Gothic" w:hAnsi="Malgun Gothic"/>
        </w:rPr>
        <w:t xml:space="preserve">Synopsis: (U) DOCUMENT SYNOPSIS CREATED ON 2026-09-21 15:56 KST -- SEE STRATEGIC REPOSITORY FOR LIVE DATA</w:t>
      </w:r>
    </w:p>
    <w:p>
      <w:pPr>
        <w:spacing w:before="0" w:after="60" w:line="288" w:lineRule="auto"/>
        <w:jc w:val="left"/>
      </w:pPr>
      <w:r>
        <w:rPr>
          <w:rFonts w:ascii="Malgun Gothic" w:hAnsi="Malgun Gothic"/>
          <w:b w:val="0"/>
          <w:i w:val="0"/>
          <w:color w:val="1F2937"/>
          <w:sz w:val="17"/>
          <w:rFonts w:ascii="Malgun Gothic" w:eastAsia="Malgun Gothic" w:hAnsi="Malgun Gothic"/>
        </w:rPr>
        <w:t xml:space="preserve">(U) 2025년 1월 트럼프 2기 출범 이후 대만해협은 중국의 '회색지대' 군사압박 상시화, 미국의 거래적(transactional) 대만정책, 그리고 일본·한국 등 주변국의 입장 재정립이 겹치며 구조적으로 긴장이 높아진 국면에 있다. 2026년 9월 현재 CFR(외교협의회)은 이를 '전개 중(Developing)'인 국가간 전쟁 위험으로 분류하며 '치명적' 수준의 미국 이익 영향을 부여하고 있다.</w:t>
      </w:r>
    </w:p>
    <w:p>
      <w:pPr>
        <w:spacing w:before="0" w:after="160" w:line="288" w:lineRule="auto"/>
        <w:jc w:val="left"/>
      </w:pPr>
      <w:r>
        <w:rPr>
          <w:rFonts w:ascii="Malgun Gothic" w:hAnsi="Malgun Gothic"/>
          <w:b w:val="0"/>
          <w:i w:val="0"/>
          <w:color w:val="1F2937"/>
          <w:sz w:val="17"/>
          <w:rFonts w:ascii="Malgun Gothic" w:eastAsia="Malgun Gothic" w:hAnsi="Malgun Gothic"/>
        </w:rPr>
        <w:t xml:space="preserve">(U) 대만해협 문제는 시진핑의 '2049년 통일' 목표 하에 중국이 군사·경제적 압박 강도를 지속적으로 높이는 가운데, 트럼프 행정부가 전통적 '전략적 모호성'을 유지하되 대만을 대중(對中) 무역·안보 협상의 지렛대로 취급하는 거래적 태도를 보이면서 동맹국들 사이에서 미국의 안보 공약 신뢰성에 대한 우려가 커진 사안이다.</w:t>
      </w:r>
    </w:p>
    <w:p>
      <w:pPr>
        <w:spacing w:before="120" w:after="60" w:line="276" w:lineRule="auto"/>
        <w:jc w:val="left"/>
      </w:pPr>
      <w:r>
        <w:rPr>
          <w:rFonts w:ascii="Malgun Gothic" w:hAnsi="Malgun Gothic"/>
          <w:b/>
          <w:i w:val="0"/>
          <w:color w:val="111827"/>
          <w:sz w:val="20"/>
          <w:rFonts w:ascii="Malgun Gothic" w:eastAsia="Malgun Gothic" w:hAnsi="Malgun Gothic"/>
        </w:rPr>
        <w:t>1. 배경 및 정세 평가 (BACKGROUND AND SCOPE)</w:t>
      </w:r>
    </w:p>
    <w:p>
      <w:pPr>
        <w:spacing w:before="0" w:after="80" w:line="288" w:lineRule="auto"/>
        <w:jc w:val="left"/>
      </w:pPr>
      <w:r>
        <w:rPr>
          <w:rFonts w:ascii="Malgun Gothic" w:hAnsi="Malgun Gothic"/>
          <w:b w:val="0"/>
          <w:i w:val="0"/>
          <w:color w:val="1F2937"/>
          <w:sz w:val="17"/>
          <w:rFonts w:ascii="Malgun Gothic" w:eastAsia="Malgun Gothic" w:hAnsi="Malgun Gothic"/>
        </w:rPr>
        <w:t xml:space="preserve">(U) 트럼프 행정부는 취임 초 대만에 반도체 관세 위협을 가해 TSMC의 2500억 달러 규모 대미 투자와 40% 공급망 미국 이전 약속을 이끌어냈고(2026년 1월 협정, 미이행시 최대 100% 관세 위협), 12월 110억 달러 무기판매를 승인했지만 5월 시진핑과의 정상회담 후에는 140억 달러 후속 패키지를 중국의 태도에 연동시켜 보류함으로써 1982년 이래 대만 무기판매를 중국과 사전 논의하지 않는다는 원칙에서 이탈했다는 비판을 받고 있다.</w:t>
      </w:r>
    </w:p>
    <w:p>
      <w:pPr>
        <w:spacing w:before="80" w:after="60" w:line="276" w:lineRule="auto"/>
        <w:jc w:val="left"/>
      </w:pPr>
      <w:r>
        <w:rPr>
          <w:rFonts w:ascii="Malgun Gothic" w:hAnsi="Malgun Gothic"/>
          <w:b/>
          <w:i w:val="0"/>
          <w:color w:val="1F2937"/>
          <w:sz w:val="18"/>
          <w:rFonts w:ascii="Malgun Gothic" w:eastAsia="Malgun Gothic" w:hAnsi="Malgun Gothic"/>
        </w:rPr>
        <w:t>주요 신호 및 사태 전개 타임라인 (Chronology of Key Intelligence Signals):</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단계 (Phase)</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관측 사안 및 정보 신호 (Observed Incident  Signal)</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1 (초기 관측)</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4월 1~2일 중국은 '해협뇌정-2025A' 훈련을 실시해 첫날에만 대만 국방부 기준 76대의 군용기(37대가 중간선 통과)와 15척의 군함을 투입했고, 산둥함 항공모함 전단을 대만 동쪽에 배치했으며 가오슝 LNG 터미널 등 항만·에너지 시설에 대한 정밀타격 시뮬레이션 영상을 공개했다. 라이칭더 총통을 조롱하는 선전물까지 유포하며 미국의 대만 정책에 대한 불만을 노골적으로 표출했다는 평가를 받는다.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2 (후속 전개)</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6~7월 라이칭더 정부는 역대 최장 규모인 '한광(漢光) 2025' 훈련을 실시해 10일간의 실사격과 2주간의 비(非)각본형 워게임을 진행하며 비대칭전력·전 사회적 회복력 중심으로 방위태세를 전환했고, 같은 시기 한국에서는 이재명 대통령이 취임(6월)해 미중 사이 '실용외교'를 표방하면서 지역 안보 구도에 새 변수가 더해졌다.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현재 상태 (Current)</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2026년 9월 현재 시진핑의 군 숙청(2023년 이후 최고위 장성 절반 이상 교체)으로 인민해방군 지휘부가 재편되는 가운데, 중국은 인도네시아와의 대만 인근 연합훈련, 태풍 시 대만해협 '교통관제' 명분의 해경 활동 등 회색지대 압박을 지속하고 있으며, 대만은 라이칭더 총통이 처음으로 '참수 시나리오' 모의훈련에 직접 참여한 '한광 2026' 훈련과 연안전투사령부 신설로 대응하고 있다.</w:t>
            </w:r>
          </w:p>
        </w:tc>
      </w:tr>
    </w:tbl>
    <w:p>
      <w:pPr>
        <w:spacing w:before="100" w:after="160" w:line="288" w:lineRule="auto"/>
        <w:jc w:val="left"/>
      </w:pPr>
      <w:r>
        <w:rPr>
          <w:rFonts w:ascii="Malgun Gothic" w:hAnsi="Malgun Gothic"/>
          <w:b w:val="0"/>
          <w:i w:val="0"/>
          <w:color w:val="1F2937"/>
          <w:sz w:val="17"/>
          <w:rFonts w:ascii="Malgun Gothic" w:eastAsia="Malgun Gothic" w:hAnsi="Malgun Gothic"/>
        </w:rPr>
        <w:t xml:space="preserve">(U) 분석관 평가 (Analyst Assessment): CFR 등 전문기관은 군사균형이 '빠르게 중국에 유리하게 기울고 있다'고 평가하면서도 임박한 침공 시점을 특정하지는 않으며, 중국의 압박이 전면 침공보다는 봉쇄·회색지대 강압을 통한 점진적 현상변경에 초점을 두고 있다고 본다. 다만 트럼프 행정부의 대만 공약 일관성 저하가 억지력의 신뢰성을 약화시켜 오판 리스크를 높인다는 지적이 확산되고 있다.</w:t>
      </w:r>
    </w:p>
    <w:p>
      <w:pPr>
        <w:spacing w:before="120" w:after="60" w:line="276" w:lineRule="auto"/>
        <w:jc w:val="left"/>
      </w:pPr>
      <w:r>
        <w:rPr>
          <w:rFonts w:ascii="Malgun Gothic" w:hAnsi="Malgun Gothic"/>
          <w:b/>
          <w:i w:val="0"/>
          <w:color w:val="111827"/>
          <w:sz w:val="20"/>
          <w:rFonts w:ascii="Malgun Gothic" w:eastAsia="Malgun Gothic" w:hAnsi="Malgun Gothic"/>
        </w:rPr>
        <w:t>2. 주요 당사국 전략적 태세 (STAKEHOLDER STRATEGIC POSTURE)</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당사국 (Actor)</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공식 입장 및 전략적 대응 태세 (Official Stance  Strategic Posture)</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미국 (United States)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미국은 공식적으로는 '하나의 중국' 정책과 대만관계법·6대 보장을 유지한다고 밝히지만, 트럼프 대통령이 대만을 '좋은 협상 카드'로 표현하고 무기판매를 정상회담 협상 대상으로 삼으면서 초당적 의회(공화당 매카시·모레나 등)의 비판을 받는 등 정책의 일관성과 예측가능성이 흔들리고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중국 (China)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중국은 대만을 '핵심 이익 중의 핵심'으로 규정하며 미국의 무기판매를 '주권 침해'이자 '전쟁 촉진 행위'로 규탄하고, 대규모 실사격 훈련과 준(準)봉쇄성 초계를 통해 압박 강도를 지속적으로 끌어올리는 한편 다카이치 총리의 대만 관련 발언에 대해서는 관광·희토류·문화교류 중단 등 강력한 경제적 보복을 단행했다.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대한민국 (South Korea)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한국은 대만해협 유사시 명시적 역할을 규정하지 않은 '전략적 공백' 상태에 있다는 평가를 받으며, 이재명 정부는 미중 사이 균형을 추구하는 실용외교를 내세우면서도 중국의 입장 표명 압박과 주한미군 전략적 유연성 논의 사이에서 신중한 태도를 유지하고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기타 주요국 (Other Actors)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일본은 다카이치 총리가 2025년 11월 '대만 유사가 일본의 존립위기사태에 해당할 수 있다'고 발언한 이후 중국의 전방위 경제보복(관광객 급감, 희토류 사실상 금수, 수산물 수입 중단)에도 입장을 철회하지 않아 중일관계가 수십 년 만의 최저점으로 냉각되었으며, 이는 대만 문제에 대한 일본의 안보 관여 확대 흐름을 상징적으로 보여준다.</w:t>
            </w:r>
          </w:p>
        </w:tc>
      </w:tr>
    </w:tbl>
    <w:p>
      <w:pPr>
        <w:spacing w:before="200" w:after="60" w:line="276" w:lineRule="auto"/>
        <w:jc w:val="left"/>
      </w:pPr>
      <w:r>
        <w:rPr>
          <w:rFonts w:ascii="Malgun Gothic" w:hAnsi="Malgun Gothic"/>
          <w:b/>
          <w:i w:val="0"/>
          <w:color w:val="111827"/>
          <w:sz w:val="20"/>
          <w:rFonts w:ascii="Malgun Gothic" w:eastAsia="Malgun Gothic" w:hAnsi="Malgun Gothic"/>
        </w:rPr>
        <w:t>3. 경제 및 안보 파급영향 분석 (ECONOMIC AND SECURITY IMPACT ANALYSIS)</w:t>
      </w:r>
    </w:p>
    <w:p>
      <w:pPr>
        <w:spacing w:before="80" w:after="40" w:line="276" w:lineRule="auto"/>
        <w:jc w:val="left"/>
      </w:pPr>
      <w:r>
        <w:rPr>
          <w:rFonts w:ascii="Malgun Gothic" w:hAnsi="Malgun Gothic"/>
          <w:b/>
          <w:i w:val="0"/>
          <w:color w:val="1F2937"/>
          <w:sz w:val="18"/>
          <w:rFonts w:ascii="Malgun Gothic" w:eastAsia="Malgun Gothic" w:hAnsi="Malgun Gothic"/>
        </w:rPr>
        <w:t>■ 안보 및 군사적 파급효과 (Security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한반도 안보 영향: 대만해협 유사시 미군 전력이 분산될 경우 북한이 이를 도발의 기회로 활용할 수 있다는 우려가 국내 안보 전문가들 사이에서 지속적으로 제기되며, 이는 주한미군의 '전략적 유연성'이 한반도 억지태세 공백으로 이어질 수 있다는 논쟁과 직결된다.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동맹 구도 및 방위태세: 한미동맹은 대만 유사시 주한미군의 역할 범위를 둘러싼 논의(전략적 유연성)로 시험대에 오르고 있으며, 이는 한국이 한미동맹 강화와 대중관계 관리 사이에서 균형을 잡아야 하는 근본적 딜레마를 심화시키고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군사적 위협 수준: 중국의 최근 미사일 시험이 강화된 핵 2차 타격능력을 시사한다는 평가가 나오는 가운데, 유사시 한반도 인근으로의 미사일·군사자산 전개 확대는 동북아 전체의 미사일 위협 인식을 높이는 요인으로 작용하고 있다.</w:t>
      </w:r>
    </w:p>
    <w:p>
      <w:pPr>
        <w:spacing w:before="80" w:after="40" w:line="276" w:lineRule="auto"/>
        <w:jc w:val="left"/>
      </w:pPr>
      <w:r>
        <w:rPr>
          <w:rFonts w:ascii="Malgun Gothic" w:hAnsi="Malgun Gothic"/>
          <w:b/>
          <w:i w:val="0"/>
          <w:color w:val="1F2937"/>
          <w:sz w:val="18"/>
          <w:rFonts w:ascii="Malgun Gothic" w:eastAsia="Malgun Gothic" w:hAnsi="Malgun Gothic"/>
        </w:rPr>
        <w:t>■ 경제 및 통상 파급효과 (Economic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통상 및 관세 영향: 미국의 반도체 관세(2026년 1월 25% 부과)와 공급망 자국 이전 압박은 TSMC뿐 아니라 삼성전자·SK하이닉스 등 한국 반도체 기업에도 유사한 미국 내 투자·생산 확대 요구로 이어질 수 있어, 한국의 대미 반도체 협상력과 수출 구조에 직접적 영향을 미친다.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외환 및 금융시장 영향: 대만해협 리스크가 고조될 때마다 원화와 코스피는 '코리아 디스카운트' 및 지정학적 리스크 프리미엄 확대의 영향을 받는 경향이 있으며, 반도체 의존도가 높은 한국 경제 구조상 대만 유사시 공급망 충격은 환율 변동성을 증폭시킬 수 있는 요인으로 지목된다.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핵심 산업 및 투자 영향: 글로벌 투자자들은 TSMC의 미국 내 생산 이전(2500억 달러 규모)과 유사한 다변화 압력이 삼성전자·SK하이닉스에도 적용될 가능성을 주시하고 있으며, 이는 국내 반도체 설비투자의 해외 이전 압력과 국내 고용·세수 기반 약화라는 이중 리스크로 이어질 수 있다.</w:t>
      </w:r>
    </w:p>
    <w:p>
      <w:pPr>
        <w:spacing w:before="80" w:after="40" w:line="276" w:lineRule="auto"/>
        <w:jc w:val="left"/>
      </w:pPr>
      <w:r>
        <w:rPr>
          <w:rFonts w:ascii="Malgun Gothic" w:hAnsi="Malgun Gothic"/>
          <w:b/>
          <w:i w:val="0"/>
          <w:color w:val="1F2937"/>
          <w:sz w:val="18"/>
          <w:rFonts w:ascii="Malgun Gothic" w:eastAsia="Malgun Gothic" w:hAnsi="Malgun Gothic"/>
        </w:rPr>
        <w:t>■ 여론 및 전문가 평가 (Public Opinion  Expert Assessment)</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국내외 여론 동향: 한국 내에서는 대만해협 문제에 대한 명시적 여론조사 데이터는 제한적이나, 전략적 유연성 논쟁과 반도체 공급망 리스크에 대한 언론·전문가 담론이 빠르게 늘고 있어 정책 관심도가 높아지는 추세다.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학계·싱크탱크 전문가 평가: 브루킹스·NBR 등 미국 싱크탱크들은 한국이 그동안 대만 문제에서 '전략적 사각지대'에 머물러 왔다고 지적하며, 유사시 역할을 명확히 규정하지 않은 채 방치할 경우 위기 발생 시 정책 결정의 혼선이 커질 것이라 경고한다.</w:t>
      </w:r>
    </w:p>
    <w:p>
      <w:pPr>
        <w:spacing w:before="200" w:after="60" w:line="276" w:lineRule="auto"/>
        <w:jc w:val="left"/>
      </w:pPr>
      <w:r>
        <w:rPr>
          <w:rFonts w:ascii="Malgun Gothic" w:hAnsi="Malgun Gothic"/>
          <w:b/>
          <w:i w:val="0"/>
          <w:color w:val="111827"/>
          <w:sz w:val="20"/>
          <w:rFonts w:ascii="Malgun Gothic" w:eastAsia="Malgun Gothic" w:hAnsi="Malgun Gothic"/>
        </w:rPr>
        <w:t>4. 위험 전망 및 불확실성 요인 (RISK OUTLOOK AND UNCERTAINTY ANALYSIS)</w:t>
      </w:r>
    </w:p>
    <w:p>
      <w:pPr>
        <w:spacing w:before="0" w:after="20" w:line="276" w:lineRule="auto"/>
        <w:jc w:val="left"/>
      </w:pPr>
      <w:r>
        <w:rPr>
          <w:rFonts w:ascii="Malgun Gothic" w:hAnsi="Malgun Gothic"/>
          <w:b/>
          <w:i w:val="0"/>
          <w:color w:val="1F2937"/>
          <w:sz w:val="17"/>
          <w:rFonts w:ascii="Malgun Gothic" w:eastAsia="Malgun Gothic" w:hAnsi="Malgun Gothic"/>
        </w:rPr>
        <w:t xml:space="preserve">(U) 단기 전망 (3~6개월): 향후 3~6개월은 중국의 회색지대 군사활동(거의 매일 수준의 중간선 침범·해경 초계)이 계속되는 가운데 대규모 명명훈련이 추가로 발생할 가능성이 높지만, 즉각적인 전면 무력충돌 가능성은 낮다는 것이 대체적 평가다.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유력 시나리오: 가장 개연성 높은 단기 시나리오는 중국이 대만 특별국방예산 통과나 미국의 무기판매 재개 등 특정 계기에 대응해 추가 훈련·봉쇄성 초계로 압박 수위를 조절하는 '경고성 강압'의 반복이다.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중기 전망 (1~3년): 1~3년 시계에서는 트럼프 행정부의 대중 정상회담 사이클과 대만 국방예산 심의, 2028년 대만 총통선거를 앞둔 정치 일정이 맞물리며 긴장의 진폭이 주기적으로 커질 개연성이 있다.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주요 전환점: 대만 특별국방예산의 최종 통과 여부와 미국의 140억 달러 무기판매 재개 여부가 향후 긴장 국면의 방향을 가늠할 핵심 전환점이 될 것으로 보인다.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장기 구조적 변화: 장기적으로는 군사력 균형이 중국에 유리하게 이동하는 추세가 이어질 경우 미국의 억지력에 대한 지역 동맹국들의 신뢰가 잠식될 위험이 있으며, 이는 일본·한국 등의 독자적 방위태세 강화 압력으로 이어질 수 있다.</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 구조적 리스크: 가장 근본적인 구조 변화는 미국이 대만 무기판매를 중국과 사전 조율 없이 결정한다는 1982년 이래의 원칙을 트럼프 행정부가 사실상 허물기 시작했다는 점으로, 이는 향후 미국의 대만 공약 방식 자체를 바꿀 수 있는 선례로 평가된다.</w:t>
      </w:r>
    </w:p>
    <w:p>
      <w:pPr>
        <w:spacing w:before="60" w:after="40" w:line="276" w:lineRule="auto"/>
        <w:jc w:val="left"/>
      </w:pPr>
      <w:r>
        <w:rPr>
          <w:rFonts w:ascii="Malgun Gothic" w:hAnsi="Malgun Gothic"/>
          <w:b/>
          <w:i w:val="0"/>
          <w:color w:val="1F2937"/>
          <w:sz w:val="18"/>
          <w:rFonts w:ascii="Malgun Gothic" w:eastAsia="Malgun Gothic" w:hAnsi="Malgun Gothic"/>
        </w:rPr>
        <w:t>핵심 불확실성 요인 (Key Uncertainties):</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1. 트럼프 행정부가 대중 무역협상에서 대만 안보 공약을 추가로 양보할지, 즉 대만이 '협상 카드'로 계속 활용될지가 최대 불확실성이다.</w:t>
        <w:br/>
        <w:t xml:space="preserve">• 2. 대만 입법원(國會)이 야당 주도로 1조 2500억 대만달러 규모 특별국방예산을 계속 지연·삭감할 경우 비대칭전력 확충 일정이 늦춰져 억지력 공백이 커질 수 있다.</w:t>
        <w:br/>
        <w:t xml:space="preserve">• 3. 중일 외교위기가 장기화되거나 격화될 경우 일본의 유사시 개입 범위(집단적 자위권 발동 여부)가 실제로 시험대에 오를 수 있어 지역 전체의 연쇄적 확전 가능성을 배제할 수 없다.</w:t>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5. 핵심 전략적 정책 제언 (KEY STRATEGIC RECOMMENDATIONS)</w:t>
      </w:r>
    </w:p>
    <w:p>
      <w:pPr>
        <w:spacing w:before="0" w:after="80" w:line="276" w:lineRule="auto"/>
        <w:jc w:val="left"/>
      </w:pPr>
      <w:r>
        <w:rPr>
          <w:rFonts w:ascii="Malgun Gothic" w:hAnsi="Malgun Gothic"/>
          <w:b w:val="0"/>
          <w:i w:val="0"/>
          <w:color w:val="1F2937"/>
          <w:sz w:val="17"/>
          <w:rFonts w:ascii="Malgun Gothic" w:eastAsia="Malgun Gothic" w:hAnsi="Malgun Gothic"/>
        </w:rPr>
        <w:t xml:space="preserve">■ 제언 1 (대응 전략 / Response Strategy)</w:t>
        <w:br/>
        <w:t xml:space="preserve">한국은 명시적 입장 표명을 최소화하되 반도체 공급망 다변화, 주한미군 역할 관련 실무 협의 참여, 유사시 비상 대응계획 수립 등 '조용한 대비'를 병행하는 전략이 필요하다는 것이 전문가들의 공통된 제언이다.</w:t>
        <w:br/>
        <w:br/>
        <w:t xml:space="preserve">■ 제언 2 (다자외교 포지셔닝 / Multilateral Positioning)</w:t>
        <w:br/>
        <w:t xml:space="preserve">국제사회는 대체로 '현상유지 반대에 반대'하는 입장(G7 공동성명 등)을 공유하지만, 미국의 거래적 접근과 일본의 적극적 개입 시사가 병존하면서 국제적 대응의 결이 균질하지 않다는 평가가 나온다.</w:t>
        <w:br/>
        <w:br/>
        <w:t xml:space="preserve">■ 제언 3 (한미 공조 및 파급효과 / ROK-US Coordination)</w:t>
        <w:br/>
        <w:t xml:space="preserve">한국은 미국의 대중 반도체·관세 압박에 편승해 대미 투자·기술협력을 확대할 기회와, 동시에 대만 유사시 원치 않는 군사적 연루 요구에 직면할 위험을 동시에 안고 있어 한미 협의 의제에서 대만 문제의 비중이 커지고 있다.</w:t>
        <w:br/>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6. 데이터베이스 검증 쿼리 및 분석 방법론 (DATABASE QUERIES  METHODOLOGY)</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Wikipedia Pageviews (대중적 관심도): 'Taiwan Strait' 일일 조회수 34,810, 7일 대비 변동성 +24.1% 관측.</w:t>
        <w:br/>
        <w:t xml:space="preserve">• Guardian 정부 공식 발표 (외교부/국무부/해당국 피드): 19 matches (미 인태사령부, 중국 국방부, 대만 국방부) 매칭 확인.</w:t>
        <w:br/>
        <w:t xml:space="preserve">• 3개 AI 모델 합의도 (Mistral-7B, Qwen2.5-7B, EXAONE-3.5): 미디어 프레이밍 'ELEVATED TENSION (군사적 긴장 고조)' (100.0% (3/3 일치) 일치).</w:t>
        <w:br/>
        <w:t xml:space="preserve">• Sentinel IFCN 검증 팩트체크: 공식 발표 및 주요 언론 피드 대상 허위·왜곡 정보 0건 확인.</w:t>
        <w:br/>
        <w:t xml:space="preserve"/>
      </w:r>
    </w:p>
    <w:p>
      <w:pPr>
        <w:spacing w:before="60" w:after="40" w:line="276" w:lineRule="auto"/>
        <w:jc w:val="left"/>
      </w:pPr>
      <w:r>
        <w:rPr>
          <w:rFonts w:ascii="Malgun Gothic" w:hAnsi="Malgun Gothic"/>
          <w:b/>
          <w:i w:val="0"/>
          <w:color w:val="1F2937"/>
          <w:sz w:val="18"/>
          <w:rFonts w:ascii="Malgun Gothic" w:eastAsia="Malgun Gothic" w:hAnsi="Malgun Gothic"/>
        </w:rPr>
        <w:t>주요 출처 및 팩트체크 로그 (Key Sources  Verification Log):</w:t>
      </w:r>
    </w:p>
    <w:p>
      <w:pPr>
        <w:spacing w:before="0" w:after="120" w:line="276" w:lineRule="auto"/>
        <w:jc w:val="left"/>
      </w:pPr>
      <w:r>
        <w:rPr>
          <w:rFonts w:ascii="Malgun Gothic" w:hAnsi="Malgun Gothic"/>
          <w:b w:val="0"/>
          <w:i w:val="0"/>
          <w:color w:val="4B5563"/>
          <w:sz w:val="17"/>
          <w:rFonts w:ascii="Malgun Gothic" w:eastAsia="Malgun Gothic" w:hAnsi="Malgun Gothic"/>
        </w:rPr>
        <w:t xml:space="preserve">USNI News (2025.04.02); Axios (2026.05.15); American Enterprise Institute (AEI).</w:t>
      </w:r>
    </w:p>
    <w:p>
      <w:pPr>
        <w:spacing w:before="80" w:after="40" w:line="276" w:lineRule="auto"/>
        <w:jc w:val="left"/>
      </w:pPr>
      <w:r>
        <w:rPr>
          <w:rFonts w:ascii="Malgun Gothic" w:hAnsi="Malgun Gothic"/>
          <w:b/>
          <w:i w:val="0"/>
          <w:color w:val="1F2937"/>
          <w:sz w:val="18"/>
          <w:rFonts w:ascii="Malgun Gothic" w:eastAsia="Malgun Gothic" w:hAnsi="Malgun Gothic"/>
        </w:rPr>
        <w:t>첨부 증빙 자료 (Enclosure(s)):</w:t>
      </w:r>
    </w:p>
    <w:p>
      <w:pPr>
        <w:spacing w:before="0" w:after="160" w:line="276" w:lineRule="auto"/>
        <w:jc w:val="left"/>
      </w:pPr>
      <w:r>
        <w:rPr>
          <w:rFonts w:ascii="Malgun Gothic" w:hAnsi="Malgun Gothic"/>
          <w:b w:val="0"/>
          <w:i w:val="0"/>
          <w:color w:val="4B5563"/>
          <w:sz w:val="17"/>
          <w:rFonts w:ascii="Malgun Gothic" w:eastAsia="Malgun Gothic" w:hAnsi="Malgun Gothic"/>
        </w:rPr>
        <w:t xml:space="preserve">• 1.  U Official_Announcements_Matching_Audit.csv</w:t>
        <w:br/>
        <w:t xml:space="preserve">• 2.  U Wikipedia_Pageviews_7Day_Trend.png</w:t>
        <w:br/>
        <w:t xml:space="preserve">• 3.  U Multi_Agent_Consensus_Audit_Matrix.json</w:t>
        <w:br/>
        <w:t xml:space="preserve"/>
      </w:r>
    </w:p>
    <w:p>
      <w:pPr>
        <w:spacing w:before="160" w:after="240" w:line="276" w:lineRule="auto"/>
        <w:jc w:val="center"/>
      </w:pPr>
      <w:r>
        <w:rPr>
          <w:rFonts w:ascii="Malgun Gothic" w:hAnsi="Malgun Gothic"/>
          <w:b/>
          <w:i w:val="0"/>
          <w:color w:val="1F2937"/>
          <w:sz w:val="20"/>
          <w:rFonts w:ascii="Malgun Gothic" w:eastAsia="Malgun Gothic" w:hAnsi="Malgun Gothic"/>
        </w:rPr>
        <w:t>◆◆</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76" w:lineRule="auto"/>
      <w:jc w:val="center"/>
    </w:pPr>
    <w:r>
      <w:rPr>
        <w:rFonts w:ascii="Malgun Gothic" w:hAnsi="Malgun Gothic"/>
        <w:b w:val="0"/>
        <w:i w:val="0"/>
        <w:color w:val="9CA3AF"/>
        <w:sz w:val="16"/>
        <w:rFonts w:ascii="Malgun Gothic" w:eastAsia="Malgun Gothic" w:hAnsi="Malgun Gothic"/>
      </w:rPr>
      <w:t>UNCLASSIFIED  |  INTERNATIONAL AFFAIRS INTELLIGENCE DIRECTORATE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76" w:lineRule="auto"/>
      <w:jc w:val="left"/>
    </w:pPr>
    <w:r>
      <w:rPr>
        <w:rFonts w:ascii="Malgun Gothic" w:hAnsi="Malgun Gothic"/>
        <w:b/>
        <w:i w:val="0"/>
        <w:color w:val="6B7280"/>
        <w:sz w:val="16"/>
        <w:rFonts w:ascii="Malgun Gothic" w:eastAsia="Malgun Gothic" w:hAnsi="Malgun Gothic"/>
      </w:rPr>
      <w:t xml:space="preserve">UNCLASSIFIED // 56-TW-02 // 대만해협 군사적 긴장 및 양안관계 전략적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