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76" w:lineRule="auto"/>
        <w:jc w:val="left"/>
      </w:pPr>
      <w:r>
        <w:rPr>
          <w:rFonts w:ascii="Malgun Gothic" w:hAnsi="Malgun Gothic"/>
          <w:b/>
          <w:i w:val="0"/>
          <w:color w:val="C8102E"/>
          <w:sz w:val="17"/>
          <w:rFonts w:ascii="Malgun Gothic" w:eastAsia="Malgun Gothic" w:hAnsi="Malgun Gothic"/>
        </w:rPr>
        <w:t xml:space="preserve">APPROVED FOR PUBLIC RELEASE BY INTELLIGENCE ASSESSMENT DIRECTORATE on 21 September 2026</w:t>
      </w:r>
    </w:p>
    <w:tbl>
      <w:tblPr>
        <w:tblW w:type="auto" w:w="0"/>
        <w:jc w:val="center"/>
        <w:tblLayout w:type="fixed"/>
        <w:tblLook w:firstColumn="1" w:firstRow="1" w:lastColumn="0" w:lastRow="0" w:noHBand="0" w:noVBand="1" w:val="04A0"/>
      </w:tblPr>
      <w:tblGrid>
        <w:gridCol w:w="3324"/>
        <w:gridCol w:w="3324"/>
        <w:gridCol w:w="3324"/>
      </w:tblGrid>
      <w:tr>
        <w:tc>
          <w:tcPr>
            <w:tcW w:type="dxa" w:w="2592"/>
            <w:tcMar>
              <w:top w:w="40" w:type="dxa"/>
              <w:bottom w:w="40" w:type="dxa"/>
              <w:left w:w="40" w:type="dxa"/>
              <w:right w:w="40" w:type="dxa"/>
            </w:tcMar>
            <w:vAlign w:val="center"/>
          </w:tcPr>
          <w:p>
            <w:pPr>
              <w:spacing w:before="0" w:after="40" w:line="276" w:lineRule="auto"/>
              <w:jc w:val="left"/>
            </w:pPr>
            <w:r>
              <w:rPr>
                <w:rFonts w:ascii="Malgun Gothic" w:hAnsi="Malgun Gothic"/>
                <w:b w:val="0"/>
                <w:i w:val="0"/>
                <w:color w:val="4B5563"/>
                <w:sz w:val="16"/>
                <w:rFonts w:ascii="Malgun Gothic" w:eastAsia="Malgun Gothic" w:hAnsi="Malgun Gothic"/>
              </w:rPr>
              <w:t>FORM IA-1036 (Rev. 2026-09)</w:t>
            </w:r>
          </w:p>
        </w:tc>
        <w:tc>
          <w:tcPr>
            <w:tcW w:type="dxa" w:w="4896"/>
            <w:tcMar>
              <w:top w:w="40" w:type="dxa"/>
              <w:bottom w:w="40" w:type="dxa"/>
              <w:left w:w="40" w:type="dxa"/>
              <w:right w:w="40" w:type="dxa"/>
            </w:tcMar>
            <w:vAlign w:val="center"/>
          </w:tcPr>
          <w:p>
            <w:pPr>
              <w:spacing w:before="0" w:after="40" w:line="276" w:lineRule="auto"/>
              <w:jc w:val="center"/>
            </w:pPr>
            <w:r>
              <w:rPr>
                <w:rFonts w:ascii="Malgun Gothic" w:hAnsi="Malgun Gothic"/>
                <w:b/>
                <w:i w:val="0"/>
                <w:color w:val="111827"/>
                <w:sz w:val="19"/>
                <w:rFonts w:ascii="Malgun Gothic" w:eastAsia="Malgun Gothic" w:hAnsi="Malgun Gothic"/>
              </w:rPr>
              <w:t>UNCLASSIFIED</w:t>
            </w:r>
          </w:p>
        </w:tc>
        <w:tc>
          <w:tcPr>
            <w:tcW w:type="dxa" w:w="2592"/>
            <w:tcMar>
              <w:top w:w="40" w:type="dxa"/>
              <w:bottom w:w="40" w:type="dxa"/>
              <w:left w:w="40" w:type="dxa"/>
              <w:right w:w="40" w:type="dxa"/>
            </w:tcMar>
            <w:vAlign w:val="center"/>
          </w:tcPr>
          <w:p>
            <w:pPr>
              <w:spacing w:before="0" w:after="40" w:line="240" w:lineRule="auto"/>
              <w:jc w:val="right"/>
            </w:pPr>
            <w:r>
              <w:rPr>
                <w:rFonts w:ascii="Malgun Gothic" w:hAnsi="Malgun Gothic"/>
                <w:b/>
                <w:i w:val="0"/>
                <w:color w:val="374151"/>
                <w:sz w:val="13"/>
                <w:rFonts w:ascii="Malgun Gothic" w:eastAsia="Malgun Gothic" w:hAnsi="Malgun Gothic"/>
              </w:rPr>
              <w:t>[ OFFICIAL RECORD ]</w:t>
              <w:br/>
              <w:t>AUTHENTICATED</w:t>
            </w:r>
          </w:p>
        </w:tc>
      </w:tr>
    </w:tbl>
    <w:p>
      <w:pPr>
        <w:spacing w:before="160" w:after="40" w:line="276" w:lineRule="auto"/>
        <w:jc w:val="center"/>
      </w:pPr>
      <w:r>
        <w:rPr>
          <w:rFonts w:ascii="Malgun Gothic" w:hAnsi="Malgun Gothic"/>
          <w:b/>
          <w:i w:val="0"/>
          <w:color w:val="111827"/>
          <w:sz w:val="28"/>
          <w:rFonts w:ascii="Malgun Gothic" w:eastAsia="Malgun Gothic" w:hAnsi="Malgun Gothic"/>
        </w:rPr>
        <w:t>INTERNATIONAL AFFAIRS INTELLIGENCE DIRECTORATE</w:t>
      </w:r>
    </w:p>
    <w:p>
      <w:pPr>
        <w:spacing w:before="0" w:after="120" w:line="276" w:lineRule="auto"/>
        <w:jc w:val="center"/>
      </w:pPr>
      <w:r>
        <w:rPr>
          <w:rFonts w:ascii="Malgun Gothic" w:hAnsi="Malgun Gothic"/>
          <w:b w:val="0"/>
          <w:i w:val="0"/>
          <w:color w:val="4B5563"/>
          <w:sz w:val="19"/>
          <w:rFonts w:ascii="Malgun Gothic" w:eastAsia="Malgun Gothic" w:hAnsi="Malgun Gothic"/>
        </w:rPr>
        <w:t>Strategic Threat &amp; Geopolitical Assessment Form  |  국제정세 및 전략위협 평가보고서</w:t>
      </w:r>
    </w:p>
    <w:tbl>
      <w:tblPr>
        <w:tblW w:type="auto" w:w="0"/>
        <w:jc w:val="center"/>
        <w:tblLayout w:type="fixed"/>
        <w:tblLook w:firstColumn="1" w:firstRow="1" w:lastColumn="0" w:lastRow="0" w:noHBand="0" w:noVBand="1" w:val="04A0"/>
        <w:tblBorders>
          <w:top w:val="single" w:sz="6" w:space="0" w:color="9CA3AF"/>
          <w:bottom w:val="single" w:sz="6" w:space="0" w:color="9CA3AF"/>
          <w:insideH w:val="single" w:sz="6" w:space="0" w:color="9CA3AF"/>
          <w:insideV w:val="none"/>
          <w:left w:val="none"/>
          <w:right w:val="none"/>
        </w:tblBorders>
      </w:tblPr>
      <w:tblGrid>
        <w:gridCol w:w="4986"/>
        <w:gridCol w:w="4986"/>
      </w:tblGrid>
      <w:tr>
        <w:tc>
          <w:tcPr>
            <w:tcW w:type="dxa" w:w="6480"/>
            <w:tcMar>
              <w:top w:w="60" w:type="dxa"/>
              <w:bottom w:w="60" w:type="dxa"/>
              <w:left w:w="80" w:type="dxa"/>
              <w:right w:w="80" w:type="dxa"/>
            </w:tcMar>
          </w:tcPr>
          <w:p>
            <w:pPr>
              <w:spacing w:before="0" w:after="40" w:line="276" w:lineRule="auto"/>
              <w:jc w:val="left"/>
            </w:pPr>
            <w:r>
              <w:rPr>
                <w:rFonts w:ascii="Malgun Gothic" w:hAnsi="Malgun Gothic"/>
                <w:b/>
                <w:i w:val="0"/>
                <w:color w:val="1F2937"/>
                <w:sz w:val="16"/>
                <w:rFonts w:ascii="Malgun Gothic" w:eastAsia="Malgun Gothic" w:hAnsi="Malgun Gothic"/>
              </w:rPr>
              <w:t>Form Type: IA-71A - Strategic Threat Dossier</w:t>
            </w:r>
          </w:p>
        </w:tc>
        <w:tc>
          <w:tcPr>
            <w:tcW w:type="dxa" w:w="3600"/>
            <w:tcMar>
              <w:top w:w="60" w:type="dxa"/>
              <w:bottom w:w="60" w:type="dxa"/>
              <w:left w:w="80" w:type="dxa"/>
              <w:right w:w="80" w:type="dxa"/>
            </w:tcMar>
          </w:tcPr>
          <w:p>
            <w:pPr>
              <w:spacing w:before="0" w:after="40" w:line="276" w:lineRule="auto"/>
              <w:jc w:val="left"/>
            </w:pPr>
            <w:r>
              <w:rPr>
                <w:rFonts w:ascii="Malgun Gothic" w:hAnsi="Malgun Gothic"/>
                <w:b/>
                <w:i w:val="0"/>
                <w:color w:val="1F2937"/>
                <w:sz w:val="16"/>
                <w:rFonts w:ascii="Malgun Gothic" w:eastAsia="Malgun Gothic" w:hAnsi="Malgun Gothic"/>
              </w:rPr>
              <w:t xml:space="preserve">Date: 2026-09-21</w:t>
            </w:r>
          </w:p>
        </w:tc>
      </w:tr>
      <w:tr>
        <w:tc>
          <w:tcPr>
            <w:tcW w:type="dxa" w:w="10080"/>
            <w:gridSpan w:val="2"/>
            <w:tcMar>
              <w:top w:w="60" w:type="dxa"/>
              <w:bottom w:w="60" w:type="dxa"/>
              <w:left w:w="80" w:type="dxa"/>
              <w:right w:w="80" w:type="dxa"/>
            </w:tcMar>
          </w:tcPr>
          <w:p>
            <w:pPr>
              <w:spacing w:before="0" w:after="40" w:line="276" w:lineRule="auto"/>
              <w:jc w:val="left"/>
            </w:pPr>
            <w:r>
              <w:rPr>
                <w:rFonts w:ascii="Malgun Gothic" w:hAnsi="Malgun Gothic"/>
                <w:b/>
                <w:i w:val="0"/>
                <w:color w:val="111827"/>
                <w:sz w:val="17"/>
                <w:rFonts w:ascii="Malgun Gothic" w:eastAsia="Malgun Gothic" w:hAnsi="Malgun Gothic"/>
              </w:rPr>
              <w:t xml:space="preserve">Title: (U) 우크라이나 전쟁 소모전 지속 및 유럽 안보구도 재편 평가</w:t>
            </w:r>
          </w:p>
        </w:tc>
      </w:tr>
      <w:tr>
        <w:tc>
          <w:tcPr>
            <w:tcW w:type="dxa" w:w="10080"/>
            <w:gridSpan w:val="2"/>
            <w:tcMar>
              <w:top w:w="60" w:type="dxa"/>
              <w:bottom w:w="60" w:type="dxa"/>
              <w:left w:w="80" w:type="dxa"/>
              <w:right w:w="80" w:type="dxa"/>
            </w:tcMar>
          </w:tcPr>
          <w:p>
            <w:pPr>
              <w:spacing w:before="0" w:after="40" w:line="276" w:lineRule="auto"/>
              <w:jc w:val="left"/>
            </w:pPr>
            <w:r>
              <w:rPr>
                <w:rFonts w:ascii="Malgun Gothic" w:hAnsi="Malgun Gothic"/>
                <w:b w:val="0"/>
                <w:i w:val="0"/>
                <w:color w:val="374151"/>
                <w:sz w:val="16"/>
                <w:rFonts w:ascii="Malgun Gothic" w:eastAsia="Malgun Gothic" w:hAnsi="Malgun Gothic"/>
              </w:rPr>
              <w:t>Approved By: [ ████████ ] CHIEF OF STRATEGIC ASSESSMENT</w:t>
            </w:r>
          </w:p>
        </w:tc>
      </w:tr>
      <w:tr>
        <w:tc>
          <w:tcPr>
            <w:tcW w:type="dxa" w:w="10080"/>
            <w:gridSpan w:val="2"/>
            <w:tcMar>
              <w:top w:w="60" w:type="dxa"/>
              <w:bottom w:w="60" w:type="dxa"/>
              <w:left w:w="80" w:type="dxa"/>
              <w:right w:w="80" w:type="dxa"/>
            </w:tcMar>
          </w:tcPr>
          <w:p>
            <w:pPr>
              <w:spacing w:before="0" w:after="40" w:line="276" w:lineRule="auto"/>
              <w:jc w:val="left"/>
            </w:pPr>
            <w:r>
              <w:rPr>
                <w:rFonts w:ascii="Malgun Gothic" w:hAnsi="Malgun Gothic"/>
                <w:b w:val="0"/>
                <w:i w:val="0"/>
                <w:color w:val="374151"/>
                <w:sz w:val="16"/>
                <w:rFonts w:ascii="Malgun Gothic" w:eastAsia="Malgun Gothic" w:hAnsi="Malgun Gothic"/>
              </w:rPr>
              <w:t>Drafted By:  [ ████████ ] STRATEGIC REGIONAL DESK</w:t>
            </w:r>
          </w:p>
        </w:tc>
      </w:tr>
      <w:tr>
        <w:tc>
          <w:tcPr>
            <w:tcW w:type="dxa" w:w="6480"/>
            <w:tcMar>
              <w:top w:w="60" w:type="dxa"/>
              <w:bottom w:w="60" w:type="dxa"/>
              <w:left w:w="80" w:type="dxa"/>
              <w:right w:w="80" w:type="dxa"/>
            </w:tcMar>
          </w:tcPr>
          <w:p>
            <w:pPr>
              <w:spacing w:before="0" w:after="40" w:line="276" w:lineRule="auto"/>
              <w:jc w:val="left"/>
            </w:pPr>
            <w:r>
              <w:rPr>
                <w:rFonts w:ascii="Malgun Gothic" w:hAnsi="Malgun Gothic"/>
                <w:b/>
                <w:i w:val="0"/>
                <w:color w:val="1F2937"/>
                <w:sz w:val="16"/>
                <w:rFonts w:ascii="Malgun Gothic" w:eastAsia="Malgun Gothic" w:hAnsi="Malgun Gothic"/>
              </w:rPr>
              <w:t xml:space="preserve">Case ID #: 56-UKR-03</w:t>
            </w:r>
          </w:p>
        </w:tc>
        <w:tc>
          <w:tcPr>
            <w:tcW w:type="dxa" w:w="3600"/>
            <w:tcMar>
              <w:top w:w="60" w:type="dxa"/>
              <w:bottom w:w="60" w:type="dxa"/>
              <w:left w:w="80" w:type="dxa"/>
              <w:right w:w="80" w:type="dxa"/>
            </w:tcMar>
          </w:tcPr>
          <w:p>
            <w:pPr>
              <w:spacing w:before="0" w:after="40" w:line="276" w:lineRule="auto"/>
              <w:jc w:val="left"/>
            </w:pPr>
            <w:r>
              <w:rPr>
                <w:rFonts w:ascii="Malgun Gothic" w:hAnsi="Malgun Gothic"/>
                <w:b/>
                <w:i w:val="0"/>
                <w:color w:val="1F2937"/>
                <w:sz w:val="16"/>
                <w:rFonts w:ascii="Malgun Gothic" w:eastAsia="Malgun Gothic" w:hAnsi="Malgun Gothic"/>
              </w:rPr>
              <w:t xml:space="preserve">Subject: (U) UKRAINE WAR ATTRITION  POST-SETTLEMENT BUFFER ZONES</w:t>
            </w:r>
          </w:p>
        </w:tc>
      </w:tr>
    </w:tbl>
    <w:p>
      <w:pPr>
        <w:spacing w:before="160" w:after="40" w:line="276" w:lineRule="auto"/>
        <w:jc w:val="left"/>
      </w:pPr>
      <w:r>
        <w:rPr>
          <w:rFonts w:ascii="Malgun Gothic" w:hAnsi="Malgun Gothic"/>
          <w:b/>
          <w:i w:val="0"/>
          <w:color w:val="111827"/>
          <w:sz w:val="18"/>
          <w:rFonts w:ascii="Malgun Gothic" w:eastAsia="Malgun Gothic" w:hAnsi="Malgun Gothic"/>
        </w:rPr>
        <w:t xml:space="preserve">Synopsis: (U) DOCUMENT SYNOPSIS CREATED ON 2026-09-21 15:56 KST -- SEE STRATEGIC REPOSITORY FOR LIVE DATA</w:t>
      </w:r>
    </w:p>
    <w:p>
      <w:pPr>
        <w:spacing w:before="0" w:after="60" w:line="288" w:lineRule="auto"/>
        <w:jc w:val="left"/>
      </w:pPr>
      <w:r>
        <w:rPr>
          <w:rFonts w:ascii="Malgun Gothic" w:hAnsi="Malgun Gothic"/>
          <w:b w:val="0"/>
          <w:i w:val="0"/>
          <w:color w:val="1F2937"/>
          <w:sz w:val="17"/>
          <w:rFonts w:ascii="Malgun Gothic" w:eastAsia="Malgun Gothic" w:hAnsi="Malgun Gothic"/>
        </w:rPr>
        <w:t xml:space="preserve">(U) 2025년 1월 트럼프 2기 출범 이후 미국은 우크라이나 전쟁을 신속히 종식시키겠다는 공약을 내걸고 러시아·우크라이나 양측에 대한 직접 압박 외교로 전환했으나, 2026년 9월 현재까지 포괄적 평화협정은 체결되지 못했다. 4월과 5월 두 차례의 부활절·전승절 단기 휴전이 각각 이뤄졌지만 모두 수십 시간 만에 붕괴했고, 전선에서는 저강도이지만 지속적인 소모전이 계속되고 있다.</w:t>
      </w:r>
    </w:p>
    <w:p>
      <w:pPr>
        <w:spacing w:before="0" w:after="160" w:line="288" w:lineRule="auto"/>
        <w:jc w:val="left"/>
      </w:pPr>
      <w:r>
        <w:rPr>
          <w:rFonts w:ascii="Malgun Gothic" w:hAnsi="Malgun Gothic"/>
          <w:b w:val="0"/>
          <w:i w:val="0"/>
          <w:color w:val="1F2937"/>
          <w:sz w:val="17"/>
          <w:rFonts w:ascii="Malgun Gothic" w:eastAsia="Malgun Gothic" w:hAnsi="Malgun Gothic"/>
        </w:rPr>
        <w:t xml:space="preserve">(U) 2022년 2월 발발한 러시아의 우크라이나 침공은 2025~2026년에도 4년 넘게 지속되며, 트럼프 행정부의 적극적 중재에도 불구하고 영토·안전보장·나토 가입 문제를 둘러싼 근본적 입장차로 협상이 반복적으로 좌초되는 '교착된 전쟁' 양상을 보이고 있다.</w:t>
      </w:r>
    </w:p>
    <w:p>
      <w:pPr>
        <w:spacing w:before="120" w:after="60" w:line="276" w:lineRule="auto"/>
        <w:jc w:val="left"/>
      </w:pPr>
      <w:r>
        <w:rPr>
          <w:rFonts w:ascii="Malgun Gothic" w:hAnsi="Malgun Gothic"/>
          <w:b/>
          <w:i w:val="0"/>
          <w:color w:val="111827"/>
          <w:sz w:val="20"/>
          <w:rFonts w:ascii="Malgun Gothic" w:eastAsia="Malgun Gothic" w:hAnsi="Malgun Gothic"/>
        </w:rPr>
        <w:t>1. 배경 및 정세 평가 (BACKGROUND AND SCOPE)</w:t>
      </w:r>
    </w:p>
    <w:p>
      <w:pPr>
        <w:spacing w:before="0" w:after="80" w:line="288" w:lineRule="auto"/>
        <w:jc w:val="left"/>
      </w:pPr>
      <w:r>
        <w:rPr>
          <w:rFonts w:ascii="Malgun Gothic" w:hAnsi="Malgun Gothic"/>
          <w:b w:val="0"/>
          <w:i w:val="0"/>
          <w:color w:val="1F2937"/>
          <w:sz w:val="17"/>
          <w:rFonts w:ascii="Malgun Gothic" w:eastAsia="Malgun Gothic" w:hAnsi="Malgun Gothic"/>
        </w:rPr>
        <w:t xml:space="preserve">(U) 트럼프 행정부는 취임 초 우크라이나에 대한 직접 무상지원을 축소하고 광물협정 체결을 압박하는 등 강경한 입장을 취했으나, 2025년 7월부터는 나토가 비용을 대는 무기 판매 방식(PURL)으로 전환해 우크라이나에 대한 무기 공급 자체는 오히려 지속·확대하는 이중적 행보를 보였다.</w:t>
      </w:r>
    </w:p>
    <w:p>
      <w:pPr>
        <w:spacing w:before="80" w:after="60" w:line="276" w:lineRule="auto"/>
        <w:jc w:val="left"/>
      </w:pPr>
      <w:r>
        <w:rPr>
          <w:rFonts w:ascii="Malgun Gothic" w:hAnsi="Malgun Gothic"/>
          <w:b/>
          <w:i w:val="0"/>
          <w:color w:val="1F2937"/>
          <w:sz w:val="18"/>
          <w:rFonts w:ascii="Malgun Gothic" w:eastAsia="Malgun Gothic" w:hAnsi="Malgun Gothic"/>
        </w:rPr>
        <w:t>주요 신호 및 사태 전개 타임라인 (Chronology of Key Intelligence Signals):</w:t>
      </w:r>
    </w:p>
    <w:tbl>
      <w:tblPr>
        <w:tblW w:type="auto" w:w="0"/>
        <w:jc w:val="center"/>
        <w:tblLayout w:type="fixed"/>
        <w:tblLook w:firstColumn="1" w:firstRow="1" w:lastColumn="0" w:lastRow="0" w:noHBand="0" w:noVBand="1" w:val="04A0"/>
        <w:tblBorders>
          <w:top w:val="single" w:sz="6" w:space="0" w:color="111827"/>
          <w:bottom w:val="single" w:sz="6" w:space="0" w:color="111827"/>
          <w:insideH w:val="single" w:sz="6" w:space="0" w:color="111827"/>
          <w:insideV w:val="none"/>
          <w:left w:val="none"/>
          <w:right w:val="none"/>
        </w:tblBorders>
      </w:tblPr>
      <w:tblGrid>
        <w:gridCol w:w="4986"/>
        <w:gridCol w:w="4986"/>
      </w:tblGrid>
      <w:tr>
        <w:tc>
          <w:tcPr>
            <w:tcW w:type="dxa" w:w="2592"/>
            <w:shd w:fill="F3F4F6"/>
            <w:tcMar>
              <w:top w:w="80" w:type="dxa"/>
              <w:bottom w:w="80" w:type="dxa"/>
              <w:left w:w="80" w:type="dxa"/>
              <w:right w:w="80" w:type="dxa"/>
            </w:tcMar>
          </w:tcPr>
          <w:p>
            <w:pPr>
              <w:spacing w:before="0" w:after="40" w:line="276" w:lineRule="auto"/>
              <w:jc w:val="left"/>
            </w:pPr>
            <w:r>
              <w:rPr>
                <w:rFonts w:ascii="Malgun Gothic" w:hAnsi="Malgun Gothic"/>
                <w:b/>
                <w:i w:val="0"/>
                <w:color w:val="111827"/>
                <w:sz w:val="16"/>
                <w:rFonts w:ascii="Malgun Gothic" w:eastAsia="Malgun Gothic" w:hAnsi="Malgun Gothic"/>
              </w:rPr>
              <w:t>단계 (Phase)</w:t>
            </w:r>
          </w:p>
        </w:tc>
        <w:tc>
          <w:tcPr>
            <w:tcW w:type="dxa" w:w="7488"/>
            <w:shd w:fill="F3F4F6"/>
            <w:tcMar>
              <w:top w:w="80" w:type="dxa"/>
              <w:bottom w:w="80" w:type="dxa"/>
              <w:left w:w="80" w:type="dxa"/>
              <w:right w:w="80" w:type="dxa"/>
            </w:tcMar>
          </w:tcPr>
          <w:p>
            <w:pPr>
              <w:spacing w:before="0" w:after="40" w:line="276" w:lineRule="auto"/>
              <w:jc w:val="left"/>
            </w:pPr>
            <w:r>
              <w:rPr>
                <w:rFonts w:ascii="Malgun Gothic" w:hAnsi="Malgun Gothic"/>
                <w:b/>
                <w:i w:val="0"/>
                <w:color w:val="111827"/>
                <w:sz w:val="16"/>
                <w:rFonts w:ascii="Malgun Gothic" w:eastAsia="Malgun Gothic" w:hAnsi="Malgun Gothic"/>
              </w:rPr>
              <w:t>관측 사안 및 정보 신호 (Observed Incident  Signal)</w:t>
            </w:r>
          </w:p>
        </w:tc>
      </w:tr>
      <w:tr>
        <w:tc>
          <w:tcPr>
            <w:tcW w:type="dxa" w:w="2592"/>
            <w:tcMar>
              <w:top w:w="60" w:type="dxa"/>
              <w:bottom w:w="60" w:type="dxa"/>
              <w:left w:w="80" w:type="dxa"/>
              <w:right w:w="80" w:type="dxa"/>
            </w:tcMar>
          </w:tcPr>
          <w:p>
            <w:pPr>
              <w:spacing w:before="0" w:after="40" w:line="276" w:lineRule="auto"/>
              <w:jc w:val="left"/>
            </w:pPr>
            <w:r>
              <w:rPr>
                <w:rFonts w:ascii="Malgun Gothic" w:hAnsi="Malgun Gothic"/>
                <w:b/>
                <w:i w:val="0"/>
                <w:color w:val="1F2937"/>
                <w:sz w:val="16"/>
                <w:rFonts w:ascii="Malgun Gothic" w:eastAsia="Malgun Gothic" w:hAnsi="Malgun Gothic"/>
              </w:rPr>
              <w:t xml:space="preserve">신호 1 (초기 관측)</w:t>
            </w:r>
          </w:p>
        </w:tc>
        <w:tc>
          <w:tcPr>
            <w:tcW w:type="dxa" w:w="7488"/>
            <w:tcMar>
              <w:top w:w="60" w:type="dxa"/>
              <w:bottom w:w="60" w:type="dxa"/>
              <w:left w:w="80" w:type="dxa"/>
              <w:right w:w="80" w:type="dxa"/>
            </w:tcMar>
          </w:tcPr>
          <w:p>
            <w:pPr>
              <w:spacing w:before="0" w:after="40" w:line="276" w:lineRule="auto"/>
              <w:jc w:val="left"/>
            </w:pPr>
            <w:r>
              <w:rPr>
                <w:rFonts w:ascii="Malgun Gothic" w:hAnsi="Malgun Gothic"/>
                <w:b w:val="0"/>
                <w:i w:val="0"/>
                <w:color w:val="1F2937"/>
                <w:sz w:val="16"/>
                <w:rFonts w:ascii="Malgun Gothic" w:eastAsia="Malgun Gothic" w:hAnsi="Malgun Gothic"/>
              </w:rPr>
              <w:t xml:space="preserve">2025년 2월 28일~3월 1일 백악관 오벌오피스에서 열린 트럼프-젤렌스키 회담이 생중계 중 고성이 오가는 파행으로 끝났고, 이후 3월 11일 사우디 제다 협상에서 우크라이나가 30일 휴전안에 동의했으나 러시아가 즉각 수용하지 않으면서 협상 동력이 흔들렸다.</w:t>
            </w:r>
          </w:p>
        </w:tc>
      </w:tr>
      <w:tr>
        <w:tc>
          <w:tcPr>
            <w:tcW w:type="dxa" w:w="2592"/>
            <w:tcMar>
              <w:top w:w="60" w:type="dxa"/>
              <w:bottom w:w="60" w:type="dxa"/>
              <w:left w:w="80" w:type="dxa"/>
              <w:right w:w="80" w:type="dxa"/>
            </w:tcMar>
          </w:tcPr>
          <w:p>
            <w:pPr>
              <w:spacing w:before="0" w:after="40" w:line="276" w:lineRule="auto"/>
              <w:jc w:val="left"/>
            </w:pPr>
            <w:r>
              <w:rPr>
                <w:rFonts w:ascii="Malgun Gothic" w:hAnsi="Malgun Gothic"/>
                <w:b/>
                <w:i w:val="0"/>
                <w:color w:val="1F2937"/>
                <w:sz w:val="16"/>
                <w:rFonts w:ascii="Malgun Gothic" w:eastAsia="Malgun Gothic" w:hAnsi="Malgun Gothic"/>
              </w:rPr>
              <w:t xml:space="preserve">신호 2 (후속 전개)</w:t>
            </w:r>
          </w:p>
        </w:tc>
        <w:tc>
          <w:tcPr>
            <w:tcW w:type="dxa" w:w="7488"/>
            <w:tcMar>
              <w:top w:w="60" w:type="dxa"/>
              <w:bottom w:w="60" w:type="dxa"/>
              <w:left w:w="80" w:type="dxa"/>
              <w:right w:w="80" w:type="dxa"/>
            </w:tcMar>
          </w:tcPr>
          <w:p>
            <w:pPr>
              <w:spacing w:before="0" w:after="40" w:line="276" w:lineRule="auto"/>
              <w:jc w:val="left"/>
            </w:pPr>
            <w:r>
              <w:rPr>
                <w:rFonts w:ascii="Malgun Gothic" w:hAnsi="Malgun Gothic"/>
                <w:b w:val="0"/>
                <w:i w:val="0"/>
                <w:color w:val="1F2937"/>
                <w:sz w:val="16"/>
                <w:rFonts w:ascii="Malgun Gothic" w:eastAsia="Malgun Gothic" w:hAnsi="Malgun Gothic"/>
              </w:rPr>
              <w:t xml:space="preserve">2025년 6월 2일 이스탄불에서 열린 2차 러-우 직접 협상에서 양측은 포로 교환 확대에는 합의했으나 휴전 조건에서는 이견을 좁히지 못했고, 7월 하순에는 우크라이나가 젤렌스키-푸틴-트럼프-에르도안 4자 정상회담을 제안했다.</w:t>
            </w:r>
          </w:p>
        </w:tc>
      </w:tr>
      <w:tr>
        <w:tc>
          <w:tcPr>
            <w:tcW w:type="dxa" w:w="2592"/>
            <w:tcMar>
              <w:top w:w="60" w:type="dxa"/>
              <w:bottom w:w="60" w:type="dxa"/>
              <w:left w:w="80" w:type="dxa"/>
              <w:right w:w="80" w:type="dxa"/>
            </w:tcMar>
          </w:tcPr>
          <w:p>
            <w:pPr>
              <w:spacing w:before="0" w:after="40" w:line="276" w:lineRule="auto"/>
              <w:jc w:val="left"/>
            </w:pPr>
            <w:r>
              <w:rPr>
                <w:rFonts w:ascii="Malgun Gothic" w:hAnsi="Malgun Gothic"/>
                <w:b/>
                <w:i w:val="0"/>
                <w:color w:val="1F2937"/>
                <w:sz w:val="16"/>
                <w:rFonts w:ascii="Malgun Gothic" w:eastAsia="Malgun Gothic" w:hAnsi="Malgun Gothic"/>
              </w:rPr>
              <w:t xml:space="preserve">현재 상태 (Current)</w:t>
            </w:r>
          </w:p>
        </w:tc>
        <w:tc>
          <w:tcPr>
            <w:tcW w:type="dxa" w:w="7488"/>
            <w:tcMar>
              <w:top w:w="60" w:type="dxa"/>
              <w:bottom w:w="60" w:type="dxa"/>
              <w:left w:w="80" w:type="dxa"/>
              <w:right w:w="80" w:type="dxa"/>
            </w:tcMar>
          </w:tcPr>
          <w:p>
            <w:pPr>
              <w:spacing w:before="0" w:after="40" w:line="276" w:lineRule="auto"/>
              <w:jc w:val="left"/>
            </w:pPr>
            <w:r>
              <w:rPr>
                <w:rFonts w:ascii="Malgun Gothic" w:hAnsi="Malgun Gothic"/>
                <w:b w:val="0"/>
                <w:i w:val="0"/>
                <w:color w:val="1F2937"/>
                <w:sz w:val="16"/>
                <w:rFonts w:ascii="Malgun Gothic" w:eastAsia="Malgun Gothic" w:hAnsi="Malgun Gothic"/>
              </w:rPr>
              <w:t xml:space="preserve">2026년 9월 현재 포괄적 종전 협정은 없으며, 4월(부활절)과 5월(전승절) 두 차례의 단기 휴전이 각각 붕괴된 뒤 전면 교전이 재개된 상태로, 미국이 중재한 15년(우크라이나는 50년 희망)짜리 안전보장 방안과 20개항 평화안이 여전히 논의 중이나 자포리자 원전 통제·나토 배치 문제 등 핵심 쟁점에서 합의에 이르지 못하고 있다.</w:t>
            </w:r>
          </w:p>
        </w:tc>
      </w:tr>
    </w:tbl>
    <w:p>
      <w:pPr>
        <w:spacing w:before="100" w:after="160" w:line="288" w:lineRule="auto"/>
        <w:jc w:val="left"/>
      </w:pPr>
      <w:r>
        <w:rPr>
          <w:rFonts w:ascii="Malgun Gothic" w:hAnsi="Malgun Gothic"/>
          <w:b w:val="0"/>
          <w:i w:val="0"/>
          <w:color w:val="1F2937"/>
          <w:sz w:val="17"/>
          <w:rFonts w:ascii="Malgun Gothic" w:eastAsia="Malgun Gothic" w:hAnsi="Malgun Gothic"/>
        </w:rPr>
        <w:t xml:space="preserve">(U) 분석관 평가 (Analyst Assessment): 전황은 러시아가 근소한 영토적 우위를 유지하되 결정적 돌파는 이루지 못하는 소모전 국면이며, 양국 여론(러시아인 64%, 우크라이나인 66%가 협상 지지)은 종전을 원하지만 정부 간 핵심 쟁점(영토 승인, 안전보장, 나토 가입)에서의 간극은 좁혀지지 않고 있다는 것이 다수 전문가의 평가다.</w:t>
      </w:r>
    </w:p>
    <w:p>
      <w:pPr>
        <w:spacing w:before="120" w:after="60" w:line="276" w:lineRule="auto"/>
        <w:jc w:val="left"/>
      </w:pPr>
      <w:r>
        <w:rPr>
          <w:rFonts w:ascii="Malgun Gothic" w:hAnsi="Malgun Gothic"/>
          <w:b/>
          <w:i w:val="0"/>
          <w:color w:val="111827"/>
          <w:sz w:val="20"/>
          <w:rFonts w:ascii="Malgun Gothic" w:eastAsia="Malgun Gothic" w:hAnsi="Malgun Gothic"/>
        </w:rPr>
        <w:t>2. 주요 당사국 전략적 태세 (STAKEHOLDER STRATEGIC POSTURE)</w:t>
      </w:r>
    </w:p>
    <w:tbl>
      <w:tblPr>
        <w:tblW w:type="auto" w:w="0"/>
        <w:jc w:val="center"/>
        <w:tblLayout w:type="fixed"/>
        <w:tblLook w:firstColumn="1" w:firstRow="1" w:lastColumn="0" w:lastRow="0" w:noHBand="0" w:noVBand="1" w:val="04A0"/>
        <w:tblBorders>
          <w:top w:val="single" w:sz="6" w:space="0" w:color="111827"/>
          <w:bottom w:val="single" w:sz="6" w:space="0" w:color="111827"/>
          <w:insideH w:val="single" w:sz="6" w:space="0" w:color="111827"/>
          <w:insideV w:val="none"/>
          <w:left w:val="none"/>
          <w:right w:val="none"/>
        </w:tblBorders>
      </w:tblPr>
      <w:tblGrid>
        <w:gridCol w:w="4986"/>
        <w:gridCol w:w="4986"/>
      </w:tblGrid>
      <w:tr>
        <w:tc>
          <w:tcPr>
            <w:tcW w:type="dxa" w:w="2592"/>
            <w:shd w:fill="F3F4F6"/>
            <w:tcMar>
              <w:top w:w="80" w:type="dxa"/>
              <w:bottom w:w="80" w:type="dxa"/>
              <w:left w:w="80" w:type="dxa"/>
              <w:right w:w="80" w:type="dxa"/>
            </w:tcMar>
          </w:tcPr>
          <w:p>
            <w:pPr>
              <w:spacing w:before="0" w:after="40" w:line="276" w:lineRule="auto"/>
              <w:jc w:val="left"/>
            </w:pPr>
            <w:r>
              <w:rPr>
                <w:rFonts w:ascii="Malgun Gothic" w:hAnsi="Malgun Gothic"/>
                <w:b/>
                <w:i w:val="0"/>
                <w:color w:val="111827"/>
                <w:sz w:val="16"/>
                <w:rFonts w:ascii="Malgun Gothic" w:eastAsia="Malgun Gothic" w:hAnsi="Malgun Gothic"/>
              </w:rPr>
              <w:t>당사국 (Actor)</w:t>
            </w:r>
          </w:p>
        </w:tc>
        <w:tc>
          <w:tcPr>
            <w:tcW w:type="dxa" w:w="7488"/>
            <w:shd w:fill="F3F4F6"/>
            <w:tcMar>
              <w:top w:w="80" w:type="dxa"/>
              <w:bottom w:w="80" w:type="dxa"/>
              <w:left w:w="80" w:type="dxa"/>
              <w:right w:w="80" w:type="dxa"/>
            </w:tcMar>
          </w:tcPr>
          <w:p>
            <w:pPr>
              <w:spacing w:before="0" w:after="40" w:line="276" w:lineRule="auto"/>
              <w:jc w:val="left"/>
            </w:pPr>
            <w:r>
              <w:rPr>
                <w:rFonts w:ascii="Malgun Gothic" w:hAnsi="Malgun Gothic"/>
                <w:b/>
                <w:i w:val="0"/>
                <w:color w:val="111827"/>
                <w:sz w:val="16"/>
                <w:rFonts w:ascii="Malgun Gothic" w:eastAsia="Malgun Gothic" w:hAnsi="Malgun Gothic"/>
              </w:rPr>
              <w:t>공식 입장 및 전략적 대응 태세 (Official Stance  Strategic Posture)</w:t>
            </w:r>
          </w:p>
        </w:tc>
      </w:tr>
      <w:tr>
        <w:tc>
          <w:tcPr>
            <w:tcW w:type="dxa" w:w="2592"/>
            <w:tcMar>
              <w:top w:w="60" w:type="dxa"/>
              <w:bottom w:w="60" w:type="dxa"/>
              <w:left w:w="80" w:type="dxa"/>
              <w:right w:w="80" w:type="dxa"/>
            </w:tcMar>
          </w:tcPr>
          <w:p>
            <w:pPr>
              <w:spacing w:before="0" w:after="40" w:line="276" w:lineRule="auto"/>
              <w:jc w:val="left"/>
            </w:pPr>
            <w:r>
              <w:rPr>
                <w:rFonts w:ascii="Malgun Gothic" w:hAnsi="Malgun Gothic"/>
                <w:b/>
                <w:i w:val="0"/>
                <w:color w:val="1F2937"/>
                <w:sz w:val="16"/>
                <w:rFonts w:ascii="Malgun Gothic" w:eastAsia="Malgun Gothic" w:hAnsi="Malgun Gothic"/>
              </w:rPr>
              <w:t>미국 (United States)</w:t>
            </w:r>
          </w:p>
        </w:tc>
        <w:tc>
          <w:tcPr>
            <w:tcW w:type="dxa" w:w="7488"/>
            <w:tcMar>
              <w:top w:w="60" w:type="dxa"/>
              <w:bottom w:w="60" w:type="dxa"/>
              <w:left w:w="80" w:type="dxa"/>
              <w:right w:w="80" w:type="dxa"/>
            </w:tcMar>
          </w:tcPr>
          <w:p>
            <w:pPr>
              <w:spacing w:before="0" w:after="40" w:line="276" w:lineRule="auto"/>
              <w:jc w:val="left"/>
            </w:pPr>
            <w:r>
              <w:rPr>
                <w:rFonts w:ascii="Malgun Gothic" w:hAnsi="Malgun Gothic"/>
                <w:b w:val="0"/>
                <w:i w:val="0"/>
                <w:color w:val="1F2937"/>
                <w:sz w:val="16"/>
                <w:rFonts w:ascii="Malgun Gothic" w:eastAsia="Malgun Gothic" w:hAnsi="Malgun Gothic"/>
              </w:rPr>
              <w:t xml:space="preserve">미국은 종전을 최우선 외교 성과로 추진하며 러-우 양측에 동시 압박을 가하는 한편, 직접 원조에서 나토 경유 유상판매로 정책을 전환해 재정 부담은 유럽에 이전하면서 무기 공급의 정치적 레버리지는 유지하는 전략을 구사하고 있다.</w:t>
            </w:r>
          </w:p>
        </w:tc>
      </w:tr>
      <w:tr>
        <w:tc>
          <w:tcPr>
            <w:tcW w:type="dxa" w:w="2592"/>
            <w:tcMar>
              <w:top w:w="60" w:type="dxa"/>
              <w:bottom w:w="60" w:type="dxa"/>
              <w:left w:w="80" w:type="dxa"/>
              <w:right w:w="80" w:type="dxa"/>
            </w:tcMar>
          </w:tcPr>
          <w:p>
            <w:pPr>
              <w:spacing w:before="0" w:after="40" w:line="276" w:lineRule="auto"/>
              <w:jc w:val="left"/>
            </w:pPr>
            <w:r>
              <w:rPr>
                <w:rFonts w:ascii="Malgun Gothic" w:hAnsi="Malgun Gothic"/>
                <w:b/>
                <w:i w:val="0"/>
                <w:color w:val="1F2937"/>
                <w:sz w:val="16"/>
                <w:rFonts w:ascii="Malgun Gothic" w:eastAsia="Malgun Gothic" w:hAnsi="Malgun Gothic"/>
              </w:rPr>
              <w:t>중국 (China)</w:t>
            </w:r>
          </w:p>
        </w:tc>
        <w:tc>
          <w:tcPr>
            <w:tcW w:type="dxa" w:w="7488"/>
            <w:tcMar>
              <w:top w:w="60" w:type="dxa"/>
              <w:bottom w:w="60" w:type="dxa"/>
              <w:left w:w="80" w:type="dxa"/>
              <w:right w:w="80" w:type="dxa"/>
            </w:tcMar>
          </w:tcPr>
          <w:p>
            <w:pPr>
              <w:spacing w:before="0" w:after="40" w:line="276" w:lineRule="auto"/>
              <w:jc w:val="left"/>
            </w:pPr>
            <w:r>
              <w:rPr>
                <w:rFonts w:ascii="Malgun Gothic" w:hAnsi="Malgun Gothic"/>
                <w:b w:val="0"/>
                <w:i w:val="0"/>
                <w:color w:val="1F2937"/>
                <w:sz w:val="16"/>
                <w:rFonts w:ascii="Malgun Gothic" w:eastAsia="Malgun Gothic" w:hAnsi="Malgun Gothic"/>
              </w:rPr>
              <w:t xml:space="preserve">중국은 표면적으로 '중립'을 표방하며 양측에 협상 복귀를 촉구하고 있으나, 대러 경제협력을 지속하며 실질적으로는 러시아에 우호적인 입장을 유지하고 있고, 2026년에도 시진핑-푸틴 정상회담을 통해 밀착 관계를 이어가고 있다.</w:t>
            </w:r>
          </w:p>
        </w:tc>
      </w:tr>
      <w:tr>
        <w:tc>
          <w:tcPr>
            <w:tcW w:type="dxa" w:w="2592"/>
            <w:tcMar>
              <w:top w:w="60" w:type="dxa"/>
              <w:bottom w:w="60" w:type="dxa"/>
              <w:left w:w="80" w:type="dxa"/>
              <w:right w:w="80" w:type="dxa"/>
            </w:tcMar>
          </w:tcPr>
          <w:p>
            <w:pPr>
              <w:spacing w:before="0" w:after="40" w:line="276" w:lineRule="auto"/>
              <w:jc w:val="left"/>
            </w:pPr>
            <w:r>
              <w:rPr>
                <w:rFonts w:ascii="Malgun Gothic" w:hAnsi="Malgun Gothic"/>
                <w:b/>
                <w:i w:val="0"/>
                <w:color w:val="1F2937"/>
                <w:sz w:val="16"/>
                <w:rFonts w:ascii="Malgun Gothic" w:eastAsia="Malgun Gothic" w:hAnsi="Malgun Gothic"/>
              </w:rPr>
              <w:t>대한민국 (South Korea)</w:t>
            </w:r>
          </w:p>
        </w:tc>
        <w:tc>
          <w:tcPr>
            <w:tcW w:type="dxa" w:w="7488"/>
            <w:tcMar>
              <w:top w:w="60" w:type="dxa"/>
              <w:bottom w:w="60" w:type="dxa"/>
              <w:left w:w="80" w:type="dxa"/>
              <w:right w:w="80" w:type="dxa"/>
            </w:tcMar>
          </w:tcPr>
          <w:p>
            <w:pPr>
              <w:spacing w:before="0" w:after="40" w:line="276" w:lineRule="auto"/>
              <w:jc w:val="left"/>
            </w:pPr>
            <w:r>
              <w:rPr>
                <w:rFonts w:ascii="Malgun Gothic" w:hAnsi="Malgun Gothic"/>
                <w:b w:val="0"/>
                <w:i w:val="0"/>
                <w:color w:val="1F2937"/>
                <w:sz w:val="16"/>
                <w:rFonts w:ascii="Malgun Gothic" w:eastAsia="Malgun Gothic" w:hAnsi="Malgun Gothic"/>
              </w:rPr>
              <w:t xml:space="preserve">한국 정부(이재명 행정부)는 살상무기 지원은 배제하되 인도적·재건 지원은 확대하는 '균형 외교' 노선을 취하고 있으며, 이는 나토와의 협력 및 대러 관계 관리를 동시에 고려한 결정으로 분석된다.</w:t>
            </w:r>
          </w:p>
        </w:tc>
      </w:tr>
      <w:tr>
        <w:tc>
          <w:tcPr>
            <w:tcW w:type="dxa" w:w="2592"/>
            <w:tcMar>
              <w:top w:w="60" w:type="dxa"/>
              <w:bottom w:w="60" w:type="dxa"/>
              <w:left w:w="80" w:type="dxa"/>
              <w:right w:w="80" w:type="dxa"/>
            </w:tcMar>
          </w:tcPr>
          <w:p>
            <w:pPr>
              <w:spacing w:before="0" w:after="40" w:line="276" w:lineRule="auto"/>
              <w:jc w:val="left"/>
            </w:pPr>
            <w:r>
              <w:rPr>
                <w:rFonts w:ascii="Malgun Gothic" w:hAnsi="Malgun Gothic"/>
                <w:b/>
                <w:i w:val="0"/>
                <w:color w:val="1F2937"/>
                <w:sz w:val="16"/>
                <w:rFonts w:ascii="Malgun Gothic" w:eastAsia="Malgun Gothic" w:hAnsi="Malgun Gothic"/>
              </w:rPr>
              <w:t>기타 주요국 (Other Actors)</w:t>
            </w:r>
          </w:p>
        </w:tc>
        <w:tc>
          <w:tcPr>
            <w:tcW w:type="dxa" w:w="7488"/>
            <w:tcMar>
              <w:top w:w="60" w:type="dxa"/>
              <w:bottom w:w="60" w:type="dxa"/>
              <w:left w:w="80" w:type="dxa"/>
              <w:right w:w="80" w:type="dxa"/>
            </w:tcMar>
          </w:tcPr>
          <w:p>
            <w:pPr>
              <w:spacing w:before="0" w:after="40" w:line="276" w:lineRule="auto"/>
              <w:jc w:val="left"/>
            </w:pPr>
            <w:r>
              <w:rPr>
                <w:rFonts w:ascii="Malgun Gothic" w:hAnsi="Malgun Gothic"/>
                <w:b w:val="0"/>
                <w:i w:val="0"/>
                <w:color w:val="1F2937"/>
                <w:sz w:val="16"/>
                <w:rFonts w:ascii="Malgun Gothic" w:eastAsia="Malgun Gothic" w:hAnsi="Malgun Gothic"/>
              </w:rPr>
              <w:t xml:space="preserve">러시아는 우크라이나의 나토 가입 포기와 병력 제한, 완충지대 설정을 핵심 요구로 고수하며 협상에서 유리한 위치를 점하려 하고, EU는 20차 제재 패키지와 유가상한제 강화를 통해 대러 압박을 지속하면서도 미국 주도 평화안에 대해서는 안전보장 이행 주체 문제로 신중한 입장을 보이고 있다.</w:t>
            </w:r>
          </w:p>
        </w:tc>
      </w:tr>
    </w:tbl>
    <w:p>
      <w:pPr>
        <w:spacing w:before="200" w:after="60" w:line="276" w:lineRule="auto"/>
        <w:jc w:val="left"/>
      </w:pPr>
      <w:r>
        <w:rPr>
          <w:rFonts w:ascii="Malgun Gothic" w:hAnsi="Malgun Gothic"/>
          <w:b/>
          <w:i w:val="0"/>
          <w:color w:val="111827"/>
          <w:sz w:val="20"/>
          <w:rFonts w:ascii="Malgun Gothic" w:eastAsia="Malgun Gothic" w:hAnsi="Malgun Gothic"/>
        </w:rPr>
        <w:t>3. 경제 및 안보 파급영향 분석 (ECONOMIC AND SECURITY IMPACT ANALYSIS)</w:t>
      </w:r>
    </w:p>
    <w:p>
      <w:pPr>
        <w:spacing w:before="80" w:after="40" w:line="276" w:lineRule="auto"/>
        <w:jc w:val="left"/>
      </w:pPr>
      <w:r>
        <w:rPr>
          <w:rFonts w:ascii="Malgun Gothic" w:hAnsi="Malgun Gothic"/>
          <w:b/>
          <w:i w:val="0"/>
          <w:color w:val="1F2937"/>
          <w:sz w:val="18"/>
          <w:rFonts w:ascii="Malgun Gothic" w:eastAsia="Malgun Gothic" w:hAnsi="Malgun Gothic"/>
        </w:rPr>
        <w:t>■ 안보 및 군사적 파급효과 (Security Dimension)</w:t>
      </w:r>
    </w:p>
    <w:p>
      <w:pPr>
        <w:spacing w:before="0" w:after="40" w:line="276" w:lineRule="auto"/>
        <w:jc w:val="left"/>
      </w:pPr>
      <w:r>
        <w:rPr>
          <w:rFonts w:ascii="Malgun Gothic" w:hAnsi="Malgun Gothic"/>
          <w:b w:val="0"/>
          <w:i w:val="0"/>
          <w:color w:val="1F2937"/>
          <w:sz w:val="17"/>
          <w:rFonts w:ascii="Malgun Gothic" w:eastAsia="Malgun Gothic" w:hAnsi="Malgun Gothic"/>
        </w:rPr>
        <w:t xml:space="preserve">(U) 한반도 안보 영향: 북한군은 쿠르스크 전선 투입에 이어 최전선 배치를 위한 추가 3만 명 파병설이 제기되고 있으며, 그 대가로 러시아로부터 현금·식량·연료는 물론 군사기술 및 대량살상무기 관련 협력까지 받을 가능성이 지적되고 있어 한반도 군사 균형에 직접적 위협 요인이 되고 있다.</w:t>
      </w:r>
    </w:p>
    <w:p>
      <w:pPr>
        <w:spacing w:before="0" w:after="40" w:line="276" w:lineRule="auto"/>
        <w:jc w:val="left"/>
      </w:pPr>
      <w:r>
        <w:rPr>
          <w:rFonts w:ascii="Malgun Gothic" w:hAnsi="Malgun Gothic"/>
          <w:b w:val="0"/>
          <w:i w:val="0"/>
          <w:color w:val="1F2937"/>
          <w:sz w:val="17"/>
          <w:rFonts w:ascii="Malgun Gothic" w:eastAsia="Malgun Gothic" w:hAnsi="Malgun Gothic"/>
        </w:rPr>
        <w:t xml:space="preserve">(U) 동맹 구도 및 방위태세: 우크라이나 참전 경험을 통해 북한군의 실전 능력이 향상되고 북러 군사협력이 심화되는 것은 한미동맹 및 한미일 안보협력 강화의 필요성을 부각시키는 요인으로 작용하고 있다.</w:t>
      </w:r>
    </w:p>
    <w:p>
      <w:pPr>
        <w:spacing w:before="0" w:after="40" w:line="276" w:lineRule="auto"/>
        <w:jc w:val="left"/>
      </w:pPr>
      <w:r>
        <w:rPr>
          <w:rFonts w:ascii="Malgun Gothic" w:hAnsi="Malgun Gothic"/>
          <w:b w:val="0"/>
          <w:i w:val="0"/>
          <w:color w:val="1F2937"/>
          <w:sz w:val="17"/>
          <w:rFonts w:ascii="Malgun Gothic" w:eastAsia="Malgun Gothic" w:hAnsi="Malgun Gothic"/>
        </w:rPr>
        <w:t xml:space="preserve">(U) 군사적 위협 수준: 북한이 러시아와의 협력을 통해 미사일·드론 관련 기술 및 실전 데이터를 습득할 경우 대남 미사일 위협의 정교화로 이어질 수 있다는 우려가 안보 전문가들 사이에서 제기되고 있다.</w:t>
      </w:r>
    </w:p>
    <w:p>
      <w:pPr>
        <w:spacing w:before="80" w:after="40" w:line="276" w:lineRule="auto"/>
        <w:jc w:val="left"/>
      </w:pPr>
      <w:r>
        <w:rPr>
          <w:rFonts w:ascii="Malgun Gothic" w:hAnsi="Malgun Gothic"/>
          <w:b/>
          <w:i w:val="0"/>
          <w:color w:val="1F2937"/>
          <w:sz w:val="18"/>
          <w:rFonts w:ascii="Malgun Gothic" w:eastAsia="Malgun Gothic" w:hAnsi="Malgun Gothic"/>
        </w:rPr>
        <w:t>■ 경제 및 통상 파급효과 (Economic Dimension)</w:t>
      </w:r>
    </w:p>
    <w:p>
      <w:pPr>
        <w:spacing w:before="0" w:after="40" w:line="276" w:lineRule="auto"/>
        <w:jc w:val="left"/>
      </w:pPr>
      <w:r>
        <w:rPr>
          <w:rFonts w:ascii="Malgun Gothic" w:hAnsi="Malgun Gothic"/>
          <w:b w:val="0"/>
          <w:i w:val="0"/>
          <w:color w:val="1F2937"/>
          <w:sz w:val="17"/>
          <w:rFonts w:ascii="Malgun Gothic" w:eastAsia="Malgun Gothic" w:hAnsi="Malgun Gothic"/>
        </w:rPr>
        <w:t xml:space="preserve">(U) 통상 및 관세 영향: 대러 제재 장기화로 한국의 대러시아 직접 교역은 제한적 수준에 머물러 있는 반면, 폴란드 등 유럽 국가와의 방산 계약(K2전차, K9 자주포 등)이 확대되며 우크라이나 재건 수요를 겨냥한 건설·인프라 기업들의 시장 선점 경쟁도 이어지고 있다.</w:t>
      </w:r>
    </w:p>
    <w:p>
      <w:pPr>
        <w:spacing w:before="0" w:after="40" w:line="276" w:lineRule="auto"/>
        <w:jc w:val="left"/>
      </w:pPr>
      <w:r>
        <w:rPr>
          <w:rFonts w:ascii="Malgun Gothic" w:hAnsi="Malgun Gothic"/>
          <w:b w:val="0"/>
          <w:i w:val="0"/>
          <w:color w:val="1F2937"/>
          <w:sz w:val="17"/>
          <w:rFonts w:ascii="Malgun Gothic" w:eastAsia="Malgun Gothic" w:hAnsi="Malgun Gothic"/>
        </w:rPr>
        <w:t xml:space="preserve">(U) 외환 및 금융시장 영향: 우크라이나 전쟁 자체보다는 중동 정세 등 복합 요인이 원/달러 환율에 더 크게 작용하고 있으나, 지정학적 리스크 확대 국면에서는 안전자산 선호에 따른 원화 약세 압력이 주기적으로 나타나고 있다.</w:t>
      </w:r>
    </w:p>
    <w:p>
      <w:pPr>
        <w:spacing w:before="0" w:after="40" w:line="276" w:lineRule="auto"/>
        <w:jc w:val="left"/>
      </w:pPr>
      <w:r>
        <w:rPr>
          <w:rFonts w:ascii="Malgun Gothic" w:hAnsi="Malgun Gothic"/>
          <w:b w:val="0"/>
          <w:i w:val="0"/>
          <w:color w:val="1F2937"/>
          <w:sz w:val="17"/>
          <w:rFonts w:ascii="Malgun Gothic" w:eastAsia="Malgun Gothic" w:hAnsi="Malgun Gothic"/>
        </w:rPr>
        <w:t xml:space="preserve">(U) 핵심 산업 및 투자 영향: 한화에어로스페이스, 현대로템 등 K-방산주는 폴란드向 대형 수주 소식에 힘입어 유럽 안보 재편의 수혜주로 부각되며 국내 증시에서 지속적인 투자 관심을 받고 있다.</w:t>
      </w:r>
    </w:p>
    <w:p>
      <w:pPr>
        <w:spacing w:before="80" w:after="40" w:line="276" w:lineRule="auto"/>
        <w:jc w:val="left"/>
      </w:pPr>
      <w:r>
        <w:rPr>
          <w:rFonts w:ascii="Malgun Gothic" w:hAnsi="Malgun Gothic"/>
          <w:b/>
          <w:i w:val="0"/>
          <w:color w:val="1F2937"/>
          <w:sz w:val="18"/>
          <w:rFonts w:ascii="Malgun Gothic" w:eastAsia="Malgun Gothic" w:hAnsi="Malgun Gothic"/>
        </w:rPr>
        <w:t>■ 여론 및 전문가 평가 (Public Opinion  Expert Assessment)</w:t>
      </w:r>
    </w:p>
    <w:p>
      <w:pPr>
        <w:spacing w:before="0" w:after="40" w:line="276" w:lineRule="auto"/>
        <w:jc w:val="left"/>
      </w:pPr>
      <w:r>
        <w:rPr>
          <w:rFonts w:ascii="Malgun Gothic" w:hAnsi="Malgun Gothic"/>
          <w:b w:val="0"/>
          <w:i w:val="0"/>
          <w:color w:val="1F2937"/>
          <w:sz w:val="17"/>
          <w:rFonts w:ascii="Malgun Gothic" w:eastAsia="Malgun Gothic" w:hAnsi="Malgun Gothic"/>
        </w:rPr>
        <w:t xml:space="preserve">(U) 국내외 여론 동향: 러시아 국민의 64%, 우크라이나 국민의 66%가 협상을 통한 조속한 종전을 지지한다는 조사 결과가 나오는 등 양국 모두에서 피로감에 따른 종전 여론이 우세해지고 있다.</w:t>
      </w:r>
    </w:p>
    <w:p>
      <w:pPr>
        <w:spacing w:before="0" w:after="40" w:line="276" w:lineRule="auto"/>
        <w:jc w:val="left"/>
      </w:pPr>
      <w:r>
        <w:rPr>
          <w:rFonts w:ascii="Malgun Gothic" w:hAnsi="Malgun Gothic"/>
          <w:b w:val="0"/>
          <w:i w:val="0"/>
          <w:color w:val="1F2937"/>
          <w:sz w:val="17"/>
          <w:rFonts w:ascii="Malgun Gothic" w:eastAsia="Malgun Gothic" w:hAnsi="Malgun Gothic"/>
        </w:rPr>
        <w:t xml:space="preserve">(U) 학계·싱크탱크 전문가 평가: 커트 볼커 전 미 특사는 러시아가 '진정성 있는 협상 의지가 없다'고 평가했고, 다수 전문가들은 영토·안전보장을 둘러싼 근본적 입장차로 인해 2026년 내 돌파구 마련은 비현실적이며 사실상 동결된 분쟁으로 장기화될 가능성이 높다고 진단하고 있다.</w:t>
      </w:r>
    </w:p>
    <w:p>
      <w:pPr>
        <w:spacing w:before="200" w:after="60" w:line="276" w:lineRule="auto"/>
        <w:jc w:val="left"/>
      </w:pPr>
      <w:r>
        <w:rPr>
          <w:rFonts w:ascii="Malgun Gothic" w:hAnsi="Malgun Gothic"/>
          <w:b/>
          <w:i w:val="0"/>
          <w:color w:val="111827"/>
          <w:sz w:val="20"/>
          <w:rFonts w:ascii="Malgun Gothic" w:eastAsia="Malgun Gothic" w:hAnsi="Malgun Gothic"/>
        </w:rPr>
        <w:t>4. 위험 전망 및 불확실성 요인 (RISK OUTLOOK AND UNCERTAINTY ANALYSIS)</w:t>
      </w:r>
    </w:p>
    <w:p>
      <w:pPr>
        <w:spacing w:before="0" w:after="20" w:line="276" w:lineRule="auto"/>
        <w:jc w:val="left"/>
      </w:pPr>
      <w:r>
        <w:rPr>
          <w:rFonts w:ascii="Malgun Gothic" w:hAnsi="Malgun Gothic"/>
          <w:b/>
          <w:i w:val="0"/>
          <w:color w:val="1F2937"/>
          <w:sz w:val="17"/>
          <w:rFonts w:ascii="Malgun Gothic" w:eastAsia="Malgun Gothic" w:hAnsi="Malgun Gothic"/>
        </w:rPr>
        <w:t xml:space="preserve">(U) 단기 전망 (3~6개월): 향후 수개월간은 부분적·단기적 휴전이 반복적으로 시도되되 완전한 정전으로 이어지지 못하고, 전선에서는 저강도 소모전이 지속될 가능성이 높다.</w:t>
      </w:r>
    </w:p>
    <w:p>
      <w:pPr>
        <w:spacing w:before="0" w:after="60" w:line="276" w:lineRule="auto"/>
        <w:jc w:val="left"/>
      </w:pPr>
      <w:r>
        <w:rPr>
          <w:rFonts w:ascii="Malgun Gothic" w:hAnsi="Malgun Gothic"/>
          <w:b w:val="0"/>
          <w:i w:val="0"/>
          <w:color w:val="374151"/>
          <w:sz w:val="17"/>
          <w:rFonts w:ascii="Malgun Gothic" w:eastAsia="Malgun Gothic" w:hAnsi="Malgun Gothic"/>
        </w:rPr>
        <w:t xml:space="preserve">    ▶ 유력 시나리오: 가장 가능성이 높은 단기 시나리오는 '협상은 계속되나 전투도 계속되는' 현 상태의 연장으로, 국지적 인도적 휴전과 포로 교환은 성사되지만 포괄적 종전 합의는 2026년 내 타결되지 않을 공산이 크다.</w:t>
      </w:r>
    </w:p>
    <w:p>
      <w:pPr>
        <w:spacing w:before="0" w:after="20" w:line="276" w:lineRule="auto"/>
        <w:jc w:val="left"/>
      </w:pPr>
      <w:r>
        <w:rPr>
          <w:rFonts w:ascii="Malgun Gothic" w:hAnsi="Malgun Gothic"/>
          <w:b/>
          <w:i w:val="0"/>
          <w:color w:val="1F2937"/>
          <w:sz w:val="17"/>
          <w:rFonts w:ascii="Malgun Gothic" w:eastAsia="Malgun Gothic" w:hAnsi="Malgun Gothic"/>
        </w:rPr>
        <w:t xml:space="preserve">(U) 중기 전망 (1~3년): 중기적으로는 양측 모두 결정적 군사적 승리가 어려운 상황에서 실질적인 사실상의 정전선을 따라 '동결된 분쟁(frozen conflict)' 형태로 전환될 가능성이 제기되고 있다.</w:t>
      </w:r>
    </w:p>
    <w:p>
      <w:pPr>
        <w:spacing w:before="0" w:after="60" w:line="276" w:lineRule="auto"/>
        <w:jc w:val="left"/>
      </w:pPr>
      <w:r>
        <w:rPr>
          <w:rFonts w:ascii="Malgun Gothic" w:hAnsi="Malgun Gothic"/>
          <w:b w:val="0"/>
          <w:i w:val="0"/>
          <w:color w:val="374151"/>
          <w:sz w:val="17"/>
          <w:rFonts w:ascii="Malgun Gothic" w:eastAsia="Malgun Gothic" w:hAnsi="Malgun Gothic"/>
        </w:rPr>
        <w:t xml:space="preserve">    ▶ 주요 전환점: 안전보장 체제(15~50년 안보 공약)의 미 의회·나토 승인 여부와 우크라이나 국민투표 실시 여부가 전쟁의 다음 국면을 가르는 분수령이 될 것으로 보인다.</w:t>
      </w:r>
    </w:p>
    <w:p>
      <w:pPr>
        <w:spacing w:before="0" w:after="20" w:line="276" w:lineRule="auto"/>
        <w:jc w:val="left"/>
      </w:pPr>
      <w:r>
        <w:rPr>
          <w:rFonts w:ascii="Malgun Gothic" w:hAnsi="Malgun Gothic"/>
          <w:b/>
          <w:i w:val="0"/>
          <w:color w:val="1F2937"/>
          <w:sz w:val="17"/>
          <w:rFonts w:ascii="Malgun Gothic" w:eastAsia="Malgun Gothic" w:hAnsi="Malgun Gothic"/>
        </w:rPr>
        <w:t xml:space="preserve">(U) 장기 구조적 변화: 장기적으로는 한반도 분단선과 유사한 형태의 실질적 경계선이 고착화되고, 우크라이나의 나토 미가입 상태에서 서방의 양자적 안전보장으로 대체되는 '준동맹' 체제가 정착될 가능성이 유럽 안보 논의에서 거론되고 있다.</w:t>
      </w:r>
    </w:p>
    <w:p>
      <w:pPr>
        <w:spacing w:before="0" w:after="80" w:line="276" w:lineRule="auto"/>
        <w:jc w:val="left"/>
      </w:pPr>
      <w:r>
        <w:rPr>
          <w:rFonts w:ascii="Malgun Gothic" w:hAnsi="Malgun Gothic"/>
          <w:b w:val="0"/>
          <w:i w:val="0"/>
          <w:color w:val="374151"/>
          <w:sz w:val="17"/>
          <w:rFonts w:ascii="Malgun Gothic" w:eastAsia="Malgun Gothic" w:hAnsi="Malgun Gothic"/>
        </w:rPr>
        <w:t xml:space="preserve">    ▶ 구조적 리스크: 이번 전쟁을 계기로 유럽은 자체 방위산업 역량 강화와 러시아 에너지 의존 탈피를 구조적으로 가속화하고 있으며, 이는 한국을 포함한 비유럽 방산 수출국들의 유럽 시장 진출 기회 확대로 이어지는 구조적 변화를 낳고 있다.</w:t>
      </w:r>
    </w:p>
    <w:p>
      <w:pPr>
        <w:spacing w:before="60" w:after="40" w:line="276" w:lineRule="auto"/>
        <w:jc w:val="left"/>
      </w:pPr>
      <w:r>
        <w:rPr>
          <w:rFonts w:ascii="Malgun Gothic" w:hAnsi="Malgun Gothic"/>
          <w:b/>
          <w:i w:val="0"/>
          <w:color w:val="1F2937"/>
          <w:sz w:val="18"/>
          <w:rFonts w:ascii="Malgun Gothic" w:eastAsia="Malgun Gothic" w:hAnsi="Malgun Gothic"/>
        </w:rPr>
        <w:t>핵심 불확실성 요인 (Key Uncertainties):</w:t>
      </w:r>
    </w:p>
    <w:p>
      <w:pPr>
        <w:spacing w:before="0" w:after="80" w:line="276" w:lineRule="auto"/>
        <w:jc w:val="left"/>
      </w:pPr>
      <w:r>
        <w:rPr>
          <w:rFonts w:ascii="Malgun Gothic" w:hAnsi="Malgun Gothic"/>
          <w:b w:val="0"/>
          <w:i w:val="0"/>
          <w:color w:val="374151"/>
          <w:sz w:val="17"/>
          <w:rFonts w:ascii="Malgun Gothic" w:eastAsia="Malgun Gothic" w:hAnsi="Malgun Gothic"/>
        </w:rPr>
        <w:t xml:space="preserve">• 1. 자포리자 원전 통제권과 영토 동결선 확정 등 핵심 쟁점에서 러-우 양측의 근본적 입장차가 해소되지 않아 협상이 언제든 재차 결렬될 위험이 상존한다.</w:t>
        <w:br/>
        <w:t xml:space="preserve">• 2. 북한이 러시아에 추가로 3만 명 규모의 병력을 파병할 가능성이 제기되고 있어, 실현될 경우 전황뿐 아니라 북러 군사협력 심화를 통한 한반도 안보 지형에도 파급될 수 있다.</w:t>
        <w:br/>
        <w:t xml:space="preserve">• 3. 미국 의회 및 유럽 각국 의회의 안전보장안 승인 여부, 그리고 나토 회원국들의 지속적 재정 부담 의지가 불투명해 PURL 방식 무기 지원의 장기 지속 가능성이 확실하지 않다.</w:t>
        <w:br/>
        <w:t xml:space="preserve"/>
      </w:r>
    </w:p>
    <w:p>
      <w:pPr>
        <w:spacing w:before="200" w:after="60" w:line="276" w:lineRule="auto"/>
        <w:jc w:val="left"/>
      </w:pPr>
      <w:r>
        <w:rPr>
          <w:rFonts w:ascii="Malgun Gothic" w:hAnsi="Malgun Gothic"/>
          <w:b/>
          <w:i w:val="0"/>
          <w:color w:val="111827"/>
          <w:sz w:val="20"/>
          <w:rFonts w:ascii="Malgun Gothic" w:eastAsia="Malgun Gothic" w:hAnsi="Malgun Gothic"/>
        </w:rPr>
        <w:t>5. 핵심 전략적 정책 제언 (KEY STRATEGIC RECOMMENDATIONS)</w:t>
      </w:r>
    </w:p>
    <w:p>
      <w:pPr>
        <w:spacing w:before="0" w:after="80" w:line="276" w:lineRule="auto"/>
        <w:jc w:val="left"/>
      </w:pPr>
      <w:r>
        <w:rPr>
          <w:rFonts w:ascii="Malgun Gothic" w:hAnsi="Malgun Gothic"/>
          <w:b w:val="0"/>
          <w:i w:val="0"/>
          <w:color w:val="1F2937"/>
          <w:sz w:val="17"/>
          <w:rFonts w:ascii="Malgun Gothic" w:eastAsia="Malgun Gothic" w:hAnsi="Malgun Gothic"/>
        </w:rPr>
        <w:t xml:space="preserve">■ 제언 1 (대응 전략 / Response Strategy)</w:t>
        <w:br/>
        <w:t xml:space="preserve">한국은 방산 수출 다변화(폴란드 등 유럽), 우크라이나 재건 사업 참여, 북한군 포로의 한국행 지원과 같은 인도적 채널 확대를 통해 국익과 국제사회 기여를 병행하는 전략을 구사할 필요가 있다.</w:t>
        <w:br/>
        <w:br/>
        <w:t xml:space="preserve">■ 제언 2 (다자외교 포지셔닝 / Multilateral Positioning)</w:t>
        <w:br/>
        <w:t xml:space="preserve">한국은 우크라이나 재건 지원과 인도적 지원에는 적극 참여하면서도 살상무기 직접 지원은 자제하는 '균형자' 포지션을 유지함으로써 서방 진영과의 연대를 강화하는 동시에 대러 관계의 완전한 단절은 피하는 전략을 취하고 있다.</w:t>
        <w:br/>
        <w:br/>
        <w:t xml:space="preserve">■ 제언 3 (한미 공조 및 파급효과 / ROK-US Coordination)</w:t>
        <w:br/>
        <w:t xml:space="preserve">트럼프 행정부의 나토 중심 무기 지원 전환 사례는 향후 한미 방위비 분담 및 유사시 대한(對韓) 지원 방식 논의에도 참고 사례로 작용할 수 있다는 분석이 나온다.</w:t>
        <w:br/>
        <w:br/>
        <w:t xml:space="preserve"/>
      </w:r>
    </w:p>
    <w:p>
      <w:pPr>
        <w:spacing w:before="200" w:after="60" w:line="276" w:lineRule="auto"/>
        <w:jc w:val="left"/>
      </w:pPr>
      <w:r>
        <w:rPr>
          <w:rFonts w:ascii="Malgun Gothic" w:hAnsi="Malgun Gothic"/>
          <w:b/>
          <w:i w:val="0"/>
          <w:color w:val="111827"/>
          <w:sz w:val="20"/>
          <w:rFonts w:ascii="Malgun Gothic" w:eastAsia="Malgun Gothic" w:hAnsi="Malgun Gothic"/>
        </w:rPr>
        <w:t>6. 데이터베이스 검증 쿼리 및 분석 방법론 (DATABASE QUERIES  METHODOLOGY)</w:t>
      </w:r>
    </w:p>
    <w:p>
      <w:pPr>
        <w:spacing w:before="0" w:after="80" w:line="276" w:lineRule="auto"/>
        <w:jc w:val="left"/>
      </w:pPr>
      <w:r>
        <w:rPr>
          <w:rFonts w:ascii="Malgun Gothic" w:hAnsi="Malgun Gothic"/>
          <w:b w:val="0"/>
          <w:i w:val="0"/>
          <w:color w:val="374151"/>
          <w:sz w:val="17"/>
          <w:rFonts w:ascii="Malgun Gothic" w:eastAsia="Malgun Gothic" w:hAnsi="Malgun Gothic"/>
        </w:rPr>
        <w:t xml:space="preserve">• Wikipedia Pageviews (대중적 관심도): 'Ukraine War' 일일 조회수 41,950, 7일 대비 변동성 +12.7% 관측.</w:t>
        <w:br/>
        <w:t xml:space="preserve">• Guardian 정부 공식 발표 (외교부/국무부/해당국 피드): 26 matches (NATO, EU 집행위, 러시아 외무부) 매칭 확인.</w:t>
        <w:br/>
        <w:t xml:space="preserve">• 3개 AI 모델 합의도 (Mistral-7B, Qwen2.5-7B, EXAONE-3.5): 미디어 프레이밍 'STALEMATE / ATTRITION (소모전 고착화)' (100.0% (3/3 일치) 일치).</w:t>
        <w:br/>
        <w:t xml:space="preserve">• Sentinel IFCN 검증 팩트체크: 공식 발표 및 주요 언론 피드 대상 허위·왜곡 정보 0건 확인.</w:t>
        <w:br/>
        <w:t xml:space="preserve"/>
      </w:r>
    </w:p>
    <w:p>
      <w:pPr>
        <w:spacing w:before="60" w:after="40" w:line="276" w:lineRule="auto"/>
        <w:jc w:val="left"/>
      </w:pPr>
      <w:r>
        <w:rPr>
          <w:rFonts w:ascii="Malgun Gothic" w:hAnsi="Malgun Gothic"/>
          <w:b/>
          <w:i w:val="0"/>
          <w:color w:val="1F2937"/>
          <w:sz w:val="18"/>
          <w:rFonts w:ascii="Malgun Gothic" w:eastAsia="Malgun Gothic" w:hAnsi="Malgun Gothic"/>
        </w:rPr>
        <w:t>주요 출처 및 팩트체크 로그 (Key Sources  Verification Log):</w:t>
      </w:r>
    </w:p>
    <w:p>
      <w:pPr>
        <w:spacing w:before="0" w:after="120" w:line="276" w:lineRule="auto"/>
        <w:jc w:val="left"/>
      </w:pPr>
      <w:r>
        <w:rPr>
          <w:rFonts w:ascii="Malgun Gothic" w:hAnsi="Malgun Gothic"/>
          <w:b w:val="0"/>
          <w:i w:val="0"/>
          <w:color w:val="4B5563"/>
          <w:sz w:val="17"/>
          <w:rFonts w:ascii="Malgun Gothic" w:eastAsia="Malgun Gothic" w:hAnsi="Malgun Gothic"/>
        </w:rPr>
        <w:t xml:space="preserve">NPR (2025.12.29); Russia Matters; RFE/RL.</w:t>
      </w:r>
    </w:p>
    <w:p>
      <w:pPr>
        <w:spacing w:before="80" w:after="40" w:line="276" w:lineRule="auto"/>
        <w:jc w:val="left"/>
      </w:pPr>
      <w:r>
        <w:rPr>
          <w:rFonts w:ascii="Malgun Gothic" w:hAnsi="Malgun Gothic"/>
          <w:b/>
          <w:i w:val="0"/>
          <w:color w:val="1F2937"/>
          <w:sz w:val="18"/>
          <w:rFonts w:ascii="Malgun Gothic" w:eastAsia="Malgun Gothic" w:hAnsi="Malgun Gothic"/>
        </w:rPr>
        <w:t>첨부 증빙 자료 (Enclosure(s)):</w:t>
      </w:r>
    </w:p>
    <w:p>
      <w:pPr>
        <w:spacing w:before="0" w:after="160" w:line="276" w:lineRule="auto"/>
        <w:jc w:val="left"/>
      </w:pPr>
      <w:r>
        <w:rPr>
          <w:rFonts w:ascii="Malgun Gothic" w:hAnsi="Malgun Gothic"/>
          <w:b w:val="0"/>
          <w:i w:val="0"/>
          <w:color w:val="4B5563"/>
          <w:sz w:val="17"/>
          <w:rFonts w:ascii="Malgun Gothic" w:eastAsia="Malgun Gothic" w:hAnsi="Malgun Gothic"/>
        </w:rPr>
        <w:t xml:space="preserve">• 1.  U Official_Announcements_Matching_Audit.csv</w:t>
        <w:br/>
        <w:t xml:space="preserve">• 2.  U Wikipedia_Pageviews_7Day_Trend.png</w:t>
        <w:br/>
        <w:t xml:space="preserve">• 3.  U Multi_Agent_Consensus_Audit_Matrix.json</w:t>
        <w:br/>
        <w:t xml:space="preserve"/>
      </w:r>
    </w:p>
    <w:p>
      <w:pPr>
        <w:spacing w:before="160" w:after="240" w:line="276" w:lineRule="auto"/>
        <w:jc w:val="center"/>
      </w:pPr>
      <w:r>
        <w:rPr>
          <w:rFonts w:ascii="Malgun Gothic" w:hAnsi="Malgun Gothic"/>
          <w:b/>
          <w:i w:val="0"/>
          <w:color w:val="1F2937"/>
          <w:sz w:val="20"/>
          <w:rFonts w:ascii="Malgun Gothic" w:eastAsia="Malgun Gothic" w:hAnsi="Malgun Gothic"/>
        </w:rPr>
        <w:t>◆◆</w:t>
      </w:r>
    </w:p>
    <w:sectPr w:rsidR="00FC693F" w:rsidRPr="0006063C" w:rsidSect="00034616">
      <w:headerReference w:type="default" r:id="rId9"/>
      <w:footerReference w:type="default" r:id="rId10"/>
      <w:pgSz w:w="12240" w:h="15840"/>
      <w:pgMar w:top="1134" w:right="1134" w:bottom="113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40" w:line="276" w:lineRule="auto"/>
      <w:jc w:val="center"/>
    </w:pPr>
    <w:r>
      <w:rPr>
        <w:rFonts w:ascii="Malgun Gothic" w:hAnsi="Malgun Gothic"/>
        <w:b w:val="0"/>
        <w:i w:val="0"/>
        <w:color w:val="9CA3AF"/>
        <w:sz w:val="16"/>
        <w:rFonts w:ascii="Malgun Gothic" w:eastAsia="Malgun Gothic" w:hAnsi="Malgun Gothic"/>
      </w:rPr>
      <w:t>UNCLASSIFIED  |  INTERNATIONAL AFFAIRS INTELLIGENCE DIRECTORATE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80" w:line="276" w:lineRule="auto"/>
      <w:jc w:val="left"/>
    </w:pPr>
    <w:r>
      <w:rPr>
        <w:rFonts w:ascii="Malgun Gothic" w:hAnsi="Malgun Gothic"/>
        <w:b/>
        <w:i w:val="0"/>
        <w:color w:val="6B7280"/>
        <w:sz w:val="16"/>
        <w:rFonts w:ascii="Malgun Gothic" w:eastAsia="Malgun Gothic" w:hAnsi="Malgun Gothic"/>
      </w:rPr>
      <w:t xml:space="preserve">UNCLASSIFIED // 56-UKR-03 // 우크라이나 전쟁 소모전 지속 및 유럽 안보구도 재편 평가</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