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8600"/>
        <w:gridCol w:w="1000"/>
      </w:tblGrid>
      <w:tr>
        <w:tc>
          <w:tcPr>
            <w:tcBorders>
              <w:top w:val="none" w:color="FFFFFF" w:sz="0"/>
              <w:left w:val="none" w:color="FFFFFF" w:sz="0"/>
              <w:bottom w:val="none" w:color="FFFFFF" w:sz="0"/>
              <w:right w:val="none" w:color="FFFFFF" w:sz="0"/>
            </w:tcBorders>
            <w:shd w:fill="132232" w:color="auto" w:val="clear"/>
            <w:tcMar>
              <w:top w:type="dxa" w:w="360"/>
              <w:left w:type="dxa" w:w="360"/>
              <w:bottom w:type="dxa" w:w="340"/>
              <w:right w:type="dxa" w:w="200"/>
            </w:tcMar>
          </w:tcPr>
          <w:p>
            <w:pPr>
              <w:spacing w:after="120"/>
            </w:pPr>
            <w:r>
              <w:rPr>
                <w:rFonts w:ascii="Manrope" w:cs="Manrope" w:eastAsia="Manrope" w:hAnsi="Manrope"/>
                <w:b/>
                <w:bCs/>
                <w:caps/>
                <w:color w:val="46C1C0"/>
                <w:spacing w:val="40"/>
                <w:sz w:val="17"/>
                <w:szCs w:val="17"/>
              </w:rPr>
              <w:t xml:space="preserve">EXERCISE PHYSIOLOGY  ·  ASSESSMENT SUMMARY</w:t>
            </w:r>
          </w:p>
          <w:p>
            <w:pPr>
              <w:spacing w:after="120"/>
            </w:pPr>
            <w:r>
              <w:rPr>
                <w:rFonts w:ascii="Manrope" w:cs="Manrope" w:eastAsia="Manrope" w:hAnsi="Manrope"/>
                <w:b/>
                <w:bCs/>
                <w:color w:val="FFFFFF"/>
                <w:sz w:val="52"/>
                <w:szCs w:val="52"/>
              </w:rPr>
              <w:t xml:space="preserve">A plan for </w:t>
            </w:r>
            <w:r>
              <w:rPr>
                <w:rFonts w:ascii="Manrope" w:cs="Manrope" w:eastAsia="Manrope" w:hAnsi="Manrope"/>
                <w:b/>
                <w:bCs/>
                <w:color w:val="46C1C0"/>
                <w:sz w:val="52"/>
                <w:szCs w:val="52"/>
              </w:rPr>
              <w:t xml:space="preserve">{{patient_first_name}}</w:t>
            </w:r>
            <w:r>
              <w:rPr>
                <w:rFonts w:ascii="Manrope" w:cs="Manrope" w:eastAsia="Manrope" w:hAnsi="Manrope"/>
                <w:b/>
                <w:bCs/>
                <w:color w:val="FFFFFF"/>
                <w:sz w:val="52"/>
                <w:szCs w:val="52"/>
              </w:rPr>
              <w:t xml:space="preserve">.</w:t>
            </w:r>
          </w:p>
          <w:p>
            <w:r>
              <w:rPr>
                <w:rFonts w:ascii="Manrope" w:cs="Manrope" w:eastAsia="Manrope" w:hAnsi="Manrope"/>
                <w:color w:val="E6EDF2"/>
                <w:sz w:val="22"/>
                <w:szCs w:val="22"/>
              </w:rPr>
              <w:t xml:space="preserve">Prepared </w:t>
            </w:r>
            <w:r>
              <w:rPr>
                <w:rFonts w:ascii="Manrope" w:cs="Manrope" w:eastAsia="Manrope" w:hAnsi="Manrope"/>
                <w:b/>
                <w:bCs/>
                <w:color w:val="FFFFFF"/>
                <w:sz w:val="22"/>
                <w:szCs w:val="22"/>
              </w:rPr>
              <w:t xml:space="preserve">{{assessment_date}}</w:t>
            </w:r>
          </w:p>
        </w:tc>
        <w:tc>
          <w:tcPr>
            <w:tcBorders>
              <w:top w:val="none" w:color="FFFFFF" w:sz="0"/>
              <w:left w:val="none" w:color="FFFFFF" w:sz="0"/>
              <w:bottom w:val="none" w:color="FFFFFF" w:sz="0"/>
              <w:right w:val="none" w:color="FFFFFF" w:sz="0"/>
            </w:tcBorders>
            <w:shd w:fill="46C1C0" w:color="auto" w:val="clear"/>
          </w:tcPr>
          <w:p/>
        </w:tc>
      </w:tr>
    </w:tbl>
    <w:p>
      <w:pPr>
        <w:spacing w:after="24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1</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WHAT'S GOING ON</w:t>
            </w:r>
          </w:p>
          <w:p>
            <w:pPr>
              <w:keepLines/>
            </w:pPr>
            <w:r>
              <w:rPr>
                <w:rFonts w:ascii="Manrope" w:cs="Manrope" w:eastAsia="Manrope" w:hAnsi="Manrope"/>
                <w:color w:val="1A2230"/>
                <w:sz w:val="23"/>
                <w:szCs w:val="23"/>
              </w:rPr>
              <w:t xml:space="preserve">{{whats_going_on}}</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2</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WHAT WE'RE AIMING FOR</w:t>
            </w:r>
          </w:p>
          <w:p>
            <w:pPr>
              <w:keepLines/>
            </w:pPr>
            <w:r>
              <w:rPr>
                <w:rFonts w:ascii="Manrope" w:cs="Manrope" w:eastAsia="Manrope" w:hAnsi="Manrope"/>
                <w:color w:val="1A2230"/>
                <w:sz w:val="23"/>
                <w:szCs w:val="23"/>
              </w:rPr>
              <w:t xml:space="preserve">{{our_aims}}</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3</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HOW WE'LL GET THERE</w:t>
            </w:r>
          </w:p>
          <w:p>
            <w:pPr>
              <w:keepLines/>
            </w:pPr>
            <w:r>
              <w:rPr>
                <w:rFonts w:ascii="Manrope" w:cs="Manrope" w:eastAsia="Manrope" w:hAnsi="Manrope"/>
                <w:color w:val="1A2230"/>
                <w:sz w:val="23"/>
                <w:szCs w:val="23"/>
              </w:rPr>
              <w:t xml:space="preserve">{{how_we_get_there}}</w:t>
            </w:r>
          </w:p>
          <w:p>
            <w:pPr>
              <w:keepLines/>
              <w:pBdr>
                <w:top w:val="single" w:color="46C1C0" w:sz="16"/>
              </w:pBdr>
              <w:spacing w:before="140"/>
            </w:pPr>
            <w:r>
              <w:rPr>
                <w:rFonts w:ascii="Manrope" w:cs="Manrope" w:eastAsia="Manrope" w:hAnsi="Manrope"/>
                <w:b/>
                <w:bCs/>
                <w:color w:val="045E62"/>
                <w:sz w:val="21"/>
                <w:szCs w:val="21"/>
              </w:rPr>
              <w:t xml:space="preserve">↘ 1:1 support is flexible. See Your Options.</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4</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WHAT YOU CAN EXPECT</w:t>
            </w:r>
          </w:p>
          <w:p>
            <w:pPr>
              <w:keepLines/>
            </w:pPr>
            <w:r>
              <w:rPr>
                <w:rFonts w:ascii="Manrope" w:cs="Manrope" w:eastAsia="Manrope" w:hAnsi="Manrope"/>
                <w:color w:val="1A2230"/>
                <w:sz w:val="23"/>
                <w:szCs w:val="23"/>
              </w:rPr>
              <w:t xml:space="preserve">{{what_to_expect}}</w:t>
            </w:r>
          </w:p>
        </w:tc>
      </w:tr>
    </w:tbl>
    <w:p>
      <w:pPr>
        <w:pageBreakBefore/>
      </w:pPr>
    </w:p>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8600"/>
        <w:gridCol w:w="1000"/>
      </w:tblGrid>
      <w:tr>
        <w:tc>
          <w:tcPr>
            <w:tcBorders>
              <w:top w:val="none" w:color="FFFFFF" w:sz="0"/>
              <w:left w:val="none" w:color="FFFFFF" w:sz="0"/>
              <w:bottom w:val="none" w:color="FFFFFF" w:sz="0"/>
              <w:right w:val="none" w:color="FFFFFF" w:sz="0"/>
            </w:tcBorders>
            <w:shd w:fill="132232" w:color="auto" w:val="clear"/>
            <w:tcMar>
              <w:top w:type="dxa" w:w="360"/>
              <w:left w:type="dxa" w:w="360"/>
              <w:bottom w:type="dxa" w:w="340"/>
              <w:right w:type="dxa" w:w="200"/>
            </w:tcMar>
          </w:tcPr>
          <w:p>
            <w:pPr>
              <w:spacing w:after="120"/>
            </w:pPr>
            <w:r>
              <w:rPr>
                <w:rFonts w:ascii="Manrope" w:cs="Manrope" w:eastAsia="Manrope" w:hAnsi="Manrope"/>
                <w:b/>
                <w:bCs/>
                <w:caps/>
                <w:color w:val="46C1C0"/>
                <w:spacing w:val="40"/>
                <w:sz w:val="17"/>
                <w:szCs w:val="17"/>
              </w:rPr>
              <w:t xml:space="preserve">EXERCISE PHYSIOLOGY  ·  ASSESSMENT</w:t>
            </w:r>
          </w:p>
          <w:p>
            <w:pPr>
              <w:spacing w:after="120"/>
            </w:pPr>
            <w:r>
              <w:rPr>
                <w:rFonts w:ascii="Manrope" w:cs="Manrope" w:eastAsia="Manrope" w:hAnsi="Manrope"/>
                <w:b/>
                <w:bCs/>
                <w:color w:val="FFFFFF"/>
                <w:sz w:val="52"/>
                <w:szCs w:val="52"/>
              </w:rPr>
              <w:t xml:space="preserve">Understanding your </w:t>
            </w:r>
            <w:r>
              <w:rPr>
                <w:rFonts w:ascii="Manrope" w:cs="Manrope" w:eastAsia="Manrope" w:hAnsi="Manrope"/>
                <w:b/>
                <w:bCs/>
                <w:color w:val="46C1C0"/>
                <w:sz w:val="52"/>
                <w:szCs w:val="52"/>
              </w:rPr>
              <w:t xml:space="preserve">results</w:t>
            </w:r>
            <w:r>
              <w:rPr>
                <w:rFonts w:ascii="Manrope" w:cs="Manrope" w:eastAsia="Manrope" w:hAnsi="Manrope"/>
                <w:b/>
                <w:bCs/>
                <w:color w:val="FFFFFF"/>
                <w:sz w:val="52"/>
                <w:szCs w:val="52"/>
              </w:rPr>
              <w:t xml:space="preserve">.</w:t>
            </w:r>
          </w:p>
          <w:p>
            <w:r>
              <w:rPr>
                <w:rFonts w:ascii="Manrope" w:cs="Manrope" w:eastAsia="Manrope" w:hAnsi="Manrope"/>
                <w:color w:val="E6EDF2"/>
                <w:sz w:val="22"/>
                <w:szCs w:val="22"/>
              </w:rPr>
              <w:t xml:space="preserve">Measured </w:t>
            </w:r>
            <w:r>
              <w:rPr>
                <w:rFonts w:ascii="Manrope" w:cs="Manrope" w:eastAsia="Manrope" w:hAnsi="Manrope"/>
                <w:b/>
                <w:bCs/>
                <w:color w:val="FFFFFF"/>
                <w:sz w:val="22"/>
                <w:szCs w:val="22"/>
              </w:rPr>
              <w:t xml:space="preserve">{{assessment_date}}</w:t>
            </w:r>
          </w:p>
        </w:tc>
        <w:tc>
          <w:tcPr>
            <w:tcBorders>
              <w:top w:val="none" w:color="FFFFFF" w:sz="0"/>
              <w:left w:val="none" w:color="FFFFFF" w:sz="0"/>
              <w:bottom w:val="none" w:color="FFFFFF" w:sz="0"/>
              <w:right w:val="none" w:color="FFFFFF" w:sz="0"/>
            </w:tcBorders>
            <w:shd w:fill="46C1C0" w:color="auto" w:val="clear"/>
          </w:tcPr>
          <w:p/>
        </w:tc>
      </w:tr>
    </w:tbl>
    <w:p>
      <w:pPr>
        <w:spacing w:after="240"/>
      </w:pPr>
    </w:p>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YOUR RESULTS AT A GLANCE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3100"/>
        <w:gridCol w:w="2100"/>
        <w:gridCol w:w="4400"/>
      </w:tblGrid>
      <w:tr>
        <w:trPr>
          <w:tblHeader/>
        </w:trPr>
        <w:tc>
          <w:tcPr>
            <w:tcW w:type="pct" w:w="32%"/>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TEST</w:t>
            </w:r>
          </w:p>
        </w:tc>
        <w:tc>
          <w:tcPr>
            <w:tcW w:type="pct" w:w="22%"/>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RESULT</w:t>
            </w:r>
          </w:p>
        </w:tc>
        <w:tc>
          <w:tcPr>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INTERPRETATION</w:t>
            </w:r>
          </w:p>
        </w:tc>
      </w:tr>
      <w:t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{{#assessment_rows}}{{test}}</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{{result}}</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{{interpretation}}{{/assessment_rows}}</w:t>
            </w:r>
          </w:p>
        </w:tc>
      </w:tr>
    </w:tbl>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WHAT YOUR RESULTS MEAN</w:t>
      </w:r>
    </w:p>
    <w:p>
      <w:pPr>
        <w:keepLines/>
        <w:spacing w:after="200"/>
      </w:pPr>
      <w:r>
        <w:rPr>
          <w:rFonts w:ascii="Manrope" w:cs="Manrope" w:eastAsia="Manrope" w:hAnsi="Manrope"/>
          <w:b/>
          <w:bCs/>
          <w:color w:val="132232"/>
          <w:sz w:val="23"/>
          <w:szCs w:val="23"/>
        </w:rPr>
        <w:t xml:space="preserve">Reading the table. </w:t>
      </w:r>
      <w:r>
        <w:rPr>
          <w:rFonts w:ascii="Manrope" w:cs="Manrope" w:eastAsia="Manrope" w:hAnsi="Manrope"/>
          <w:color w:val="1A2230"/>
          <w:sz w:val="23"/>
          <w:szCs w:val="23"/>
        </w:rPr>
        <w:t xml:space="preserve">Each test is compared against </w:t>
      </w:r>
      <w:r>
        <w:rPr>
          <w:rFonts w:ascii="Manrope" w:cs="Manrope" w:eastAsia="Manrope" w:hAnsi="Manrope"/>
          <w:b/>
          <w:bCs/>
          <w:color w:val="132232"/>
          <w:sz w:val="23"/>
          <w:szCs w:val="23"/>
        </w:rPr>
        <w:t xml:space="preserve">normative data</w:t>
      </w:r>
      <w:r>
        <w:rPr>
          <w:rFonts w:ascii="Manrope" w:cs="Manrope" w:eastAsia="Manrope" w:hAnsi="Manrope"/>
          <w:color w:val="1A2230"/>
          <w:sz w:val="23"/>
          <w:szCs w:val="23"/>
        </w:rPr>
        <w:t xml:space="preserve"> — large reference datasets that describe the typical range for someone of your age, sex, and activity level. Your result is read relative to that range, so it tells us not just a raw number but where you sit among people like you. Where a value falls within the expected range, it is a strength we will protect and build on; where it falls below, it is an opportunity area your program is built to target.</w:t>
      </w:r>
    </w:p>
    <w:p>
      <w:pPr>
        <w:keepLines/>
        <w:spacing w:after="200"/>
      </w:pPr>
      <w:r>
        <w:rPr>
          <w:rFonts w:ascii="Manrope" w:cs="Manrope" w:eastAsia="Manrope" w:hAnsi="Manrope"/>
          <w:b/>
          <w:bCs/>
          <w:color w:val="132232"/>
          <w:sz w:val="23"/>
          <w:szCs w:val="23"/>
        </w:rPr>
        <w:t xml:space="preserve">We read patterns, not single numbers. </w:t>
      </w:r>
      <w:r>
        <w:rPr>
          <w:rFonts w:ascii="Manrope" w:cs="Manrope" w:eastAsia="Manrope" w:hAnsi="Manrope"/>
          <w:color w:val="1A2230"/>
          <w:sz w:val="23"/>
          <w:szCs w:val="23"/>
        </w:rPr>
        <w:t xml:space="preserve">One result rarely tells the whole story. We look across the tests together — for example, how your strength, mobility, and balance relate to one another — because it is the pattern that explains your symptoms and points to the most effective starting point. A score outside the usual range is never a cause for alarm; it is simply where we begin.</w:t>
      </w:r>
    </w:p>
    <w:p>
      <w:pPr>
        <w:keepLines/>
        <w:spacing w:after="200"/>
      </w:pPr>
      <w:r>
        <w:rPr>
          <w:rFonts w:ascii="Manrope" w:cs="Manrope" w:eastAsia="Manrope" w:hAnsi="Manrope"/>
          <w:b/>
          <w:bCs/>
          <w:color w:val="132232"/>
          <w:sz w:val="23"/>
          <w:szCs w:val="23"/>
        </w:rPr>
        <w:t xml:space="preserve">How this shapes your program. </w:t>
      </w:r>
      <w:r>
        <w:rPr>
          <w:rFonts w:ascii="Manrope" w:cs="Manrope" w:eastAsia="Manrope" w:hAnsi="Manrope"/>
          <w:color w:val="1A2230"/>
          <w:sz w:val="23"/>
          <w:szCs w:val="23"/>
        </w:rPr>
        <w:t xml:space="preserve">These results set your baseline and directly calibrate your plan — the exercises we select, the loads we start at, and how quickly we progress are all chosen from where you are today. We repeat the same tests at your reassessment so the change is measured objectively, in black and white, rather than by feel alone.</w:t>
      </w:r>
    </w:p>
    <w:p>
      <w:pPr>
        <w:keepLines/>
        <w:pBdr>
          <w:top w:val="single" w:color="46C1C0" w:sz="16"/>
        </w:pBdr>
        <w:spacing w:before="40"/>
      </w:pPr>
      <w:r>
        <w:rPr>
          <w:rFonts w:ascii="Manrope" w:cs="Manrope" w:eastAsia="Manrope" w:hAnsi="Manrope"/>
          <w:b/>
          <w:bCs/>
          <w:color w:val="46C1C0"/>
          <w:sz w:val="23"/>
          <w:szCs w:val="23"/>
        </w:rPr>
        <w:t xml:space="preserve">↳  </w:t>
      </w:r>
      <w:r>
        <w:rPr>
          <w:rFonts w:ascii="Manrope" w:cs="Manrope" w:eastAsia="Manrope" w:hAnsi="Manrope"/>
          <w:b/>
          <w:bCs/>
          <w:color w:val="045E62"/>
          <w:sz w:val="21"/>
          <w:szCs w:val="21"/>
        </w:rPr>
        <w:t xml:space="preserve">Paired with this handout is a detailed normative-data reference for every test we performed, with the full reference ranges so you can see exactly how your numbers compare.</w:t>
      </w:r>
    </w:p>
    <w:p>
      <w:pPr>
        <w:pageBreakBefore/>
      </w:pPr>
    </w:p>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8600"/>
        <w:gridCol w:w="1000"/>
      </w:tblGrid>
      <w:tr>
        <w:tc>
          <w:tcPr>
            <w:tcBorders>
              <w:top w:val="none" w:color="FFFFFF" w:sz="0"/>
              <w:left w:val="none" w:color="FFFFFF" w:sz="0"/>
              <w:bottom w:val="none" w:color="FFFFFF" w:sz="0"/>
              <w:right w:val="none" w:color="FFFFFF" w:sz="0"/>
            </w:tcBorders>
            <w:shd w:fill="132232" w:color="auto" w:val="clear"/>
            <w:tcMar>
              <w:top w:type="dxa" w:w="360"/>
              <w:left w:type="dxa" w:w="360"/>
              <w:bottom w:type="dxa" w:w="340"/>
              <w:right w:type="dxa" w:w="200"/>
            </w:tcMar>
          </w:tcPr>
          <w:p>
            <w:pPr>
              <w:spacing w:after="120"/>
            </w:pPr>
            <w:r>
              <w:rPr>
                <w:rFonts w:ascii="Manrope" w:cs="Manrope" w:eastAsia="Manrope" w:hAnsi="Manrope"/>
                <w:b/>
                <w:bCs/>
                <w:caps/>
                <w:color w:val="46C1C0"/>
                <w:spacing w:val="40"/>
                <w:sz w:val="17"/>
                <w:szCs w:val="17"/>
              </w:rPr>
              <w:t xml:space="preserve">TREATMENT OPTIONS</w:t>
            </w:r>
          </w:p>
          <w:p>
            <w:pPr>
              <w:spacing w:after="120"/>
            </w:pPr>
            <w:r>
              <w:rPr>
                <w:rFonts w:ascii="Manrope" w:cs="Manrope" w:eastAsia="Manrope" w:hAnsi="Manrope"/>
                <w:b/>
                <w:bCs/>
                <w:color w:val="FFFFFF"/>
                <w:sz w:val="52"/>
                <w:szCs w:val="52"/>
              </w:rPr>
              <w:t xml:space="preserve">Your </w:t>
            </w:r>
            <w:r>
              <w:rPr>
                <w:rFonts w:ascii="Manrope" w:cs="Manrope" w:eastAsia="Manrope" w:hAnsi="Manrope"/>
                <w:b/>
                <w:bCs/>
                <w:color w:val="46C1C0"/>
                <w:sz w:val="52"/>
                <w:szCs w:val="52"/>
              </w:rPr>
              <w:t xml:space="preserve">treatment</w:t>
            </w:r>
            <w:r>
              <w:rPr>
                <w:rFonts w:ascii="Manrope" w:cs="Manrope" w:eastAsia="Manrope" w:hAnsi="Manrope"/>
                <w:b/>
                <w:bCs/>
                <w:color w:val="FFFFFF"/>
                <w:sz w:val="52"/>
                <w:szCs w:val="52"/>
              </w:rPr>
              <w:t xml:space="preserve"> options.</w:t>
            </w:r>
          </w:p>
          <w:p>
            <w:r>
              <w:rPr>
                <w:rFonts w:ascii="Manrope" w:cs="Manrope" w:eastAsia="Manrope" w:hAnsi="Manrope"/>
                <w:color w:val="E6EDF2"/>
                <w:sz w:val="22"/>
                <w:szCs w:val="22"/>
              </w:rPr>
              <w:t xml:space="preserve">6-week blocks</w:t>
            </w:r>
            <w:r>
              <w:rPr>
                <w:rFonts w:ascii="Manrope" w:cs="Manrope" w:eastAsia="Manrope" w:hAnsi="Manrope"/>
                <w:b/>
                <w:bCs/>
                <w:color w:val="46C1C0"/>
                <w:sz w:val="22"/>
                <w:szCs w:val="22"/>
              </w:rPr>
              <w:t xml:space="preserve">  ·  </w:t>
            </w:r>
            <w:r>
              <w:rPr>
                <w:rFonts w:ascii="Manrope" w:cs="Manrope" w:eastAsia="Manrope" w:hAnsi="Manrope"/>
                <w:b/>
                <w:bCs/>
                <w:color w:val="FFFFFF"/>
                <w:sz w:val="22"/>
                <w:szCs w:val="22"/>
              </w:rPr>
              <w:t xml:space="preserve">Three tiers of 1:1 support</w:t>
            </w:r>
          </w:p>
        </w:tc>
        <w:tc>
          <w:tcPr>
            <w:tcBorders>
              <w:top w:val="none" w:color="FFFFFF" w:sz="0"/>
              <w:left w:val="none" w:color="FFFFFF" w:sz="0"/>
              <w:bottom w:val="none" w:color="FFFFFF" w:sz="0"/>
              <w:right w:val="none" w:color="FFFFFF" w:sz="0"/>
            </w:tcBorders>
            <w:shd w:fill="46C1C0" w:color="auto" w:val="clear"/>
          </w:tcPr>
          <w:p/>
        </w:tc>
      </w:tr>
    </w:tbl>
    <w:p>
      <w:pPr>
        <w:spacing w:after="240"/>
      </w:pPr>
    </w:p>
    <w:p>
      <w:pPr>
        <w:keepLines/>
        <w:spacing w:after="240"/>
      </w:pPr>
      <w:r>
        <w:rPr>
          <w:rFonts w:ascii="Manrope" w:cs="Manrope" w:eastAsia="Manrope" w:hAnsi="Manrope"/>
          <w:b/>
          <w:bCs/>
          <w:color w:val="132232"/>
          <w:sz w:val="23"/>
          <w:szCs w:val="23"/>
        </w:rPr>
        <w:t xml:space="preserve">How it works. </w:t>
      </w:r>
      <w:r>
        <w:rPr>
          <w:rFonts w:ascii="Manrope" w:cs="Manrope" w:eastAsia="Manrope" w:hAnsi="Manrope"/>
          <w:color w:val="1A2230"/>
          <w:sz w:val="23"/>
          <w:szCs w:val="23"/>
        </w:rPr>
        <w:t xml:space="preserve">Payment is weekly direct debit over 6 weeks, or pay in full with a 5% discount. Every tier includes unlimited gym access and the Moveify app. The clinical program is the same across all three — the tiers differ in how much 1:1 support and supervision you receive.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46C1C0" w:color="auto" w:val="clear"/>
            <w:tcMar>
              <w:top w:type="dxa" w:w="220"/>
              <w:left w:type="dxa" w:w="360"/>
              <w:bottom w:type="dxa" w:w="200"/>
              <w:right w:type="dxa" w:w="360"/>
            </w:tcMar>
          </w:tcPr>
          <w:p>
            <w:r>
              <w:rPr>
                <w:rFonts w:ascii="Manrope" w:cs="Manrope" w:eastAsia="Manrope" w:hAnsi="Manrope"/>
                <w:b/>
                <w:bCs/>
                <w:color w:val="132232"/>
                <w:sz w:val="30"/>
                <w:szCs w:val="30"/>
              </w:rPr>
              <w:t xml:space="preserve">Choose Your Tier</w:t>
            </w:r>
          </w:p>
        </w:tc>
      </w:tr>
    </w:tbl>
    <w:p>
      <w:pPr>
        <w:spacing w:after="200"/>
      </w:pPr>
    </w:p>
    <w:tbl>
      <w:tblPr>
        <w:tblW w:type="pct" w:w="100%"/>
        <w:tblBorders>
          <w:top w:val="none" w:color="FFFFFF" w:sz="0"/>
          <w:left w:val="none" w:color="FFFFFF" w:sz="0"/>
          <w:bottom w:val="single" w:color="132232" w:sz="24"/>
          <w:right w:val="none" w:color="FFFFFF" w:sz="0"/>
          <w:insideH w:val="none" w:color="FFFFFF" w:sz="0"/>
          <w:insideV w:val="none" w:color="FFFFFF" w:sz="0"/>
        </w:tblBorders>
      </w:tblPr>
      <w:tblGrid>
        <w:gridCol w:w="3800"/>
        <w:gridCol w:w="5800"/>
      </w:tblGrid>
      <w:tr>
        <w:trPr>
          <w:cantSplit/>
        </w:trPr>
        <w:tc>
          <w:tcPr>
            <w:tcBorders>
              <w:top w:val="none" w:color="FFFFFF" w:sz="0"/>
              <w:left w:val="none" w:color="FFFFFF" w:sz="0"/>
              <w:bottom w:val="none" w:color="FFFFFF" w:sz="0"/>
              <w:right w:val="single" w:color="E2E8F0" w:sz="4"/>
            </w:tcBorders>
            <w:tcMar>
              <w:top w:type="dxa" w:w="260"/>
              <w:left w:type="dxa" w:w="0"/>
              <w:bottom w:type="dxa" w:w="280"/>
              <w:right w:type="dxa" w:w="360"/>
            </w:tcMar>
            <w:vAlign w:val="center"/>
          </w:tcPr>
          <w:p>
            <w:pPr>
              <w:pBdr>
                <w:bottom w:val="single" w:color="46C1C0" w:sz="16"/>
              </w:pBdr>
              <w:spacing w:after="80"/>
            </w:pPr>
            <w:r>
              <w:rPr>
                <w:rFonts w:ascii="Manrope" w:cs="Manrope" w:eastAsia="Manrope" w:hAnsi="Manrope"/>
                <w:b/>
                <w:bCs/>
                <w:caps/>
                <w:color w:val="46C1C0"/>
                <w:spacing w:val="24"/>
                <w:sz w:val="16"/>
                <w:szCs w:val="16"/>
              </w:rPr>
              <w:t xml:space="preserve">TIER 3</w:t>
            </w:r>
          </w:p>
          <w:p>
            <w:pPr>
              <w:spacing w:after="80" w:before="120"/>
            </w:pPr>
            <w:r>
              <w:rPr>
                <w:rFonts w:ascii="Manrope" w:cs="Manrope" w:eastAsia="Manrope" w:hAnsi="Manrope"/>
                <w:b/>
                <w:bCs/>
                <w:color w:val="132232"/>
                <w:sz w:val="30"/>
                <w:szCs w:val="30"/>
              </w:rPr>
              <w:t xml:space="preserve">Performance</w:t>
            </w:r>
          </w:p>
          <w:p>
            <w:r>
              <w:rPr>
                <w:rFonts w:ascii="Manrope" w:cs="Manrope" w:eastAsia="Manrope" w:hAnsi="Manrope"/>
                <w:b/>
                <w:bCs/>
                <w:color w:val="132232"/>
                <w:sz w:val="56"/>
                <w:szCs w:val="56"/>
              </w:rPr>
              <w:t xml:space="preserve">$860</w:t>
            </w:r>
          </w:p>
          <w:p>
            <w:r>
              <w:rPr>
                <w:rFonts w:ascii="Manrope" w:cs="Manrope" w:eastAsia="Manrope" w:hAnsi="Manrope"/>
                <w:color w:val="56606E"/>
                <w:sz w:val="19"/>
                <w:szCs w:val="19"/>
              </w:rPr>
              <w:t xml:space="preserve">$143.33 / week over 6 weeks</w:t>
            </w:r>
          </w:p>
        </w:tc>
        <w:tc>
          <w:tcPr>
            <w:tcBorders>
              <w:top w:val="none" w:color="FFFFFF" w:sz="0"/>
              <w:left w:val="none" w:color="FFFFFF" w:sz="0"/>
              <w:bottom w:val="none" w:color="FFFFFF" w:sz="0"/>
              <w:right w:val="none" w:color="FFFFFF" w:sz="0"/>
            </w:tcBorders>
            <w:tcMar>
              <w:top w:type="dxa" w:w="260"/>
              <w:left w:type="dxa" w:w="360"/>
              <w:bottom w:type="dxa" w:w="280"/>
              <w:right w:type="dxa" w:w="0"/>
            </w:tcMar>
            <w:vAlign w:val="center"/>
          </w:tcPr>
          <w:p>
            <w:pPr>
              <w:keepLines/>
              <w:spacing w:after="140"/>
            </w:pPr>
            <w:r>
              <w:rPr>
                <w:rFonts w:ascii="Manrope" w:cs="Manrope" w:eastAsia="Manrope" w:hAnsi="Manrope"/>
                <w:color w:val="1A2230"/>
                <w:sz w:val="23"/>
                <w:szCs w:val="23"/>
              </w:rPr>
              <w:t xml:space="preserve">60-min program design, 4 × 45-min weekly 1:1 sessions, and a 30-min reassessment.</w:t>
            </w:r>
          </w:p>
          <w:p>
            <w:r>
              <w:rPr>
                <w:rFonts w:ascii="Manrope" w:cs="Manrope" w:eastAsia="Manrope" w:hAnsi="Manrope"/>
                <w:b/>
                <w:bCs/>
                <w:color w:val="045E62"/>
                <w:sz w:val="18"/>
                <w:szCs w:val="18"/>
              </w:rPr>
              <w:t xml:space="preserve">↓ Medicare &amp; private health rebates available</w:t>
            </w:r>
          </w:p>
        </w:tc>
      </w:tr>
    </w:tbl>
    <w:p>
      <w:pPr>
        <w:spacing w:after="220"/>
      </w:pPr>
    </w:p>
    <w:tbl>
      <w:tblPr>
        <w:tblW w:type="pct" w:w="100%"/>
        <w:tblBorders>
          <w:top w:val="none" w:color="FFFFFF" w:sz="0"/>
          <w:left w:val="none" w:color="FFFFFF" w:sz="0"/>
          <w:bottom w:val="single" w:color="132232" w:sz="24"/>
          <w:right w:val="none" w:color="FFFFFF" w:sz="0"/>
          <w:insideH w:val="none" w:color="FFFFFF" w:sz="0"/>
          <w:insideV w:val="none" w:color="FFFFFF" w:sz="0"/>
        </w:tblBorders>
      </w:tblPr>
      <w:tblGrid>
        <w:gridCol w:w="3800"/>
        <w:gridCol w:w="5800"/>
      </w:tblGrid>
      <w:tr>
        <w:trPr>
          <w:cantSplit/>
        </w:trPr>
        <w:tc>
          <w:tcPr>
            <w:tcBorders>
              <w:top w:val="none" w:color="FFFFFF" w:sz="0"/>
              <w:left w:val="none" w:color="FFFFFF" w:sz="0"/>
              <w:bottom w:val="none" w:color="FFFFFF" w:sz="0"/>
              <w:right w:val="single" w:color="E2E8F0" w:sz="4"/>
            </w:tcBorders>
            <w:tcMar>
              <w:top w:type="dxa" w:w="260"/>
              <w:left w:type="dxa" w:w="0"/>
              <w:bottom w:type="dxa" w:w="280"/>
              <w:right w:type="dxa" w:w="360"/>
            </w:tcMar>
            <w:vAlign w:val="center"/>
          </w:tcPr>
          <w:p>
            <w:pPr>
              <w:pBdr>
                <w:bottom w:val="single" w:color="46C1C0" w:sz="16"/>
              </w:pBdr>
              <w:spacing w:after="80"/>
            </w:pPr>
            <w:r>
              <w:rPr>
                <w:rFonts w:ascii="Manrope" w:cs="Manrope" w:eastAsia="Manrope" w:hAnsi="Manrope"/>
                <w:b/>
                <w:bCs/>
                <w:caps/>
                <w:color w:val="46C1C0"/>
                <w:spacing w:val="24"/>
                <w:sz w:val="16"/>
                <w:szCs w:val="16"/>
              </w:rPr>
              <w:t xml:space="preserve">TIER 2</w:t>
            </w:r>
          </w:p>
          <w:p>
            <w:pPr>
              <w:spacing w:after="80" w:before="120"/>
            </w:pPr>
            <w:r>
              <w:rPr>
                <w:rFonts w:ascii="Manrope" w:cs="Manrope" w:eastAsia="Manrope" w:hAnsi="Manrope"/>
                <w:b/>
                <w:bCs/>
                <w:color w:val="132232"/>
                <w:sz w:val="30"/>
                <w:szCs w:val="30"/>
              </w:rPr>
              <w:t xml:space="preserve">Progress</w:t>
            </w:r>
          </w:p>
          <w:p>
            <w:r>
              <w:rPr>
                <w:rFonts w:ascii="Manrope" w:cs="Manrope" w:eastAsia="Manrope" w:hAnsi="Manrope"/>
                <w:b/>
                <w:bCs/>
                <w:color w:val="132232"/>
                <w:sz w:val="56"/>
                <w:szCs w:val="56"/>
              </w:rPr>
              <w:t xml:space="preserve">$680</w:t>
            </w:r>
          </w:p>
          <w:p>
            <w:r>
              <w:rPr>
                <w:rFonts w:ascii="Manrope" w:cs="Manrope" w:eastAsia="Manrope" w:hAnsi="Manrope"/>
                <w:color w:val="56606E"/>
                <w:sz w:val="19"/>
                <w:szCs w:val="19"/>
              </w:rPr>
              <w:t xml:space="preserve">$113.33 / week over 6 weeks</w:t>
            </w:r>
          </w:p>
        </w:tc>
        <w:tc>
          <w:tcPr>
            <w:tcBorders>
              <w:top w:val="none" w:color="FFFFFF" w:sz="0"/>
              <w:left w:val="none" w:color="FFFFFF" w:sz="0"/>
              <w:bottom w:val="none" w:color="FFFFFF" w:sz="0"/>
              <w:right w:val="none" w:color="FFFFFF" w:sz="0"/>
            </w:tcBorders>
            <w:tcMar>
              <w:top w:type="dxa" w:w="260"/>
              <w:left w:type="dxa" w:w="360"/>
              <w:bottom w:type="dxa" w:w="280"/>
              <w:right w:type="dxa" w:w="0"/>
            </w:tcMar>
            <w:vAlign w:val="center"/>
          </w:tcPr>
          <w:p>
            <w:pPr>
              <w:keepLines/>
              <w:spacing w:after="140"/>
            </w:pPr>
            <w:r>
              <w:rPr>
                <w:rFonts w:ascii="Manrope" w:cs="Manrope" w:eastAsia="Manrope" w:hAnsi="Manrope"/>
                <w:color w:val="1A2230"/>
                <w:sz w:val="23"/>
                <w:szCs w:val="23"/>
              </w:rPr>
              <w:t xml:space="preserve">60-min program design, 4 × 30-min weekly 1:1 sessions, and a 30-min reassessment.</w:t>
            </w:r>
          </w:p>
          <w:p>
            <w:r>
              <w:rPr>
                <w:rFonts w:ascii="Manrope" w:cs="Manrope" w:eastAsia="Manrope" w:hAnsi="Manrope"/>
                <w:b/>
                <w:bCs/>
                <w:color w:val="045E62"/>
                <w:sz w:val="18"/>
                <w:szCs w:val="18"/>
              </w:rPr>
              <w:t xml:space="preserve">↓ Medicare &amp; private health rebates available</w:t>
            </w:r>
          </w:p>
        </w:tc>
      </w:tr>
    </w:tbl>
    <w:p>
      <w:pPr>
        <w:spacing w:after="220"/>
      </w:pPr>
    </w:p>
    <w:tbl>
      <w:tblPr>
        <w:tblW w:type="pct" w:w="100%"/>
        <w:tblBorders>
          <w:top w:val="none" w:color="FFFFFF" w:sz="0"/>
          <w:left w:val="none" w:color="FFFFFF" w:sz="0"/>
          <w:bottom w:val="single" w:color="132232" w:sz="24"/>
          <w:right w:val="none" w:color="FFFFFF" w:sz="0"/>
          <w:insideH w:val="none" w:color="FFFFFF" w:sz="0"/>
          <w:insideV w:val="none" w:color="FFFFFF" w:sz="0"/>
        </w:tblBorders>
      </w:tblPr>
      <w:tblGrid>
        <w:gridCol w:w="3800"/>
        <w:gridCol w:w="5800"/>
      </w:tblGrid>
      <w:tr>
        <w:trPr>
          <w:cantSplit/>
        </w:trPr>
        <w:tc>
          <w:tcPr>
            <w:tcBorders>
              <w:top w:val="none" w:color="FFFFFF" w:sz="0"/>
              <w:left w:val="none" w:color="FFFFFF" w:sz="0"/>
              <w:bottom w:val="none" w:color="FFFFFF" w:sz="0"/>
              <w:right w:val="single" w:color="E2E8F0" w:sz="4"/>
            </w:tcBorders>
            <w:tcMar>
              <w:top w:type="dxa" w:w="260"/>
              <w:left w:type="dxa" w:w="0"/>
              <w:bottom w:type="dxa" w:w="280"/>
              <w:right w:type="dxa" w:w="360"/>
            </w:tcMar>
            <w:vAlign w:val="center"/>
          </w:tcPr>
          <w:p>
            <w:pPr>
              <w:pBdr>
                <w:bottom w:val="single" w:color="46C1C0" w:sz="16"/>
              </w:pBdr>
              <w:spacing w:after="80"/>
            </w:pPr>
            <w:r>
              <w:rPr>
                <w:rFonts w:ascii="Manrope" w:cs="Manrope" w:eastAsia="Manrope" w:hAnsi="Manrope"/>
                <w:b/>
                <w:bCs/>
                <w:caps/>
                <w:color w:val="46C1C0"/>
                <w:spacing w:val="24"/>
                <w:sz w:val="16"/>
                <w:szCs w:val="16"/>
              </w:rPr>
              <w:t xml:space="preserve">TIER 1</w:t>
            </w:r>
          </w:p>
          <w:p>
            <w:pPr>
              <w:spacing w:after="80" w:before="120"/>
            </w:pPr>
            <w:r>
              <w:rPr>
                <w:rFonts w:ascii="Manrope" w:cs="Manrope" w:eastAsia="Manrope" w:hAnsi="Manrope"/>
                <w:b/>
                <w:bCs/>
                <w:color w:val="132232"/>
                <w:sz w:val="30"/>
                <w:szCs w:val="30"/>
              </w:rPr>
              <w:t xml:space="preserve">Foundation</w:t>
            </w:r>
          </w:p>
          <w:p>
            <w:r>
              <w:rPr>
                <w:rFonts w:ascii="Manrope" w:cs="Manrope" w:eastAsia="Manrope" w:hAnsi="Manrope"/>
                <w:b/>
                <w:bCs/>
                <w:color w:val="132232"/>
                <w:sz w:val="56"/>
                <w:szCs w:val="56"/>
              </w:rPr>
              <w:t xml:space="preserve">$510</w:t>
            </w:r>
          </w:p>
          <w:p>
            <w:r>
              <w:rPr>
                <w:rFonts w:ascii="Manrope" w:cs="Manrope" w:eastAsia="Manrope" w:hAnsi="Manrope"/>
                <w:color w:val="56606E"/>
                <w:sz w:val="19"/>
                <w:szCs w:val="19"/>
              </w:rPr>
              <w:t xml:space="preserve">$85 / week over 6 weeks</w:t>
            </w:r>
          </w:p>
        </w:tc>
        <w:tc>
          <w:tcPr>
            <w:tcBorders>
              <w:top w:val="none" w:color="FFFFFF" w:sz="0"/>
              <w:left w:val="none" w:color="FFFFFF" w:sz="0"/>
              <w:bottom w:val="none" w:color="FFFFFF" w:sz="0"/>
              <w:right w:val="none" w:color="FFFFFF" w:sz="0"/>
            </w:tcBorders>
            <w:tcMar>
              <w:top w:type="dxa" w:w="260"/>
              <w:left w:type="dxa" w:w="360"/>
              <w:bottom w:type="dxa" w:w="280"/>
              <w:right w:type="dxa" w:w="0"/>
            </w:tcMar>
            <w:vAlign w:val="center"/>
          </w:tcPr>
          <w:p>
            <w:pPr>
              <w:keepLines/>
              <w:spacing w:after="140"/>
            </w:pPr>
            <w:r>
              <w:rPr>
                <w:rFonts w:ascii="Manrope" w:cs="Manrope" w:eastAsia="Manrope" w:hAnsi="Manrope"/>
                <w:color w:val="1A2230"/>
                <w:sz w:val="23"/>
                <w:szCs w:val="23"/>
              </w:rPr>
              <w:t xml:space="preserve">60-min program design, 4 group sessions, and a 30-min reassessment.</w:t>
            </w:r>
          </w:p>
          <w:p>
            <w:r>
              <w:rPr>
                <w:rFonts w:ascii="Manrope" w:cs="Manrope" w:eastAsia="Manrope" w:hAnsi="Manrope"/>
                <w:b/>
                <w:bCs/>
                <w:color w:val="045E62"/>
                <w:sz w:val="18"/>
                <w:szCs w:val="18"/>
              </w:rPr>
              <w:t xml:space="preserve">↓ Medicare &amp; private health rebates available</w:t>
            </w:r>
          </w:p>
        </w:tc>
      </w:tr>
    </w:tbl>
    <w:p>
      <w:pPr>
        <w:pageBreakBefore/>
      </w:pPr>
    </w:p>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CASUAL OPTIONS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4400"/>
        <w:gridCol w:w="1600"/>
        <w:gridCol w:w="3600"/>
      </w:tblGrid>
      <w:tr>
        <w:trPr>
          <w:tblHeader/>
        </w:trPr>
        <w:tc>
          <w:tcPr>
            <w:tcW w:type="pct" w:w="44%"/>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SERVICE</w:t>
            </w:r>
          </w:p>
        </w:tc>
        <w:tc>
          <w:tcPr>
            <w:tcW w:type="pct" w:w="16%"/>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FEE</w:t>
            </w:r>
          </w:p>
        </w:tc>
        <w:tc>
          <w:tcPr>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DETAILS</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1:1 Consultation (60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$170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Full program design or complex consultation</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1:1 Consultation (45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$130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Standard clinical session</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1:1 Consultation (30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$85</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Follow-up or program adjustment</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Group Session (45–60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$30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Supervised floor session with your program</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Phone Check-in (10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$50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Brief clinical check-in</w:t>
            </w:r>
          </w:p>
        </w:tc>
      </w:tr>
    </w:tbl>
    <w:p>
      <w:pPr>
        <w:keepLines/>
        <w:spacing w:before="120"/>
      </w:pPr>
      <w:r>
        <w:rPr>
          <w:rFonts w:ascii="Manrope" w:cs="Manrope" w:eastAsia="Manrope" w:hAnsi="Manrope"/>
          <w:b/>
          <w:bCs/>
          <w:color w:val="46C1C0"/>
          <w:sz w:val="22"/>
          <w:szCs w:val="22"/>
        </w:rPr>
        <w:t xml:space="preserve">↳  </w:t>
      </w:r>
      <w:r>
        <w:rPr>
          <w:rFonts w:ascii="Manrope" w:cs="Manrope" w:eastAsia="Manrope" w:hAnsi="Manrope"/>
          <w:color w:val="045E62"/>
          <w:sz w:val="19"/>
          <w:szCs w:val="19"/>
        </w:rPr>
        <w:t xml:space="preserve">Commit to a treatment block within 7 days of your casual sessions and the fees paid are credited toward your block price.</w:t>
      </w:r>
    </w:p>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REBATES &amp; OFFSETS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4800"/>
        <w:gridCol w:w="4800"/>
      </w:tblGrid>
      <w:tr>
        <w:tc>
          <w:tcPr>
            <w:tcBorders>
              <w:top w:val="none" w:color="FFFFFF" w:sz="0"/>
              <w:left w:val="none" w:color="FFFFFF" w:sz="0"/>
              <w:bottom w:val="none" w:color="FFFFFF" w:sz="0"/>
              <w:right w:val="none" w:color="FFFFFF" w:sz="0"/>
            </w:tcBorders>
            <w:tcMar>
              <w:top w:type="dxa" w:w="0"/>
              <w:left w:type="dxa" w:w="0"/>
              <w:bottom w:type="dxa" w:w="0"/>
              <w:right w:type="dxa" w:w="200"/>
            </w:tcMar>
          </w:tcPr>
          <w:p>
            <w:pPr>
              <w:pBdr>
                <w:bottom w:val="single" w:color="46C1C0" w:sz="16"/>
              </w:pBdr>
              <w:spacing w:after="120"/>
            </w:pPr>
            <w:r>
              <w:rPr>
                <w:rFonts w:ascii="Manrope" w:cs="Manrope" w:eastAsia="Manrope" w:hAnsi="Manrope"/>
                <w:b/>
                <w:bCs/>
                <w:caps/>
                <w:color w:val="132232"/>
                <w:spacing w:val="12"/>
                <w:sz w:val="20"/>
                <w:szCs w:val="20"/>
              </w:rPr>
              <w:t xml:space="preserve">MEDICARE CDM</w:t>
            </w:r>
          </w:p>
          <w:p>
            <w:pPr>
              <w:keepLines/>
            </w:pPr>
            <w:r>
              <w:rPr>
                <w:rFonts w:ascii="Manrope" w:cs="Manrope" w:eastAsia="Manrope" w:hAnsi="Manrope"/>
                <w:color w:val="1A2230"/>
                <w:sz w:val="22"/>
                <w:szCs w:val="22"/>
              </w:rPr>
              <w:t xml:space="preserve">If you have a Chronic Disease Management plan from your GP, you are eligible for up to 5 Medicare-rebated allied health sessions per calendar year. Each eligible 1:1 session earns a rebate of </w:t>
            </w:r>
            <w:r>
              <w:rPr>
                <w:rFonts w:ascii="Manrope" w:cs="Manrope" w:eastAsia="Manrope" w:hAnsi="Manrope"/>
                <w:b/>
                <w:bCs/>
                <w:color w:val="132232"/>
                <w:sz w:val="22"/>
                <w:szCs w:val="22"/>
              </w:rPr>
              <w:t xml:space="preserve">$61.80</w:t>
            </w:r>
            <w:r>
              <w:rPr>
                <w:rFonts w:ascii="Manrope" w:cs="Manrope" w:eastAsia="Manrope" w:hAnsi="Manrope"/>
                <w:color w:val="1A2230"/>
                <w:sz w:val="22"/>
                <w:szCs w:val="22"/>
              </w:rPr>
              <w:t xml:space="preserve">.</w:t>
            </w:r>
          </w:p>
        </w:tc>
        <w:tc>
          <w:tcPr>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46C1C0" w:sz="16"/>
              </w:pBdr>
              <w:spacing w:after="120"/>
            </w:pPr>
            <w:r>
              <w:rPr>
                <w:rFonts w:ascii="Manrope" w:cs="Manrope" w:eastAsia="Manrope" w:hAnsi="Manrope"/>
                <w:b/>
                <w:bCs/>
                <w:caps/>
                <w:color w:val="132232"/>
                <w:spacing w:val="12"/>
                <w:sz w:val="20"/>
                <w:szCs w:val="20"/>
              </w:rPr>
              <w:t xml:space="preserve">PRIVATE HEALTH</w:t>
            </w:r>
          </w:p>
          <w:p>
            <w:pPr>
              <w:keepLines/>
            </w:pPr>
            <w:r>
              <w:rPr>
                <w:rFonts w:ascii="Manrope" w:cs="Manrope" w:eastAsia="Manrope" w:hAnsi="Manrope"/>
                <w:color w:val="1A2230"/>
                <w:sz w:val="22"/>
                <w:szCs w:val="22"/>
              </w:rPr>
              <w:t xml:space="preserve">If you hold extras cover, you may be able to claim a rebate on Exercise Physiology sessions. You cannot claim both Medicare and PHI on the same session.</w:t>
            </w:r>
          </w:p>
        </w:tc>
      </w:tr>
    </w:tbl>
    <w:p>
      <w:pPr>
        <w:pBdr>
          <w:top w:val="single" w:color="E2E8F0" w:sz="4"/>
        </w:pBdr>
        <w:spacing w:after="80" w:before="360"/>
      </w:pPr>
      <w:r>
        <w:rPr>
          <w:rFonts w:ascii="Manrope" w:cs="Manrope" w:eastAsia="Manrope" w:hAnsi="Manrope"/>
          <w:b/>
          <w:bCs/>
          <w:color w:val="132232"/>
          <w:sz w:val="26"/>
          <w:szCs w:val="26"/>
        </w:rPr>
        <w:t xml:space="preserve">Ready when you are. </w:t>
      </w:r>
      <w:r>
        <w:rPr>
          <w:rFonts w:ascii="Manrope" w:cs="Manrope" w:eastAsia="Manrope" w:hAnsi="Manrope"/>
          <w:b/>
          <w:bCs/>
          <w:color w:val="46C1C0"/>
          <w:sz w:val="26"/>
          <w:szCs w:val="26"/>
        </w:rPr>
        <w:t xml:space="preserve">Call or email any time.</w:t>
      </w:r>
    </w:p>
    <w:p>
      <w:r>
        <w:rPr>
          <w:rFonts w:ascii="Manrope" w:cs="Manrope" w:eastAsia="Manrope" w:hAnsi="Manrope"/>
          <w:b/>
          <w:bCs/>
          <w:color w:val="132232"/>
          <w:sz w:val="20"/>
          <w:szCs w:val="20"/>
        </w:rPr>
        <w:t xml:space="preserve">ryan@moveifyhealth.com</w:t>
      </w:r>
      <w:r>
        <w:rPr>
          <w:rFonts w:ascii="Manrope" w:cs="Manrope" w:eastAsia="Manrope" w:hAnsi="Manrope"/>
          <w:b/>
          <w:bCs/>
          <w:color w:val="46C1C0"/>
          <w:sz w:val="20"/>
          <w:szCs w:val="20"/>
        </w:rPr>
        <w:t xml:space="preserve">  ·  </w:t>
      </w:r>
      <w:r>
        <w:rPr>
          <w:rFonts w:ascii="Manrope" w:cs="Manrope" w:eastAsia="Manrope" w:hAnsi="Manrope"/>
          <w:color w:val="56606E"/>
          <w:sz w:val="20"/>
          <w:szCs w:val="20"/>
        </w:rPr>
        <w:t xml:space="preserve">0435 524 991</w:t>
      </w:r>
    </w:p>
    <w:p>
      <w:pPr>
        <w:pBdr>
          <w:top w:val="single" w:color="E2E8F0" w:sz="4"/>
        </w:pBdr>
        <w:spacing w:before="280"/>
        <w:jc w:val="center"/>
      </w:pPr>
      <w:r>
        <w:rPr>
          <w:rFonts w:ascii="Manrope" w:cs="Manrope" w:eastAsia="Manrope" w:hAnsi="Manrope"/>
          <w:color w:val="94A3B8"/>
          <w:sz w:val="15"/>
          <w:szCs w:val="15"/>
        </w:rPr>
        <w:t xml:space="preserve">Moveify Health Solutions</w:t>
      </w:r>
      <w:r>
        <w:rPr>
          <w:rFonts w:ascii="Manrope" w:cs="Manrope" w:eastAsia="Manrope" w:hAnsi="Manrope"/>
          <w:b/>
          <w:bCs/>
          <w:color w:val="46C1C0"/>
          <w:sz w:val="15"/>
          <w:szCs w:val="15"/>
        </w:rPr>
        <w:t xml:space="preserve">  ·  </w:t>
      </w:r>
      <w:r>
        <w:rPr>
          <w:rFonts w:ascii="Manrope" w:cs="Manrope" w:eastAsia="Manrope" w:hAnsi="Manrope"/>
          <w:color w:val="94A3B8"/>
          <w:sz w:val="15"/>
          <w:szCs w:val="15"/>
        </w:rPr>
        <w:t xml:space="preserve">ABN 52 263 141 529</w:t>
      </w:r>
      <w:r>
        <w:rPr>
          <w:rFonts w:ascii="Manrope" w:cs="Manrope" w:eastAsia="Manrope" w:hAnsi="Manrope"/>
          <w:b/>
          <w:bCs/>
          <w:color w:val="46C1C0"/>
          <w:sz w:val="15"/>
          <w:szCs w:val="15"/>
        </w:rPr>
        <w:t xml:space="preserve">  ·  </w:t>
      </w:r>
      <w:r>
        <w:rPr>
          <w:rFonts w:ascii="Manrope" w:cs="Manrope" w:eastAsia="Manrope" w:hAnsi="Manrope"/>
          <w:color w:val="94A3B8"/>
          <w:sz w:val="15"/>
          <w:szCs w:val="15"/>
        </w:rPr>
        <w:t xml:space="preserve">4 George St, Williamstown SA 5351</w:t>
      </w:r>
    </w:p>
    <w:sectPr>
      <w:pgSz w:w="11906" w:h="16838" w:orient="portrait"/>
      <w:pgMar w:top="480" w:right="620" w:bottom="48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nrope" w:cs="Manrope" w:eastAsia="Manrope" w:hAnsi="Manrop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0d3a336dcf8bbd53f53a775dc895a79437ea17.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2026-05-26T04:19:37.691Z</dcterms:created>
  <dcterms:modified xsi:type="dcterms:W3CDTF">2026-05-26T04:19:37.692Z</dcterms:modified>
</cp:coreProperties>
</file>

<file path=docProps/custom.xml><?xml version="1.0" encoding="utf-8"?>
<Properties xmlns="http://schemas.openxmlformats.org/officeDocument/2006/custom-properties" xmlns:vt="http://schemas.openxmlformats.org/officeDocument/2006/docPropsVTypes"/>
</file>