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drawing>
                <wp:inline distT="0" distB="0" distL="0" distR="0">
                  <wp:extent cx="1628775" cy="914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32232"/>
                <w:sz w:val="21"/>
                <w:szCs w:val="21"/>
              </w:rPr>
              <w:t xml:space="preserve">Exercise Physiology Assessment Summary</w:t>
            </w:r>
          </w:p>
          <w:p>
            <w:pPr>
              <w:spacing w:before="40"/>
              <w:jc w:val="right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{{patient_first_name}} · {{assessment_date}}</w:t>
            </w:r>
          </w:p>
        </w:tc>
      </w:tr>
    </w:tbl>
    <w:p>
      <w:pPr>
        <w:pBdr>
          <w:bottom w:val="single" w:color="46C1C0" w:sz="12"/>
        </w:pBdr>
        <w:spacing w:after="160"/>
      </w:pPr>
    </w:p>
    <w:p>
      <w:pPr>
        <w:keepNext/>
        <w:spacing w:after="100" w:before="160"/>
      </w:pPr>
      <w:r>
        <w:rPr>
          <w:rFonts w:ascii="Calibri" w:cs="Calibri" w:eastAsia="Calibri" w:hAnsi="Calibri"/>
          <w:b/>
          <w:bCs/>
          <w:caps/>
          <w:color w:val="46C1C0"/>
          <w:sz w:val="22"/>
          <w:szCs w:val="22"/>
        </w:rPr>
        <w:t xml:space="preserve">1  What We Found</w:t>
      </w:r>
    </w:p>
    <w:p>
      <w:pPr>
        <w:spacing w:after="120"/>
      </w:pPr>
      <w:r>
        <w:rPr>
          <w:rFonts w:ascii="Calibri" w:cs="Calibri" w:eastAsia="Calibri" w:hAnsi="Calibri"/>
          <w:color w:val="132232"/>
          <w:sz w:val="19"/>
          <w:szCs w:val="19"/>
        </w:rPr>
        <w:t xml:space="preserve">{{what_we_found}}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aps/>
          <w:color w:val="46C1C0"/>
          <w:sz w:val="18"/>
          <w:szCs w:val="18"/>
        </w:rPr>
        <w:t xml:space="preserve">Assessment Results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46C1C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46C1C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46C1C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32232"/>
                <w:sz w:val="18"/>
                <w:szCs w:val="18"/>
              </w:rPr>
              <w:t xml:space="preserve">{{#oa_rows}}{{test}}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32232"/>
                <w:sz w:val="18"/>
                <w:szCs w:val="18"/>
              </w:rPr>
              <w:t xml:space="preserve">{{result}}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32232"/>
                <w:sz w:val="18"/>
                <w:szCs w:val="18"/>
              </w:rPr>
              <w:t xml:space="preserve">{{interpretation}}{{/oa_rows}}</w:t>
            </w:r>
          </w:p>
        </w:tc>
      </w:tr>
    </w:tbl>
    <w:p>
      <w:pPr>
        <w:keepNext/>
        <w:spacing w:after="100" w:before="160"/>
      </w:pPr>
      <w:r>
        <w:rPr>
          <w:rFonts w:ascii="Calibri" w:cs="Calibri" w:eastAsia="Calibri" w:hAnsi="Calibri"/>
          <w:b/>
          <w:bCs/>
          <w:caps/>
          <w:color w:val="46C1C0"/>
          <w:sz w:val="22"/>
          <w:szCs w:val="22"/>
        </w:rPr>
        <w:t xml:space="preserve">2  What We'll Focus On</w:t>
      </w:r>
    </w:p>
    <w:p>
      <w:pPr>
        <w:spacing w:after="120"/>
      </w:pPr>
      <w:r>
        <w:rPr>
          <w:rFonts w:ascii="Calibri" w:cs="Calibri" w:eastAsia="Calibri" w:hAnsi="Calibri"/>
          <w:color w:val="132232"/>
          <w:sz w:val="19"/>
          <w:szCs w:val="19"/>
        </w:rPr>
        <w:t xml:space="preserve">{{what_we_focus}}</w:t>
      </w:r>
    </w:p>
    <w:p>
      <w:pPr>
        <w:keepNext/>
        <w:pageBreakBefore/>
        <w:spacing w:after="100" w:before="160"/>
      </w:pPr>
      <w:r>
        <w:rPr>
          <w:rFonts w:ascii="Calibri" w:cs="Calibri" w:eastAsia="Calibri" w:hAnsi="Calibri"/>
          <w:b/>
          <w:bCs/>
          <w:caps/>
          <w:color w:val="46C1C0"/>
          <w:sz w:val="22"/>
          <w:szCs w:val="22"/>
        </w:rPr>
        <w:t xml:space="preserve">Section 3 — Your Options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aps/>
          <w:color w:val="46C1C0"/>
          <w:sz w:val="18"/>
          <w:szCs w:val="18"/>
        </w:rPr>
        <w:t xml:space="preserve">Treatment Blocks — 6 Weeks</w:t>
      </w:r>
    </w:p>
    <w:p>
      <w:pPr>
        <w:keepLines/>
        <w:spacing w:after="100"/>
      </w:pPr>
      <w:r>
        <w:rPr>
          <w:rFonts w:ascii="Calibri" w:cs="Calibri" w:eastAsia="Calibri" w:hAnsi="Calibri"/>
          <w:color w:val="132232"/>
          <w:sz w:val="19"/>
          <w:szCs w:val="19"/>
        </w:rPr>
        <w:t xml:space="preserve">Payment: weekly direct debit over 6 weeks, or pay in full with 5% discount. Includes: unlimited gym access + Moveify app.</w:t>
      </w:r>
    </w:p>
    <w:p>
      <w:pPr>
        <w:keepNext/>
        <w:keepLines/>
        <w:spacing w:after="30" w:before="100"/>
      </w:pPr>
      <w:r>
        <w:rPr>
          <w:rFonts w:ascii="Calibri" w:cs="Calibri" w:eastAsia="Calibri" w:hAnsi="Calibri"/>
          <w:b/>
          <w:bCs/>
          <w:color w:val="132232"/>
          <w:sz w:val="19"/>
          <w:szCs w:val="19"/>
        </w:rPr>
        <w:t xml:space="preserve">Tier 1 — Foundation · $525 ($87.50/week)</w:t>
      </w:r>
    </w:p>
    <w:p>
      <w:pPr>
        <w:keepLines/>
        <w:spacing w:after="100"/>
      </w:pPr>
      <w:r>
        <w:rPr>
          <w:rFonts w:ascii="Calibri" w:cs="Calibri" w:eastAsia="Calibri" w:hAnsi="Calibri"/>
          <w:color w:val="132232"/>
          <w:sz w:val="19"/>
          <w:szCs w:val="19"/>
        </w:rPr>
        <w:t xml:space="preserve">60-min program design + 6 group sessions + 30-min reassessment + phone check-in. Medicare offset: up to $123.60 back · net cost from $401.40. Pay in full: $498.75 (5% discount). Best for: stable presentations, general deconditioning, independent patients.</w:t>
      </w:r>
    </w:p>
    <w:p>
      <w:pPr>
        <w:keepNext/>
        <w:keepLines/>
        <w:spacing w:after="30" w:before="100"/>
      </w:pPr>
      <w:r>
        <w:rPr>
          <w:rFonts w:ascii="Calibri" w:cs="Calibri" w:eastAsia="Calibri" w:hAnsi="Calibri"/>
          <w:b/>
          <w:bCs/>
          <w:color w:val="132232"/>
          <w:sz w:val="19"/>
          <w:szCs w:val="19"/>
        </w:rPr>
        <w:t xml:space="preserve">Tier 2 — Progress · $695 ($115.83/week)</w:t>
      </w:r>
    </w:p>
    <w:p>
      <w:pPr>
        <w:keepLines/>
        <w:spacing w:after="100"/>
      </w:pPr>
      <w:r>
        <w:rPr>
          <w:rFonts w:ascii="Calibri" w:cs="Calibri" w:eastAsia="Calibri" w:hAnsi="Calibri"/>
          <w:color w:val="132232"/>
          <w:sz w:val="19"/>
          <w:szCs w:val="19"/>
        </w:rPr>
        <w:t xml:space="preserve">60-min program design + 5 × 30-min weekly 1:1s + 30-min reassessment. Medicare offset: up to $309 back · net cost from $386. Pay in full: $660.25 (5% discount). Best for: MSK and chronic disease, patients needing regular clinical oversight.</w:t>
      </w:r>
    </w:p>
    <w:p>
      <w:pPr>
        <w:keepNext/>
        <w:keepLines/>
        <w:spacing w:after="30" w:before="100"/>
      </w:pPr>
      <w:r>
        <w:rPr>
          <w:rFonts w:ascii="Calibri" w:cs="Calibri" w:eastAsia="Calibri" w:hAnsi="Calibri"/>
          <w:b/>
          <w:bCs/>
          <w:color w:val="132232"/>
          <w:sz w:val="19"/>
          <w:szCs w:val="19"/>
        </w:rPr>
        <w:t xml:space="preserve">Tier 3 — Performance · $875 ($145.83/week)</w:t>
      </w:r>
    </w:p>
    <w:p>
      <w:pPr>
        <w:keepLines/>
        <w:spacing w:after="100"/>
      </w:pPr>
      <w:r>
        <w:rPr>
          <w:rFonts w:ascii="Calibri" w:cs="Calibri" w:eastAsia="Calibri" w:hAnsi="Calibri"/>
          <w:color w:val="132232"/>
          <w:sz w:val="19"/>
          <w:szCs w:val="19"/>
        </w:rPr>
        <w:t xml:space="preserve">60-min program design + 5 × 45-min weekly 1:1s + 30-min reassessment. Medicare offset: up to $309 back · net cost from $566. Pay in full: $831.25 (5% discount). Best for: complex neuro, cardiac, post-surgical, multi-morbidity.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aps/>
          <w:color w:val="46C1C0"/>
          <w:sz w:val="18"/>
          <w:szCs w:val="18"/>
        </w:rPr>
        <w:t xml:space="preserve">Not Ready to Commit? Casual Options</w:t>
      </w:r>
    </w:p>
    <w:p>
      <w:pPr>
        <w:keepLines/>
        <w:spacing w:after="100"/>
      </w:pPr>
      <w:r>
        <w:rPr>
          <w:rFonts w:ascii="Calibri" w:cs="Calibri" w:eastAsia="Calibri" w:hAnsi="Calibri"/>
          <w:color w:val="132232"/>
          <w:sz w:val="19"/>
          <w:szCs w:val="19"/>
        </w:rPr>
        <w:t xml:space="preserve">If you'd prefer to try a session or two before committing to a block, that's completely fine.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46C1C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46C1C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Fee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46C1C0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32232"/>
                <w:sz w:val="18"/>
                <w:szCs w:val="18"/>
              </w:rPr>
              <w:t xml:space="preserve">1:1 Consultation (60 min)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6C1C0"/>
                <w:sz w:val="18"/>
                <w:szCs w:val="18"/>
              </w:rPr>
              <w:t xml:space="preserve">$170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Full program design or complex consultation</w:t>
            </w:r>
          </w:p>
        </w:tc>
      </w:tr>
      <w:tr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32232"/>
                <w:sz w:val="18"/>
                <w:szCs w:val="18"/>
              </w:rPr>
              <w:t xml:space="preserve">1:1 Consultation (45 min)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6C1C0"/>
                <w:sz w:val="18"/>
                <w:szCs w:val="18"/>
              </w:rPr>
              <w:t xml:space="preserve">$130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Standard clinical session</w:t>
            </w:r>
          </w:p>
        </w:tc>
      </w:tr>
      <w:tr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32232"/>
                <w:sz w:val="18"/>
                <w:szCs w:val="18"/>
              </w:rPr>
              <w:t xml:space="preserve">1:1 Consultation (30 min)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6C1C0"/>
                <w:sz w:val="18"/>
                <w:szCs w:val="18"/>
              </w:rPr>
              <w:t xml:space="preserve">$85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Follow-up or program adjustment</w:t>
            </w:r>
          </w:p>
        </w:tc>
      </w:tr>
      <w:tr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32232"/>
                <w:sz w:val="18"/>
                <w:szCs w:val="18"/>
              </w:rPr>
              <w:t xml:space="preserve">Group Session (45-60 min)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6C1C0"/>
                <w:sz w:val="18"/>
                <w:szCs w:val="18"/>
              </w:rPr>
              <w:t xml:space="preserve">$30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Supervised floor session with your program</w:t>
            </w:r>
          </w:p>
        </w:tc>
      </w:tr>
      <w:tr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32232"/>
                <w:sz w:val="18"/>
                <w:szCs w:val="18"/>
              </w:rPr>
              <w:t xml:space="preserve">Phone Check-in (10 min)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6C1C0"/>
                <w:sz w:val="18"/>
                <w:szCs w:val="18"/>
              </w:rPr>
              <w:t xml:space="preserve">$50</w:t>
            </w:r>
          </w:p>
        </w:tc>
        <w:tc>
          <w:tcPr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Brief clinical check-in</w:t>
            </w:r>
          </w:p>
        </w:tc>
      </w:tr>
    </w:tbl>
    <w:p>
      <w:pPr>
        <w:keepLines/>
        <w:spacing w:after="100"/>
      </w:pPr>
      <w:r>
        <w:rPr>
          <w:rFonts w:ascii="Calibri" w:cs="Calibri" w:eastAsia="Calibri" w:hAnsi="Calibri"/>
          <w:color w:val="64748B"/>
          <w:sz w:val="16"/>
          <w:szCs w:val="16"/>
        </w:rPr>
        <w:t xml:space="preserve">Note: if you decide to commit to a treatment block within 7 days of your casual sessions, the fees paid are credited toward your block price.</w:t>
      </w:r>
    </w:p>
    <w:p>
      <w:pPr>
        <w:keepNext/>
        <w:spacing w:after="100" w:before="160"/>
      </w:pPr>
      <w:r>
        <w:rPr>
          <w:rFonts w:ascii="Calibri" w:cs="Calibri" w:eastAsia="Calibri" w:hAnsi="Calibri"/>
          <w:b/>
          <w:bCs/>
          <w:caps/>
          <w:color w:val="46C1C0"/>
          <w:sz w:val="22"/>
          <w:szCs w:val="22"/>
        </w:rPr>
        <w:t xml:space="preserve">Section 4 — Medicare and Health Fund Offsets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aps/>
          <w:color w:val="46C1C0"/>
          <w:sz w:val="18"/>
          <w:szCs w:val="18"/>
        </w:rPr>
        <w:t xml:space="preserve">Medicare CDM Rebates</w:t>
      </w:r>
    </w:p>
    <w:p>
      <w:pPr>
        <w:keepLines/>
        <w:spacing w:after="100"/>
      </w:pPr>
      <w:r>
        <w:rPr>
          <w:rFonts w:ascii="Calibri" w:cs="Calibri" w:eastAsia="Calibri" w:hAnsi="Calibri"/>
          <w:color w:val="132232"/>
          <w:sz w:val="19"/>
          <w:szCs w:val="19"/>
        </w:rPr>
        <w:t xml:space="preserve">If you have a Chronic Disease Management (CDM) plan from your GP, you are eligible for up to 5 Medicare-rebated allied health sessions per calendar year. Each eligible 1:1 session earns a rebate of $61.80.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aps/>
          <w:color w:val="46C1C0"/>
          <w:sz w:val="18"/>
          <w:szCs w:val="18"/>
        </w:rPr>
        <w:t xml:space="preserve">Private Health Insurance</w:t>
      </w:r>
    </w:p>
    <w:p>
      <w:pPr>
        <w:keepLines/>
        <w:spacing w:after="100"/>
      </w:pPr>
      <w:r>
        <w:rPr>
          <w:rFonts w:ascii="Calibri" w:cs="Calibri" w:eastAsia="Calibri" w:hAnsi="Calibri"/>
          <w:color w:val="132232"/>
          <w:sz w:val="19"/>
          <w:szCs w:val="19"/>
        </w:rPr>
        <w:t xml:space="preserve">If you hold extras cover, you may be able to claim a rebate on Exercise Physiology sessions. You cannot claim both Medicare and PHI on the same session.</w:t>
      </w:r>
    </w:p>
    <w:p>
      <w:pPr>
        <w:keepNext/>
        <w:spacing w:after="100" w:before="160"/>
      </w:pPr>
      <w:r>
        <w:rPr>
          <w:rFonts w:ascii="Calibri" w:cs="Calibri" w:eastAsia="Calibri" w:hAnsi="Calibri"/>
          <w:b/>
          <w:bCs/>
          <w:caps/>
          <w:color w:val="46C1C0"/>
          <w:sz w:val="22"/>
          <w:szCs w:val="22"/>
        </w:rPr>
        <w:t xml:space="preserve">Section 5 — Next Steps</w:t>
      </w:r>
    </w:p>
    <w:p>
      <w:pPr>
        <w:keepLines/>
        <w:spacing w:after="100"/>
      </w:pPr>
      <w:r>
        <w:rPr>
          <w:rFonts w:ascii="Calibri" w:cs="Calibri" w:eastAsia="Calibri" w:hAnsi="Calibri"/>
          <w:color w:val="132232"/>
          <w:sz w:val="19"/>
          <w:szCs w:val="19"/>
        </w:rPr>
        <w:t xml:space="preserve">• Choose your program above and let Ryan know today</w:t>
      </w:r>
    </w:p>
    <w:p>
      <w:pPr>
        <w:keepLines/>
        <w:spacing w:after="100"/>
      </w:pPr>
      <w:r>
        <w:rPr>
          <w:rFonts w:ascii="Calibri" w:cs="Calibri" w:eastAsia="Calibri" w:hAnsi="Calibri"/>
          <w:color w:val="132232"/>
          <w:sz w:val="19"/>
          <w:szCs w:val="19"/>
        </w:rPr>
        <w:t xml:space="preserve">• If you'd like to take this home and think it over, that's completely fine</w:t>
      </w:r>
    </w:p>
    <w:p>
      <w:pPr>
        <w:keepLines/>
        <w:spacing w:after="100"/>
      </w:pPr>
      <w:r>
        <w:rPr>
          <w:rFonts w:ascii="Calibri" w:cs="Calibri" w:eastAsia="Calibri" w:hAnsi="Calibri"/>
          <w:color w:val="132232"/>
          <w:sz w:val="19"/>
          <w:szCs w:val="19"/>
        </w:rPr>
        <w:t xml:space="preserve">• Questions? Call or email: ryan@moveifyhealth.com</w:t>
      </w:r>
    </w:p>
    <w:p>
      <w:pPr>
        <w:pBdr>
          <w:top w:val="single" w:color="E5E7EB" w:sz="6"/>
        </w:pBdr>
        <w:spacing w:before="200"/>
        <w:jc w:val="center"/>
      </w:pPr>
      <w:r>
        <w:rPr>
          <w:rFonts w:ascii="Calibri" w:cs="Calibri" w:eastAsia="Calibri" w:hAnsi="Calibri"/>
          <w:color w:val="9CA3AF"/>
          <w:sz w:val="15"/>
          <w:szCs w:val="15"/>
        </w:rPr>
        <w:t xml:space="preserve">Moveify Health Solutions · ryan@moveifyhealth.com · 0435 524 991 · ABN 52 263 141 529 · 4 George St, Williamstown SA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0d3a336dcf8bbd53f53a775dc895a79437ea17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2026-05-25T07:05:01.004Z</dcterms:created>
  <dcterms:modified xsi:type="dcterms:W3CDTF">2026-05-25T07:05:01.006Z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