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 SUMMARY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A plan for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{{patient_first_name}}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Prepared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WHAT'S GOING ON</w:t>
            </w:r>
          </w:p>
          <w:p>
            <w:r>
              <w:rPr>
                <w:rFonts w:ascii="Manrope" w:cs="Manrope" w:eastAsia="Manrope" w:hAnsi="Manrope"/>
              </w:rPr>
              <w:t xml:space="preserve">{{#whats_going_on}}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{{/whats_going_on}}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WE'RE AIMING FOR</w:t>
            </w:r>
          </w:p>
          <w:p>
            <w:r>
              <w:rPr>
                <w:rFonts w:ascii="Manrope" w:cs="Manrope" w:eastAsia="Manrope" w:hAnsi="Manrope"/>
              </w:rPr>
              <w:t xml:space="preserve">{{#our_aims}}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{{/our_aims}}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HOW WE'LL GET THERE</w:t>
            </w:r>
          </w:p>
          <w:p>
            <w:r>
              <w:rPr>
                <w:rFonts w:ascii="Manrope" w:cs="Manrope" w:eastAsia="Manrope" w:hAnsi="Manrope"/>
              </w:rPr>
              <w:t xml:space="preserve">{{#how_we_get_there}}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{{/how_we_get_there}}</w:t>
            </w:r>
          </w:p>
          <w:p>
            <w:pPr>
              <w:keepLines/>
              <w:pBdr>
                <w:top w:val="single" w:color="46C1C0" w:sz="16"/>
              </w:pBdr>
              <w:spacing w:before="14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21"/>
                <w:szCs w:val="21"/>
              </w:rPr>
              <w:t xml:space="preserve">↘ 1:1 support is flexible. See Your Options.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YOU CAN EXPECT</w:t>
            </w:r>
          </w:p>
          <w:p>
            <w:r>
              <w:rPr>
                <w:rFonts w:ascii="Manrope" w:cs="Manrope" w:eastAsia="Manrope" w:hAnsi="Manrope"/>
              </w:rPr>
              <w:t xml:space="preserve">{{#what_to_expect}}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{{/what_to_expect}}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Understanding 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results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Measured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YOUR RESULTS AT A GLANCE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2100"/>
        <w:gridCol w:w="4400"/>
      </w:tblGrid>
      <w:tr>
        <w:trPr>
          <w:tblHeader/>
        </w:trP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TEST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RESULT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{{#assessment_rows}}{{test}}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{{result}}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{{interpretation}}{{/assessment_rows}}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WHAT YOUR RESULTS MEAN</w:t>
      </w:r>
    </w:p>
    <w:p>
      <w:pPr>
        <w:keepLines/>
      </w:pPr>
      <w:r>
        <w:rPr>
          <w:rFonts w:ascii="Manrope" w:cs="Manrope" w:eastAsia="Manrope" w:hAnsi="Manrope"/>
          <w:color w:val="1A2230"/>
          <w:sz w:val="23"/>
          <w:szCs w:val="23"/>
        </w:rPr>
        <w:t xml:space="preserve">{{results_summary}}</w:t>
      </w:r>
    </w:p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TREATMENT OPTIONS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treatment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 options.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6-week blocks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22"/>
                <w:szCs w:val="22"/>
              </w:rPr>
              <w:t xml:space="preserve">  · 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Three tiers of 1:1 support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Lines/>
        <w:spacing w:after="240"/>
      </w:pPr>
      <w:r>
        <w:rPr>
          <w:rFonts w:ascii="Manrope" w:cs="Manrope" w:eastAsia="Manrope" w:hAnsi="Manrope"/>
          <w:b/>
          <w:bCs/>
          <w:color w:val="132232"/>
          <w:sz w:val="23"/>
          <w:szCs w:val="23"/>
        </w:rPr>
        <w:t xml:space="preserve">How it works. </w:t>
      </w:r>
      <w:r>
        <w:rPr>
          <w:rFonts w:ascii="Manrope" w:cs="Manrope" w:eastAsia="Manrope" w:hAnsi="Manrope"/>
          <w:color w:val="1A2230"/>
          <w:sz w:val="23"/>
          <w:szCs w:val="23"/>
        </w:rPr>
        <w:t xml:space="preserve">Payment is weekly direct debit over 6 weeks, or pay in full with a 5% discount. Every tier includes unlimited gym access and the Moveify app. The clinical program is the same across all three — the tiers differ in how much 1:1 support and supervision you receive.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  <w:tcMar>
              <w:top w:type="dxa" w:w="220"/>
              <w:left w:type="dxa" w:w="360"/>
              <w:bottom w:type="dxa" w:w="200"/>
              <w:right w:type="dxa" w:w="36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Choose Your Tier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3</w:t>
            </w:r>
          </w:p>
          <w:p>
            <w:pPr>
              <w:spacing w:after="8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Performance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$860</w:t>
            </w:r>
          </w:p>
          <w:p>
            <w:r>
              <w:rPr>
                <w:rFonts w:ascii="Manrope" w:cs="Manrope" w:eastAsia="Manrope" w:hAnsi="Manrope"/>
                <w:color w:val="56606E"/>
                <w:sz w:val="19"/>
                <w:szCs w:val="19"/>
              </w:rPr>
              <w:t xml:space="preserve">$143.33 / week over 6 weeks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0"/>
              <w:left w:type="dxa" w:w="360"/>
              <w:bottom w:type="dxa" w:w="280"/>
              <w:right w:type="dxa" w:w="0"/>
            </w:tcMar>
            <w:vAlign w:val="center"/>
          </w:tcPr>
          <w:p>
            <w:pPr>
              <w:keepLines/>
              <w:spacing w:after="14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60-min program design, 4 × 45-min weekly 1:1 sessions, and a 30-min reassessment.</w:t>
            </w:r>
          </w:p>
          <w:p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2</w:t>
            </w:r>
          </w:p>
          <w:p>
            <w:pPr>
              <w:spacing w:after="8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Progress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$680</w:t>
            </w:r>
          </w:p>
          <w:p>
            <w:r>
              <w:rPr>
                <w:rFonts w:ascii="Manrope" w:cs="Manrope" w:eastAsia="Manrope" w:hAnsi="Manrope"/>
                <w:color w:val="56606E"/>
                <w:sz w:val="19"/>
                <w:szCs w:val="19"/>
              </w:rPr>
              <w:t xml:space="preserve">$113.33 / week over 6 weeks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0"/>
              <w:left w:type="dxa" w:w="360"/>
              <w:bottom w:type="dxa" w:w="280"/>
              <w:right w:type="dxa" w:w="0"/>
            </w:tcMar>
            <w:vAlign w:val="center"/>
          </w:tcPr>
          <w:p>
            <w:pPr>
              <w:keepLines/>
              <w:spacing w:after="14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60-min program design, 4 × 30-min weekly 1:1 sessions, and a 30-min reassessment.</w:t>
            </w:r>
          </w:p>
          <w:p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1</w:t>
            </w:r>
          </w:p>
          <w:p>
            <w:pPr>
              <w:spacing w:after="8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Foundation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$510</w:t>
            </w:r>
          </w:p>
          <w:p>
            <w:r>
              <w:rPr>
                <w:rFonts w:ascii="Manrope" w:cs="Manrope" w:eastAsia="Manrope" w:hAnsi="Manrope"/>
                <w:color w:val="56606E"/>
                <w:sz w:val="19"/>
                <w:szCs w:val="19"/>
              </w:rPr>
              <w:t xml:space="preserve">$85 / week over 6 weeks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0"/>
              <w:left w:type="dxa" w:w="360"/>
              <w:bottom w:type="dxa" w:w="280"/>
              <w:right w:type="dxa" w:w="0"/>
            </w:tcMar>
            <w:vAlign w:val="center"/>
          </w:tcPr>
          <w:p>
            <w:pPr>
              <w:keepLines/>
              <w:spacing w:after="14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60-min program design, 4 group sessions, and a 30-min reassessment.</w:t>
            </w:r>
          </w:p>
          <w:p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CASUAL OPTIONS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1600"/>
        <w:gridCol w:w="3600"/>
      </w:tblGrid>
      <w:tr>
        <w:trPr>
          <w:tblHeader/>
        </w:trPr>
        <w:tc>
          <w:tcPr>
            <w:tcW w:type="pct" w:w="4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SERVICE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FEE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DETAILS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$170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Full program design or complex consultation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(45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Standard clinical session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(30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$85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Follow-up or program adjustment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Group Session (45–60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Supervised floor session with your program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Phone Check-in (10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$50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Brief clinical check-in</w:t>
            </w:r>
          </w:p>
        </w:tc>
      </w:tr>
    </w:tbl>
    <w:p>
      <w:pPr>
        <w:keepLines/>
        <w:spacing w:before="12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↳  </w:t>
      </w:r>
      <w:r>
        <w:rPr>
          <w:rFonts w:ascii="Manrope" w:cs="Manrope" w:eastAsia="Manrope" w:hAnsi="Manrope"/>
          <w:color w:val="045E62"/>
          <w:sz w:val="19"/>
          <w:szCs w:val="19"/>
        </w:rPr>
        <w:t xml:space="preserve">Commit to a treatment block within 7 days of your casual sessions and the fees paid are credited toward your block price.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REBATES &amp; OFFSETS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MEDICARE CDM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have a Chronic Disease Management plan from your GP, you are eligible for up to 5 Medicare-rebated allied health sessions per calendar year. Each eligible 1:1 session earns a rebate of </w:t>
            </w:r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$61.80</w:t>
            </w: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PRIVATE HEALTH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hold extras cover, you may be able to claim a rebate on Exercise Physiology sessions. You cannot claim both Medicare and PHI on the same session.</w:t>
            </w:r>
          </w:p>
        </w:tc>
      </w:tr>
    </w:tbl>
    <w:p>
      <w:pPr>
        <w:pBdr>
          <w:top w:val="single" w:color="E2E8F0" w:sz="4"/>
        </w:pBdr>
        <w:spacing w:after="80" w:before="360"/>
      </w:pPr>
      <w:r>
        <w:rPr>
          <w:rFonts w:ascii="Manrope" w:cs="Manrope" w:eastAsia="Manrope" w:hAnsi="Manrope"/>
          <w:b/>
          <w:bCs/>
          <w:color w:val="132232"/>
          <w:sz w:val="26"/>
          <w:szCs w:val="26"/>
        </w:rPr>
        <w:t xml:space="preserve">Ready when you are. </w:t>
      </w: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Call or email any time.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ryan@moveifyhealth.com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2026-05-28T08:17:58.478Z</dcterms:created>
  <dcterms:modified xsi:type="dcterms:W3CDTF">2026-05-28T08:17:58.479Z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