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824C" w14:textId="77777777" w:rsidR="00A266E2" w:rsidRDefault="00A266E2"/>
    <w:p w14:paraId="14E9E0A8" w14:textId="4550BC8F" w:rsidR="00584184" w:rsidRDefault="00584184">
      <w:pPr>
        <w:rPr>
          <w:b/>
          <w:bCs/>
          <w:color w:val="7030A0"/>
          <w:sz w:val="32"/>
          <w:szCs w:val="32"/>
        </w:rPr>
      </w:pPr>
      <w:r w:rsidRPr="00584184">
        <w:rPr>
          <w:b/>
          <w:bCs/>
          <w:color w:val="7030A0"/>
          <w:sz w:val="32"/>
          <w:szCs w:val="32"/>
        </w:rPr>
        <w:t>Executive Summary</w:t>
      </w:r>
    </w:p>
    <w:p w14:paraId="6AC50A00" w14:textId="77777777" w:rsidR="00584184" w:rsidRPr="00584184" w:rsidRDefault="00035179" w:rsidP="000104D6">
      <w:pPr>
        <w:jc w:val="both"/>
        <w:rPr>
          <w:sz w:val="24"/>
          <w:szCs w:val="24"/>
        </w:rPr>
      </w:pPr>
      <w:r w:rsidRPr="00110CC3">
        <w:rPr>
          <w:sz w:val="24"/>
          <w:szCs w:val="24"/>
        </w:rPr>
        <w:t>For MediCore Health Systems to achieve its objective, it required a secure and scalable cloud infrastructure to ensure patient's data for</w:t>
      </w:r>
      <w:r>
        <w:rPr>
          <w:sz w:val="24"/>
          <w:szCs w:val="24"/>
        </w:rPr>
        <w:t xml:space="preserve"> the</w:t>
      </w:r>
      <w:r w:rsidRPr="00110CC3">
        <w:rPr>
          <w:sz w:val="24"/>
          <w:szCs w:val="24"/>
        </w:rPr>
        <w:t xml:space="preserve"> NHS will be protected in the cloud, </w:t>
      </w:r>
      <w:r>
        <w:rPr>
          <w:sz w:val="24"/>
          <w:szCs w:val="24"/>
        </w:rPr>
        <w:t xml:space="preserve">and scalable. </w:t>
      </w:r>
      <w:r w:rsidR="00545858" w:rsidRPr="00545858">
        <w:rPr>
          <w:sz w:val="24"/>
          <w:szCs w:val="24"/>
        </w:rPr>
        <w:t>To support</w:t>
      </w:r>
      <w:r w:rsidRPr="00110CC3">
        <w:rPr>
          <w:sz w:val="24"/>
          <w:szCs w:val="24"/>
        </w:rPr>
        <w:t xml:space="preserve"> this</w:t>
      </w:r>
      <w:r w:rsidR="00545858" w:rsidRPr="00545858">
        <w:rPr>
          <w:sz w:val="24"/>
          <w:szCs w:val="24"/>
        </w:rPr>
        <w:t>, a</w:t>
      </w:r>
      <w:r w:rsidRPr="00110CC3">
        <w:rPr>
          <w:sz w:val="24"/>
          <w:szCs w:val="24"/>
        </w:rPr>
        <w:t xml:space="preserve"> three-tier </w:t>
      </w:r>
      <w:r w:rsidR="00545858" w:rsidRPr="00545858">
        <w:rPr>
          <w:sz w:val="24"/>
          <w:szCs w:val="24"/>
        </w:rPr>
        <w:t xml:space="preserve">AWS </w:t>
      </w:r>
      <w:r w:rsidRPr="00110CC3">
        <w:rPr>
          <w:sz w:val="24"/>
          <w:szCs w:val="24"/>
        </w:rPr>
        <w:t xml:space="preserve">architecture was built </w:t>
      </w:r>
      <w:r w:rsidR="00545858" w:rsidRPr="00545858">
        <w:rPr>
          <w:sz w:val="24"/>
          <w:szCs w:val="24"/>
        </w:rPr>
        <w:t>with a</w:t>
      </w:r>
      <w:r w:rsidRPr="00110CC3">
        <w:rPr>
          <w:sz w:val="24"/>
          <w:szCs w:val="24"/>
        </w:rPr>
        <w:t xml:space="preserve"> Bastion Host, Web Server, Amazon RDS database, Amazon S3 storage, monitoring</w:t>
      </w:r>
      <w:r w:rsidR="00545858" w:rsidRPr="00545858">
        <w:rPr>
          <w:sz w:val="24"/>
          <w:szCs w:val="24"/>
        </w:rPr>
        <w:t>,</w:t>
      </w:r>
      <w:r w:rsidRPr="00110CC3">
        <w:rPr>
          <w:sz w:val="24"/>
          <w:szCs w:val="24"/>
        </w:rPr>
        <w:t xml:space="preserve"> and backup services.</w:t>
      </w:r>
    </w:p>
    <w:p w14:paraId="3EFEC6D1" w14:textId="7188050E" w:rsidR="00110CC3" w:rsidRDefault="00110CC3" w:rsidP="000104D6">
      <w:pPr>
        <w:jc w:val="both"/>
        <w:rPr>
          <w:sz w:val="24"/>
          <w:szCs w:val="24"/>
        </w:rPr>
      </w:pPr>
      <w:r w:rsidRPr="00110CC3">
        <w:rPr>
          <w:sz w:val="24"/>
          <w:szCs w:val="24"/>
        </w:rPr>
        <w:t xml:space="preserve">There were three security considerations that were introduced. </w:t>
      </w:r>
      <w:r w:rsidR="00EF396A" w:rsidRPr="004D00DD">
        <w:rPr>
          <w:i/>
          <w:iCs/>
          <w:color w:val="0070C0"/>
          <w:sz w:val="24"/>
          <w:szCs w:val="24"/>
        </w:rPr>
        <w:t>Firstly, Security Groups were configured based on the principle of least privilege and used to limit access between the tiers of infrastructure (National Cyber Security Centre, 2023).</w:t>
      </w:r>
      <w:r w:rsidR="004D00DD" w:rsidRPr="004D00DD">
        <w:rPr>
          <w:color w:val="0070C0"/>
          <w:sz w:val="24"/>
          <w:szCs w:val="24"/>
        </w:rPr>
        <w:t xml:space="preserve"> </w:t>
      </w:r>
      <w:r w:rsidRPr="00110CC3">
        <w:rPr>
          <w:sz w:val="24"/>
          <w:szCs w:val="24"/>
        </w:rPr>
        <w:t>Secondly, encryption was applied for both data at rest and data in transit using AWS KMS, SSE-S3, and HTTPS/TLS. Finally, CloudWatch was set up to provide monitoring and alerting for system performance and security incidents.</w:t>
      </w:r>
    </w:p>
    <w:p w14:paraId="74C6F651" w14:textId="3D8694B5" w:rsidR="00D813B1" w:rsidRPr="00110CC3" w:rsidRDefault="00D813B1" w:rsidP="000104D6">
      <w:pPr>
        <w:jc w:val="both"/>
        <w:rPr>
          <w:sz w:val="24"/>
          <w:szCs w:val="24"/>
        </w:rPr>
      </w:pPr>
      <w:r w:rsidRPr="00D813B1">
        <w:rPr>
          <w:sz w:val="24"/>
          <w:szCs w:val="24"/>
        </w:rPr>
        <w:t>This was done to increase confidentiality, integrity and availability of patient data while minimising the chance of unauthorised access and service disruption.</w:t>
      </w:r>
    </w:p>
    <w:p w14:paraId="4F0EDA0D" w14:textId="700FE477" w:rsidR="00110CC3" w:rsidRPr="00110CC3" w:rsidRDefault="00110CC3" w:rsidP="000104D6">
      <w:pPr>
        <w:jc w:val="both"/>
        <w:rPr>
          <w:sz w:val="24"/>
          <w:szCs w:val="24"/>
        </w:rPr>
      </w:pPr>
      <w:r w:rsidRPr="00110CC3">
        <w:rPr>
          <w:sz w:val="24"/>
          <w:szCs w:val="24"/>
        </w:rPr>
        <w:t>Compliance readiness of the deployment reached a high level as encryption, monitoring, backup and recovery services, role-based access control, and incident response policies aligned to UK GDPR and NHS DSPT requirements were implemented. Resilience of the deployment has been proven through such mechanisms as Auto Scaling, load balancing, and recovery testing within multiple Availability Zones.</w:t>
      </w:r>
    </w:p>
    <w:p w14:paraId="1DC16234" w14:textId="5F502520" w:rsidR="00584184" w:rsidRDefault="000104D6" w:rsidP="000104D6">
      <w:pPr>
        <w:jc w:val="both"/>
        <w:rPr>
          <w:i/>
          <w:iCs/>
          <w:color w:val="0070C0"/>
          <w:sz w:val="24"/>
          <w:szCs w:val="24"/>
        </w:rPr>
      </w:pPr>
      <w:r w:rsidRPr="000104D6">
        <w:rPr>
          <w:i/>
          <w:iCs/>
          <w:color w:val="0070C0"/>
          <w:sz w:val="24"/>
          <w:szCs w:val="24"/>
        </w:rPr>
        <w:t>Over the next 90 days, MediCore should implement containerisation and extend the infrastructure into a third Availability Zone to improve resilience, scalability, and operational efficiency in line with AWS high-availability recommendations (Amazon Web Services, 2024).</w:t>
      </w:r>
    </w:p>
    <w:p w14:paraId="60D5F5B0" w14:textId="77777777" w:rsidR="003D7022" w:rsidRDefault="003D7022" w:rsidP="000104D6">
      <w:pPr>
        <w:jc w:val="both"/>
        <w:rPr>
          <w:sz w:val="24"/>
          <w:szCs w:val="24"/>
        </w:rPr>
      </w:pPr>
    </w:p>
    <w:p w14:paraId="4C4E6C68" w14:textId="31D9753A" w:rsidR="000969D0" w:rsidRPr="000969D0" w:rsidRDefault="000969D0" w:rsidP="000104D6">
      <w:pPr>
        <w:jc w:val="both"/>
        <w:rPr>
          <w:b/>
          <w:bCs/>
          <w:sz w:val="24"/>
          <w:szCs w:val="24"/>
        </w:rPr>
      </w:pPr>
      <w:r w:rsidRPr="000969D0">
        <w:rPr>
          <w:b/>
          <w:bCs/>
          <w:sz w:val="24"/>
          <w:szCs w:val="24"/>
        </w:rPr>
        <w:t>References</w:t>
      </w:r>
    </w:p>
    <w:p w14:paraId="66F866F0" w14:textId="77777777" w:rsidR="006C3748" w:rsidRDefault="00D63ED3" w:rsidP="00D63ED3">
      <w:pPr>
        <w:pStyle w:val="ListParagraph"/>
        <w:numPr>
          <w:ilvl w:val="0"/>
          <w:numId w:val="1"/>
        </w:numPr>
        <w:rPr>
          <w:color w:val="0070C0"/>
          <w:sz w:val="24"/>
          <w:szCs w:val="24"/>
        </w:rPr>
      </w:pPr>
      <w:r w:rsidRPr="006C3748">
        <w:rPr>
          <w:color w:val="0070C0"/>
          <w:sz w:val="24"/>
          <w:szCs w:val="24"/>
        </w:rPr>
        <w:t>Amazon Web Services (2024) AWS Well-Architected Framework. Available at: https://docs.aws.amazon.com/wellarchitected/latest/framework/welcome.html (Accessed: 24 August 2026).</w:t>
      </w:r>
    </w:p>
    <w:p w14:paraId="5AAAB4FC" w14:textId="1C223282" w:rsidR="00D63ED3" w:rsidRPr="006C3748" w:rsidRDefault="006C3748" w:rsidP="00D63ED3">
      <w:pPr>
        <w:pStyle w:val="ListParagraph"/>
        <w:numPr>
          <w:ilvl w:val="0"/>
          <w:numId w:val="1"/>
        </w:numPr>
        <w:rPr>
          <w:color w:val="0070C0"/>
          <w:sz w:val="24"/>
          <w:szCs w:val="24"/>
        </w:rPr>
      </w:pPr>
      <w:r w:rsidRPr="006C3748">
        <w:rPr>
          <w:color w:val="0070C0"/>
          <w:sz w:val="24"/>
          <w:szCs w:val="24"/>
        </w:rPr>
        <w:t>National Cyber Security Centre (2023) Cyber security design principles. Available at: https://www.ncsc.gov.uk/collection/cyber-security-design-principles (Accessed: 24 August 2026).</w:t>
      </w:r>
    </w:p>
    <w:p w14:paraId="29389B83" w14:textId="77777777" w:rsidR="000104D6" w:rsidRPr="000104D6" w:rsidRDefault="000104D6" w:rsidP="000104D6">
      <w:pPr>
        <w:jc w:val="both"/>
        <w:rPr>
          <w:sz w:val="24"/>
          <w:szCs w:val="24"/>
        </w:rPr>
      </w:pPr>
    </w:p>
    <w:sectPr w:rsidR="000104D6" w:rsidRPr="000104D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35D49" w14:textId="77777777" w:rsidR="00E24638" w:rsidRDefault="00E24638" w:rsidP="003843D6">
      <w:pPr>
        <w:spacing w:after="0" w:line="240" w:lineRule="auto"/>
      </w:pPr>
      <w:r>
        <w:separator/>
      </w:r>
    </w:p>
  </w:endnote>
  <w:endnote w:type="continuationSeparator" w:id="0">
    <w:p w14:paraId="112C424D" w14:textId="77777777" w:rsidR="00E24638" w:rsidRDefault="00E24638" w:rsidP="00384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2B5AE" w14:textId="77777777" w:rsidR="00E24638" w:rsidRDefault="00E24638" w:rsidP="003843D6">
      <w:pPr>
        <w:spacing w:after="0" w:line="240" w:lineRule="auto"/>
      </w:pPr>
      <w:r>
        <w:separator/>
      </w:r>
    </w:p>
  </w:footnote>
  <w:footnote w:type="continuationSeparator" w:id="0">
    <w:p w14:paraId="6F236B47" w14:textId="77777777" w:rsidR="00E24638" w:rsidRDefault="00E24638" w:rsidP="00384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2433" w14:textId="4E6B873A" w:rsidR="003843D6" w:rsidRDefault="003843D6">
    <w:pPr>
      <w:pStyle w:val="Header"/>
    </w:pPr>
    <w:r>
      <w:t>DTS202</w:t>
    </w:r>
    <w:r>
      <w:ptab w:relativeTo="margin" w:alignment="center" w:leader="none"/>
    </w:r>
    <w:r>
      <w:t>B1</w:t>
    </w:r>
    <w:r>
      <w:ptab w:relativeTo="margin" w:alignment="right" w:leader="none"/>
    </w:r>
    <w:r>
      <w:t>Heather Ramshaw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C05"/>
    <w:multiLevelType w:val="hybridMultilevel"/>
    <w:tmpl w:val="8E68A8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845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822"/>
    <w:rsid w:val="000104D6"/>
    <w:rsid w:val="00035179"/>
    <w:rsid w:val="000969D0"/>
    <w:rsid w:val="000D01D0"/>
    <w:rsid w:val="00110CC3"/>
    <w:rsid w:val="002608F9"/>
    <w:rsid w:val="002C16E9"/>
    <w:rsid w:val="003843D6"/>
    <w:rsid w:val="003D7022"/>
    <w:rsid w:val="004D00DD"/>
    <w:rsid w:val="004F1ADA"/>
    <w:rsid w:val="00545858"/>
    <w:rsid w:val="00584184"/>
    <w:rsid w:val="005B10ED"/>
    <w:rsid w:val="00614B92"/>
    <w:rsid w:val="00623F26"/>
    <w:rsid w:val="006C3748"/>
    <w:rsid w:val="007B5560"/>
    <w:rsid w:val="00A266E2"/>
    <w:rsid w:val="00A44822"/>
    <w:rsid w:val="00B02E64"/>
    <w:rsid w:val="00C90794"/>
    <w:rsid w:val="00D63ED3"/>
    <w:rsid w:val="00D813B1"/>
    <w:rsid w:val="00E24638"/>
    <w:rsid w:val="00EF39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38A9"/>
  <w15:chartTrackingRefBased/>
  <w15:docId w15:val="{A005F520-AC77-4E86-8637-8652BB1D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822"/>
    <w:rPr>
      <w:rFonts w:eastAsiaTheme="majorEastAsia" w:cstheme="majorBidi"/>
      <w:color w:val="272727" w:themeColor="text1" w:themeTint="D8"/>
    </w:rPr>
  </w:style>
  <w:style w:type="paragraph" w:styleId="Title">
    <w:name w:val="Title"/>
    <w:basedOn w:val="Normal"/>
    <w:next w:val="Normal"/>
    <w:link w:val="TitleChar"/>
    <w:uiPriority w:val="10"/>
    <w:qFormat/>
    <w:rsid w:val="00A44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822"/>
    <w:pPr>
      <w:spacing w:before="160"/>
      <w:jc w:val="center"/>
    </w:pPr>
    <w:rPr>
      <w:i/>
      <w:iCs/>
      <w:color w:val="404040" w:themeColor="text1" w:themeTint="BF"/>
    </w:rPr>
  </w:style>
  <w:style w:type="character" w:customStyle="1" w:styleId="QuoteChar">
    <w:name w:val="Quote Char"/>
    <w:basedOn w:val="DefaultParagraphFont"/>
    <w:link w:val="Quote"/>
    <w:uiPriority w:val="29"/>
    <w:rsid w:val="00A44822"/>
    <w:rPr>
      <w:i/>
      <w:iCs/>
      <w:color w:val="404040" w:themeColor="text1" w:themeTint="BF"/>
    </w:rPr>
  </w:style>
  <w:style w:type="paragraph" w:styleId="ListParagraph">
    <w:name w:val="List Paragraph"/>
    <w:basedOn w:val="Normal"/>
    <w:uiPriority w:val="34"/>
    <w:qFormat/>
    <w:rsid w:val="00A44822"/>
    <w:pPr>
      <w:ind w:left="720"/>
      <w:contextualSpacing/>
    </w:pPr>
  </w:style>
  <w:style w:type="character" w:styleId="IntenseEmphasis">
    <w:name w:val="Intense Emphasis"/>
    <w:basedOn w:val="DefaultParagraphFont"/>
    <w:uiPriority w:val="21"/>
    <w:qFormat/>
    <w:rsid w:val="00A44822"/>
    <w:rPr>
      <w:i/>
      <w:iCs/>
      <w:color w:val="0F4761" w:themeColor="accent1" w:themeShade="BF"/>
    </w:rPr>
  </w:style>
  <w:style w:type="paragraph" w:styleId="IntenseQuote">
    <w:name w:val="Intense Quote"/>
    <w:basedOn w:val="Normal"/>
    <w:next w:val="Normal"/>
    <w:link w:val="IntenseQuoteChar"/>
    <w:uiPriority w:val="30"/>
    <w:qFormat/>
    <w:rsid w:val="00A44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822"/>
    <w:rPr>
      <w:i/>
      <w:iCs/>
      <w:color w:val="0F4761" w:themeColor="accent1" w:themeShade="BF"/>
    </w:rPr>
  </w:style>
  <w:style w:type="character" w:styleId="IntenseReference">
    <w:name w:val="Intense Reference"/>
    <w:basedOn w:val="DefaultParagraphFont"/>
    <w:uiPriority w:val="32"/>
    <w:qFormat/>
    <w:rsid w:val="00A44822"/>
    <w:rPr>
      <w:b/>
      <w:bCs/>
      <w:smallCaps/>
      <w:color w:val="0F4761" w:themeColor="accent1" w:themeShade="BF"/>
      <w:spacing w:val="5"/>
    </w:rPr>
  </w:style>
  <w:style w:type="paragraph" w:styleId="Header">
    <w:name w:val="header"/>
    <w:basedOn w:val="Normal"/>
    <w:link w:val="HeaderChar"/>
    <w:uiPriority w:val="99"/>
    <w:unhideWhenUsed/>
    <w:rsid w:val="003843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3D6"/>
  </w:style>
  <w:style w:type="paragraph" w:styleId="Footer">
    <w:name w:val="footer"/>
    <w:basedOn w:val="Normal"/>
    <w:link w:val="FooterChar"/>
    <w:uiPriority w:val="99"/>
    <w:unhideWhenUsed/>
    <w:rsid w:val="003843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272</Words>
  <Characters>1773</Characters>
  <Application>Microsoft Office Word</Application>
  <DocSecurity>0</DocSecurity>
  <Lines>32</Lines>
  <Paragraphs>9</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Ramshaw, Heather</dc:creator>
  <cp:keywords/>
  <dc:description/>
  <cp:lastModifiedBy>Ramshaw, Heather</cp:lastModifiedBy>
  <cp:revision>19</cp:revision>
  <dcterms:created xsi:type="dcterms:W3CDTF">2026-08-24T09:11:00Z</dcterms:created>
  <dcterms:modified xsi:type="dcterms:W3CDTF">2026-08-24T13:20:00Z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2026-08-24T09:13:12Z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d6d1661b-267e-4ca9-9251-bb001cf008bc</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ies>
</file>