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1824C" w14:textId="77777777" w:rsidR="00A266E2" w:rsidRDefault="00A266E2"/>
    <w:p w14:paraId="14E9E0A8" w14:textId="4550BC8F" w:rsidR="00584184" w:rsidRDefault="00584184">
      <w:pPr>
        <w:rPr>
          <w:b/>
          <w:bCs/>
          <w:color w:val="7030A0"/>
          <w:sz w:val="32"/>
          <w:szCs w:val="32"/>
        </w:rPr>
      </w:pPr>
      <w:r w:rsidRPr="00584184">
        <w:rPr>
          <w:b/>
          <w:bCs/>
          <w:color w:val="7030A0"/>
          <w:sz w:val="32"/>
          <w:szCs w:val="32"/>
        </w:rPr>
        <w:t>Executive Summary</w:t>
      </w:r>
    </w:p>
    <w:p w14:paraId="6AC50A00" w14:textId="77777777" w:rsidR="00584184" w:rsidRPr="00584184" w:rsidRDefault="00000000" w:rsidP="00BB5915">
      <w:pPr>
        <w:rPr>
          <w:sz w:val="24"/>
          <w:szCs w:val="24"/>
        </w:rPr>
      </w:pPr>
      <w:r w:rsidRPr="00110CC3">
        <w:rPr>
          <w:sz w:val="24"/>
          <w:szCs w:val="24"/>
        </w:rPr>
        <w:t>For MediCore Health Systems to achieve its objective, it required a secure and scalable cloud infrastructure to ensure</w:t>
      </w:r>
      <w:r w:rsidRPr="00110CC3">
        <w:rPr>
          <w:sz w:val="24"/>
          <w:szCs w:val="24"/>
        </w:rPr>
        <w:t xml:space="preserve"> patient's data for</w:t>
      </w:r>
      <w:r>
        <w:rPr>
          <w:sz w:val="24"/>
          <w:szCs w:val="24"/>
        </w:rPr>
        <w:t xml:space="preserve"> the</w:t>
      </w:r>
      <w:r w:rsidRPr="00110CC3">
        <w:rPr>
          <w:sz w:val="24"/>
          <w:szCs w:val="24"/>
        </w:rPr>
        <w:t xml:space="preserve"> NHS will be protected in the cloud, </w:t>
      </w:r>
      <w:r>
        <w:rPr>
          <w:sz w:val="24"/>
          <w:szCs w:val="24"/>
        </w:rPr>
        <w:t>a</w:t>
      </w:r>
      <w:r>
        <w:rPr>
          <w:sz w:val="24"/>
          <w:szCs w:val="24"/>
        </w:rPr>
        <w:t xml:space="preserve">nd scalable. </w:t>
      </w:r>
      <w:r w:rsidR="00545858" w:rsidRPr="00545858">
        <w:rPr>
          <w:sz w:val="24"/>
          <w:szCs w:val="24"/>
        </w:rPr>
        <w:t>To support</w:t>
      </w:r>
      <w:r w:rsidRPr="00110CC3">
        <w:rPr>
          <w:sz w:val="24"/>
          <w:szCs w:val="24"/>
        </w:rPr>
        <w:t xml:space="preserve"> this</w:t>
      </w:r>
      <w:r w:rsidR="00545858" w:rsidRPr="00545858">
        <w:rPr>
          <w:sz w:val="24"/>
          <w:szCs w:val="24"/>
        </w:rPr>
        <w:t>, a</w:t>
      </w:r>
      <w:r w:rsidRPr="00110CC3">
        <w:rPr>
          <w:sz w:val="24"/>
          <w:szCs w:val="24"/>
        </w:rPr>
        <w:t xml:space="preserve"> three-tier </w:t>
      </w:r>
      <w:r w:rsidR="00545858" w:rsidRPr="00545858">
        <w:rPr>
          <w:sz w:val="24"/>
          <w:szCs w:val="24"/>
        </w:rPr>
        <w:t xml:space="preserve">AWS </w:t>
      </w:r>
      <w:r w:rsidRPr="00110CC3">
        <w:rPr>
          <w:sz w:val="24"/>
          <w:szCs w:val="24"/>
        </w:rPr>
        <w:t xml:space="preserve">architecture </w:t>
      </w:r>
      <w:r w:rsidRPr="00110CC3">
        <w:rPr>
          <w:sz w:val="24"/>
          <w:szCs w:val="24"/>
        </w:rPr>
        <w:t xml:space="preserve">was built </w:t>
      </w:r>
      <w:r w:rsidR="00545858" w:rsidRPr="00545858">
        <w:rPr>
          <w:sz w:val="24"/>
          <w:szCs w:val="24"/>
        </w:rPr>
        <w:t>with a</w:t>
      </w:r>
      <w:r w:rsidRPr="00110CC3">
        <w:rPr>
          <w:sz w:val="24"/>
          <w:szCs w:val="24"/>
        </w:rPr>
        <w:t xml:space="preserve"> Bastion Host, Web Server, Amazon RDS database, Amazon S3 storage, </w:t>
      </w:r>
      <w:r w:rsidRPr="00110CC3">
        <w:rPr>
          <w:sz w:val="24"/>
          <w:szCs w:val="24"/>
        </w:rPr>
        <w:t>monitoring</w:t>
      </w:r>
      <w:r w:rsidR="00545858" w:rsidRPr="00545858">
        <w:rPr>
          <w:sz w:val="24"/>
          <w:szCs w:val="24"/>
        </w:rPr>
        <w:t>,</w:t>
      </w:r>
      <w:r w:rsidRPr="00110CC3">
        <w:rPr>
          <w:sz w:val="24"/>
          <w:szCs w:val="24"/>
        </w:rPr>
        <w:t xml:space="preserve"> and backup services.</w:t>
      </w:r>
    </w:p>
    <w:p w14:paraId="3EFEC6D1" w14:textId="4BB35242" w:rsidR="00110CC3" w:rsidRPr="00110CC3" w:rsidRDefault="00110CC3" w:rsidP="00110CC3">
      <w:pPr>
        <w:rPr>
          <w:sz w:val="24"/>
          <w:szCs w:val="24"/>
        </w:rPr>
      </w:pPr>
      <w:r w:rsidRPr="00110CC3">
        <w:rPr>
          <w:sz w:val="24"/>
          <w:szCs w:val="24"/>
        </w:rPr>
        <w:t>There were three security considerations that were introduced. Firstly, Security Groups were configured based on the concept of least privilege and used to limit access between the tiers of infrastructure. Secondly, encryption was applied for both data at rest and data in transit using AWS KMS, SSE-S3, and HTTPS/TLS. Finally, CloudWatch was set up to provide monitoring and alerting for system performance and security incidents.</w:t>
      </w:r>
    </w:p>
    <w:p w14:paraId="4F0EDA0D" w14:textId="700FE477" w:rsidR="00110CC3" w:rsidRPr="00110CC3" w:rsidRDefault="00110CC3" w:rsidP="00110CC3">
      <w:pPr>
        <w:rPr>
          <w:sz w:val="24"/>
          <w:szCs w:val="24"/>
        </w:rPr>
      </w:pPr>
      <w:r w:rsidRPr="00110CC3">
        <w:rPr>
          <w:sz w:val="24"/>
          <w:szCs w:val="24"/>
        </w:rPr>
        <w:t>Compliance readiness of the deployment reached a high level as encryption, monitoring, backup and recovery services, role-based access control, and incident response policies aligned to UK GDPR and NHS DSPT requirements were implemented. Resilience of the deployment has been proven through such mechanisms as Auto Scaling, load balancing, and recovery testing within multiple Availability Zones.</w:t>
      </w:r>
    </w:p>
    <w:p w14:paraId="1DC16234" w14:textId="07CFF4D3" w:rsidR="00584184" w:rsidRPr="00584184" w:rsidRDefault="00110CC3" w:rsidP="00110CC3">
      <w:pPr>
        <w:rPr>
          <w:sz w:val="24"/>
          <w:szCs w:val="24"/>
        </w:rPr>
      </w:pPr>
      <w:r w:rsidRPr="00110CC3">
        <w:rPr>
          <w:sz w:val="24"/>
          <w:szCs w:val="24"/>
        </w:rPr>
        <w:t>In the next 90 days, it is suggested to apply containerisation of the solution and add one more Availability Zone.</w:t>
      </w:r>
    </w:p>
    <w:sectPr w:rsidR="00584184" w:rsidRPr="00584184">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3F7C5" w14:textId="77777777" w:rsidR="00614B92" w:rsidRDefault="00614B92" w:rsidP="003843D6">
      <w:pPr>
        <w:spacing w:after="0" w:line="240" w:lineRule="auto"/>
      </w:pPr>
      <w:r>
        <w:separator/>
      </w:r>
    </w:p>
  </w:endnote>
  <w:endnote w:type="continuationSeparator" w:id="0">
    <w:p w14:paraId="6297A696" w14:textId="77777777" w:rsidR="00614B92" w:rsidRDefault="00614B92" w:rsidP="00384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70D80" w14:textId="77777777" w:rsidR="00614B92" w:rsidRDefault="00614B92" w:rsidP="003843D6">
      <w:pPr>
        <w:spacing w:after="0" w:line="240" w:lineRule="auto"/>
      </w:pPr>
      <w:r>
        <w:separator/>
      </w:r>
    </w:p>
  </w:footnote>
  <w:footnote w:type="continuationSeparator" w:id="0">
    <w:p w14:paraId="28356EA3" w14:textId="77777777" w:rsidR="00614B92" w:rsidRDefault="00614B92" w:rsidP="00384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72433" w14:textId="4E6B873A" w:rsidR="003843D6" w:rsidRDefault="003843D6">
    <w:pPr>
      <w:pStyle w:val="Header"/>
    </w:pPr>
    <w:r>
      <w:t>DTS202</w:t>
    </w:r>
    <w:r>
      <w:ptab w:relativeTo="margin" w:alignment="center" w:leader="none"/>
    </w:r>
    <w:r>
      <w:t>B1</w:t>
    </w:r>
    <w:r>
      <w:ptab w:relativeTo="margin" w:alignment="right" w:leader="none"/>
    </w:r>
    <w:r>
      <w:t>Heather Ramshaw</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822"/>
    <w:rsid w:val="000D01D0"/>
    <w:rsid w:val="00110CC3"/>
    <w:rsid w:val="002C16E9"/>
    <w:rsid w:val="003843D6"/>
    <w:rsid w:val="004F1ADA"/>
    <w:rsid w:val="00545858"/>
    <w:rsid w:val="00584184"/>
    <w:rsid w:val="005B10ED"/>
    <w:rsid w:val="00614B92"/>
    <w:rsid w:val="00623F26"/>
    <w:rsid w:val="00A266E2"/>
    <w:rsid w:val="00A44822"/>
    <w:rsid w:val="00B02E64"/>
    <w:rsid w:val="00C907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338A9"/>
  <w15:chartTrackingRefBased/>
  <w15:docId w15:val="{A005F520-AC77-4E86-8637-8652BB1DD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822"/>
    <w:rPr>
      <w:rFonts w:eastAsiaTheme="majorEastAsia" w:cstheme="majorBidi"/>
      <w:color w:val="272727" w:themeColor="text1" w:themeTint="D8"/>
    </w:rPr>
  </w:style>
  <w:style w:type="paragraph" w:styleId="Title">
    <w:name w:val="Title"/>
    <w:basedOn w:val="Normal"/>
    <w:next w:val="Normal"/>
    <w:link w:val="TitleChar"/>
    <w:uiPriority w:val="10"/>
    <w:qFormat/>
    <w:rsid w:val="00A44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822"/>
    <w:pPr>
      <w:spacing w:before="160"/>
      <w:jc w:val="center"/>
    </w:pPr>
    <w:rPr>
      <w:i/>
      <w:iCs/>
      <w:color w:val="404040" w:themeColor="text1" w:themeTint="BF"/>
    </w:rPr>
  </w:style>
  <w:style w:type="character" w:customStyle="1" w:styleId="QuoteChar">
    <w:name w:val="Quote Char"/>
    <w:basedOn w:val="DefaultParagraphFont"/>
    <w:link w:val="Quote"/>
    <w:uiPriority w:val="29"/>
    <w:rsid w:val="00A44822"/>
    <w:rPr>
      <w:i/>
      <w:iCs/>
      <w:color w:val="404040" w:themeColor="text1" w:themeTint="BF"/>
    </w:rPr>
  </w:style>
  <w:style w:type="paragraph" w:styleId="ListParagraph">
    <w:name w:val="List Paragraph"/>
    <w:basedOn w:val="Normal"/>
    <w:uiPriority w:val="34"/>
    <w:qFormat/>
    <w:rsid w:val="00A44822"/>
    <w:pPr>
      <w:ind w:left="720"/>
      <w:contextualSpacing/>
    </w:pPr>
  </w:style>
  <w:style w:type="character" w:styleId="IntenseEmphasis">
    <w:name w:val="Intense Emphasis"/>
    <w:basedOn w:val="DefaultParagraphFont"/>
    <w:uiPriority w:val="21"/>
    <w:qFormat/>
    <w:rsid w:val="00A44822"/>
    <w:rPr>
      <w:i/>
      <w:iCs/>
      <w:color w:val="0F4761" w:themeColor="accent1" w:themeShade="BF"/>
    </w:rPr>
  </w:style>
  <w:style w:type="paragraph" w:styleId="IntenseQuote">
    <w:name w:val="Intense Quote"/>
    <w:basedOn w:val="Normal"/>
    <w:next w:val="Normal"/>
    <w:link w:val="IntenseQuoteChar"/>
    <w:uiPriority w:val="30"/>
    <w:qFormat/>
    <w:rsid w:val="00A44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822"/>
    <w:rPr>
      <w:i/>
      <w:iCs/>
      <w:color w:val="0F4761" w:themeColor="accent1" w:themeShade="BF"/>
    </w:rPr>
  </w:style>
  <w:style w:type="character" w:styleId="IntenseReference">
    <w:name w:val="Intense Reference"/>
    <w:basedOn w:val="DefaultParagraphFont"/>
    <w:uiPriority w:val="32"/>
    <w:qFormat/>
    <w:rsid w:val="00A44822"/>
    <w:rPr>
      <w:b/>
      <w:bCs/>
      <w:smallCaps/>
      <w:color w:val="0F4761" w:themeColor="accent1" w:themeShade="BF"/>
      <w:spacing w:val="5"/>
    </w:rPr>
  </w:style>
  <w:style w:type="paragraph" w:styleId="Header">
    <w:name w:val="header"/>
    <w:basedOn w:val="Normal"/>
    <w:link w:val="HeaderChar"/>
    <w:uiPriority w:val="99"/>
    <w:unhideWhenUsed/>
    <w:rsid w:val="003843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43D6"/>
  </w:style>
  <w:style w:type="paragraph" w:styleId="Footer">
    <w:name w:val="footer"/>
    <w:basedOn w:val="Normal"/>
    <w:link w:val="FooterChar"/>
    <w:uiPriority w:val="99"/>
    <w:unhideWhenUsed/>
    <w:rsid w:val="003843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43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196</Words>
  <Characters>1122</Characters>
  <Application>Microsoft Office Word</Application>
  <DocSecurity>0</DocSecurity>
  <Lines>9</Lines>
  <Paragraphs>2</Paragraphs>
  <ScaleCrop>false</ScaleCrop>
  <Company/>
  <LinksUpToDate>false</LinksUpToDate>
  <CharactersWithSpaces>1316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Ramshaw, Heather</dc:creator>
  <cp:keywords/>
  <dc:description/>
  <cp:lastModifiedBy>Ramshaw, Heather</cp:lastModifiedBy>
  <cp:revision>10</cp:revision>
  <dcterms:created xsi:type="dcterms:W3CDTF">2026-08-24T09:11:00Z</dcterms:created>
  <dcterms:modified xsi:type="dcterms:W3CDTF">2026-08-24T09:17:00Z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6791f77-3d39-4d72-9277-ac879ec799ed_Enabled">
    <vt:lpwstr>true</vt:lpwstr>
  </property>
  <property fmtid="{D5CDD505-2E9C-101B-9397-08002B2CF9AE}" pid="3" name="MSIP_Label_36791f77-3d39-4d72-9277-ac879ec799ed_SetDate">
    <vt:lpwstr>2026-08-24T09:13:12Z</vt:lpwstr>
  </property>
  <property fmtid="{D5CDD505-2E9C-101B-9397-08002B2CF9AE}" pid="4" name="MSIP_Label_36791f77-3d39-4d72-9277-ac879ec799ed_Method">
    <vt:lpwstr>Standard</vt:lpwstr>
  </property>
  <property fmtid="{D5CDD505-2E9C-101B-9397-08002B2CF9AE}" pid="5" name="MSIP_Label_36791f77-3d39-4d72-9277-ac879ec799ed_Name">
    <vt:lpwstr>restricted-default</vt:lpwstr>
  </property>
  <property fmtid="{D5CDD505-2E9C-101B-9397-08002B2CF9AE}" pid="6" name="MSIP_Label_36791f77-3d39-4d72-9277-ac879ec799ed_SiteId">
    <vt:lpwstr>254ba93e-1f6f-48f3-90e6-e2766664b477</vt:lpwstr>
  </property>
  <property fmtid="{D5CDD505-2E9C-101B-9397-08002B2CF9AE}" pid="7" name="MSIP_Label_36791f77-3d39-4d72-9277-ac879ec799ed_ActionId">
    <vt:lpwstr>d6d1661b-267e-4ca9-9251-bb001cf008bc</vt:lpwstr>
  </property>
  <property fmtid="{D5CDD505-2E9C-101B-9397-08002B2CF9AE}" pid="8" name="MSIP_Label_36791f77-3d39-4d72-9277-ac879ec799ed_ContentBits">
    <vt:lpwstr>0</vt:lpwstr>
  </property>
  <property fmtid="{D5CDD505-2E9C-101B-9397-08002B2CF9AE}" pid="9" name="MSIP_Label_36791f77-3d39-4d72-9277-ac879ec799ed_Tag">
    <vt:lpwstr>10, 3, 0, 1</vt:lpwstr>
  </property>
</Properties>
</file>