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f8f6fbdeb19542c5"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Normal"/>
        <w:spacing w:before="4500"/>
      </w:pPr>
    </w:p>
    <w:p>
      <w:pPr>
        <w:pStyle w:val="Normal"/>
        <w:spacing w:after="200"/>
        <w:jc w:val="center"/>
      </w:pPr>
      <w:r>
        <w:rPr>
          <w:b/>
          <w:color w:val="1A2A3A"/>
          <w:sz w:val="72"/>
          <w:rFonts w:ascii="Calibri" w:hAnsi="Calibri" w:eastAsia="Microsoft YaHei" w:cs="Calibri"/>
          <w:szCs w:val="72"/>
          <w:spacing w:val="30"/>
        </w:rPr>
        <w:t>THE HORMUZ</w:t>
      </w:r>
    </w:p>
    <w:p>
      <w:pPr>
        <w:pStyle w:val="Normal"/>
        <w:spacing w:after="120"/>
        <w:jc w:val="center"/>
      </w:pPr>
      <w:r>
        <w:rPr>
          <w:b/>
          <w:color w:val="1A2A3A"/>
          <w:sz w:val="72"/>
          <w:rFonts w:ascii="Calibri" w:hAnsi="Calibri" w:eastAsia="Microsoft YaHei" w:cs="Calibri"/>
          <w:szCs w:val="72"/>
          <w:spacing w:val="30"/>
        </w:rPr>
        <w:t>STANDARDIZATION</w:t>
      </w:r>
    </w:p>
    <w:p>
      <w:pPr>
        <w:pStyle w:val="Normal"/>
        <w:spacing w:after="400"/>
        <w:jc w:val="center"/>
      </w:pPr>
      <w:r>
        <w:rPr>
          <w:b/>
          <w:color w:val="1A2A3A"/>
          <w:sz w:val="72"/>
          <w:rFonts w:ascii="Calibri" w:hAnsi="Calibri" w:eastAsia="Microsoft YaHei" w:cs="Calibri"/>
          <w:szCs w:val="72"/>
          <w:spacing w:val="30"/>
        </w:rPr>
        <w:t>UNDERSTANDING</w:t>
      </w:r>
    </w:p>
    <w:p>
      <w:pPr>
        <w:pStyle w:val="Normal"/>
        <w:spacing w:after="600"/>
        <w:jc w:val="center"/>
      </w:pPr>
      <w:r>
        <w:rPr>
          <w:i/>
          <w:color w:val="2C3E50"/>
          <w:sz w:val="28"/>
          <w:rFonts w:ascii="Calibri" w:hAnsi="Calibri" w:eastAsia="Microsoft YaHei" w:cs="Calibri"/>
          <w:szCs w:val="28"/>
        </w:rPr>
        <w:t>A Framework for Coordinated Maritime Transit Procedures</w:t>
      </w:r>
    </w:p>
    <w:p>
      <w:pPr>
        <w:pStyle w:val="Normal"/>
        <w:spacing w:after="400"/>
        <w:jc w:val="center"/>
      </w:pPr>
      <w:r>
        <w:rPr>
          <w:color w:val="C9A84C"/>
          <w:rFonts w:ascii="Calibri" w:hAnsi="Calibri" w:eastAsia="Microsoft YaHei" w:cs="Calibri"/>
          <w:sz w:val="22"/>
          <w:szCs w:val="22"/>
        </w:rPr>
        <w:t xml:space="preserve">—————  ✦  —————</w:t>
      </w:r>
    </w:p>
    <w:p>
      <w:pPr>
        <w:pStyle w:val="Normal"/>
        <w:spacing w:after="80"/>
        <w:jc w:val="center"/>
      </w:pPr>
      <w:r>
        <w:rPr>
          <w:color w:val="4A4A4A"/>
          <w:sz w:val="22"/>
          <w:rFonts w:ascii="Calibri" w:hAnsi="Calibri" w:eastAsia="Microsoft YaHei" w:cs="Calibri"/>
          <w:szCs w:val="22"/>
        </w:rPr>
        <w:t>Date of Signing: July 2026</w:t>
      </w:r>
    </w:p>
    <w:p>
      <w:pPr>
        <w:pStyle w:val="Normal"/>
        <w:spacing w:after="80"/>
        <w:jc w:val="center"/>
      </w:pPr>
      <w:r>
        <w:rPr>
          <w:color w:val="4A4A4A"/>
          <w:sz w:val="22"/>
          <w:rFonts w:ascii="Calibri" w:hAnsi="Calibri" w:eastAsia="Microsoft YaHei" w:cs="Calibri"/>
          <w:szCs w:val="22"/>
        </w:rPr>
        <w:t>Version: 2.1</w:t>
      </w:r>
    </w:p>
    <w:p>
      <w:pPr>
        <w:pStyle w:val="Normal"/>
        <w:spacing w:after="80"/>
        <w:jc w:val="center"/>
      </w:pPr>
      <w:r>
        <w:rPr>
          <w:color w:val="4A4A4A"/>
          <w:sz w:val="22"/>
          <w:rFonts w:ascii="Calibri" w:hAnsi="Calibri" w:eastAsia="Microsoft YaHei" w:cs="Calibri"/>
          <w:szCs w:val="22"/>
        </w:rPr>
        <w:t>Duration: 36 Months (Renewable)</w:t>
      </w:r>
    </w:p>
    <w:p>
      <w:pPr>
        <w:pStyle w:val="Normal"/>
        <w:spacing w:after="80"/>
        <w:jc w:val="center"/>
      </w:pPr>
      <w:r>
        <w:rPr>
          <w:color w:val="4A4A4A"/>
          <w:sz w:val="22"/>
          <w:rFonts w:ascii="Calibri" w:hAnsi="Calibri" w:eastAsia="Microsoft YaHei" w:cs="Calibri"/>
          <w:szCs w:val="22"/>
        </w:rPr>
        <w:t>Depositary: Government of the Sultanate of Oman</w:t>
      </w:r>
    </w:p>
    <w:p>
      <w:pPr>
        <w:pStyle w:val="Normal"/>
        <w:spacing w:after="400"/>
        <w:jc w:val="center"/>
      </w:pPr>
      <w:r>
        <w:rPr>
          <w:color w:val="4A4A4A"/>
          <w:sz w:val="22"/>
          <w:rFonts w:ascii="Calibri" w:hAnsi="Calibri" w:eastAsia="Microsoft YaHei" w:cs="Calibri"/>
          <w:szCs w:val="22"/>
        </w:rPr>
        <w:t>Signatories: The United States of America &amp; The Islamic Republic of Iran</w:t>
      </w:r>
    </w:p>
    <w:p>
      <w:pPr>
        <w:pStyle w:val="Normal"/>
        <w:spacing w:after="2000"/>
        <w:jc w:val="center"/>
      </w:pPr>
      <w:r>
        <w:rPr>
          <w:color w:val="7A7A7A"/>
          <w:sz w:val="20"/>
          <w:rFonts w:ascii="Calibri" w:hAnsi="Calibri" w:eastAsia="Microsoft YaHei" w:cs="Calibri"/>
          <w:szCs w:val="20"/>
        </w:rPr>
        <w:t>Witnesses: The Sultanate of Oman &amp; The International Maritime Organization (IMO)</w:t>
      </w:r>
    </w:p>
    <w:p>
      <w:pPr>
        <w:pStyle w:val="Normal"/>
        <w:sectPr>
          <w:type w:val="nextPage"/>
          <w:pgSz w:w="11906" w:h="16838"/>
          <w:pgMar w:top="0" w:right="0" w:bottom="0" w:left="0" w:header="0" w:footer="0"/>
          <w:titlePg/>
        </w:sectPr>
      </w:pPr>
    </w:p>
    <w:p>
      <w:pPr>
        <w:pStyle w:val="Normal"/>
        <w:spacing w:before="400" w:after="400"/>
        <w:jc w:val="center"/>
      </w:pPr>
      <w:r>
        <w:rPr>
          <w:b/>
          <w:color w:val="1A2A3A"/>
          <w:sz w:val="36"/>
          <w:rFonts w:ascii="Calibri" w:hAnsi="Calibri" w:eastAsia="Microsoft YaHei" w:cs="Calibri"/>
          <w:szCs w:val="36"/>
        </w:rPr>
        <w:t>TABLE OF CONTENTS</w:t>
      </w:r>
    </w:p>
    <w:p>
      <w:pPr>
        <w:pStyle w:val="Normal"/>
        <w:spacing w:after="300"/>
      </w:pPr>
      <w:r>
        <w:rPr>
          <w:color w:val="7A7A7A"/>
          <w:sz w:val="18"/>
          <w:rFonts w:ascii="Calibri" w:hAnsi="Calibri" w:eastAsia="Microsoft YaHei" w:cs="Calibri"/>
          <w:szCs w:val="18"/>
        </w:rPr>
        <w:t>Right-click the TOC and select "Update Field" to refresh page numbers</w:t>
      </w:r>
    </w:p>
    <w:p>
      <w:pPr>
        <w:pStyle w:val="Normal"/>
      </w:pPr>
      <w:r>
        <w:fldChar w:fldCharType="begin"/>
      </w:r>
      <w:r>
        <w:instrText xml:space="preserve"> TOC \o "1-3" \h \z \u </w:instrText>
      </w:r>
      <w:r>
        <w:fldChar w:fldCharType="separate"/>
      </w:r>
    </w:p>
    <w:p>
      <w:pPr>
        <w:pStyle w:val="TOC1"/>
      </w:pPr>
      <w:r>
        <w:rPr>
          <w:rFonts w:ascii="Calibri" w:hAnsi="Calibri" w:eastAsia="Microsoft YaHei" w:cs="Calibri"/>
          <w:sz w:val="22"/>
          <w:b/>
          <w:color w:val="1E1E1E"/>
          <w:szCs w:val="22"/>
        </w:rPr>
        <w:t>PREAMBLE</w:t>
      </w:r>
      <w:r>
        <w:rPr>
          <w:rFonts w:ascii="Calibri" w:hAnsi="Calibri" w:eastAsia="Microsoft YaHei"/>
          <w:sz w:val="22"/>
          <w:b/>
          <w:color w:val="1e1e1e"/>
        </w:rPr>
        <w:tab/>
      </w:r>
      <w:r>
        <w:rPr>
          <w:rFonts w:ascii="Calibri" w:hAnsi="Calibri" w:eastAsia="Microsoft YaHei" w:cs="Calibri"/>
          <w:sz w:val="22"/>
          <w:b/>
          <w:color w:val="1E1E1E"/>
          <w:szCs w:val="22"/>
        </w:rPr>
        <w:t>1</w:t>
      </w:r>
    </w:p>
    <w:p>
      <w:pPr>
        <w:pStyle w:val="TOC1"/>
      </w:pPr>
      <w:r>
        <w:rPr>
          <w:rFonts w:ascii="Calibri" w:hAnsi="Calibri" w:eastAsia="Microsoft YaHei" w:cs="Calibri"/>
          <w:sz w:val="22"/>
          <w:b/>
          <w:color w:val="1E1E1E"/>
          <w:szCs w:val="22"/>
        </w:rPr>
        <w:t>ARTICLE 1: DEFINITIONS AND SCOPE</w:t>
      </w:r>
      <w:r>
        <w:rPr>
          <w:rFonts w:ascii="Calibri" w:hAnsi="Calibri" w:eastAsia="Microsoft YaHei"/>
          <w:sz w:val="22"/>
          <w:b/>
          <w:color w:val="1e1e1e"/>
        </w:rPr>
        <w:tab/>
      </w:r>
      <w:r>
        <w:rPr>
          <w:rFonts w:ascii="Calibri" w:hAnsi="Calibri" w:eastAsia="Microsoft YaHei" w:cs="Calibri"/>
          <w:sz w:val="22"/>
          <w:b/>
          <w:color w:val="1E1E1E"/>
          <w:szCs w:val="22"/>
        </w:rPr>
        <w:t>3</w:t>
      </w:r>
    </w:p>
    <w:p>
      <w:pPr>
        <w:pStyle w:val="TOC2"/>
      </w:pPr>
      <w:r>
        <w:rPr>
          <w:rFonts w:ascii="Calibri" w:hAnsi="Calibri" w:eastAsia="Microsoft YaHei" w:cs="Calibri"/>
          <w:sz w:val="22"/>
          <w:color w:val="4A4A4A"/>
          <w:szCs w:val="22"/>
        </w:rPr>
        <w:t>1.1 Definitions</w:t>
      </w:r>
      <w:r>
        <w:rPr>
          <w:rFonts w:ascii="Calibri" w:hAnsi="Calibri" w:eastAsia="Microsoft YaHei"/>
          <w:sz w:val="22"/>
          <w:color w:val="4a4a4a"/>
        </w:rPr>
        <w:tab/>
      </w:r>
      <w:r>
        <w:rPr>
          <w:rFonts w:ascii="Calibri" w:hAnsi="Calibri" w:eastAsia="Microsoft YaHei" w:cs="Calibri"/>
          <w:sz w:val="22"/>
          <w:color w:val="4A4A4A"/>
          <w:szCs w:val="22"/>
        </w:rPr>
        <w:t>3</w:t>
      </w:r>
    </w:p>
    <w:p>
      <w:pPr>
        <w:pStyle w:val="TOC2"/>
      </w:pPr>
      <w:r>
        <w:rPr>
          <w:rFonts w:ascii="Calibri" w:hAnsi="Calibri" w:eastAsia="Microsoft YaHei" w:cs="Calibri"/>
          <w:sz w:val="22"/>
          <w:color w:val="4A4A4A"/>
          <w:szCs w:val="22"/>
        </w:rPr>
        <w:t>1.2 Scope</w:t>
      </w:r>
      <w:r>
        <w:rPr>
          <w:rFonts w:ascii="Calibri" w:hAnsi="Calibri" w:eastAsia="Microsoft YaHei"/>
          <w:sz w:val="22"/>
          <w:color w:val="4a4a4a"/>
        </w:rPr>
        <w:tab/>
      </w:r>
      <w:r>
        <w:rPr>
          <w:rFonts w:ascii="Calibri" w:hAnsi="Calibri" w:eastAsia="Microsoft YaHei" w:cs="Calibri"/>
          <w:sz w:val="22"/>
          <w:color w:val="4A4A4A"/>
          <w:szCs w:val="22"/>
        </w:rPr>
        <w:t>5</w:t>
      </w:r>
    </w:p>
    <w:p>
      <w:pPr>
        <w:pStyle w:val="TOC2"/>
      </w:pPr>
      <w:r>
        <w:rPr>
          <w:rFonts w:ascii="Calibri" w:hAnsi="Calibri" w:eastAsia="Microsoft YaHei" w:cs="Calibri"/>
          <w:sz w:val="22"/>
          <w:color w:val="4A4A4A"/>
          <w:szCs w:val="22"/>
        </w:rPr>
        <w:t>1.3 Non-Prejudice Clause</w:t>
      </w:r>
      <w:r>
        <w:rPr>
          <w:rFonts w:ascii="Calibri" w:hAnsi="Calibri" w:eastAsia="Microsoft YaHei"/>
          <w:sz w:val="22"/>
          <w:color w:val="4a4a4a"/>
        </w:rPr>
        <w:tab/>
      </w:r>
      <w:r>
        <w:rPr>
          <w:rFonts w:ascii="Calibri" w:hAnsi="Calibri" w:eastAsia="Microsoft YaHei" w:cs="Calibri"/>
          <w:sz w:val="22"/>
          <w:color w:val="4A4A4A"/>
          <w:szCs w:val="22"/>
        </w:rPr>
        <w:t>5</w:t>
      </w:r>
    </w:p>
    <w:p>
      <w:pPr>
        <w:pStyle w:val="TOC1"/>
      </w:pPr>
      <w:r>
        <w:rPr>
          <w:rFonts w:ascii="Calibri" w:hAnsi="Calibri" w:eastAsia="Microsoft YaHei" w:cs="Calibri"/>
          <w:sz w:val="22"/>
          <w:b/>
          <w:color w:val="1E1E1E"/>
          <w:szCs w:val="22"/>
        </w:rPr>
        <w:t>ARTICLE 2: STANDARDIZED TRANSIT CORRIDORS</w:t>
      </w:r>
      <w:r>
        <w:rPr>
          <w:rFonts w:ascii="Calibri" w:hAnsi="Calibri" w:eastAsia="Microsoft YaHei"/>
          <w:sz w:val="22"/>
          <w:b/>
          <w:color w:val="1e1e1e"/>
        </w:rPr>
        <w:tab/>
      </w:r>
      <w:r>
        <w:rPr>
          <w:rFonts w:ascii="Calibri" w:hAnsi="Calibri" w:eastAsia="Microsoft YaHei" w:cs="Calibri"/>
          <w:sz w:val="22"/>
          <w:b/>
          <w:color w:val="1E1E1E"/>
          <w:szCs w:val="22"/>
        </w:rPr>
        <w:t>7</w:t>
      </w:r>
    </w:p>
    <w:p>
      <w:pPr>
        <w:pStyle w:val="TOC2"/>
      </w:pPr>
      <w:r>
        <w:rPr>
          <w:rFonts w:ascii="Calibri" w:hAnsi="Calibri" w:eastAsia="Microsoft YaHei" w:cs="Calibri"/>
          <w:sz w:val="22"/>
          <w:color w:val="4A4A4A"/>
          <w:szCs w:val="22"/>
        </w:rPr>
        <w:t>2.1 Designated Transit Scheme</w:t>
      </w:r>
      <w:r>
        <w:rPr>
          <w:rFonts w:ascii="Calibri" w:hAnsi="Calibri" w:eastAsia="Microsoft YaHei"/>
          <w:sz w:val="22"/>
          <w:color w:val="4a4a4a"/>
        </w:rPr>
        <w:tab/>
      </w:r>
      <w:r>
        <w:rPr>
          <w:rFonts w:ascii="Calibri" w:hAnsi="Calibri" w:eastAsia="Microsoft YaHei" w:cs="Calibri"/>
          <w:sz w:val="22"/>
          <w:color w:val="4A4A4A"/>
          <w:szCs w:val="22"/>
        </w:rPr>
        <w:t>7</w:t>
      </w:r>
    </w:p>
    <w:p>
      <w:pPr>
        <w:pStyle w:val="TOC2"/>
      </w:pPr>
      <w:r>
        <w:rPr>
          <w:rFonts w:ascii="Calibri" w:hAnsi="Calibri" w:eastAsia="Microsoft YaHei" w:cs="Calibri"/>
          <w:sz w:val="22"/>
          <w:color w:val="4A4A4A"/>
          <w:szCs w:val="22"/>
        </w:rPr>
        <w:t>2.2 Freedom of Choice</w:t>
      </w:r>
      <w:r>
        <w:rPr>
          <w:rFonts w:ascii="Calibri" w:hAnsi="Calibri" w:eastAsia="Microsoft YaHei"/>
          <w:sz w:val="22"/>
          <w:color w:val="4a4a4a"/>
        </w:rPr>
        <w:tab/>
      </w:r>
      <w:r>
        <w:rPr>
          <w:rFonts w:ascii="Calibri" w:hAnsi="Calibri" w:eastAsia="Microsoft YaHei" w:cs="Calibri"/>
          <w:sz w:val="22"/>
          <w:color w:val="4A4A4A"/>
          <w:szCs w:val="22"/>
        </w:rPr>
        <w:t>8</w:t>
      </w:r>
    </w:p>
    <w:p>
      <w:pPr>
        <w:pStyle w:val="TOC2"/>
      </w:pPr>
      <w:r>
        <w:rPr>
          <w:rFonts w:ascii="Calibri" w:hAnsi="Calibri" w:eastAsia="Microsoft YaHei" w:cs="Calibri"/>
          <w:sz w:val="22"/>
          <w:color w:val="4A4A4A"/>
          <w:szCs w:val="22"/>
        </w:rPr>
        <w:t>2.3 Prohibition on Unilateral Routing Mandates</w:t>
      </w:r>
      <w:r>
        <w:rPr>
          <w:rFonts w:ascii="Calibri" w:hAnsi="Calibri" w:eastAsia="Microsoft YaHei"/>
          <w:sz w:val="22"/>
          <w:color w:val="4a4a4a"/>
        </w:rPr>
        <w:tab/>
      </w:r>
      <w:r>
        <w:rPr>
          <w:rFonts w:ascii="Calibri" w:hAnsi="Calibri" w:eastAsia="Microsoft YaHei" w:cs="Calibri"/>
          <w:sz w:val="22"/>
          <w:color w:val="4A4A4A"/>
          <w:szCs w:val="22"/>
        </w:rPr>
        <w:t>8</w:t>
      </w:r>
    </w:p>
    <w:p>
      <w:pPr>
        <w:pStyle w:val="TOC1"/>
      </w:pPr>
      <w:r>
        <w:rPr>
          <w:rFonts w:ascii="Calibri" w:hAnsi="Calibri" w:eastAsia="Microsoft YaHei" w:cs="Calibri"/>
          <w:sz w:val="22"/>
          <w:b/>
          <w:color w:val="1E1E1E"/>
          <w:szCs w:val="22"/>
        </w:rPr>
        <w:t>ARTICLE 3: NAVIGATIONAL SAFETY AND DECONFLICTION</w:t>
      </w:r>
      <w:r>
        <w:rPr>
          <w:rFonts w:ascii="Calibri" w:hAnsi="Calibri" w:eastAsia="Microsoft YaHei"/>
          <w:sz w:val="22"/>
          <w:b/>
          <w:color w:val="1e1e1e"/>
        </w:rPr>
        <w:tab/>
      </w:r>
      <w:r>
        <w:rPr>
          <w:rFonts w:ascii="Calibri" w:hAnsi="Calibri" w:eastAsia="Microsoft YaHei" w:cs="Calibri"/>
          <w:sz w:val="22"/>
          <w:b/>
          <w:color w:val="1E1E1E"/>
          <w:szCs w:val="22"/>
        </w:rPr>
        <w:t>9</w:t>
      </w:r>
    </w:p>
    <w:p>
      <w:pPr>
        <w:pStyle w:val="TOC2"/>
      </w:pPr>
      <w:r>
        <w:rPr>
          <w:rFonts w:ascii="Calibri" w:hAnsi="Calibri" w:eastAsia="Microsoft YaHei" w:cs="Calibri"/>
          <w:sz w:val="22"/>
          <w:color w:val="4A4A4A"/>
          <w:szCs w:val="22"/>
        </w:rPr>
        <w:t>3.1 Vessel Traffic Services (VTS)</w:t>
      </w:r>
      <w:r>
        <w:rPr>
          <w:rFonts w:ascii="Calibri" w:hAnsi="Calibri" w:eastAsia="Microsoft YaHei"/>
          <w:sz w:val="22"/>
          <w:color w:val="4a4a4a"/>
        </w:rPr>
        <w:tab/>
      </w:r>
      <w:r>
        <w:rPr>
          <w:rFonts w:ascii="Calibri" w:hAnsi="Calibri" w:eastAsia="Microsoft YaHei" w:cs="Calibri"/>
          <w:sz w:val="22"/>
          <w:color w:val="4A4A4A"/>
          <w:szCs w:val="22"/>
        </w:rPr>
        <w:t>9</w:t>
      </w:r>
    </w:p>
    <w:p>
      <w:pPr>
        <w:pStyle w:val="TOC2"/>
      </w:pPr>
      <w:r>
        <w:rPr>
          <w:rFonts w:ascii="Calibri" w:hAnsi="Calibri" w:eastAsia="Microsoft YaHei" w:cs="Calibri"/>
          <w:sz w:val="22"/>
          <w:color w:val="4A4A4A"/>
          <w:szCs w:val="22"/>
        </w:rPr>
        <w:t>3.2 Communications Protocol</w:t>
      </w:r>
      <w:r>
        <w:rPr>
          <w:rFonts w:ascii="Calibri" w:hAnsi="Calibri" w:eastAsia="Microsoft YaHei"/>
          <w:sz w:val="22"/>
          <w:color w:val="4a4a4a"/>
        </w:rPr>
        <w:tab/>
      </w:r>
      <w:r>
        <w:rPr>
          <w:rFonts w:ascii="Calibri" w:hAnsi="Calibri" w:eastAsia="Microsoft YaHei" w:cs="Calibri"/>
          <w:sz w:val="22"/>
          <w:color w:val="4A4A4A"/>
          <w:szCs w:val="22"/>
        </w:rPr>
        <w:t>10</w:t>
      </w:r>
    </w:p>
    <w:p>
      <w:pPr>
        <w:pStyle w:val="TOC2"/>
      </w:pPr>
      <w:r>
        <w:rPr>
          <w:rFonts w:ascii="Calibri" w:hAnsi="Calibri" w:eastAsia="Microsoft YaHei" w:cs="Calibri"/>
          <w:sz w:val="22"/>
          <w:color w:val="4A4A4A"/>
          <w:szCs w:val="22"/>
        </w:rPr>
        <w:t>3.3 Military Deconfliction</w:t>
      </w:r>
      <w:r>
        <w:rPr>
          <w:rFonts w:ascii="Calibri" w:hAnsi="Calibri" w:eastAsia="Microsoft YaHei"/>
          <w:sz w:val="22"/>
          <w:color w:val="4a4a4a"/>
        </w:rPr>
        <w:tab/>
      </w:r>
      <w:r>
        <w:rPr>
          <w:rFonts w:ascii="Calibri" w:hAnsi="Calibri" w:eastAsia="Microsoft YaHei" w:cs="Calibri"/>
          <w:sz w:val="22"/>
          <w:color w:val="4A4A4A"/>
          <w:szCs w:val="22"/>
        </w:rPr>
        <w:t>10</w:t>
      </w:r>
    </w:p>
    <w:p>
      <w:pPr>
        <w:pStyle w:val="TOC2"/>
      </w:pPr>
      <w:r>
        <w:rPr>
          <w:rFonts w:ascii="Calibri" w:hAnsi="Calibri" w:eastAsia="Microsoft YaHei" w:cs="Calibri"/>
          <w:sz w:val="22"/>
          <w:color w:val="4A4A4A"/>
          <w:szCs w:val="22"/>
        </w:rPr>
        <w:t>3.4 Emergency Response</w:t>
      </w:r>
      <w:r>
        <w:rPr>
          <w:rFonts w:ascii="Calibri" w:hAnsi="Calibri" w:eastAsia="Microsoft YaHei"/>
          <w:sz w:val="22"/>
          <w:color w:val="4a4a4a"/>
        </w:rPr>
        <w:tab/>
      </w:r>
      <w:r>
        <w:rPr>
          <w:rFonts w:ascii="Calibri" w:hAnsi="Calibri" w:eastAsia="Microsoft YaHei" w:cs="Calibri"/>
          <w:sz w:val="22"/>
          <w:color w:val="4A4A4A"/>
          <w:szCs w:val="22"/>
        </w:rPr>
        <w:t>11</w:t>
      </w:r>
    </w:p>
    <w:p>
      <w:pPr>
        <w:pStyle w:val="TOC1"/>
      </w:pPr>
      <w:r>
        <w:rPr>
          <w:rFonts w:ascii="Calibri" w:hAnsi="Calibri" w:eastAsia="Microsoft YaHei" w:cs="Calibri"/>
          <w:sz w:val="22"/>
          <w:b/>
          <w:color w:val="1E1E1E"/>
          <w:szCs w:val="22"/>
        </w:rPr>
        <w:t>ARTICLE 4: TRANSIT FACILITATION AND FINANCIAL ARRANGEMENTS</w:t>
      </w:r>
      <w:r>
        <w:rPr>
          <w:rFonts w:ascii="Calibri" w:hAnsi="Calibri" w:eastAsia="Microsoft YaHei"/>
          <w:sz w:val="22"/>
          <w:b/>
          <w:color w:val="1e1e1e"/>
        </w:rPr>
        <w:tab/>
      </w:r>
      <w:r>
        <w:rPr>
          <w:rFonts w:ascii="Calibri" w:hAnsi="Calibri" w:eastAsia="Microsoft YaHei" w:cs="Calibri"/>
          <w:sz w:val="22"/>
          <w:b/>
          <w:color w:val="1E1E1E"/>
          <w:szCs w:val="22"/>
        </w:rPr>
        <w:t>13</w:t>
      </w:r>
    </w:p>
    <w:p>
      <w:pPr>
        <w:pStyle w:val="TOC2"/>
      </w:pPr>
      <w:r>
        <w:rPr>
          <w:rFonts w:ascii="Calibri" w:hAnsi="Calibri" w:eastAsia="Microsoft YaHei" w:cs="Calibri"/>
          <w:sz w:val="22"/>
          <w:color w:val="4A4A4A"/>
          <w:szCs w:val="22"/>
        </w:rPr>
        <w:t>4.1 Toll-Free Period</w:t>
      </w:r>
      <w:r>
        <w:rPr>
          <w:rFonts w:ascii="Calibri" w:hAnsi="Calibri" w:eastAsia="Microsoft YaHei"/>
          <w:sz w:val="22"/>
          <w:color w:val="4a4a4a"/>
        </w:rPr>
        <w:tab/>
      </w:r>
      <w:r>
        <w:rPr>
          <w:rFonts w:ascii="Calibri" w:hAnsi="Calibri" w:eastAsia="Microsoft YaHei" w:cs="Calibri"/>
          <w:sz w:val="22"/>
          <w:color w:val="4A4A4A"/>
          <w:szCs w:val="22"/>
        </w:rPr>
        <w:t>13</w:t>
      </w:r>
    </w:p>
    <w:p>
      <w:pPr>
        <w:pStyle w:val="TOC2"/>
      </w:pPr>
      <w:r>
        <w:rPr>
          <w:rFonts w:ascii="Calibri" w:hAnsi="Calibri" w:eastAsia="Microsoft YaHei" w:cs="Calibri"/>
          <w:sz w:val="22"/>
          <w:color w:val="4A4A4A"/>
          <w:szCs w:val="22"/>
        </w:rPr>
        <w:t>4.2 The Hormuz Service Corporation (HSC)</w:t>
      </w:r>
      <w:r>
        <w:rPr>
          <w:rFonts w:ascii="Calibri" w:hAnsi="Calibri" w:eastAsia="Microsoft YaHei"/>
          <w:sz w:val="22"/>
          <w:color w:val="4a4a4a"/>
        </w:rPr>
        <w:tab/>
      </w:r>
      <w:r>
        <w:rPr>
          <w:rFonts w:ascii="Calibri" w:hAnsi="Calibri" w:eastAsia="Microsoft YaHei" w:cs="Calibri"/>
          <w:sz w:val="22"/>
          <w:color w:val="4A4A4A"/>
          <w:szCs w:val="22"/>
        </w:rPr>
        <w:t>13</w:t>
      </w:r>
    </w:p>
    <w:p>
      <w:pPr>
        <w:pStyle w:val="TOC2"/>
        <w:spacing w:line="300" w:before="60" w:after="40" w:lineRule="auto"/>
        <w:ind w:left="360"/>
      </w:pPr>
      <w:r>
        <w:rPr>
          <w:rFonts w:ascii="Calibri" w:hAnsi="Calibri" w:eastAsia="Microsoft YaHei" w:cs="Calibri"/>
          <w:sz w:val="22"/>
          <w:color w:val="4A4A4A"/>
          <w:szCs w:val="22"/>
        </w:rPr>
        <w:t>4.2A Prohibition on Financial Interference</w:t>
      </w:r>
      <w:r>
        <w:rPr>
          <w:rFonts w:ascii="Calibri" w:hAnsi="Calibri" w:eastAsia="Microsoft YaHei"/>
          <w:sz w:val="22"/>
          <w:color w:val="4a4a4a"/>
        </w:rPr>
        <w:tab/>
      </w:r>
      <w:r>
        <w:rPr>
          <w:rFonts w:ascii="Calibri" w:hAnsi="Calibri" w:eastAsia="Microsoft YaHei" w:cs="Calibri"/>
          <w:sz w:val="22"/>
          <w:color w:val="4A4A4A"/>
          <w:szCs w:val="22"/>
        </w:rPr>
        <w:t>13</w:t>
      </w:r>
    </w:p>
    <w:p>
      <w:pPr>
        <w:pStyle w:val="TOC2"/>
      </w:pPr>
      <w:r>
        <w:rPr>
          <w:rFonts w:ascii="Calibri" w:hAnsi="Calibri" w:eastAsia="Microsoft YaHei" w:cs="Calibri"/>
          <w:sz w:val="22"/>
          <w:color w:val="4A4A4A"/>
          <w:szCs w:val="22"/>
        </w:rPr>
        <w:t>4.3 Revenue Distribution</w:t>
      </w:r>
      <w:r>
        <w:rPr>
          <w:rFonts w:ascii="Calibri" w:hAnsi="Calibri" w:eastAsia="Microsoft YaHei"/>
          <w:sz w:val="22"/>
          <w:color w:val="4a4a4a"/>
        </w:rPr>
        <w:tab/>
      </w:r>
      <w:r>
        <w:rPr>
          <w:rFonts w:ascii="Calibri" w:hAnsi="Calibri" w:eastAsia="Microsoft YaHei" w:cs="Calibri"/>
          <w:sz w:val="22"/>
          <w:color w:val="4A4A4A"/>
          <w:szCs w:val="22"/>
        </w:rPr>
        <w:t>14</w:t>
      </w:r>
    </w:p>
    <w:p>
      <w:pPr>
        <w:pStyle w:val="TOC2"/>
      </w:pPr>
      <w:r>
        <w:rPr>
          <w:rFonts w:ascii="Calibri" w:hAnsi="Calibri" w:eastAsia="Microsoft YaHei" w:cs="Calibri"/>
          <w:sz w:val="22"/>
          <w:color w:val="4A4A4A"/>
          <w:szCs w:val="22"/>
        </w:rPr>
        <w:t>4.4 Compliance Conditionality</w:t>
      </w:r>
      <w:r>
        <w:rPr>
          <w:rFonts w:ascii="Calibri" w:hAnsi="Calibri" w:eastAsia="Microsoft YaHei"/>
          <w:sz w:val="22"/>
          <w:color w:val="4a4a4a"/>
        </w:rPr>
        <w:tab/>
      </w:r>
      <w:r>
        <w:rPr>
          <w:rFonts w:ascii="Calibri" w:hAnsi="Calibri" w:eastAsia="Microsoft YaHei" w:cs="Calibri"/>
          <w:sz w:val="22"/>
          <w:color w:val="4A4A4A"/>
          <w:szCs w:val="22"/>
        </w:rPr>
        <w:t>15</w:t>
      </w:r>
    </w:p>
    <w:p>
      <w:pPr>
        <w:pStyle w:val="TOC1"/>
      </w:pPr>
      <w:r>
        <w:rPr>
          <w:rFonts w:ascii="Calibri" w:hAnsi="Calibri" w:eastAsia="Microsoft YaHei" w:cs="Calibri"/>
          <w:sz w:val="22"/>
          <w:b/>
          <w:color w:val="1E1E1E"/>
          <w:szCs w:val="22"/>
        </w:rPr>
        <w:t>ARTICLE 5: CONFIDENCE-BUILDING AND REVERSIBLE MEASURES</w:t>
      </w:r>
      <w:r>
        <w:rPr>
          <w:rFonts w:ascii="Calibri" w:hAnsi="Calibri" w:eastAsia="Microsoft YaHei"/>
          <w:sz w:val="22"/>
          <w:b/>
          <w:color w:val="1e1e1e"/>
        </w:rPr>
        <w:tab/>
      </w:r>
      <w:r>
        <w:rPr>
          <w:rFonts w:ascii="Calibri" w:hAnsi="Calibri" w:eastAsia="Microsoft YaHei" w:cs="Calibri"/>
          <w:sz w:val="22"/>
          <w:b/>
          <w:color w:val="1E1E1E"/>
          <w:szCs w:val="22"/>
        </w:rPr>
        <w:t>17</w:t>
      </w:r>
    </w:p>
    <w:p>
      <w:pPr>
        <w:pStyle w:val="TOC2"/>
      </w:pPr>
      <w:r>
        <w:rPr>
          <w:rFonts w:ascii="Calibri" w:hAnsi="Calibri" w:eastAsia="Microsoft YaHei" w:cs="Calibri"/>
          <w:sz w:val="22"/>
          <w:color w:val="4A4A4A"/>
          <w:szCs w:val="22"/>
        </w:rPr>
        <w:t>5.1 Phased Operational Adjustments</w:t>
      </w:r>
      <w:r>
        <w:rPr>
          <w:rFonts w:ascii="Calibri" w:hAnsi="Calibri" w:eastAsia="Microsoft YaHei"/>
          <w:sz w:val="22"/>
          <w:color w:val="4a4a4a"/>
        </w:rPr>
        <w:tab/>
      </w:r>
      <w:r>
        <w:rPr>
          <w:rFonts w:ascii="Calibri" w:hAnsi="Calibri" w:eastAsia="Microsoft YaHei" w:cs="Calibri"/>
          <w:sz w:val="22"/>
          <w:color w:val="4A4A4A"/>
          <w:szCs w:val="22"/>
        </w:rPr>
        <w:t>17</w:t>
      </w:r>
    </w:p>
    <w:p>
      <w:pPr>
        <w:pStyle w:val="TOC2"/>
      </w:pPr>
      <w:r>
        <w:rPr>
          <w:rFonts w:ascii="Calibri" w:hAnsi="Calibri" w:eastAsia="Microsoft YaHei" w:cs="Calibri"/>
          <w:sz w:val="22"/>
          <w:color w:val="4A4A4A"/>
          <w:szCs w:val="22"/>
        </w:rPr>
        <w:t>5.2 Principle of Reversibility</w:t>
      </w:r>
      <w:r>
        <w:rPr>
          <w:rFonts w:ascii="Calibri" w:hAnsi="Calibri" w:eastAsia="Microsoft YaHei"/>
          <w:sz w:val="22"/>
          <w:color w:val="4a4a4a"/>
        </w:rPr>
        <w:tab/>
      </w:r>
      <w:r>
        <w:rPr>
          <w:rFonts w:ascii="Calibri" w:hAnsi="Calibri" w:eastAsia="Microsoft YaHei" w:cs="Calibri"/>
          <w:sz w:val="22"/>
          <w:color w:val="4A4A4A"/>
          <w:szCs w:val="22"/>
        </w:rPr>
        <w:t>17</w:t>
      </w:r>
    </w:p>
    <w:p>
      <w:pPr>
        <w:pStyle w:val="TOC2"/>
      </w:pPr>
      <w:r>
        <w:rPr>
          <w:rFonts w:ascii="Calibri" w:hAnsi="Calibri" w:eastAsia="Microsoft YaHei" w:cs="Calibri"/>
          <w:sz w:val="22"/>
          <w:color w:val="4A4A4A"/>
          <w:szCs w:val="22"/>
        </w:rPr>
        <w:t>5.3 Transparency Measures</w:t>
      </w:r>
      <w:r>
        <w:rPr>
          <w:rFonts w:ascii="Calibri" w:hAnsi="Calibri" w:eastAsia="Microsoft YaHei"/>
          <w:sz w:val="22"/>
          <w:color w:val="4a4a4a"/>
        </w:rPr>
        <w:tab/>
      </w:r>
      <w:r>
        <w:rPr>
          <w:rFonts w:ascii="Calibri" w:hAnsi="Calibri" w:eastAsia="Microsoft YaHei" w:cs="Calibri"/>
          <w:sz w:val="22"/>
          <w:color w:val="4A4A4A"/>
          <w:szCs w:val="22"/>
        </w:rPr>
        <w:t>18</w:t>
      </w:r>
    </w:p>
    <w:p>
      <w:pPr>
        <w:pStyle w:val="TOC1"/>
      </w:pPr>
      <w:r>
        <w:rPr>
          <w:rFonts w:ascii="Calibri" w:hAnsi="Calibri" w:eastAsia="Microsoft YaHei" w:cs="Calibri"/>
          <w:sz w:val="22"/>
          <w:b/>
          <w:color w:val="1E1E1E"/>
          <w:szCs w:val="22"/>
        </w:rPr>
        <w:t>ARTICLE 6: TRANSPARENCY AND DATA SHARING</w:t>
      </w:r>
      <w:r>
        <w:rPr>
          <w:rFonts w:ascii="Calibri" w:hAnsi="Calibri" w:eastAsia="Microsoft YaHei"/>
          <w:sz w:val="22"/>
          <w:b/>
          <w:color w:val="1e1e1e"/>
        </w:rPr>
        <w:tab/>
      </w:r>
      <w:r>
        <w:rPr>
          <w:rFonts w:ascii="Calibri" w:hAnsi="Calibri" w:eastAsia="Microsoft YaHei" w:cs="Calibri"/>
          <w:sz w:val="22"/>
          <w:b/>
          <w:color w:val="1E1E1E"/>
          <w:szCs w:val="22"/>
        </w:rPr>
        <w:t>19</w:t>
      </w:r>
    </w:p>
    <w:p>
      <w:pPr>
        <w:pStyle w:val="TOC2"/>
      </w:pPr>
      <w:r>
        <w:rPr>
          <w:rFonts w:ascii="Calibri" w:hAnsi="Calibri" w:eastAsia="Microsoft YaHei" w:cs="Calibri"/>
          <w:sz w:val="22"/>
          <w:color w:val="4A4A4A"/>
          <w:szCs w:val="22"/>
        </w:rPr>
        <w:t>6.1 AIS Protocol</w:t>
      </w:r>
      <w:r>
        <w:rPr>
          <w:rFonts w:ascii="Calibri" w:hAnsi="Calibri" w:eastAsia="Microsoft YaHei"/>
          <w:sz w:val="22"/>
          <w:color w:val="4a4a4a"/>
        </w:rPr>
        <w:tab/>
      </w:r>
      <w:r>
        <w:rPr>
          <w:rFonts w:ascii="Calibri" w:hAnsi="Calibri" w:eastAsia="Microsoft YaHei" w:cs="Calibri"/>
          <w:sz w:val="22"/>
          <w:color w:val="4A4A4A"/>
          <w:szCs w:val="22"/>
        </w:rPr>
        <w:t>19</w:t>
      </w:r>
    </w:p>
    <w:p>
      <w:pPr>
        <w:pStyle w:val="TOC2"/>
      </w:pPr>
      <w:r>
        <w:rPr>
          <w:rFonts w:ascii="Calibri" w:hAnsi="Calibri" w:eastAsia="Microsoft YaHei" w:cs="Calibri"/>
          <w:sz w:val="22"/>
          <w:color w:val="4A4A4A"/>
          <w:szCs w:val="22"/>
        </w:rPr>
        <w:t>6.2 Incident Reporting</w:t>
      </w:r>
      <w:r>
        <w:rPr>
          <w:rFonts w:ascii="Calibri" w:hAnsi="Calibri" w:eastAsia="Microsoft YaHei"/>
          <w:sz w:val="22"/>
          <w:color w:val="4a4a4a"/>
        </w:rPr>
        <w:tab/>
      </w:r>
      <w:r>
        <w:rPr>
          <w:rFonts w:ascii="Calibri" w:hAnsi="Calibri" w:eastAsia="Microsoft YaHei" w:cs="Calibri"/>
          <w:sz w:val="22"/>
          <w:color w:val="4A4A4A"/>
          <w:szCs w:val="22"/>
        </w:rPr>
        <w:t>20</w:t>
      </w:r>
    </w:p>
    <w:p>
      <w:pPr>
        <w:pStyle w:val="TOC2"/>
      </w:pPr>
      <w:r>
        <w:rPr>
          <w:rFonts w:ascii="Calibri" w:hAnsi="Calibri" w:eastAsia="Microsoft YaHei" w:cs="Calibri"/>
          <w:sz w:val="22"/>
          <w:color w:val="4A4A4A"/>
          <w:szCs w:val="22"/>
        </w:rPr>
        <w:t>6.3 Data Sovereignty</w:t>
      </w:r>
      <w:r>
        <w:rPr>
          <w:rFonts w:ascii="Calibri" w:hAnsi="Calibri" w:eastAsia="Microsoft YaHei"/>
          <w:sz w:val="22"/>
          <w:color w:val="4a4a4a"/>
        </w:rPr>
        <w:tab/>
      </w:r>
      <w:r>
        <w:rPr>
          <w:rFonts w:ascii="Calibri" w:hAnsi="Calibri" w:eastAsia="Microsoft YaHei" w:cs="Calibri"/>
          <w:sz w:val="22"/>
          <w:color w:val="4A4A4A"/>
          <w:szCs w:val="22"/>
        </w:rPr>
        <w:t>20</w:t>
      </w:r>
    </w:p>
    <w:p>
      <w:pPr>
        <w:pStyle w:val="TOC1"/>
      </w:pPr>
      <w:r>
        <w:rPr>
          <w:rFonts w:ascii="Calibri" w:hAnsi="Calibri" w:eastAsia="Microsoft YaHei" w:cs="Calibri"/>
          <w:sz w:val="22"/>
          <w:b/>
          <w:color w:val="1E1E1E"/>
          <w:szCs w:val="22"/>
        </w:rPr>
        <w:t>ARTICLE 7: THE JOINT IMPLEMENTATION COMMISSION (JIC)</w:t>
      </w:r>
      <w:r>
        <w:rPr>
          <w:rFonts w:ascii="Calibri" w:hAnsi="Calibri" w:eastAsia="Microsoft YaHei"/>
          <w:sz w:val="22"/>
          <w:b/>
          <w:color w:val="1e1e1e"/>
        </w:rPr>
        <w:tab/>
      </w:r>
      <w:r>
        <w:rPr>
          <w:rFonts w:ascii="Calibri" w:hAnsi="Calibri" w:eastAsia="Microsoft YaHei" w:cs="Calibri"/>
          <w:sz w:val="22"/>
          <w:b/>
          <w:color w:val="1E1E1E"/>
          <w:szCs w:val="22"/>
        </w:rPr>
        <w:t>21</w:t>
      </w:r>
    </w:p>
    <w:p>
      <w:pPr>
        <w:pStyle w:val="TOC2"/>
      </w:pPr>
      <w:r>
        <w:rPr>
          <w:rFonts w:ascii="Calibri" w:hAnsi="Calibri" w:eastAsia="Microsoft YaHei" w:cs="Calibri"/>
          <w:sz w:val="22"/>
          <w:color w:val="4A4A4A"/>
          <w:szCs w:val="22"/>
        </w:rPr>
        <w:t>7.1 Establishment and Composition</w:t>
      </w:r>
      <w:r>
        <w:rPr>
          <w:rFonts w:ascii="Calibri" w:hAnsi="Calibri" w:eastAsia="Microsoft YaHei"/>
          <w:sz w:val="22"/>
          <w:color w:val="4a4a4a"/>
        </w:rPr>
        <w:tab/>
      </w:r>
      <w:r>
        <w:rPr>
          <w:rFonts w:ascii="Calibri" w:hAnsi="Calibri" w:eastAsia="Microsoft YaHei" w:cs="Calibri"/>
          <w:sz w:val="22"/>
          <w:color w:val="4A4A4A"/>
          <w:szCs w:val="22"/>
        </w:rPr>
        <w:t>21</w:t>
      </w:r>
    </w:p>
    <w:p>
      <w:pPr>
        <w:pStyle w:val="TOC2"/>
      </w:pPr>
      <w:r>
        <w:rPr>
          <w:rFonts w:ascii="Calibri" w:hAnsi="Calibri" w:eastAsia="Microsoft YaHei" w:cs="Calibri"/>
          <w:sz w:val="22"/>
          <w:color w:val="4A4A4A"/>
          <w:szCs w:val="22"/>
        </w:rPr>
        <w:t>7.2 Functions</w:t>
      </w:r>
      <w:r>
        <w:rPr>
          <w:rFonts w:ascii="Calibri" w:hAnsi="Calibri" w:eastAsia="Microsoft YaHei"/>
          <w:sz w:val="22"/>
          <w:color w:val="4a4a4a"/>
        </w:rPr>
        <w:tab/>
      </w:r>
      <w:r>
        <w:rPr>
          <w:rFonts w:ascii="Calibri" w:hAnsi="Calibri" w:eastAsia="Microsoft YaHei" w:cs="Calibri"/>
          <w:sz w:val="22"/>
          <w:color w:val="4A4A4A"/>
          <w:szCs w:val="22"/>
        </w:rPr>
        <w:t>22</w:t>
      </w:r>
    </w:p>
    <w:p>
      <w:pPr>
        <w:pStyle w:val="TOC2"/>
      </w:pPr>
      <w:r>
        <w:rPr>
          <w:rFonts w:ascii="Calibri" w:hAnsi="Calibri" w:eastAsia="Microsoft YaHei" w:cs="Calibri"/>
          <w:sz w:val="22"/>
          <w:color w:val="4A4A4A"/>
          <w:szCs w:val="22"/>
        </w:rPr>
        <w:t>7.3 Decision-Making</w:t>
      </w:r>
      <w:r>
        <w:rPr>
          <w:rFonts w:ascii="Calibri" w:hAnsi="Calibri" w:eastAsia="Microsoft YaHei"/>
          <w:sz w:val="22"/>
          <w:color w:val="4a4a4a"/>
        </w:rPr>
        <w:tab/>
      </w:r>
      <w:r>
        <w:rPr>
          <w:rFonts w:ascii="Calibri" w:hAnsi="Calibri" w:eastAsia="Microsoft YaHei" w:cs="Calibri"/>
          <w:sz w:val="22"/>
          <w:color w:val="4A4A4A"/>
          <w:szCs w:val="22"/>
        </w:rPr>
        <w:t>22</w:t>
      </w:r>
    </w:p>
    <w:p>
      <w:pPr>
        <w:pStyle w:val="TOC1"/>
      </w:pPr>
      <w:r>
        <w:rPr>
          <w:rFonts w:ascii="Calibri" w:hAnsi="Calibri" w:eastAsia="Microsoft YaHei" w:cs="Calibri"/>
          <w:sz w:val="22"/>
          <w:b/>
          <w:color w:val="1E1E1E"/>
          <w:szCs w:val="22"/>
        </w:rPr>
        <w:t>ARTICLE 8: DISPUTE RESOLUTION AND GRADUATED RESPONSE</w:t>
      </w:r>
      <w:r>
        <w:rPr>
          <w:rFonts w:ascii="Calibri" w:hAnsi="Calibri" w:eastAsia="Microsoft YaHei"/>
          <w:sz w:val="22"/>
          <w:b/>
          <w:color w:val="1e1e1e"/>
        </w:rPr>
        <w:tab/>
      </w:r>
      <w:r>
        <w:rPr>
          <w:rFonts w:ascii="Calibri" w:hAnsi="Calibri" w:eastAsia="Microsoft YaHei" w:cs="Calibri"/>
          <w:sz w:val="22"/>
          <w:b/>
          <w:color w:val="1E1E1E"/>
          <w:szCs w:val="22"/>
        </w:rPr>
        <w:t>23</w:t>
      </w:r>
    </w:p>
    <w:p>
      <w:pPr>
        <w:pStyle w:val="TOC2"/>
      </w:pPr>
      <w:r>
        <w:rPr>
          <w:rFonts w:ascii="Calibri" w:hAnsi="Calibri" w:eastAsia="Microsoft YaHei" w:cs="Calibri"/>
          <w:sz w:val="22"/>
          <w:color w:val="4A4A4A"/>
          <w:szCs w:val="22"/>
        </w:rPr>
        <w:t>8.1 Escalation Ladder</w:t>
      </w:r>
      <w:r>
        <w:rPr>
          <w:rFonts w:ascii="Calibri" w:hAnsi="Calibri" w:eastAsia="Microsoft YaHei"/>
          <w:sz w:val="22"/>
          <w:color w:val="4a4a4a"/>
        </w:rPr>
        <w:tab/>
      </w:r>
      <w:r>
        <w:rPr>
          <w:rFonts w:ascii="Calibri" w:hAnsi="Calibri" w:eastAsia="Microsoft YaHei" w:cs="Calibri"/>
          <w:sz w:val="22"/>
          <w:color w:val="4A4A4A"/>
          <w:szCs w:val="22"/>
        </w:rPr>
        <w:t>23</w:t>
      </w:r>
    </w:p>
    <w:p>
      <w:pPr>
        <w:pStyle w:val="TOC2"/>
      </w:pPr>
      <w:r>
        <w:rPr>
          <w:rFonts w:ascii="Calibri" w:hAnsi="Calibri" w:eastAsia="Microsoft YaHei" w:cs="Calibri"/>
          <w:sz w:val="22"/>
          <w:color w:val="4A4A4A"/>
          <w:szCs w:val="22"/>
        </w:rPr>
        <w:t>8.2 Arbitration</w:t>
      </w:r>
      <w:r>
        <w:rPr>
          <w:rFonts w:ascii="Calibri" w:hAnsi="Calibri" w:eastAsia="Microsoft YaHei"/>
          <w:sz w:val="22"/>
          <w:color w:val="4a4a4a"/>
        </w:rPr>
        <w:tab/>
      </w:r>
      <w:r>
        <w:rPr>
          <w:rFonts w:ascii="Calibri" w:hAnsi="Calibri" w:eastAsia="Microsoft YaHei" w:cs="Calibri"/>
          <w:sz w:val="22"/>
          <w:color w:val="4A4A4A"/>
          <w:szCs w:val="22"/>
        </w:rPr>
        <w:t>25</w:t>
      </w:r>
    </w:p>
    <w:p>
      <w:pPr>
        <w:pStyle w:val="TOC1"/>
      </w:pPr>
      <w:r>
        <w:rPr>
          <w:rFonts w:ascii="Calibri" w:hAnsi="Calibri" w:eastAsia="Microsoft YaHei" w:cs="Calibri"/>
          <w:sz w:val="22"/>
          <w:b/>
          <w:color w:val="1E1E1E"/>
          <w:szCs w:val="22"/>
        </w:rPr>
        <w:t>ARTICLE 9: DURATION, RENEWAL, AND WITHDRAWAL</w:t>
      </w:r>
      <w:r>
        <w:rPr>
          <w:rFonts w:ascii="Calibri" w:hAnsi="Calibri" w:eastAsia="Microsoft YaHei"/>
          <w:sz w:val="22"/>
          <w:b/>
          <w:color w:val="1e1e1e"/>
        </w:rPr>
        <w:tab/>
      </w:r>
      <w:r>
        <w:rPr>
          <w:rFonts w:ascii="Calibri" w:hAnsi="Calibri" w:eastAsia="Microsoft YaHei" w:cs="Calibri"/>
          <w:sz w:val="22"/>
          <w:b/>
          <w:color w:val="1E1E1E"/>
          <w:szCs w:val="22"/>
        </w:rPr>
        <w:t>27</w:t>
      </w:r>
    </w:p>
    <w:p>
      <w:pPr>
        <w:pStyle w:val="TOC2"/>
      </w:pPr>
      <w:r>
        <w:rPr>
          <w:rFonts w:ascii="Calibri" w:hAnsi="Calibri" w:eastAsia="Microsoft YaHei" w:cs="Calibri"/>
          <w:sz w:val="22"/>
          <w:color w:val="4A4A4A"/>
          <w:szCs w:val="22"/>
        </w:rPr>
        <w:t>9.1 Duration</w:t>
      </w:r>
      <w:r>
        <w:rPr>
          <w:rFonts w:ascii="Calibri" w:hAnsi="Calibri" w:eastAsia="Microsoft YaHei"/>
          <w:sz w:val="22"/>
          <w:color w:val="4a4a4a"/>
        </w:rPr>
        <w:tab/>
      </w:r>
      <w:r>
        <w:rPr>
          <w:rFonts w:ascii="Calibri" w:hAnsi="Calibri" w:eastAsia="Microsoft YaHei" w:cs="Calibri"/>
          <w:sz w:val="22"/>
          <w:color w:val="4A4A4A"/>
          <w:szCs w:val="22"/>
        </w:rPr>
        <w:t>27</w:t>
      </w:r>
    </w:p>
    <w:p>
      <w:pPr>
        <w:pStyle w:val="TOC2"/>
      </w:pPr>
      <w:r>
        <w:rPr>
          <w:rFonts w:ascii="Calibri" w:hAnsi="Calibri" w:eastAsia="Microsoft YaHei" w:cs="Calibri"/>
          <w:sz w:val="22"/>
          <w:color w:val="4A4A4A"/>
          <w:szCs w:val="22"/>
        </w:rPr>
        <w:t>9.2 Renewal</w:t>
      </w:r>
      <w:r>
        <w:rPr>
          <w:rFonts w:ascii="Calibri" w:hAnsi="Calibri" w:eastAsia="Microsoft YaHei"/>
          <w:sz w:val="22"/>
          <w:color w:val="4a4a4a"/>
        </w:rPr>
        <w:tab/>
      </w:r>
      <w:r>
        <w:rPr>
          <w:rFonts w:ascii="Calibri" w:hAnsi="Calibri" w:eastAsia="Microsoft YaHei" w:cs="Calibri"/>
          <w:sz w:val="22"/>
          <w:color w:val="4A4A4A"/>
          <w:szCs w:val="22"/>
        </w:rPr>
        <w:t>27</w:t>
      </w:r>
    </w:p>
    <w:p>
      <w:pPr>
        <w:pStyle w:val="TOC2"/>
      </w:pPr>
      <w:r>
        <w:rPr>
          <w:rFonts w:ascii="Calibri" w:hAnsi="Calibri" w:eastAsia="Microsoft YaHei" w:cs="Calibri"/>
          <w:sz w:val="22"/>
          <w:color w:val="4A4A4A"/>
          <w:szCs w:val="22"/>
        </w:rPr>
        <w:t>9.3 Withdrawal</w:t>
      </w:r>
      <w:r>
        <w:rPr>
          <w:rFonts w:ascii="Calibri" w:hAnsi="Calibri" w:eastAsia="Microsoft YaHei"/>
          <w:sz w:val="22"/>
          <w:color w:val="4a4a4a"/>
        </w:rPr>
        <w:tab/>
      </w:r>
      <w:r>
        <w:rPr>
          <w:rFonts w:ascii="Calibri" w:hAnsi="Calibri" w:eastAsia="Microsoft YaHei" w:cs="Calibri"/>
          <w:sz w:val="22"/>
          <w:color w:val="4A4A4A"/>
          <w:szCs w:val="22"/>
        </w:rPr>
        <w:t>28</w:t>
      </w:r>
    </w:p>
    <w:p>
      <w:pPr>
        <w:pStyle w:val="TOC2"/>
        <w:spacing w:line="300" w:before="60" w:after="40" w:lineRule="auto"/>
        <w:ind w:left="360"/>
      </w:pPr>
      <w:r>
        <w:rPr>
          <w:rFonts w:ascii="Calibri" w:hAnsi="Calibri" w:eastAsia="Microsoft YaHei" w:cs="Calibri"/>
          <w:sz w:val="22"/>
          <w:color w:val="4A4A4A"/>
          <w:szCs w:val="22"/>
        </w:rPr>
        <w:t>9.4 Material Adverse Change</w:t>
      </w:r>
      <w:r>
        <w:rPr>
          <w:rFonts w:ascii="Calibri" w:hAnsi="Calibri" w:eastAsia="Microsoft YaHei"/>
          <w:sz w:val="22"/>
          <w:color w:val="4a4a4a"/>
        </w:rPr>
        <w:tab/>
      </w:r>
      <w:r>
        <w:rPr>
          <w:rFonts w:ascii="Calibri" w:hAnsi="Calibri" w:eastAsia="Microsoft YaHei" w:cs="Calibri"/>
          <w:sz w:val="22"/>
          <w:color w:val="4A4A4A"/>
          <w:szCs w:val="22"/>
        </w:rPr>
        <w:t>28</w:t>
      </w:r>
    </w:p>
    <w:p>
      <w:pPr>
        <w:pStyle w:val="TOC1"/>
      </w:pPr>
      <w:r>
        <w:rPr>
          <w:rFonts w:ascii="Calibri" w:hAnsi="Calibri" w:eastAsia="Microsoft YaHei" w:cs="Calibri"/>
          <w:sz w:val="22"/>
          <w:b/>
          <w:color w:val="1E1E1E"/>
          <w:szCs w:val="22"/>
        </w:rPr>
        <w:t>ARTICLE 10: FINAL PROVISIONS</w:t>
      </w:r>
      <w:r>
        <w:rPr>
          <w:rFonts w:ascii="Calibri" w:hAnsi="Calibri" w:eastAsia="Microsoft YaHei"/>
          <w:sz w:val="22"/>
          <w:b/>
          <w:color w:val="1e1e1e"/>
        </w:rPr>
        <w:tab/>
      </w:r>
      <w:r>
        <w:rPr>
          <w:rFonts w:ascii="Calibri" w:hAnsi="Calibri" w:eastAsia="Microsoft YaHei" w:cs="Calibri"/>
          <w:sz w:val="22"/>
          <w:b/>
          <w:color w:val="1E1E1E"/>
          <w:szCs w:val="22"/>
        </w:rPr>
        <w:t>29</w:t>
      </w:r>
    </w:p>
    <w:p>
      <w:pPr>
        <w:pStyle w:val="TOC1"/>
      </w:pPr>
      <w:r>
        <w:rPr>
          <w:rFonts w:ascii="Calibri" w:hAnsi="Calibri" w:eastAsia="Microsoft YaHei" w:cs="Calibri"/>
          <w:sz w:val="22"/>
          <w:b/>
          <w:color w:val="1E1E1E"/>
          <w:szCs w:val="22"/>
        </w:rPr>
        <w:t>ANNEX 1AB: Navigation Safety and Deconfliction Protocol</w:t>
      </w:r>
      <w:r>
        <w:rPr>
          <w:rFonts w:ascii="Calibri" w:hAnsi="Calibri" w:eastAsia="Microsoft YaHei"/>
          <w:sz w:val="22"/>
          <w:b/>
          <w:color w:val="1e1e1e"/>
        </w:rPr>
        <w:tab/>
      </w:r>
      <w:r>
        <w:rPr>
          <w:rFonts w:ascii="Calibri" w:hAnsi="Calibri" w:eastAsia="Microsoft YaHei" w:cs="Calibri"/>
          <w:sz w:val="22"/>
          <w:b/>
          <w:color w:val="1E1E1E"/>
          <w:szCs w:val="22"/>
        </w:rPr>
        <w:t>31</w:t>
      </w:r>
    </w:p>
    <w:p>
      <w:pPr>
        <w:pStyle w:val="TOC1"/>
      </w:pPr>
      <w:r>
        <w:rPr>
          <w:rFonts w:ascii="Calibri" w:hAnsi="Calibri" w:eastAsia="Microsoft YaHei" w:cs="Calibri"/>
          <w:sz w:val="22"/>
          <w:b/>
          <w:color w:val="1E1E1E"/>
          <w:szCs w:val="22"/>
        </w:rPr>
        <w:t>ANNEX 1AC: Transit Facilitation and Service Fee Mechanism</w:t>
      </w:r>
      <w:r>
        <w:rPr>
          <w:rFonts w:ascii="Calibri" w:hAnsi="Calibri" w:eastAsia="Microsoft YaHei"/>
          <w:sz w:val="22"/>
          <w:b/>
          <w:color w:val="1e1e1e"/>
        </w:rPr>
        <w:tab/>
      </w:r>
      <w:r>
        <w:rPr>
          <w:rFonts w:ascii="Calibri" w:hAnsi="Calibri" w:eastAsia="Microsoft YaHei" w:cs="Calibri"/>
          <w:sz w:val="22"/>
          <w:b/>
          <w:color w:val="1E1E1E"/>
          <w:szCs w:val="22"/>
        </w:rPr>
        <w:t>33</w:t>
      </w:r>
    </w:p>
    <w:p>
      <w:pPr>
        <w:pStyle w:val="TOC1"/>
      </w:pPr>
      <w:r>
        <w:rPr>
          <w:rFonts w:ascii="Calibri" w:hAnsi="Calibri" w:eastAsia="Microsoft YaHei" w:cs="Calibri"/>
          <w:sz w:val="22"/>
          <w:b/>
          <w:color w:val="1E1E1E"/>
          <w:szCs w:val="22"/>
        </w:rPr>
        <w:t>ANNEX 1AD: Confidence-Building and Reversible Measures Schedule</w:t>
      </w:r>
      <w:r>
        <w:rPr>
          <w:rFonts w:ascii="Calibri" w:hAnsi="Calibri" w:eastAsia="Microsoft YaHei"/>
          <w:sz w:val="22"/>
          <w:b/>
          <w:color w:val="1e1e1e"/>
        </w:rPr>
        <w:tab/>
      </w:r>
      <w:r>
        <w:rPr>
          <w:rFonts w:ascii="Calibri" w:hAnsi="Calibri" w:eastAsia="Microsoft YaHei" w:cs="Calibri"/>
          <w:sz w:val="22"/>
          <w:b/>
          <w:color w:val="1E1E1E"/>
          <w:szCs w:val="22"/>
        </w:rPr>
        <w:t>35</w:t>
      </w:r>
    </w:p>
    <w:p>
      <w:pPr>
        <w:pStyle w:val="TOC1"/>
      </w:pPr>
      <w:r>
        <w:rPr>
          <w:rFonts w:ascii="Calibri" w:hAnsi="Calibri" w:eastAsia="Microsoft YaHei" w:cs="Calibri"/>
          <w:sz w:val="22"/>
          <w:b/>
          <w:color w:val="1E1E1E"/>
          <w:szCs w:val="22"/>
        </w:rPr>
        <w:t>SIGNATURE PAGES</w:t>
      </w:r>
      <w:r>
        <w:rPr>
          <w:rFonts w:ascii="Calibri" w:hAnsi="Calibri" w:eastAsia="Microsoft YaHei"/>
          <w:sz w:val="22"/>
          <w:b/>
          <w:color w:val="1e1e1e"/>
        </w:rPr>
        <w:tab/>
      </w:r>
      <w:r>
        <w:rPr>
          <w:rFonts w:ascii="Calibri" w:hAnsi="Calibri" w:eastAsia="Microsoft YaHei" w:cs="Calibri"/>
          <w:sz w:val="22"/>
          <w:b/>
          <w:color w:val="1E1E1E"/>
          <w:szCs w:val="22"/>
        </w:rPr>
        <w:t>37</w:t>
      </w:r>
    </w:p>
    <w:p>
      <w:pPr>
        <w:pStyle w:val="TOC1"/>
      </w:pPr>
      <w:r>
        <w:rPr>
          <w:rFonts w:ascii="Calibri" w:hAnsi="Calibri" w:eastAsia="Microsoft YaHei" w:cs="Calibri"/>
          <w:sz w:val="22"/>
          <w:b/>
          <w:color w:val="1E1E1E"/>
          <w:szCs w:val="22"/>
        </w:rPr>
        <w:t>NEGOTIATOR'S ANNOTATIONS</w:t>
      </w:r>
      <w:r>
        <w:rPr>
          <w:rFonts w:ascii="Calibri" w:hAnsi="Calibri" w:eastAsia="Microsoft YaHei"/>
          <w:sz w:val="22"/>
          <w:b/>
          <w:color w:val="1e1e1e"/>
        </w:rPr>
        <w:tab/>
      </w:r>
      <w:r>
        <w:rPr>
          <w:rFonts w:ascii="Calibri" w:hAnsi="Calibri" w:eastAsia="Microsoft YaHei" w:cs="Calibri"/>
          <w:sz w:val="22"/>
          <w:b/>
          <w:color w:val="1E1E1E"/>
          <w:szCs w:val="22"/>
        </w:rPr>
        <w:t>41</w:t>
      </w:r>
    </w:p>
    <w:p>
      <w:pPr>
        <w:pStyle w:val="Normal"/>
      </w:pPr>
      <w:r>
        <w:fldChar w:fldCharType="end"/>
      </w:r>
    </w:p>
    <w:p>
      <w:pPr>
        <w:pStyle w:val="Normal"/>
        <w:sectPr>
          <w:type w:val="nextPage"/>
          <w:pgSz w:w="11906" w:h="16838"/>
          <w:pgMar w:top="1800" w:right="1440" w:bottom="1440" w:left="1440" w:header="720" w:footer="720"/>
        </w:sectPr>
      </w:pPr>
    </w:p>
    <w:p>
      <w:pPr>
        <w:pStyle w:val="Heading1"/>
      </w:pPr>
      <w:bookmarkStart w:name="_TocPreamble" w:id="1"/>
      <w:r>
        <w:rPr>
          <w:rFonts w:ascii="Calibri" w:hAnsi="Calibri" w:eastAsia="Microsoft YaHei" w:cs="Calibri"/>
          <w:b/>
          <w:color w:val="1A2A3A"/>
          <w:sz w:val="40"/>
          <w:szCs w:val="40"/>
        </w:rPr>
        <w:t>PREAMBLE</w:t>
      </w:r>
      <w:bookmarkEnd w:id="1"/>
    </w:p>
    <w:p>
      <w:pPr>
        <w:pStyle w:val="Normal"/>
      </w:pPr>
      <w:r>
        <w:rPr>
          <w:rFonts w:ascii="Calibri" w:hAnsi="Calibri" w:eastAsia="Microsoft YaHei" w:cs="Calibri"/>
          <w:color w:val="1E1E1E"/>
          <w:sz w:val="22"/>
          <w:szCs w:val="22"/>
        </w:rPr>
        <w:t>The Signatories,</w:t>
      </w:r>
    </w:p>
    <w:p>
      <w:pPr>
        <w:pStyle w:val="Normal"/>
      </w:pPr>
      <w:r>
        <w:rPr>
          <w:rFonts w:ascii="Calibri" w:hAnsi="Calibri" w:eastAsia="Microsoft YaHei" w:cs="Calibri"/>
          <w:color w:val="1E1E1E"/>
          <w:sz w:val="22"/>
          <w:szCs w:val="22"/>
        </w:rPr>
        <w:t>Recognizing the strategic importance of the Strait of Hormuz for international commerce, energy security, and regional stability;</w:t>
      </w:r>
    </w:p>
    <w:p>
      <w:pPr>
        <w:pStyle w:val="Normal"/>
      </w:pPr>
      <w:r>
        <w:rPr>
          <w:rFonts w:ascii="Calibri" w:hAnsi="Calibri" w:eastAsia="Microsoft YaHei" w:cs="Calibri"/>
          <w:color w:val="1E1E1E"/>
          <w:sz w:val="22"/>
          <w:szCs w:val="22"/>
        </w:rPr>
        <w:t>Desiring to reduce maritime risks, prevent misunderstandings, and ensure the safe, expeditious, and environmentally responsible transit of commercial vessels;</w:t>
      </w:r>
    </w:p>
    <w:p>
      <w:pPr>
        <w:pStyle w:val="Normal"/>
      </w:pPr>
      <w:r>
        <w:rPr>
          <w:rFonts w:ascii="Calibri" w:hAnsi="Calibri" w:eastAsia="Microsoft YaHei" w:cs="Calibri"/>
          <w:color w:val="1E1E1E"/>
          <w:sz w:val="22"/>
          <w:szCs w:val="22"/>
        </w:rPr>
        <w:t>Acknowledging the June 17, 2026, Islamabad Memorandum of Understanding and the 60-day negotiating period established therein;</w:t>
      </w:r>
    </w:p>
    <w:p>
      <w:pPr>
        <w:pStyle w:val="Normal"/>
      </w:pPr>
      <w:r>
        <w:rPr>
          <w:rFonts w:ascii="Calibri" w:hAnsi="Calibri" w:eastAsia="Microsoft YaHei" w:cs="Calibri"/>
          <w:color w:val="1E1E1E"/>
          <w:sz w:val="22"/>
          <w:szCs w:val="22"/>
        </w:rPr>
        <w:t>Reaffirming that nothing in this Understanding prejudges the final legal or sovereign status of the Strait of Hormuz, nor establishes a precedent for any other maritime chokepoint;</w:t>
      </w:r>
    </w:p>
    <w:p>
      <w:pPr>
        <w:pStyle w:val="Normal"/>
      </w:pPr>
      <w:r>
        <w:rPr>
          <w:rFonts w:ascii="Calibri" w:hAnsi="Calibri" w:eastAsia="Microsoft YaHei" w:cs="Calibri"/>
          <w:color w:val="1E1E1E"/>
          <w:sz w:val="22"/>
          <w:szCs w:val="22"/>
        </w:rPr>
        <w:t>Seeking to operationalize a practical, technical framework for deconfliction and navigational standardization, pending a broader political settlement;</w:t>
      </w:r>
    </w:p>
    <w:p>
      <w:pPr>
        <w:pStyle w:val="Normal"/>
      </w:pPr>
      <w:r>
        <w:rPr>
          <w:rFonts w:ascii="Calibri" w:hAnsi="Calibri" w:eastAsia="Microsoft YaHei" w:cs="Calibri"/>
          <w:color w:val="1E1E1E"/>
          <w:sz w:val="22"/>
          <w:szCs w:val="22"/>
        </w:rPr>
        <w:t>Have Agreed as Follows:</w:t>
      </w:r>
    </w:p>
    <w:p>
      <w:pPr>
        <w:pStyle w:val="Normal"/>
      </w:pPr>
      <w:r>
        <w:rPr>
          <w:rFonts w:ascii="Calibri" w:hAnsi="Calibri" w:eastAsia="Microsoft YaHei" w:cs="Calibri"/>
          <w:color w:val="1E1E1E"/>
          <w:sz w:val="22"/>
          <w:szCs w:val="22"/>
        </w:rPr>
        <w:t>This Hormuz Standardization Understanding (HSU) is fully subordinate to the official Islamabad Memorandum of Understanding (MoU) dated June 17, 2026. In the event of any inconsistency between the provisions of this Understanding and the Islamabad MoU, the latter prevails. Nothing in this Understanding is interpreted as superseding, amending, or derogating from the Islamabad MoU or the obligations of the Signatories thereunder.</w:t>
      </w:r>
    </w:p>
    <w:p>
      <w:pPr>
        <w:pStyle w:val="Heading1"/>
      </w:pPr>
      <w:bookmarkStart w:name="_TocArt1" w:id="2"/>
      <w:r>
        <w:rPr>
          <w:rFonts w:ascii="Calibri" w:hAnsi="Calibri" w:eastAsia="Microsoft YaHei" w:cs="Calibri"/>
          <w:b/>
          <w:color w:val="1A2A3A"/>
          <w:sz w:val="40"/>
          <w:szCs w:val="40"/>
        </w:rPr>
        <w:t>ARTICLE 1: DEFINITIONS AND SCOPE</w:t>
      </w:r>
      <w:bookmarkEnd w:id="2"/>
    </w:p>
    <w:p>
      <w:pPr>
        <w:pStyle w:val="Heading2"/>
      </w:pPr>
      <w:r>
        <w:rPr>
          <w:rFonts w:ascii="Calibri" w:hAnsi="Calibri" w:eastAsia="Microsoft YaHei" w:cs="Calibri"/>
          <w:b/>
          <w:color w:val="2C3E50"/>
          <w:sz w:val="28"/>
          <w:szCs w:val="28"/>
        </w:rPr>
        <w:t>1.1 Definitions</w:t>
      </w:r>
    </w:p>
    <w:p>
      <w:pPr>
        <w:pStyle w:val="Normal"/>
      </w:pPr>
      <w:r>
        <w:rPr>
          <w:rFonts w:ascii="Calibri" w:hAnsi="Calibri" w:eastAsia="Microsoft YaHei" w:cs="Calibri"/>
          <w:color w:val="1E1E1E"/>
          <w:sz w:val="22"/>
          <w:szCs w:val="22"/>
        </w:rPr>
        <w:t>For the purposes of this Understanding:</w:t>
      </w:r>
    </w:p>
    <w:p>
      <w:pPr>
        <w:pStyle w:val="Normal"/>
        <w:spacing w:before="120" w:after="120"/>
      </w:pPr>
      <w:r>
        <w:rPr>
          <w:b/>
          <w:color w:val="2C3E50"/>
          <w:rFonts w:ascii="Calibri" w:hAnsi="Calibri" w:eastAsia="Microsoft YaHei" w:cs="Calibri"/>
          <w:sz w:val="22"/>
          <w:szCs w:val="22"/>
        </w:rPr>
        <w:t xml:space="preserve">"The Strait" </w:t>
      </w:r>
      <w:r>
        <w:rPr>
          <w:rFonts w:ascii="Calibri" w:hAnsi="Calibri" w:eastAsia="Microsoft YaHei" w:cs="Calibri"/>
          <w:color w:val="1E1E1E"/>
          <w:sz w:val="22"/>
          <w:szCs w:val="22"/>
        </w:rPr>
        <w:t>refers to the waters of the Strait of Hormuz as defined by the International Hydrographic Organization (IHO) Special Publication S-23, bounded by the territorial seas of Iran, Oman, and the United Arab Emirates. The navigable shipping lanes operate under the IMO Traffic Separation Scheme established under IMO Resolution COLREG.2/Circ.54. The Strait measures approximately 167 kilometres in length. At its narrowest point, the Strait measures approximately 21 nautical miles (39 kilometres) in width between the Iranian mainland and the Omani Musandam Peninsula. Each traffic lane measures approximately 2 nautical miles (3.7 kilometres) in width, with a separation zone of equal width dividing the inbound and outbound lanes.</w:t>
      </w:r>
    </w:p>
    <w:p>
      <w:pPr>
        <w:pStyle w:val="Normal"/>
        <w:spacing w:before="120" w:after="120"/>
      </w:pPr>
      <w:r>
        <w:rPr>
          <w:b/>
          <w:color w:val="2C3E50"/>
          <w:rFonts w:ascii="Calibri" w:hAnsi="Calibri" w:eastAsia="Microsoft YaHei" w:cs="Calibri"/>
          <w:sz w:val="22"/>
          <w:szCs w:val="22"/>
        </w:rPr>
        <w:t xml:space="preserve">UNCLOS Safeguard. </w:t>
      </w:r>
      <w:r>
        <w:rPr>
          <w:rFonts w:ascii="Calibri" w:hAnsi="Calibri" w:eastAsia="Microsoft YaHei" w:cs="Calibri"/>
          <w:color w:val="1E1E1E"/>
          <w:sz w:val="22"/>
          <w:szCs w:val="22"/>
        </w:rPr>
        <w:t>For the avoidance of doubt, this definition is adopted solely for operational purposes under this Understanding and does not: (i) prejudge any Party's legal position regarding the Strait's status under international law; (ii) constitute recognition of any Party's sovereignty, jurisdiction, or administrative authority over the Strait or any part thereof; (iii) establish a precedent for any other maritime chokepoint; or (iv) prejudice any Party's rights or obligations under UNCLOS or customary international law.</w:t>
      </w:r>
    </w:p>
    <w:p>
      <w:pPr>
        <w:pStyle w:val="Normal"/>
        <w:spacing w:before="120" w:after="120"/>
      </w:pPr>
      <w:r>
        <w:rPr>
          <w:b/>
          <w:color w:val="2C3E50"/>
          <w:rFonts w:ascii="Calibri" w:hAnsi="Calibri" w:eastAsia="Microsoft YaHei" w:cs="Calibri"/>
          <w:sz w:val="22"/>
          <w:szCs w:val="22"/>
        </w:rPr>
        <w:t xml:space="preserve">"UNCLOS" </w:t>
      </w:r>
      <w:r>
        <w:rPr>
          <w:rFonts w:ascii="Calibri" w:hAnsi="Calibri" w:eastAsia="Microsoft YaHei" w:cs="Calibri"/>
          <w:color w:val="1E1E1E"/>
          <w:sz w:val="22"/>
          <w:szCs w:val="22"/>
        </w:rPr>
        <w:t>refers to the United Nations Convention on the Law of the Sea. Nothing in this Understanding affects or modifies the rights of any Party under UNCLOS, including the right of transit passage through international straits. The Parties affirm that this Understanding is a voluntary, operational arrangement that supplements, but does not replace, the Parties' rights and obligations under international law.</w:t>
      </w:r>
    </w:p>
    <w:p>
      <w:pPr>
        <w:pStyle w:val="Normal"/>
        <w:spacing w:before="120" w:after="120"/>
      </w:pPr>
      <w:r>
        <w:rPr>
          <w:b/>
          <w:color w:val="2C3E50"/>
          <w:rFonts w:ascii="Calibri" w:hAnsi="Calibri" w:eastAsia="Microsoft YaHei" w:cs="Calibri"/>
          <w:sz w:val="22"/>
          <w:szCs w:val="22"/>
        </w:rPr>
        <w:t xml:space="preserve">"Standardization" </w:t>
      </w:r>
      <w:r>
        <w:rPr>
          <w:rFonts w:ascii="Calibri" w:hAnsi="Calibri" w:eastAsia="Microsoft YaHei" w:cs="Calibri"/>
          <w:color w:val="1E1E1E"/>
          <w:sz w:val="22"/>
          <w:szCs w:val="22"/>
        </w:rPr>
        <w:t>refers to the alignment of navigational, communication, safety, and transit protocols with the prevailing technical recommendations, resolutions, and circulars of the International Maritime Organization (IMO), as well as internationally recognized nautical charts and transit practices in effect prior to January 1, 2026. This alignment encompasses the IMO Traffic Separation Scheme, the International Regulations for Preventing Collisions at Sea (COLREGs), and the Safety of Life at Sea Convention (SOLAS).</w:t>
      </w:r>
    </w:p>
    <w:p>
      <w:pPr>
        <w:pStyle w:val="Normal"/>
        <w:spacing w:before="120" w:after="120"/>
      </w:pPr>
      <w:r>
        <w:rPr>
          <w:b/>
          <w:color w:val="2C3E50"/>
          <w:rFonts w:ascii="Calibri" w:hAnsi="Calibri" w:eastAsia="Microsoft YaHei" w:cs="Calibri"/>
          <w:sz w:val="22"/>
          <w:szCs w:val="22"/>
        </w:rPr>
        <w:t xml:space="preserve">"Commercial Vessel" </w:t>
      </w:r>
      <w:r>
        <w:rPr>
          <w:rFonts w:ascii="Calibri" w:hAnsi="Calibri" w:eastAsia="Microsoft YaHei" w:cs="Calibri"/>
          <w:color w:val="1E1E1E"/>
          <w:sz w:val="22"/>
          <w:szCs w:val="22"/>
        </w:rPr>
        <w:t>refers to any ship over 300 gross tons engaged in legitimate commercial trade, excluding military vessels, state-operated naval auxiliaries, and government non-commercial craft. The term includes vessels engaged in commercial cargo, container, tanker, LNG carrier, bulk carrier, or general cargo operations, flying any flag, and transiting the Strait of Hormuz for purposes of international trade. The term excludes naval vessels, coast guard vessels, research vessels, and pleasure craft.</w:t>
      </w:r>
    </w:p>
    <w:p>
      <w:pPr>
        <w:pStyle w:val="Normal"/>
        <w:spacing w:before="120" w:after="120"/>
      </w:pPr>
      <w:r>
        <w:rPr>
          <w:b/>
          <w:color w:val="2C3E50"/>
          <w:rFonts w:ascii="Calibri" w:hAnsi="Calibri" w:eastAsia="Microsoft YaHei" w:cs="Calibri"/>
          <w:sz w:val="22"/>
          <w:szCs w:val="22"/>
        </w:rPr>
        <w:t xml:space="preserve">"The Joint Implementation Commission (JIC)" </w:t>
      </w:r>
      <w:r>
        <w:rPr>
          <w:rFonts w:ascii="Calibri" w:hAnsi="Calibri" w:eastAsia="Microsoft YaHei" w:cs="Calibri"/>
          <w:color w:val="1E1E1E"/>
          <w:sz w:val="22"/>
          <w:szCs w:val="22"/>
        </w:rPr>
        <w:t>refers to the body established under Article 7 of this Understanding, composed of two senior representatives from Iran, two senior representatives from the United States, one senior representative from Oman as neutral facilitator, and one senior representative from the IMO as technical advisor with no voting authority.</w:t>
      </w:r>
    </w:p>
    <w:p>
      <w:pPr>
        <w:pStyle w:val="Normal"/>
        <w:spacing w:before="120" w:after="120"/>
      </w:pPr>
      <w:r>
        <w:rPr>
          <w:b/>
          <w:color w:val="2C3E50"/>
          <w:rFonts w:ascii="Calibri" w:hAnsi="Calibri" w:eastAsia="Microsoft YaHei" w:cs="Calibri"/>
          <w:sz w:val="22"/>
          <w:szCs w:val="22"/>
        </w:rPr>
        <w:t xml:space="preserve">"The Annexes" </w:t>
      </w:r>
      <w:r>
        <w:rPr>
          <w:rFonts w:ascii="Calibri" w:hAnsi="Calibri" w:eastAsia="Microsoft YaHei" w:cs="Calibri"/>
          <w:color w:val="1E1E1E"/>
          <w:sz w:val="22"/>
          <w:szCs w:val="22"/>
        </w:rPr>
        <w:t>refers to the three operational appendices attached to this Understanding and forming an integral part of it: Annex 1AB (Navigation Safety and Deconfliction Protocol), Annex 1AC (Transit Facilitation and Service Fee Mechanism), and Annex 1AD (Confidence-Building and Reversible Measures Schedule).</w:t>
      </w:r>
    </w:p>
    <w:p>
      <w:pPr>
        <w:pStyle w:val="Normal"/>
        <w:spacing w:before="120" w:after="120"/>
      </w:pPr>
      <w:r>
        <w:rPr>
          <w:b/>
          <w:color w:val="2C3E50"/>
          <w:rFonts w:ascii="Calibri" w:hAnsi="Calibri" w:eastAsia="Microsoft YaHei" w:cs="Calibri"/>
          <w:sz w:val="22"/>
          <w:szCs w:val="22"/>
        </w:rPr>
        <w:t xml:space="preserve">"Vessel of Interest" </w:t>
      </w:r>
      <w:r>
        <w:rPr>
          <w:rFonts w:ascii="Calibri" w:hAnsi="Calibri" w:eastAsia="Microsoft YaHei" w:cs="Calibri"/>
          <w:color w:val="1E1E1E"/>
          <w:sz w:val="22"/>
          <w:szCs w:val="22"/>
        </w:rPr>
        <w:t>refers to any vessel that the Technical Working Group identifies through the anomaly detection process as requiring enhanced monitoring or verification attention. A vessel becomes a Vessel of Interest upon issuance of a preliminary alert; the designation escalates or de-escalates based on subsequent analytical findings.</w:t>
      </w:r>
    </w:p>
    <w:p>
      <w:pPr>
        <w:pStyle w:val="Normal"/>
        <w:spacing w:before="120" w:after="120"/>
      </w:pPr>
      <w:r>
        <w:rPr>
          <w:b/>
          <w:color w:val="2C3E50"/>
          <w:rFonts w:ascii="Calibri" w:hAnsi="Calibri" w:eastAsia="Microsoft YaHei" w:cs="Calibri"/>
          <w:sz w:val="22"/>
          <w:szCs w:val="22"/>
        </w:rPr>
        <w:t xml:space="preserve">"Dark Vessel" </w:t>
      </w:r>
      <w:r>
        <w:rPr>
          <w:rFonts w:ascii="Calibri" w:hAnsi="Calibri" w:eastAsia="Microsoft YaHei" w:cs="Calibri"/>
          <w:color w:val="1E1E1E"/>
          <w:sz w:val="22"/>
          <w:szCs w:val="22"/>
        </w:rPr>
        <w:t>refers to a vessel whose AIS transponder ceases broadcasting or whose broadcast contains falsified identifying information. Dark vessels trigger enhanced monitoring protocols. The Technical Working Group distinguishes between legitimate AIS gaps (equipment failure, poor satellite coverage) and deliberate dark activity through corroborating intelligence sources.</w:t>
      </w:r>
    </w:p>
    <w:p>
      <w:pPr>
        <w:pStyle w:val="Normal"/>
        <w:spacing w:before="120" w:after="120"/>
      </w:pPr>
      <w:r>
        <w:rPr>
          <w:b/>
          <w:color w:val="2C3E50"/>
          <w:rFonts w:ascii="Calibri" w:hAnsi="Calibri" w:eastAsia="Microsoft YaHei" w:cs="Calibri"/>
          <w:sz w:val="22"/>
          <w:szCs w:val="22"/>
        </w:rPr>
        <w:t xml:space="preserve">"Security Buffer Zone" </w:t>
      </w:r>
      <w:r>
        <w:rPr>
          <w:rFonts w:ascii="Calibri" w:hAnsi="Calibri" w:eastAsia="Microsoft YaHei" w:cs="Calibri"/>
          <w:color w:val="1E1E1E"/>
          <w:sz w:val="22"/>
          <w:szCs w:val="22"/>
        </w:rPr>
        <w:t>refers to the zone extending 2 nautical miles on either side of the TSS corridor centreline. No military vessel, patrol craft, or naval auxiliary enters this buffer zone during active commercial transit without prior notification to the Joint Secretariat and the commercial vessel's master.</w:t>
      </w:r>
    </w:p>
    <w:p>
      <w:pPr>
        <w:pStyle w:val="Heading2"/>
      </w:pPr>
      <w:r>
        <w:rPr>
          <w:rFonts w:ascii="Calibri" w:hAnsi="Calibri" w:eastAsia="Microsoft YaHei" w:cs="Calibri"/>
          <w:b/>
          <w:color w:val="2C3E50"/>
          <w:sz w:val="28"/>
          <w:szCs w:val="28"/>
        </w:rPr>
        <w:t>1.1A Unified Glossary</w:t>
      </w:r>
    </w:p>
    <w:p>
      <w:pPr>
        <w:pStyle w:val="Normal"/>
      </w:pPr>
      <w:r>
        <w:rPr>
          <w:rFonts w:ascii="Calibri" w:hAnsi="Calibri" w:eastAsia="Microsoft YaHei" w:cs="Calibri"/>
          <w:color w:val="1E1E1E"/>
          <w:sz w:val="22"/>
          <w:szCs w:val="22"/>
        </w:rPr>
        <w:t>The following terms, when used in this Understanding or any Annex, bear the meanings ascribed to them in the following locations:</w:t>
      </w:r>
    </w:p>
    <w:tbl>
      <w:tblPr>
        <w:tblW w:w="5000" w:type="pct"/>
        <w:tblBorders>
          <w:top w:val="single" w:color="1a2a3a" w:sz="12"/>
          <w:left w:val="nil"/>
          <w:bottom w:val="single" w:color="1a2a3a" w:sz="12"/>
          <w:right w:val="nil"/>
          <w:insideH w:val="single" w:color="d0ccc0" w:sz="4"/>
          <w:insideV w:val="nil"/>
        </w:tblBorders>
      </w:tblPr>
      <w:tblGrid>
        <w:gridCol w:w="2000"/>
        <w:gridCol w:w="3000"/>
      </w:tblGrid>
      <w:tr>
        <w:trPr>
          <w:tblHeader w:val="1"/>
        </w:trPr>
        <w:tc>
          <w:tcPr>
            <w:tcW w:w="2000" w:type="dxa"/>
            <w:shd w:val="clear" w:fill="E8E6E0" w:color="auto"/>
          </w:tcPr>
          <w:p>
            <w:pPr>
              <w:pStyle w:val="Normal"/>
              <w:spacing w:before="40" w:after="40"/>
            </w:pPr>
            <w:r>
              <w:rPr>
                <w:b/>
                <w:color w:val="1E1E1E"/>
                <w:sz w:val="20"/>
                <w:rFonts w:ascii="Calibri" w:hAnsi="Calibri" w:eastAsia="Microsoft YaHei" w:cs="Calibri"/>
                <w:szCs w:val="20"/>
              </w:rPr>
              <w:t>Term</w:t>
            </w:r>
          </w:p>
        </w:tc>
        <w:tc>
          <w:tcPr>
            <w:tcW w:w="3000" w:type="dxa"/>
            <w:shd w:val="clear" w:fill="E8E6E0" w:color="auto"/>
          </w:tcPr>
          <w:p>
            <w:pPr>
              <w:pStyle w:val="Normal"/>
              <w:spacing w:before="40" w:after="40"/>
            </w:pPr>
            <w:r>
              <w:rPr>
                <w:b/>
                <w:color w:val="1E1E1E"/>
                <w:sz w:val="20"/>
                <w:rFonts w:ascii="Calibri" w:hAnsi="Calibri" w:eastAsia="Microsoft YaHei" w:cs="Calibri"/>
                <w:szCs w:val="20"/>
              </w:rPr>
              <w:t>Definition Location</w:t>
            </w:r>
          </w:p>
        </w:tc>
      </w:tr>
      <w:tr>
        <w:tc>
          <w:tcPr>
            <w:tcW w:w="2000" w:type="dxa"/>
          </w:tcPr>
          <w:p>
            <w:pPr>
              <w:pStyle w:val="Normal"/>
              <w:spacing w:before="40" w:after="40"/>
            </w:pPr>
            <w:r>
              <w:rPr>
                <w:b/>
                <w:color w:val="4A4A4A"/>
                <w:sz w:val="20"/>
                <w:rFonts w:ascii="Calibri" w:hAnsi="Calibri" w:eastAsia="Microsoft YaHei" w:cs="Calibri"/>
                <w:szCs w:val="20"/>
              </w:rPr>
              <w:t>Commercial Vessel</w:t>
            </w:r>
          </w:p>
        </w:tc>
        <w:tc>
          <w:tcPr>
            <w:tcW w:w="3000" w:type="dxa"/>
          </w:tcPr>
          <w:p>
            <w:pPr>
              <w:pStyle w:val="Normal"/>
              <w:spacing w:before="40" w:after="40"/>
            </w:pPr>
            <w:r>
              <w:rPr>
                <w:b/>
                <w:color w:val="4A4A4A"/>
                <w:sz w:val="20"/>
                <w:rFonts w:ascii="Calibri" w:hAnsi="Calibri" w:eastAsia="Microsoft YaHei" w:cs="Calibri"/>
                <w:szCs w:val="20"/>
              </w:rPr>
              <w:t>HSU Article 1.1</w:t>
            </w:r>
          </w:p>
        </w:tc>
      </w:tr>
      <w:tr>
        <w:tc>
          <w:tcPr>
            <w:tcW w:w="2000" w:type="dxa"/>
          </w:tcPr>
          <w:p>
            <w:pPr>
              <w:pStyle w:val="Normal"/>
              <w:spacing w:before="40" w:after="40"/>
            </w:pPr>
            <w:r>
              <w:rPr>
                <w:b/>
                <w:color w:val="4A4A4A"/>
                <w:sz w:val="20"/>
                <w:rFonts w:ascii="Calibri" w:hAnsi="Calibri" w:eastAsia="Microsoft YaHei" w:cs="Calibri"/>
                <w:szCs w:val="20"/>
              </w:rPr>
              <w:t>The Strait</w:t>
            </w:r>
          </w:p>
        </w:tc>
        <w:tc>
          <w:tcPr>
            <w:tcW w:w="3000" w:type="dxa"/>
          </w:tcPr>
          <w:p>
            <w:pPr>
              <w:pStyle w:val="Normal"/>
              <w:spacing w:before="40" w:after="40"/>
            </w:pPr>
            <w:r>
              <w:rPr>
                <w:b/>
                <w:color w:val="4A4A4A"/>
                <w:sz w:val="20"/>
                <w:rFonts w:ascii="Calibri" w:hAnsi="Calibri" w:eastAsia="Microsoft YaHei" w:cs="Calibri"/>
                <w:szCs w:val="20"/>
              </w:rPr>
              <w:t>HSU Article 1.1</w:t>
            </w:r>
          </w:p>
        </w:tc>
      </w:tr>
      <w:tr>
        <w:tc>
          <w:tcPr>
            <w:tcW w:w="2000" w:type="dxa"/>
          </w:tcPr>
          <w:p>
            <w:pPr>
              <w:pStyle w:val="Normal"/>
              <w:spacing w:before="40" w:after="40"/>
            </w:pPr>
            <w:r>
              <w:rPr>
                <w:b/>
                <w:color w:val="4A4A4A"/>
                <w:sz w:val="20"/>
                <w:rFonts w:ascii="Calibri" w:hAnsi="Calibri" w:eastAsia="Microsoft YaHei" w:cs="Calibri"/>
                <w:szCs w:val="20"/>
              </w:rPr>
              <w:t>Joint Implementation Commission (JIC)</w:t>
            </w:r>
          </w:p>
        </w:tc>
        <w:tc>
          <w:tcPr>
            <w:tcW w:w="3000" w:type="dxa"/>
          </w:tcPr>
          <w:p>
            <w:pPr>
              <w:pStyle w:val="Normal"/>
              <w:spacing w:before="40" w:after="40"/>
            </w:pPr>
            <w:r>
              <w:rPr>
                <w:b/>
                <w:color w:val="4A4A4A"/>
                <w:sz w:val="20"/>
                <w:rFonts w:ascii="Calibri" w:hAnsi="Calibri" w:eastAsia="Microsoft YaHei" w:cs="Calibri"/>
                <w:szCs w:val="20"/>
              </w:rPr>
              <w:t>HSU Article 1.1</w:t>
            </w:r>
          </w:p>
        </w:tc>
      </w:tr>
      <w:tr>
        <w:tc>
          <w:tcPr>
            <w:tcW w:w="2000" w:type="dxa"/>
          </w:tcPr>
          <w:p>
            <w:pPr>
              <w:pStyle w:val="Normal"/>
              <w:spacing w:before="40" w:after="40"/>
            </w:pPr>
            <w:r>
              <w:rPr>
                <w:b/>
                <w:color w:val="4A4A4A"/>
                <w:sz w:val="20"/>
                <w:rFonts w:ascii="Calibri" w:hAnsi="Calibri" w:eastAsia="Microsoft YaHei" w:cs="Calibri"/>
                <w:szCs w:val="20"/>
              </w:rPr>
              <w:t>Vessel Traffic Service (VTS)</w:t>
            </w:r>
          </w:p>
        </w:tc>
        <w:tc>
          <w:tcPr>
            <w:tcW w:w="3000" w:type="dxa"/>
          </w:tcPr>
          <w:p>
            <w:pPr>
              <w:pStyle w:val="Normal"/>
              <w:spacing w:before="40" w:after="40"/>
            </w:pPr>
            <w:r>
              <w:rPr>
                <w:b/>
                <w:color w:val="4A4A4A"/>
                <w:sz w:val="20"/>
                <w:rFonts w:ascii="Calibri" w:hAnsi="Calibri" w:eastAsia="Microsoft YaHei" w:cs="Calibri"/>
                <w:szCs w:val="20"/>
              </w:rPr>
              <w:t>Annex 1AB Section B.1</w:t>
            </w:r>
          </w:p>
        </w:tc>
      </w:tr>
      <w:tr>
        <w:tc>
          <w:tcPr>
            <w:tcW w:w="2000" w:type="dxa"/>
          </w:tcPr>
          <w:p>
            <w:pPr>
              <w:pStyle w:val="Normal"/>
              <w:spacing w:before="40" w:after="40"/>
            </w:pPr>
            <w:r>
              <w:rPr>
                <w:b/>
                <w:color w:val="4A4A4A"/>
                <w:sz w:val="20"/>
                <w:rFonts w:ascii="Calibri" w:hAnsi="Calibri" w:eastAsia="Microsoft YaHei" w:cs="Calibri"/>
                <w:szCs w:val="20"/>
              </w:rPr>
              <w:t>No-Go Zone</w:t>
            </w:r>
          </w:p>
        </w:tc>
        <w:tc>
          <w:tcPr>
            <w:tcW w:w="3000" w:type="dxa"/>
          </w:tcPr>
          <w:p>
            <w:pPr>
              <w:pStyle w:val="Normal"/>
              <w:spacing w:before="40" w:after="40"/>
            </w:pPr>
            <w:r>
              <w:rPr>
                <w:b/>
                <w:color w:val="4A4A4A"/>
                <w:sz w:val="20"/>
                <w:rFonts w:ascii="Calibri" w:hAnsi="Calibri" w:eastAsia="Microsoft YaHei" w:cs="Calibri"/>
                <w:szCs w:val="20"/>
              </w:rPr>
              <w:t>Annex 1AB Section D.2</w:t>
            </w:r>
          </w:p>
        </w:tc>
      </w:tr>
      <w:tr>
        <w:tc>
          <w:tcPr>
            <w:tcW w:w="2000" w:type="dxa"/>
          </w:tcPr>
          <w:p>
            <w:pPr>
              <w:pStyle w:val="Normal"/>
              <w:spacing w:before="40" w:after="40"/>
            </w:pPr>
            <w:r>
              <w:rPr>
                <w:b/>
                <w:color w:val="4A4A4A"/>
                <w:sz w:val="20"/>
                <w:rFonts w:ascii="Calibri" w:hAnsi="Calibri" w:eastAsia="Microsoft YaHei" w:cs="Calibri"/>
                <w:szCs w:val="20"/>
              </w:rPr>
              <w:t>Hormuz Service Corporation (HSC)</w:t>
            </w:r>
          </w:p>
        </w:tc>
        <w:tc>
          <w:tcPr>
            <w:tcW w:w="3000" w:type="dxa"/>
          </w:tcPr>
          <w:p>
            <w:pPr>
              <w:pStyle w:val="Normal"/>
              <w:spacing w:before="40" w:after="40"/>
            </w:pPr>
            <w:r>
              <w:rPr>
                <w:b/>
                <w:color w:val="4A4A4A"/>
                <w:sz w:val="20"/>
                <w:rFonts w:ascii="Calibri" w:hAnsi="Calibri" w:eastAsia="Microsoft YaHei" w:cs="Calibri"/>
                <w:szCs w:val="20"/>
              </w:rPr>
              <w:t>Annex 1AC Article 2.1</w:t>
            </w:r>
          </w:p>
        </w:tc>
      </w:tr>
      <w:tr>
        <w:tc>
          <w:tcPr>
            <w:tcW w:w="2000" w:type="dxa"/>
          </w:tcPr>
          <w:p>
            <w:pPr>
              <w:pStyle w:val="Normal"/>
              <w:spacing w:before="40" w:after="40"/>
            </w:pPr>
            <w:r>
              <w:rPr>
                <w:b/>
                <w:color w:val="4A4A4A"/>
                <w:sz w:val="20"/>
                <w:rFonts w:ascii="Calibri" w:hAnsi="Calibri" w:eastAsia="Microsoft YaHei" w:cs="Calibri"/>
                <w:szCs w:val="20"/>
              </w:rPr>
              <w:t>Level 1-4 Violation</w:t>
            </w:r>
          </w:p>
        </w:tc>
        <w:tc>
          <w:tcPr>
            <w:tcW w:w="3000" w:type="dxa"/>
          </w:tcPr>
          <w:p>
            <w:pPr>
              <w:pStyle w:val="Normal"/>
              <w:spacing w:before="40" w:after="40"/>
            </w:pPr>
            <w:r>
              <w:rPr>
                <w:b/>
                <w:color w:val="4A4A4A"/>
                <w:sz w:val="20"/>
                <w:rFonts w:ascii="Calibri" w:hAnsi="Calibri" w:eastAsia="Microsoft YaHei" w:cs="Calibri"/>
                <w:szCs w:val="20"/>
              </w:rPr>
              <w:t>Annex 1AB Section F.3.2</w:t>
            </w:r>
          </w:p>
        </w:tc>
      </w:tr>
      <w:tr>
        <w:tc>
          <w:tcPr>
            <w:tcW w:w="2000" w:type="dxa"/>
          </w:tcPr>
          <w:p>
            <w:pPr>
              <w:pStyle w:val="Normal"/>
              <w:spacing w:before="40" w:after="40"/>
            </w:pPr>
            <w:r>
              <w:rPr>
                <w:b/>
                <w:color w:val="4A4A4A"/>
                <w:sz w:val="20"/>
                <w:rFonts w:ascii="Calibri" w:hAnsi="Calibri" w:eastAsia="Microsoft YaHei" w:cs="Calibri"/>
                <w:szCs w:val="20"/>
              </w:rPr>
              <w:t>Synchronization Failure</w:t>
            </w:r>
          </w:p>
        </w:tc>
        <w:tc>
          <w:tcPr>
            <w:tcW w:w="3000" w:type="dxa"/>
          </w:tcPr>
          <w:p>
            <w:pPr>
              <w:pStyle w:val="Normal"/>
              <w:spacing w:before="40" w:after="40"/>
            </w:pPr>
            <w:r>
              <w:rPr>
                <w:b/>
                <w:color w:val="4A4A4A"/>
                <w:sz w:val="20"/>
                <w:rFonts w:ascii="Calibri" w:hAnsi="Calibri" w:eastAsia="Microsoft YaHei" w:cs="Calibri"/>
                <w:szCs w:val="20"/>
              </w:rPr>
              <w:t>Annex 1AD Section 6.3</w:t>
            </w:r>
          </w:p>
        </w:tc>
      </w:tr>
      <w:tr>
        <w:tc>
          <w:tcPr>
            <w:tcW w:w="2000" w:type="dxa"/>
          </w:tcPr>
          <w:p>
            <w:pPr>
              <w:pStyle w:val="Normal"/>
              <w:spacing w:before="40" w:after="40"/>
            </w:pPr>
            <w:r>
              <w:rPr>
                <w:b/>
                <w:color w:val="4A4A4A"/>
                <w:sz w:val="20"/>
                <w:rFonts w:ascii="Calibri" w:hAnsi="Calibri" w:eastAsia="Microsoft YaHei" w:cs="Calibri"/>
                <w:szCs w:val="20"/>
              </w:rPr>
              <w:t>Neutral Guarantor</w:t>
            </w:r>
          </w:p>
        </w:tc>
        <w:tc>
          <w:tcPr>
            <w:tcW w:w="3000" w:type="dxa"/>
          </w:tcPr>
          <w:p>
            <w:pPr>
              <w:pStyle w:val="Normal"/>
              <w:spacing w:before="40" w:after="40"/>
            </w:pPr>
            <w:r>
              <w:rPr>
                <w:b/>
                <w:color w:val="4A4A4A"/>
                <w:sz w:val="20"/>
                <w:rFonts w:ascii="Calibri" w:hAnsi="Calibri" w:eastAsia="Microsoft YaHei" w:cs="Calibri"/>
                <w:szCs w:val="20"/>
              </w:rPr>
              <w:t>Annex 1AD Section 5.1</w:t>
            </w:r>
          </w:p>
        </w:tc>
      </w:tr>
    </w:tbl>
    <w:p>
      <w:pPr>
        <w:pStyle w:val="Normal"/>
      </w:pPr>
      <w:r>
        <w:rPr>
          <w:rFonts w:ascii="Calibri" w:hAnsi="Calibri" w:eastAsia="Microsoft YaHei" w:cs="Calibri"/>
          <w:color w:val="1E1E1E"/>
          <w:sz w:val="22"/>
          <w:szCs w:val="22"/>
        </w:rPr>
        <w:t>In the event of inconsistency between definitions, the HSU definition prevails.</w:t>
      </w:r>
    </w:p>
    <w:p>
      <w:pPr>
        <w:pStyle w:val="Heading2"/>
      </w:pPr>
      <w:r>
        <w:rPr>
          <w:rFonts w:ascii="Calibri" w:hAnsi="Calibri" w:eastAsia="Microsoft YaHei" w:cs="Calibri"/>
          <w:b/>
          <w:color w:val="2C3E50"/>
          <w:sz w:val="28"/>
          <w:szCs w:val="28"/>
        </w:rPr>
        <w:t>1.1B Force Majeure</w:t>
      </w:r>
    </w:p>
    <w:p>
      <w:pPr>
        <w:pStyle w:val="Normal"/>
      </w:pPr>
      <w:r>
        <w:rPr>
          <w:rFonts w:ascii="Calibri" w:hAnsi="Calibri" w:eastAsia="Microsoft YaHei" w:cs="Calibri"/>
          <w:color w:val="2C3E50"/>
          <w:sz w:val="22"/>
          <w:b/>
          <w:szCs w:val="22"/>
        </w:rPr>
        <w:t xml:space="preserve">(a) Definition: </w:t>
      </w:r>
      <w:r>
        <w:rPr>
          <w:rFonts w:ascii="Calibri" w:hAnsi="Calibri" w:eastAsia="Microsoft YaHei" w:cs="Calibri"/>
          <w:color w:val="1E1E1E"/>
          <w:sz w:val="22"/>
          <w:szCs w:val="22"/>
        </w:rPr>
        <w:t>"Force Majeure" means any event beyond the reasonable control of a Party that prevents or delays performance of an obligation under this Understanding, including: (i) natural disasters (earthquakes, tsunamis, severe storms); (ii) acts of war or armed conflict; (iii) terrorist attacks; (iv) epidemic or pandemic; (v) government actions beyond the Party's control.</w:t>
      </w:r>
    </w:p>
    <w:p>
      <w:pPr>
        <w:pStyle w:val="Normal"/>
      </w:pPr>
      <w:r>
        <w:rPr>
          <w:rFonts w:ascii="Calibri" w:hAnsi="Calibri" w:eastAsia="Microsoft YaHei" w:cs="Calibri"/>
          <w:color w:val="2C3E50"/>
          <w:sz w:val="22"/>
          <w:b/>
          <w:szCs w:val="22"/>
        </w:rPr>
        <w:t xml:space="preserve">(b) Notification: </w:t>
      </w:r>
      <w:r>
        <w:rPr>
          <w:rFonts w:ascii="Calibri" w:hAnsi="Calibri" w:eastAsia="Microsoft YaHei" w:cs="Calibri"/>
          <w:color w:val="1E1E1E"/>
          <w:sz w:val="22"/>
          <w:szCs w:val="22"/>
        </w:rPr>
        <w:t>A Party invoking force majeure notifies the JIC in writing within 72 hours of the event, specifying: (i) the nature of the force majeure event; (ii) the obligations affected; (iii) the expected duration of the impact; (iv) the steps being taken to mitigate the impact.</w:t>
      </w:r>
    </w:p>
    <w:p>
      <w:pPr>
        <w:pStyle w:val="Normal"/>
      </w:pPr>
      <w:r>
        <w:rPr>
          <w:rFonts w:ascii="Calibri" w:hAnsi="Calibri" w:eastAsia="Microsoft YaHei" w:cs="Calibri"/>
          <w:color w:val="2C3E50"/>
          <w:sz w:val="22"/>
          <w:b/>
          <w:szCs w:val="22"/>
        </w:rPr>
        <w:t xml:space="preserve">(c) Suspension: </w:t>
      </w:r>
      <w:r>
        <w:rPr>
          <w:rFonts w:ascii="Calibri" w:hAnsi="Calibri" w:eastAsia="Microsoft YaHei" w:cs="Calibri"/>
          <w:color w:val="1E1E1E"/>
          <w:sz w:val="22"/>
          <w:szCs w:val="22"/>
        </w:rPr>
        <w:t>Obligations affected by force majeure suspend for the duration of the event. The suspending Party bears no penalty for non-compliance during the suspension period. Force majeure does not cover events caused or materially contributed to by the invoking Party's own actions, omissions, or the actions of entities under its effective control. No force majeure suspension exceeds 90 consecutive days without JIC review and renewal.</w:t>
      </w:r>
    </w:p>
    <w:p>
      <w:pPr>
        <w:pStyle w:val="Normal"/>
      </w:pPr>
      <w:r>
        <w:rPr>
          <w:rFonts w:ascii="Calibri" w:hAnsi="Calibri" w:eastAsia="Microsoft YaHei" w:cs="Calibri"/>
          <w:color w:val="2C3E50"/>
          <w:sz w:val="22"/>
          <w:b/>
          <w:szCs w:val="22"/>
        </w:rPr>
        <w:t xml:space="preserve">(d) Review: </w:t>
      </w:r>
      <w:r>
        <w:rPr>
          <w:rFonts w:ascii="Calibri" w:hAnsi="Calibri" w:eastAsia="Microsoft YaHei" w:cs="Calibri"/>
          <w:color w:val="1E1E1E"/>
          <w:sz w:val="22"/>
          <w:szCs w:val="22"/>
        </w:rPr>
        <w:t>The JIC reviews every force majeure claim within 14 days and determines whether the event qualifies, whether the invoking Party caused or contributed to the event, and whether the suspension remains necessary. Upon reaching 90 days of continuous suspension, the JIC conducts a mandatory renewal review. The suspension lifts automatically unless the JIC affirms by consensus that the force majeure event continues and the invoking Party bears no responsibility for its prolongation.</w:t>
      </w:r>
    </w:p>
    <w:p>
      <w:pPr>
        <w:pStyle w:val="Heading2"/>
      </w:pPr>
      <w:r>
        <w:rPr>
          <w:rFonts w:ascii="Calibri" w:hAnsi="Calibri" w:eastAsia="Microsoft YaHei" w:cs="Calibri"/>
          <w:b/>
          <w:color w:val="2C3E50"/>
          <w:sz w:val="28"/>
          <w:szCs w:val="28"/>
        </w:rPr>
        <w:t>1.1C Definitions of Breach Levels</w:t>
      </w:r>
    </w:p>
    <w:p>
      <w:pPr>
        <w:pStyle w:val="Normal"/>
      </w:pPr>
      <w:r>
        <w:rPr>
          <w:rFonts w:ascii="Calibri" w:hAnsi="Calibri" w:eastAsia="Microsoft YaHei" w:cs="Calibri"/>
          <w:color w:val="1E1E1E"/>
          <w:sz w:val="22"/>
          <w:szCs w:val="22"/>
        </w:rPr>
        <w:t>For the purposes of this Understanding:</w:t>
      </w:r>
    </w:p>
    <w:p>
      <w:pPr>
        <w:pStyle w:val="Normal"/>
      </w:pPr>
      <w:r>
        <w:rPr>
          <w:rFonts w:ascii="Calibri" w:hAnsi="Calibri" w:eastAsia="Microsoft YaHei" w:cs="Calibri"/>
          <w:color w:val="2C3E50"/>
          <w:sz w:val="22"/>
          <w:b/>
          <w:szCs w:val="22"/>
        </w:rPr>
        <w:t xml:space="preserve">(a) "Minor Breach" </w:t>
      </w:r>
      <w:r>
        <w:rPr>
          <w:rFonts w:ascii="Calibri" w:hAnsi="Calibri" w:eastAsia="Microsoft YaHei" w:cs="Calibri"/>
          <w:color w:val="1E1E1E"/>
          <w:sz w:val="22"/>
          <w:szCs w:val="22"/>
        </w:rPr>
        <w:t>means any violation classified as Level 1 or Level 2 under HSU Annex 1AB Section F.3.2.</w:t>
      </w:r>
    </w:p>
    <w:p>
      <w:pPr>
        <w:pStyle w:val="Normal"/>
      </w:pPr>
      <w:r>
        <w:rPr>
          <w:rFonts w:ascii="Calibri" w:hAnsi="Calibri" w:eastAsia="Microsoft YaHei" w:cs="Calibri"/>
          <w:color w:val="2C3E50"/>
          <w:sz w:val="22"/>
          <w:b/>
          <w:szCs w:val="22"/>
        </w:rPr>
        <w:t xml:space="preserve">(b) "Material Breach" </w:t>
      </w:r>
      <w:r>
        <w:rPr>
          <w:rFonts w:ascii="Calibri" w:hAnsi="Calibri" w:eastAsia="Microsoft YaHei" w:cs="Calibri"/>
          <w:color w:val="1E1E1E"/>
          <w:sz w:val="22"/>
          <w:szCs w:val="22"/>
        </w:rPr>
        <w:t>means any violation classified as Level 3 or Level 4 under HSU Annex 1AB Section F.3.2, or any repeated Level 2 violations that, in the JIC's determination, constitute a pattern of non-compliance.</w:t>
      </w:r>
    </w:p>
    <w:p>
      <w:pPr>
        <w:pStyle w:val="Normal"/>
      </w:pPr>
      <w:r>
        <w:rPr>
          <w:rFonts w:ascii="Calibri" w:hAnsi="Calibri" w:eastAsia="Microsoft YaHei" w:cs="Calibri"/>
          <w:color w:val="2C3E50"/>
          <w:sz w:val="22"/>
          <w:b/>
          <w:szCs w:val="22"/>
        </w:rPr>
        <w:t xml:space="preserve">(c) "Fundamental Breach" </w:t>
      </w:r>
      <w:r>
        <w:rPr>
          <w:rFonts w:ascii="Calibri" w:hAnsi="Calibri" w:eastAsia="Microsoft YaHei" w:cs="Calibri"/>
          <w:color w:val="1E1E1E"/>
          <w:sz w:val="22"/>
          <w:szCs w:val="22"/>
        </w:rPr>
        <w:t>means any violation that undermines the core purposes of this Understanding, including: (i) closure of the Strait; (ii) sinking of a Commercial Vessel; (iii) systematic interference with the HSC's financial operations; (iv) repudiation of this Understanding in writing by a Party.</w:t>
      </w:r>
    </w:p>
    <w:p>
      <w:pPr>
        <w:pStyle w:val="Normal"/>
      </w:pPr>
      <w:r>
        <w:rPr>
          <w:rFonts w:ascii="Calibri" w:hAnsi="Calibri" w:eastAsia="Microsoft YaHei" w:cs="Calibri"/>
          <w:color w:val="2C3E50"/>
          <w:sz w:val="22"/>
          <w:b/>
          <w:szCs w:val="22"/>
        </w:rPr>
        <w:t xml:space="preserve">(d) "Good Faith" </w:t>
      </w:r>
      <w:r>
        <w:rPr>
          <w:rFonts w:ascii="Calibri" w:hAnsi="Calibri" w:eastAsia="Microsoft YaHei" w:cs="Calibri"/>
          <w:color w:val="1E1E1E"/>
          <w:sz w:val="22"/>
          <w:szCs w:val="22"/>
        </w:rPr>
        <w:t>means conduct consistent with the spirit and intent of this Understanding, including: (i) timely and complete reporting of incidents and data as required by this Understanding; (ii) absence of deliberate exploitation of ambiguities or omissions to avoid compliance; (iii) immediate correction of any Level 1 or Level 2 violation upon JIC notification; (iv) the provision of unaltered, complete raw data to the Shared Digital Registry; (v) refraining from using procedural objections as a means of delaying or obstructing JIC functions. If the JIC finds that a Party acted in bad faith, the JIC treats that Party's actions as a Level 2 violation for the first instance and a Level 3 violation for any subsequent instance within the same 12-month period.</w:t>
      </w:r>
    </w:p>
    <w:p>
      <w:pPr>
        <w:pStyle w:val="Heading2"/>
      </w:pPr>
      <w:r>
        <w:rPr>
          <w:rFonts w:ascii="Calibri" w:hAnsi="Calibri" w:eastAsia="Microsoft YaHei" w:cs="Calibri"/>
          <w:b/>
          <w:color w:val="2C3E50"/>
          <w:sz w:val="28"/>
          <w:szCs w:val="28"/>
        </w:rPr>
        <w:t>1.2 Scope</w:t>
      </w:r>
    </w:p>
    <w:p>
      <w:pPr>
        <w:pStyle w:val="Normal"/>
      </w:pPr>
      <w:r>
        <w:rPr>
          <w:rFonts w:ascii="Calibri" w:hAnsi="Calibri" w:eastAsia="Microsoft YaHei" w:cs="Calibri"/>
          <w:color w:val="1E1E1E"/>
          <w:sz w:val="22"/>
          <w:szCs w:val="22"/>
        </w:rPr>
        <w:t>This Understanding applies exclusively to the navigation of Commercial Vessels transiting the Strait. It addresses, regulates, or restricts the military activities of no state in the Strait, except insofar as such activities directly interfere with Commercial Vessel transit as defined by the Annexes.</w:t>
      </w:r>
    </w:p>
    <w:p>
      <w:pPr>
        <w:pStyle w:val="Normal"/>
      </w:pPr>
      <w:r>
        <w:rPr>
          <w:rFonts w:ascii="Calibri" w:hAnsi="Calibri" w:eastAsia="Microsoft YaHei" w:cs="Calibri"/>
          <w:color w:val="1E1E1E"/>
          <w:sz w:val="22"/>
          <w:szCs w:val="22"/>
        </w:rPr>
        <w:t>The metrics defined in this Understanding apply exclusively to commercial vessels transiting the Strait of Hormuz during the 36-month period established under Article 9. These metrics do not apply to military vessels, state-owned non-commercial vessels, or vessels in distress.</w:t>
      </w:r>
    </w:p>
    <w:p>
      <w:pPr>
        <w:pStyle w:val="Normal"/>
      </w:pPr>
      <w:r>
        <w:rPr>
          <w:rFonts w:ascii="Calibri" w:hAnsi="Calibri" w:eastAsia="Microsoft YaHei" w:cs="Calibri"/>
          <w:color w:val="1E1E1E"/>
          <w:sz w:val="22"/>
          <w:szCs w:val="22"/>
        </w:rPr>
        <w:t>The framework architecture treats transit through either corridor as valid for the purpose of verifying unobstructed passage, provided the transit satisfies all metrics defined in Annex 1AB. The Technical Working Group records which corridor each transit uses for data analysis purposes. Neither corridor receives preferential treatment in the verification process.</w:t>
      </w:r>
    </w:p>
    <w:p>
      <w:pPr>
        <w:pStyle w:val="Heading2"/>
      </w:pPr>
      <w:r>
        <w:rPr>
          <w:rFonts w:ascii="Calibri" w:hAnsi="Calibri" w:eastAsia="Microsoft YaHei" w:cs="Calibri"/>
          <w:b/>
          <w:color w:val="2C3E50"/>
          <w:sz w:val="28"/>
          <w:szCs w:val="28"/>
        </w:rPr>
        <w:t>1.3 Non-Prejudice Clause</w:t>
      </w:r>
    </w:p>
    <w:p>
      <w:pPr>
        <w:pStyle w:val="Normal"/>
      </w:pPr>
      <w:r>
        <w:rPr>
          <w:rFonts w:ascii="Calibri" w:hAnsi="Calibri" w:eastAsia="Microsoft YaHei" w:cs="Calibri"/>
          <w:color w:val="1E1E1E"/>
          <w:sz w:val="22"/>
          <w:szCs w:val="22"/>
        </w:rPr>
        <w:t>Nothing in this Understanding, nor in any Annex or SOP derived therefrom, is construed as:</w:t>
      </w:r>
    </w:p>
    <w:p>
      <w:pPr>
        <w:pStyle w:val="Normal"/>
        <w:spacing w:before="60" w:after="60"/>
        <w:ind w:left="720" w:hanging="360"/>
      </w:pPr>
      <w:r>
        <w:rPr>
          <w:b/>
          <w:color w:val="2C3E50"/>
          <w:rFonts w:ascii="Calibri" w:hAnsi="Calibri" w:eastAsia="Microsoft YaHei" w:cs="Calibri"/>
          <w:sz w:val="22"/>
          <w:szCs w:val="22"/>
        </w:rPr>
        <w:t xml:space="preserve">(a) </w:t>
      </w:r>
      <w:r>
        <w:rPr>
          <w:rFonts w:ascii="Calibri" w:hAnsi="Calibri" w:eastAsia="Microsoft YaHei" w:cs="Calibri"/>
          <w:color w:val="1E1E1E"/>
          <w:sz w:val="22"/>
          <w:szCs w:val="22"/>
        </w:rPr>
        <w:t>Recognition by the United States of Iranian sovereignty or exclusive jurisdiction over the Strait;</w:t>
      </w:r>
    </w:p>
    <w:p>
      <w:pPr>
        <w:pStyle w:val="Normal"/>
        <w:spacing w:before="60" w:after="60"/>
        <w:ind w:left="720" w:hanging="360"/>
      </w:pPr>
      <w:r>
        <w:rPr>
          <w:b/>
          <w:color w:val="2C3E50"/>
          <w:rFonts w:ascii="Calibri" w:hAnsi="Calibri" w:eastAsia="Microsoft YaHei" w:cs="Calibri"/>
          <w:sz w:val="22"/>
          <w:szCs w:val="22"/>
        </w:rPr>
        <w:t xml:space="preserve">(b) </w:t>
      </w:r>
      <w:r>
        <w:rPr>
          <w:rFonts w:ascii="Calibri" w:hAnsi="Calibri" w:eastAsia="Microsoft YaHei" w:cs="Calibri"/>
          <w:color w:val="1E1E1E"/>
          <w:sz w:val="22"/>
          <w:szCs w:val="22"/>
        </w:rPr>
        <w:t>Recognition by Iran of any right of the United States to regulate transit in the Strait;</w:t>
      </w:r>
    </w:p>
    <w:p>
      <w:pPr>
        <w:pStyle w:val="Normal"/>
        <w:spacing w:before="60" w:after="60"/>
        <w:ind w:left="720" w:hanging="360"/>
      </w:pPr>
      <w:r>
        <w:rPr>
          <w:b/>
          <w:color w:val="2C3E50"/>
          <w:rFonts w:ascii="Calibri" w:hAnsi="Calibri" w:eastAsia="Microsoft YaHei" w:cs="Calibri"/>
          <w:sz w:val="22"/>
          <w:szCs w:val="22"/>
        </w:rPr>
        <w:t xml:space="preserve">(c) </w:t>
      </w:r>
      <w:r>
        <w:rPr>
          <w:rFonts w:ascii="Calibri" w:hAnsi="Calibri" w:eastAsia="Microsoft YaHei" w:cs="Calibri"/>
          <w:color w:val="1E1E1E"/>
          <w:sz w:val="22"/>
          <w:szCs w:val="22"/>
        </w:rPr>
        <w:t>A waiver of any legal arguments or sovereign claims by either Party in any other forum;</w:t>
      </w:r>
    </w:p>
    <w:p>
      <w:pPr>
        <w:pStyle w:val="Normal"/>
        <w:spacing w:before="60" w:after="60"/>
        <w:ind w:left="720" w:hanging="360"/>
      </w:pPr>
      <w:r>
        <w:rPr>
          <w:b/>
          <w:color w:val="2C3E50"/>
          <w:rFonts w:ascii="Calibri" w:hAnsi="Calibri" w:eastAsia="Microsoft YaHei" w:cs="Calibri"/>
          <w:sz w:val="22"/>
          <w:szCs w:val="22"/>
        </w:rPr>
        <w:t xml:space="preserve">(d) </w:t>
      </w:r>
      <w:r>
        <w:rPr>
          <w:rFonts w:ascii="Calibri" w:hAnsi="Calibri" w:eastAsia="Microsoft YaHei" w:cs="Calibri"/>
          <w:color w:val="1E1E1E"/>
          <w:sz w:val="22"/>
          <w:szCs w:val="22"/>
        </w:rPr>
        <w:t>A precedent for the governance of any other international strait or waterway.</w:t>
      </w:r>
    </w:p>
    <w:p>
      <w:pPr>
        <w:pStyle w:val="Normal"/>
      </w:pPr>
      <w:r>
        <w:rPr>
          <w:rFonts w:ascii="Calibri" w:hAnsi="Calibri" w:eastAsia="Microsoft YaHei" w:cs="Calibri"/>
          <w:color w:val="1E1E1E"/>
          <w:sz w:val="22"/>
          <w:szCs w:val="22"/>
        </w:rPr>
        <w:t>The technical definitions and metrics in this Understanding are adopted solely for the operational implementation of this Framework. Nothing in this Understanding prejudices the legal positions, sovereignty claims, maritime boundaries, or sanctions positions of any Party.</w:t>
      </w:r>
    </w:p>
    <w:p>
      <w:pPr>
        <w:pStyle w:val="Normal"/>
      </w:pPr>
      <w:r>
        <w:rPr>
          <w:rFonts w:ascii="Calibri" w:hAnsi="Calibri" w:eastAsia="Microsoft YaHei" w:cs="Calibri"/>
          <w:color w:val="1E1E1E"/>
          <w:sz w:val="22"/>
          <w:szCs w:val="22"/>
        </w:rPr>
        <w:t>Participation in this verification framework does not constitute recognition of any entity, territorial claim, or jurisdictional assertion by any Party. The framework architecture treats all data as operational inputs only.</w:t>
      </w:r>
    </w:p>
    <w:p>
      <w:pPr>
        <w:pStyle w:val="Heading1"/>
      </w:pPr>
      <w:bookmarkStart w:name="_TocArt2" w:id="3"/>
      <w:r>
        <w:rPr>
          <w:rFonts w:ascii="Calibri" w:hAnsi="Calibri" w:eastAsia="Microsoft YaHei" w:cs="Calibri"/>
          <w:b/>
          <w:color w:val="1A2A3A"/>
          <w:sz w:val="40"/>
          <w:szCs w:val="40"/>
        </w:rPr>
        <w:t>ARTICLE 2: STANDARDIZED TRANSIT CORRIDORS</w:t>
      </w:r>
      <w:bookmarkEnd w:id="3"/>
    </w:p>
    <w:p>
      <w:pPr>
        <w:pStyle w:val="Heading2"/>
      </w:pPr>
      <w:r>
        <w:rPr>
          <w:rFonts w:ascii="Calibri" w:hAnsi="Calibri" w:eastAsia="Microsoft YaHei" w:cs="Calibri"/>
          <w:b/>
          <w:color w:val="2C3E50"/>
          <w:sz w:val="28"/>
          <w:szCs w:val="28"/>
        </w:rPr>
        <w:t>2.1 Designated Transit Scheme</w:t>
      </w:r>
    </w:p>
    <w:p>
      <w:pPr>
        <w:pStyle w:val="Normal"/>
      </w:pPr>
      <w:r>
        <w:rPr>
          <w:rFonts w:ascii="Calibri" w:hAnsi="Calibri" w:eastAsia="Microsoft YaHei" w:cs="Calibri"/>
          <w:color w:val="1E1E1E"/>
          <w:sz w:val="22"/>
          <w:szCs w:val="22"/>
        </w:rPr>
        <w:t>The Parties agree to the establishment of a dual-corridor transit scheme as defined in Annex 1AB:</w:t>
      </w:r>
    </w:p>
    <w:p>
      <w:pPr>
        <w:pStyle w:val="Normal"/>
        <w:spacing w:before="60" w:after="60"/>
        <w:ind w:left="720" w:hanging="360"/>
      </w:pPr>
      <w:r>
        <w:rPr>
          <w:b/>
          <w:color w:val="2C3E50"/>
          <w:rFonts w:ascii="Calibri" w:hAnsi="Calibri" w:eastAsia="Microsoft YaHei" w:cs="Calibri"/>
          <w:sz w:val="22"/>
          <w:szCs w:val="22"/>
        </w:rPr>
        <w:t xml:space="preserve">Northern Corridor: </w:t>
      </w:r>
      <w:r>
        <w:rPr>
          <w:rFonts w:ascii="Calibri" w:hAnsi="Calibri" w:eastAsia="Microsoft YaHei" w:cs="Calibri"/>
          <w:color w:val="1E1E1E"/>
          <w:sz w:val="22"/>
          <w:szCs w:val="22"/>
        </w:rPr>
        <w:t>A route hugging the Iranian coastline, subject to Iran's navigational advisories and pilotage services, provided such services conform to the standardization protocols in Article 1.1. This corridor follows the Iranian coastline through Iranian territorial waters. The TSS inbound lane (westbound) occupies the northern portion of the separation scheme.</w:t>
      </w:r>
    </w:p>
    <w:p>
      <w:pPr>
        <w:pStyle w:val="Normal"/>
        <w:spacing w:before="60" w:after="60"/>
        <w:ind w:left="720" w:hanging="360"/>
      </w:pPr>
      <w:r>
        <w:rPr>
          <w:b/>
          <w:color w:val="2C3E50"/>
          <w:rFonts w:ascii="Calibri" w:hAnsi="Calibri" w:eastAsia="Microsoft YaHei" w:cs="Calibri"/>
          <w:sz w:val="22"/>
          <w:szCs w:val="22"/>
        </w:rPr>
        <w:t xml:space="preserve">Southern Corridor: </w:t>
      </w:r>
      <w:r>
        <w:rPr>
          <w:rFonts w:ascii="Calibri" w:hAnsi="Calibri" w:eastAsia="Microsoft YaHei" w:cs="Calibri"/>
          <w:color w:val="1E1E1E"/>
          <w:sz w:val="22"/>
          <w:szCs w:val="22"/>
        </w:rPr>
        <w:t>A route hugging the Omani coastline, subject to Omani-facilitated and U.S.-overwatch protocols, provided such protocols conform to the standardization protocols in Article 1.1. This corridor operates through Omani and international waters. The TSS outbound lane (eastbound) occupies the southern portion of the separation scheme.</w:t>
      </w:r>
    </w:p>
    <w:p>
      <w:pPr>
        <w:pStyle w:val="Normal"/>
      </w:pPr>
      <w:r>
        <w:rPr>
          <w:rFonts w:ascii="Calibri" w:hAnsi="Calibri" w:eastAsia="Microsoft YaHei" w:cs="Calibri"/>
          <w:color w:val="1E1E1E"/>
          <w:sz w:val="22"/>
          <w:szCs w:val="22"/>
        </w:rPr>
        <w:t>The following waypoints define the standard transit path for verification purposes. Vessels are not required to follow these waypoints precisely, but the waypoints serve as the reference track against which lane adherence and deviation are measured:</w:t>
      </w:r>
    </w:p>
    <w:tbl>
      <w:tblPr>
        <w:tblW w:w="5000" w:type="pct"/>
        <w:tblBorders>
          <w:top w:val="single" w:color="1a2a3a" w:sz="12"/>
          <w:left w:val="nil"/>
          <w:bottom w:val="single" w:color="1a2a3a" w:sz="12"/>
          <w:right w:val="nil"/>
          <w:insideH w:val="single" w:color="d0ccc0" w:sz="4"/>
          <w:insideV w:val="nil"/>
        </w:tblBorders>
      </w:tblPr>
      <w:tblGrid>
        <w:gridCol w:w="2000"/>
        <w:gridCol w:w="3000"/>
        <w:gridCol w:w="2500"/>
        <w:gridCol w:w="2000"/>
      </w:tblGrid>
      <w:tr>
        <w:trPr>
          <w:tblHeader w:val="1"/>
        </w:trPr>
        <w:tc>
          <w:tcPr>
            <w:tcW w:w="2000" w:type="dxa"/>
            <w:shd w:val="clear" w:fill="E8E6E0" w:color="auto"/>
          </w:tcPr>
          <w:p>
            <w:pPr>
              <w:pStyle w:val="Normal"/>
              <w:spacing w:before="40" w:after="40"/>
            </w:pPr>
            <w:r>
              <w:rPr>
                <w:b/>
                <w:color w:val="1E1E1E"/>
                <w:sz w:val="20"/>
                <w:rFonts w:ascii="Calibri" w:hAnsi="Calibri" w:eastAsia="Microsoft YaHei" w:cs="Calibri"/>
                <w:szCs w:val="20"/>
              </w:rPr>
              <w:t>Waypoint</w:t>
            </w:r>
          </w:p>
        </w:tc>
        <w:tc>
          <w:tcPr>
            <w:tcW w:w="3000" w:type="dxa"/>
            <w:shd w:val="clear" w:fill="E8E6E0" w:color="auto"/>
          </w:tcPr>
          <w:p>
            <w:pPr>
              <w:pStyle w:val="Normal"/>
              <w:spacing w:before="40" w:after="40"/>
            </w:pPr>
            <w:r>
              <w:rPr>
                <w:b/>
                <w:color w:val="1E1E1E"/>
                <w:sz w:val="20"/>
                <w:rFonts w:ascii="Calibri" w:hAnsi="Calibri" w:eastAsia="Microsoft YaHei" w:cs="Calibri"/>
                <w:szCs w:val="20"/>
              </w:rPr>
              <w:t>Latitude (N)</w:t>
            </w:r>
          </w:p>
        </w:tc>
        <w:tc>
          <w:tcPr>
            <w:tcW w:w="2500" w:type="dxa"/>
            <w:shd w:val="clear" w:fill="E8E6E0" w:color="auto"/>
          </w:tcPr>
          <w:p>
            <w:pPr>
              <w:pStyle w:val="Normal"/>
              <w:spacing w:before="40" w:after="40"/>
            </w:pPr>
            <w:r>
              <w:rPr>
                <w:b/>
                <w:color w:val="1E1E1E"/>
                <w:sz w:val="20"/>
                <w:rFonts w:ascii="Calibri" w:hAnsi="Calibri" w:eastAsia="Microsoft YaHei" w:cs="Calibri"/>
                <w:szCs w:val="20"/>
              </w:rPr>
              <w:t>Longitude (E)</w:t>
            </w:r>
          </w:p>
        </w:tc>
        <w:tc>
          <w:tcPr>
            <w:tcW w:w="2000" w:type="dxa"/>
            <w:shd w:val="clear" w:fill="E8E6E0" w:color="auto"/>
          </w:tcPr>
          <w:p>
            <w:pPr>
              <w:pStyle w:val="Normal"/>
              <w:spacing w:before="40" w:after="40"/>
            </w:pPr>
            <w:r>
              <w:rPr>
                <w:b/>
                <w:color w:val="1E1E1E"/>
                <w:sz w:val="20"/>
                <w:rFonts w:ascii="Calibri" w:hAnsi="Calibri" w:eastAsia="Microsoft YaHei" w:cs="Calibri"/>
                <w:szCs w:val="20"/>
              </w:rPr>
              <w:t>Description</w:t>
            </w:r>
          </w:p>
        </w:tc>
      </w:tr>
      <w:tr>
        <w:tc>
          <w:tcPr>
            <w:tcW w:w="2000" w:type="dxa"/>
          </w:tcPr>
          <w:p>
            <w:pPr>
              <w:pStyle w:val="Normal"/>
              <w:spacing w:before="40" w:after="40"/>
            </w:pPr>
            <w:r>
              <w:rPr>
                <w:color w:val="4A4A4A"/>
                <w:sz w:val="20"/>
                <w:rFonts w:ascii="Calibri" w:hAnsi="Calibri" w:eastAsia="Microsoft YaHei" w:cs="Calibri"/>
                <w:szCs w:val="20"/>
              </w:rPr>
              <w:t>Point Alpha</w:t>
            </w:r>
          </w:p>
        </w:tc>
        <w:tc>
          <w:tcPr>
            <w:tcW w:w="3000" w:type="dxa"/>
          </w:tcPr>
          <w:p>
            <w:pPr>
              <w:pStyle w:val="Normal"/>
              <w:spacing w:before="40" w:after="40"/>
            </w:pPr>
            <w:r>
              <w:rPr>
                <w:color w:val="4A4A4A"/>
                <w:sz w:val="20"/>
                <w:rFonts w:ascii="Calibri" w:hAnsi="Calibri" w:eastAsia="Microsoft YaHei" w:cs="Calibri"/>
                <w:szCs w:val="20"/>
              </w:rPr>
              <w:t>26° 30.00'</w:t>
            </w:r>
          </w:p>
        </w:tc>
        <w:tc>
          <w:tcPr>
            <w:tcW w:w="2500" w:type="dxa"/>
          </w:tcPr>
          <w:p>
            <w:pPr>
              <w:pStyle w:val="Normal"/>
              <w:spacing w:before="40" w:after="40"/>
            </w:pPr>
            <w:r>
              <w:rPr>
                <w:color w:val="4A4A4A"/>
                <w:sz w:val="20"/>
                <w:rFonts w:ascii="Calibri" w:hAnsi="Calibri" w:eastAsia="Microsoft YaHei" w:cs="Calibri"/>
                <w:szCs w:val="20"/>
              </w:rPr>
              <w:t>56° 25.00'</w:t>
            </w:r>
          </w:p>
        </w:tc>
        <w:tc>
          <w:tcPr>
            <w:tcW w:w="2000" w:type="dxa"/>
          </w:tcPr>
          <w:p>
            <w:pPr>
              <w:pStyle w:val="Normal"/>
              <w:spacing w:before="40" w:after="40"/>
            </w:pPr>
            <w:r>
              <w:rPr>
                <w:color w:val="4A4A4A"/>
                <w:sz w:val="20"/>
                <w:rFonts w:ascii="Calibri" w:hAnsi="Calibri" w:eastAsia="Microsoft YaHei" w:cs="Calibri"/>
                <w:szCs w:val="20"/>
              </w:rPr>
              <w:t>Eastern entrance (Gulf of Oman)</w:t>
            </w:r>
          </w:p>
        </w:tc>
      </w:tr>
      <w:tr>
        <w:tc>
          <w:tcPr>
            <w:tcW w:w="2000" w:type="dxa"/>
          </w:tcPr>
          <w:p>
            <w:pPr>
              <w:pStyle w:val="Normal"/>
              <w:spacing w:before="40" w:after="40"/>
            </w:pPr>
            <w:r>
              <w:rPr>
                <w:color w:val="4A4A4A"/>
                <w:sz w:val="20"/>
                <w:rFonts w:ascii="Calibri" w:hAnsi="Calibri" w:eastAsia="Microsoft YaHei" w:cs="Calibri"/>
                <w:szCs w:val="20"/>
              </w:rPr>
              <w:t>WP-1</w:t>
            </w:r>
          </w:p>
        </w:tc>
        <w:tc>
          <w:tcPr>
            <w:tcW w:w="3000" w:type="dxa"/>
          </w:tcPr>
          <w:p>
            <w:pPr>
              <w:pStyle w:val="Normal"/>
              <w:spacing w:before="40" w:after="40"/>
            </w:pPr>
            <w:r>
              <w:rPr>
                <w:color w:val="4A4A4A"/>
                <w:sz w:val="20"/>
                <w:rFonts w:ascii="Calibri" w:hAnsi="Calibri" w:eastAsia="Microsoft YaHei" w:cs="Calibri"/>
                <w:szCs w:val="20"/>
              </w:rPr>
              <w:t>26° 30.00'</w:t>
            </w:r>
          </w:p>
        </w:tc>
        <w:tc>
          <w:tcPr>
            <w:tcW w:w="2500" w:type="dxa"/>
          </w:tcPr>
          <w:p>
            <w:pPr>
              <w:pStyle w:val="Normal"/>
              <w:spacing w:before="40" w:after="40"/>
            </w:pPr>
            <w:r>
              <w:rPr>
                <w:color w:val="4A4A4A"/>
                <w:sz w:val="20"/>
                <w:rFonts w:ascii="Calibri" w:hAnsi="Calibri" w:eastAsia="Microsoft YaHei" w:cs="Calibri"/>
                <w:szCs w:val="20"/>
              </w:rPr>
              <w:t>56° 22.00'</w:t>
            </w:r>
          </w:p>
        </w:tc>
        <w:tc>
          <w:tcPr>
            <w:tcW w:w="2000" w:type="dxa"/>
          </w:tcPr>
          <w:p>
            <w:pPr>
              <w:pStyle w:val="Normal"/>
              <w:spacing w:before="40" w:after="40"/>
            </w:pPr>
            <w:r>
              <w:rPr>
                <w:color w:val="4A4A4A"/>
                <w:sz w:val="20"/>
                <w:rFonts w:ascii="Calibri" w:hAnsi="Calibri" w:eastAsia="Microsoft YaHei" w:cs="Calibri"/>
                <w:szCs w:val="20"/>
              </w:rPr>
              <w:t>Inbound lane entry</w:t>
            </w:r>
          </w:p>
        </w:tc>
      </w:tr>
      <w:tr>
        <w:tc>
          <w:tcPr>
            <w:tcW w:w="2000" w:type="dxa"/>
          </w:tcPr>
          <w:p>
            <w:pPr>
              <w:pStyle w:val="Normal"/>
              <w:spacing w:before="40" w:after="40"/>
            </w:pPr>
            <w:r>
              <w:rPr>
                <w:color w:val="4A4A4A"/>
                <w:sz w:val="20"/>
                <w:rFonts w:ascii="Calibri" w:hAnsi="Calibri" w:eastAsia="Microsoft YaHei" w:cs="Calibri"/>
                <w:szCs w:val="20"/>
              </w:rPr>
              <w:t>WP-2</w:t>
            </w:r>
          </w:p>
        </w:tc>
        <w:tc>
          <w:tcPr>
            <w:tcW w:w="3000" w:type="dxa"/>
          </w:tcPr>
          <w:p>
            <w:pPr>
              <w:pStyle w:val="Normal"/>
              <w:spacing w:before="40" w:after="40"/>
            </w:pPr>
            <w:r>
              <w:rPr>
                <w:color w:val="4A4A4A"/>
                <w:sz w:val="20"/>
                <w:rFonts w:ascii="Calibri" w:hAnsi="Calibri" w:eastAsia="Microsoft YaHei" w:cs="Calibri"/>
                <w:szCs w:val="20"/>
              </w:rPr>
              <w:t>26° 32.00'</w:t>
            </w:r>
          </w:p>
        </w:tc>
        <w:tc>
          <w:tcPr>
            <w:tcW w:w="2500" w:type="dxa"/>
          </w:tcPr>
          <w:p>
            <w:pPr>
              <w:pStyle w:val="Normal"/>
              <w:spacing w:before="40" w:after="40"/>
            </w:pPr>
            <w:r>
              <w:rPr>
                <w:color w:val="4A4A4A"/>
                <w:sz w:val="20"/>
                <w:rFonts w:ascii="Calibri" w:hAnsi="Calibri" w:eastAsia="Microsoft YaHei" w:cs="Calibri"/>
                <w:szCs w:val="20"/>
              </w:rPr>
              <w:t>56° 20.00'</w:t>
            </w:r>
          </w:p>
        </w:tc>
        <w:tc>
          <w:tcPr>
            <w:tcW w:w="2000" w:type="dxa"/>
          </w:tcPr>
          <w:p>
            <w:pPr>
              <w:pStyle w:val="Normal"/>
              <w:spacing w:before="40" w:after="40"/>
            </w:pPr>
            <w:r>
              <w:rPr>
                <w:color w:val="4A4A4A"/>
                <w:sz w:val="20"/>
                <w:rFonts w:ascii="Calibri" w:hAnsi="Calibri" w:eastAsia="Microsoft YaHei" w:cs="Calibri"/>
                <w:szCs w:val="20"/>
              </w:rPr>
              <w:t>Northern corridor (Larak)</w:t>
            </w:r>
          </w:p>
        </w:tc>
      </w:tr>
      <w:tr>
        <w:tc>
          <w:tcPr>
            <w:tcW w:w="2000" w:type="dxa"/>
          </w:tcPr>
          <w:p>
            <w:pPr>
              <w:pStyle w:val="Normal"/>
              <w:spacing w:before="40" w:after="40"/>
            </w:pPr>
            <w:r>
              <w:rPr>
                <w:color w:val="4A4A4A"/>
                <w:sz w:val="20"/>
                <w:rFonts w:ascii="Calibri" w:hAnsi="Calibri" w:eastAsia="Microsoft YaHei" w:cs="Calibri"/>
                <w:szCs w:val="20"/>
              </w:rPr>
              <w:t>WP-3</w:t>
            </w:r>
          </w:p>
        </w:tc>
        <w:tc>
          <w:tcPr>
            <w:tcW w:w="3000" w:type="dxa"/>
          </w:tcPr>
          <w:p>
            <w:pPr>
              <w:pStyle w:val="Normal"/>
              <w:spacing w:before="40" w:after="40"/>
            </w:pPr>
            <w:r>
              <w:rPr>
                <w:color w:val="4A4A4A"/>
                <w:sz w:val="20"/>
                <w:rFonts w:ascii="Calibri" w:hAnsi="Calibri" w:eastAsia="Microsoft YaHei" w:cs="Calibri"/>
                <w:szCs w:val="20"/>
              </w:rPr>
              <w:t>26° 32.00'</w:t>
            </w:r>
          </w:p>
        </w:tc>
        <w:tc>
          <w:tcPr>
            <w:tcW w:w="2500" w:type="dxa"/>
          </w:tcPr>
          <w:p>
            <w:pPr>
              <w:pStyle w:val="Normal"/>
              <w:spacing w:before="40" w:after="40"/>
            </w:pPr>
            <w:r>
              <w:rPr>
                <w:color w:val="4A4A4A"/>
                <w:sz w:val="20"/>
                <w:rFonts w:ascii="Calibri" w:hAnsi="Calibri" w:eastAsia="Microsoft YaHei" w:cs="Calibri"/>
                <w:szCs w:val="20"/>
              </w:rPr>
              <w:t>56° 17.00'</w:t>
            </w:r>
          </w:p>
        </w:tc>
        <w:tc>
          <w:tcPr>
            <w:tcW w:w="2000" w:type="dxa"/>
          </w:tcPr>
          <w:p>
            <w:pPr>
              <w:pStyle w:val="Normal"/>
              <w:spacing w:before="40" w:after="40"/>
            </w:pPr>
            <w:r>
              <w:rPr>
                <w:color w:val="4A4A4A"/>
                <w:sz w:val="20"/>
                <w:rFonts w:ascii="Calibri" w:hAnsi="Calibri" w:eastAsia="Microsoft YaHei" w:cs="Calibri"/>
                <w:szCs w:val="20"/>
              </w:rPr>
              <w:t>Mid-strait separation</w:t>
            </w:r>
          </w:p>
        </w:tc>
      </w:tr>
      <w:tr>
        <w:tc>
          <w:tcPr>
            <w:tcW w:w="2000" w:type="dxa"/>
          </w:tcPr>
          <w:p>
            <w:pPr>
              <w:pStyle w:val="Normal"/>
              <w:spacing w:before="40" w:after="40"/>
            </w:pPr>
            <w:r>
              <w:rPr>
                <w:color w:val="4A4A4A"/>
                <w:sz w:val="20"/>
                <w:rFonts w:ascii="Calibri" w:hAnsi="Calibri" w:eastAsia="Microsoft YaHei" w:cs="Calibri"/>
                <w:szCs w:val="20"/>
              </w:rPr>
              <w:t>WP-4</w:t>
            </w:r>
          </w:p>
        </w:tc>
        <w:tc>
          <w:tcPr>
            <w:tcW w:w="3000" w:type="dxa"/>
          </w:tcPr>
          <w:p>
            <w:pPr>
              <w:pStyle w:val="Normal"/>
              <w:spacing w:before="40" w:after="40"/>
            </w:pPr>
            <w:r>
              <w:rPr>
                <w:color w:val="4A4A4A"/>
                <w:sz w:val="20"/>
                <w:rFonts w:ascii="Calibri" w:hAnsi="Calibri" w:eastAsia="Microsoft YaHei" w:cs="Calibri"/>
                <w:szCs w:val="20"/>
              </w:rPr>
              <w:t>26° 30.00'</w:t>
            </w:r>
          </w:p>
        </w:tc>
        <w:tc>
          <w:tcPr>
            <w:tcW w:w="2500" w:type="dxa"/>
          </w:tcPr>
          <w:p>
            <w:pPr>
              <w:pStyle w:val="Normal"/>
              <w:spacing w:before="40" w:after="40"/>
            </w:pPr>
            <w:r>
              <w:rPr>
                <w:color w:val="4A4A4A"/>
                <w:sz w:val="20"/>
                <w:rFonts w:ascii="Calibri" w:hAnsi="Calibri" w:eastAsia="Microsoft YaHei" w:cs="Calibri"/>
                <w:szCs w:val="20"/>
              </w:rPr>
              <w:t>56° 16.00'</w:t>
            </w:r>
          </w:p>
        </w:tc>
        <w:tc>
          <w:tcPr>
            <w:tcW w:w="2000" w:type="dxa"/>
          </w:tcPr>
          <w:p>
            <w:pPr>
              <w:pStyle w:val="Normal"/>
              <w:spacing w:before="40" w:after="40"/>
            </w:pPr>
            <w:r>
              <w:rPr>
                <w:color w:val="4A4A4A"/>
                <w:sz w:val="20"/>
                <w:rFonts w:ascii="Calibri" w:hAnsi="Calibri" w:eastAsia="Microsoft YaHei" w:cs="Calibri"/>
                <w:szCs w:val="20"/>
              </w:rPr>
              <w:t>Southern corridor (Omani)</w:t>
            </w:r>
          </w:p>
        </w:tc>
      </w:tr>
      <w:tr>
        <w:tc>
          <w:tcPr>
            <w:tcW w:w="2000" w:type="dxa"/>
          </w:tcPr>
          <w:p>
            <w:pPr>
              <w:pStyle w:val="Normal"/>
              <w:spacing w:before="40" w:after="40"/>
            </w:pPr>
            <w:r>
              <w:rPr>
                <w:color w:val="4A4A4A"/>
                <w:sz w:val="20"/>
                <w:rFonts w:ascii="Calibri" w:hAnsi="Calibri" w:eastAsia="Microsoft YaHei" w:cs="Calibri"/>
                <w:szCs w:val="20"/>
              </w:rPr>
              <w:t>Point Omega</w:t>
            </w:r>
          </w:p>
        </w:tc>
        <w:tc>
          <w:tcPr>
            <w:tcW w:w="3000" w:type="dxa"/>
          </w:tcPr>
          <w:p>
            <w:pPr>
              <w:pStyle w:val="Normal"/>
              <w:spacing w:before="40" w:after="40"/>
            </w:pPr>
            <w:r>
              <w:rPr>
                <w:color w:val="4A4A4A"/>
                <w:sz w:val="20"/>
                <w:rFonts w:ascii="Calibri" w:hAnsi="Calibri" w:eastAsia="Microsoft YaHei" w:cs="Calibri"/>
                <w:szCs w:val="20"/>
              </w:rPr>
              <w:t>26° 30.00'</w:t>
            </w:r>
          </w:p>
        </w:tc>
        <w:tc>
          <w:tcPr>
            <w:tcW w:w="2500" w:type="dxa"/>
          </w:tcPr>
          <w:p>
            <w:pPr>
              <w:pStyle w:val="Normal"/>
              <w:spacing w:before="40" w:after="40"/>
            </w:pPr>
            <w:r>
              <w:rPr>
                <w:color w:val="4A4A4A"/>
                <w:sz w:val="20"/>
                <w:rFonts w:ascii="Calibri" w:hAnsi="Calibri" w:eastAsia="Microsoft YaHei" w:cs="Calibri"/>
                <w:szCs w:val="20"/>
              </w:rPr>
              <w:t>56° 15.00'</w:t>
            </w:r>
          </w:p>
        </w:tc>
        <w:tc>
          <w:tcPr>
            <w:tcW w:w="2000" w:type="dxa"/>
          </w:tcPr>
          <w:p>
            <w:pPr>
              <w:pStyle w:val="Normal"/>
              <w:spacing w:before="40" w:after="40"/>
            </w:pPr>
            <w:r>
              <w:rPr>
                <w:color w:val="4A4A4A"/>
                <w:sz w:val="20"/>
                <w:rFonts w:ascii="Calibri" w:hAnsi="Calibri" w:eastAsia="Microsoft YaHei" w:cs="Calibri"/>
                <w:szCs w:val="20"/>
              </w:rPr>
              <w:t>Western entrance (Persian Gulf)</w:t>
            </w:r>
          </w:p>
        </w:tc>
      </w:tr>
    </w:tbl>
    <w:p>
      <w:pPr>
        <w:pStyle w:val="Normal"/>
      </w:pPr>
      <w:r>
        <w:rPr>
          <w:rFonts w:ascii="Calibri" w:hAnsi="Calibri" w:eastAsia="Microsoft YaHei" w:cs="Calibri"/>
          <w:color w:val="1E1E1E"/>
          <w:sz w:val="22"/>
          <w:szCs w:val="22"/>
        </w:rPr>
        <w:t>Point Alpha marks the eastern entrance to the transit corridor at 26 degrees 30.00 minutes N, 56 degrees 25.00 minutes E. Point Omega marks the western entrance at 26 degrees 30.00 minutes N, 56 degrees 15.00 minutes E. A commercial vessel enters the transit corridor when its AIS position reports a longitude east of 56 degrees 25.00 minutes E and the vessel's course indicates transit toward the Persian Gulf.</w:t>
      </w:r>
    </w:p>
    <w:p>
      <w:pPr>
        <w:pStyle w:val="Heading2"/>
      </w:pPr>
      <w:r>
        <w:rPr>
          <w:rFonts w:ascii="Calibri" w:hAnsi="Calibri" w:eastAsia="Microsoft YaHei" w:cs="Calibri"/>
          <w:b/>
          <w:color w:val="2C3E50"/>
          <w:sz w:val="28"/>
          <w:szCs w:val="28"/>
        </w:rPr>
        <w:t>2.2 Freedom of Choice</w:t>
      </w:r>
    </w:p>
    <w:p>
      <w:pPr>
        <w:pStyle w:val="Normal"/>
      </w:pPr>
      <w:r>
        <w:rPr>
          <w:rFonts w:ascii="Calibri" w:hAnsi="Calibri" w:eastAsia="Microsoft YaHei" w:cs="Calibri"/>
          <w:color w:val="1E1E1E"/>
          <w:sz w:val="22"/>
          <w:szCs w:val="22"/>
        </w:rPr>
        <w:t>Commercial Vessels possess the unencumbered right to choose either corridor, without penalty, discrimination, or retaliatory action by either Party. The framework architecture guarantees this freedom as an absolute, non-derogable feature of the transit system. The framework architecture excludes any fee structure, service differential, or administrative procedure that renders one corridor economically or operationally disadvantageous relative to the other. The JIC conducts an annual corridor-neutrality audit that assesses: comparative transit costs by corridor; average wait times and service quality; frequency of safety incidents by corridor; and commercial vessel operator satisfaction surveys. The JIC publishes the audit results in the quarterly Compliance Report. Any pattern of corridor disadvantage triggers a mandatory JIC review within 14 days.</w:t>
      </w:r>
    </w:p>
    <w:p>
      <w:pPr>
        <w:pStyle w:val="Normal"/>
      </w:pPr>
      <w:r>
        <w:rPr>
          <w:rFonts w:ascii="Calibri" w:hAnsi="Calibri" w:eastAsia="Microsoft YaHei" w:cs="Calibri"/>
          <w:color w:val="1E1E1E"/>
          <w:sz w:val="22"/>
          <w:szCs w:val="22"/>
        </w:rPr>
        <w:t>Each Party respects the corridor choice of every Commercial Vessel. No Party conditions transit clearance, pilotage services, or emergency assistance on the vessel's choice of corridor. Any Party, the IMO, or any commercial vessel operator petitions the JIC for an ad hoc audit at any time. The JIC completes any ad hoc audit within 30 days of petition. The audit examines: comparative transit times and costs by corridor; average wait times and service quality; frequency of safety incidents and interference events by corridor; and commercial vessel operator satisfaction surveys. The JIC publishes the audit results in the quarterly Compliance Report. If the audit identifies a pattern of material disadvantage in one corridor, the JIC convenes within 14 days and issues corrective recommendations. Failure to implement corrective recommendations within 60 days constitutes a Level 2 violation.</w:t>
      </w:r>
    </w:p>
    <w:p>
      <w:pPr>
        <w:pStyle w:val="Heading2"/>
      </w:pPr>
      <w:r>
        <w:rPr>
          <w:rFonts w:ascii="Calibri" w:hAnsi="Calibri" w:eastAsia="Microsoft YaHei" w:cs="Calibri"/>
          <w:b/>
          <w:color w:val="2C3E50"/>
          <w:sz w:val="28"/>
          <w:szCs w:val="28"/>
        </w:rPr>
        <w:t>2.3 Prohibition on Unilateral Routing Mandates</w:t>
      </w:r>
    </w:p>
    <w:p>
      <w:pPr>
        <w:pStyle w:val="Normal"/>
      </w:pPr>
      <w:r>
        <w:rPr>
          <w:rFonts w:ascii="Calibri" w:hAnsi="Calibri" w:eastAsia="Microsoft YaHei" w:cs="Calibri"/>
          <w:color w:val="1E1E1E"/>
          <w:sz w:val="22"/>
          <w:szCs w:val="22"/>
        </w:rPr>
        <w:t>Neither Party mandates that Commercial Vessels utilize only its designated corridor, nor does either Party interfere with a vessel exercising its right to choose the alternative corridor, provided the vessel complies with the technical safety requirements of that corridor as defined in Annex 1AB. The framework architecture prohibits either Party from inducing or coercing any non-Party entity (including flag states, insurers, classification societies, or cargo interests) to influence corridor selection. The JIC investigates all complaints of third-party channeling within 14 days of submission.</w:t>
      </w:r>
    </w:p>
    <w:p>
      <w:pPr>
        <w:pStyle w:val="Normal"/>
      </w:pPr>
      <w:r>
        <w:rPr>
          <w:rFonts w:ascii="Calibri" w:hAnsi="Calibri" w:eastAsia="Microsoft YaHei" w:cs="Calibri"/>
          <w:color w:val="1E1E1E"/>
          <w:sz w:val="22"/>
          <w:szCs w:val="22"/>
        </w:rPr>
        <w:t>Any directive, advisory, or communication from either Party that effectively coerces a Commercial Vessel into selecting a particular corridor constitutes a Tier 2 Material Disruption under the framework's graduated response mechanism.</w:t>
      </w:r>
    </w:p>
    <w:p>
      <w:pPr>
        <w:pStyle w:val="Heading1"/>
      </w:pPr>
      <w:bookmarkStart w:name="_TocArt3" w:id="4"/>
      <w:r>
        <w:rPr>
          <w:rFonts w:ascii="Calibri" w:hAnsi="Calibri" w:eastAsia="Microsoft YaHei" w:cs="Calibri"/>
          <w:b/>
          <w:color w:val="1A2A3A"/>
          <w:sz w:val="40"/>
          <w:szCs w:val="40"/>
        </w:rPr>
        <w:t>ARTICLE 3: NAVIGATIONAL SAFETY AND DECONFLICTION</w:t>
      </w:r>
      <w:bookmarkEnd w:id="4"/>
    </w:p>
    <w:p>
      <w:pPr>
        <w:pStyle w:val="Heading2"/>
      </w:pPr>
      <w:r>
        <w:rPr>
          <w:rFonts w:ascii="Calibri" w:hAnsi="Calibri" w:eastAsia="Microsoft YaHei" w:cs="Calibri"/>
          <w:b/>
          <w:color w:val="2C3E50"/>
          <w:sz w:val="28"/>
          <w:szCs w:val="28"/>
        </w:rPr>
        <w:t>3.1 Vessel Traffic Services (VTS)</w:t>
      </w:r>
    </w:p>
    <w:p>
      <w:pPr>
        <w:pStyle w:val="Normal"/>
      </w:pPr>
      <w:r>
        <w:rPr>
          <w:rFonts w:ascii="Calibri" w:hAnsi="Calibri" w:eastAsia="Microsoft YaHei" w:cs="Calibri"/>
          <w:color w:val="1E1E1E"/>
          <w:sz w:val="22"/>
          <w:szCs w:val="22"/>
        </w:rPr>
        <w:t>The Parties, in coordination with Oman and the IMO, operate a shared, publicly accessible Vessel Traffic Service for the Strait, governed by Annex 1AB. This VTS performs the following functions:</w:t>
      </w:r>
    </w:p>
    <w:p>
      <w:pPr>
        <w:pStyle w:val="Normal"/>
        <w:spacing w:before="60" w:after="60"/>
        <w:ind w:left="720" w:hanging="360"/>
      </w:pPr>
      <w:r>
        <w:rPr>
          <w:b/>
          <w:color w:val="2C3E50"/>
          <w:rFonts w:ascii="Calibri" w:hAnsi="Calibri" w:eastAsia="Microsoft YaHei" w:cs="Calibri"/>
          <w:sz w:val="22"/>
          <w:szCs w:val="22"/>
        </w:rPr>
        <w:t xml:space="preserve">(a) </w:t>
      </w:r>
      <w:r>
        <w:rPr>
          <w:rFonts w:ascii="Calibri" w:hAnsi="Calibri" w:eastAsia="Microsoft YaHei" w:cs="Calibri"/>
          <w:color w:val="1E1E1E"/>
          <w:sz w:val="22"/>
          <w:szCs w:val="22"/>
        </w:rPr>
        <w:t>Broadcasts real-time navigational hazards, weather updates, and traffic density to all vessels in the transit corridor. The broadcasts occur on VHF Channel 16 and through the Joint Hormuz Authority Maritime Coordination Cell data portal;</w:t>
      </w:r>
    </w:p>
    <w:p>
      <w:pPr>
        <w:pStyle w:val="Normal"/>
        <w:spacing w:before="60" w:after="60"/>
        <w:ind w:left="720" w:hanging="360"/>
      </w:pPr>
      <w:r>
        <w:rPr>
          <w:b/>
          <w:color w:val="2C3E50"/>
          <w:rFonts w:ascii="Calibri" w:hAnsi="Calibri" w:eastAsia="Microsoft YaHei" w:cs="Calibri"/>
          <w:sz w:val="22"/>
          <w:szCs w:val="22"/>
        </w:rPr>
        <w:t xml:space="preserve">(b) </w:t>
      </w:r>
      <w:r>
        <w:rPr>
          <w:rFonts w:ascii="Calibri" w:hAnsi="Calibri" w:eastAsia="Microsoft YaHei" w:cs="Calibri"/>
          <w:color w:val="1E1E1E"/>
          <w:sz w:val="22"/>
          <w:szCs w:val="22"/>
        </w:rPr>
        <w:t>Maintains a common operational picture (COP) shared via secure but non-classified channels. The COP integrates satellite AIS data, coastal radar returns, and UAV patrol feeds into a unified maritime domain awareness display;</w:t>
      </w:r>
    </w:p>
    <w:p>
      <w:pPr>
        <w:pStyle w:val="Normal"/>
        <w:spacing w:before="60" w:after="60"/>
        <w:ind w:left="720" w:hanging="360"/>
      </w:pPr>
      <w:r>
        <w:rPr>
          <w:b/>
          <w:color w:val="2C3E50"/>
          <w:rFonts w:ascii="Calibri" w:hAnsi="Calibri" w:eastAsia="Microsoft YaHei" w:cs="Calibri"/>
          <w:sz w:val="22"/>
          <w:szCs w:val="22"/>
        </w:rPr>
        <w:t xml:space="preserve">(c) </w:t>
      </w:r>
      <w:r>
        <w:rPr>
          <w:rFonts w:ascii="Calibri" w:hAnsi="Calibri" w:eastAsia="Microsoft YaHei" w:cs="Calibri"/>
          <w:color w:val="1E1E1E"/>
          <w:sz w:val="22"/>
          <w:szCs w:val="22"/>
        </w:rPr>
        <w:t>Facilitates communication between vessels, port authorities, and naval escorts operating within the Hormuz Transit Zone.</w:t>
      </w:r>
    </w:p>
    <w:p>
      <w:pPr>
        <w:pStyle w:val="Normal"/>
      </w:pPr>
      <w:r>
        <w:rPr>
          <w:rFonts w:ascii="Calibri" w:hAnsi="Calibri" w:eastAsia="Microsoft YaHei" w:cs="Calibri"/>
          <w:color w:val="1E1E1E"/>
          <w:sz w:val="22"/>
          <w:szCs w:val="22"/>
        </w:rPr>
        <w:t>The VTS operates through a multi-layered monitoring architecture combining satellite-based AIS reception, coastal radar integration, aerial surveillance, and data fusion. Primary AIS data arrives through commercial satellite constellations with a revisit rate of approximately thirty minutes for any given vessel. Coastal radar stations operate at Bandar Abbas (Iran), Fujairah (UAE), Muscat (Oman), Dammam (Saudi Arabia), and Umm Qasr (Iraq), each providing coverage out to forty nautical miles under normal atmospheric conditions.</w:t>
      </w:r>
    </w:p>
    <w:p>
      <w:pPr>
        <w:pStyle w:val="Heading2"/>
      </w:pPr>
      <w:r>
        <w:rPr>
          <w:rFonts w:ascii="Calibri" w:hAnsi="Calibri" w:eastAsia="Microsoft YaHei" w:cs="Calibri"/>
          <w:b/>
          <w:color w:val="2C3E50"/>
          <w:sz w:val="28"/>
          <w:szCs w:val="28"/>
        </w:rPr>
        <w:t>3.2 Communications Protocol</w:t>
      </w:r>
    </w:p>
    <w:p>
      <w:pPr>
        <w:pStyle w:val="Normal"/>
      </w:pPr>
      <w:r>
        <w:rPr>
          <w:rFonts w:ascii="Calibri" w:hAnsi="Calibri" w:eastAsia="Microsoft YaHei" w:cs="Calibri"/>
          <w:color w:val="1E1E1E"/>
          <w:sz w:val="22"/>
          <w:szCs w:val="22"/>
        </w:rPr>
        <w:t>All Commercial Vessels maintain continuous listening watch on VHF Channel 16 and respond to hails from the VTS, Iranian authorities (in the Northern Corridor), and Omani/U.S. authorities (in the Southern Corridor) regarding safety matters only.</w:t>
      </w:r>
    </w:p>
    <w:p>
      <w:pPr>
        <w:pStyle w:val="Normal"/>
      </w:pPr>
      <w:r>
        <w:rPr>
          <w:rFonts w:ascii="Calibri" w:hAnsi="Calibri" w:eastAsia="Microsoft YaHei" w:cs="Calibri"/>
          <w:color w:val="1E1E1E"/>
          <w:sz w:val="22"/>
          <w:szCs w:val="22"/>
        </w:rPr>
        <w:t>The Communications Protocol excludes the following: any hail that directs a vessel to alter its chosen corridor for non-safety reasons; any communication that demands payment of fees or tolls; any transmission containing threats, coercion, or interference directives.</w:t>
      </w:r>
    </w:p>
    <w:p>
      <w:pPr>
        <w:pStyle w:val="Normal"/>
      </w:pPr>
      <w:r>
        <w:rPr>
          <w:rFonts w:ascii="Calibri" w:hAnsi="Calibri" w:eastAsia="Microsoft YaHei" w:cs="Calibri"/>
          <w:color w:val="1E1E1E"/>
          <w:sz w:val="22"/>
          <w:szCs w:val="22"/>
        </w:rPr>
        <w:t>All inter-system communications use AES-256 encryption in Galois/Counter Mode (GCM) for authenticated encryption. Key exchange uses ECDH P-384 (Elliptic Curve Diffie-Hellman with a 384-bit curve) for forward secrecy. The Technical Working Group rotates encryption keys every twenty-four hours.</w:t>
      </w:r>
    </w:p>
    <w:p>
      <w:pPr>
        <w:pStyle w:val="Heading2"/>
      </w:pPr>
      <w:r>
        <w:rPr>
          <w:rFonts w:ascii="Calibri" w:hAnsi="Calibri" w:eastAsia="Microsoft YaHei" w:cs="Calibri"/>
          <w:b/>
          <w:color w:val="2C3E50"/>
          <w:sz w:val="28"/>
          <w:szCs w:val="28"/>
        </w:rPr>
        <w:t>3.3 Military Deconfliction</w:t>
      </w:r>
    </w:p>
    <w:p>
      <w:pPr>
        <w:pStyle w:val="Normal"/>
      </w:pPr>
      <w:r>
        <w:rPr>
          <w:rFonts w:ascii="Calibri" w:hAnsi="Calibri" w:eastAsia="Microsoft YaHei" w:cs="Calibri"/>
          <w:color w:val="1E1E1E"/>
          <w:sz w:val="22"/>
          <w:szCs w:val="22"/>
        </w:rPr>
        <w:t>Military assets of all Parties maintain a minimum standoff distance of 1 nautical mile (1,852 meters) from Commercial Vessels, except under the following narrowly defined circumstances:</w:t>
      </w:r>
    </w:p>
    <w:p>
      <w:pPr>
        <w:pStyle w:val="Normal"/>
      </w:pPr>
      <w:r>
        <w:rPr>
          <w:rFonts w:ascii="Calibri" w:hAnsi="Calibri" w:eastAsia="Microsoft YaHei" w:cs="Calibri"/>
          <w:color w:val="2C3E50"/>
          <w:sz w:val="28"/>
          <w:szCs w:val="22"/>
          <w:b/>
        </w:rPr>
        <w:t xml:space="preserve">(a) Explicit Escort Request: </w:t>
      </w:r>
      <w:r>
        <w:rPr>
          <w:rFonts w:ascii="Calibri" w:hAnsi="Calibri" w:eastAsia="Microsoft YaHei" w:cs="Calibri"/>
          <w:color w:val="1E1E1E"/>
          <w:sz w:val="22"/>
          <w:szCs w:val="22"/>
        </w:rPr>
        <w:t>The Commercial Vessel's master or flag state provides written or recorded verbal request to the JERC prior to the escort commencing. Escort requests are logged in the Shared Digital Registry and visible to all Parties.</w:t>
      </w:r>
    </w:p>
    <w:p>
      <w:pPr>
        <w:pStyle w:val="Normal"/>
      </w:pPr>
      <w:r>
        <w:rPr>
          <w:rFonts w:ascii="Calibri" w:hAnsi="Calibri" w:eastAsia="Microsoft YaHei" w:cs="Calibri"/>
          <w:color w:val="2C3E50"/>
          <w:sz w:val="28"/>
          <w:szCs w:val="22"/>
          <w:b/>
        </w:rPr>
        <w:t xml:space="preserve">(b) Bona Fide Emergency: </w:t>
      </w:r>
      <w:r>
        <w:rPr>
          <w:rFonts w:ascii="Calibri" w:hAnsi="Calibri" w:eastAsia="Microsoft YaHei" w:cs="Calibri"/>
          <w:color w:val="1E1E1E"/>
          <w:sz w:val="22"/>
          <w:szCs w:val="22"/>
        </w:rPr>
        <w:t>A genuine emergency exists (fire, flooding, medical evacuation) and the military asset is responding to a distress call broadcast on VHF Channel 16. The distress call is logged by the VTS.</w:t>
      </w:r>
    </w:p>
    <w:p>
      <w:pPr>
        <w:pStyle w:val="Normal"/>
      </w:pPr>
      <w:r>
        <w:rPr>
          <w:rFonts w:ascii="Calibri" w:hAnsi="Calibri" w:eastAsia="Microsoft YaHei" w:cs="Calibri"/>
          <w:color w:val="2C3E50"/>
          <w:sz w:val="28"/>
          <w:szCs w:val="22"/>
          <w:b/>
        </w:rPr>
        <w:t xml:space="preserve">(c) Corridor Crossing: </w:t>
      </w:r>
      <w:r>
        <w:rPr>
          <w:rFonts w:ascii="Calibri" w:hAnsi="Calibri" w:eastAsia="Microsoft YaHei" w:cs="Calibri"/>
          <w:color w:val="1E1E1E"/>
          <w:sz w:val="22"/>
          <w:szCs w:val="22"/>
        </w:rPr>
        <w:t>The military asset is transiting perpendicular to the commercial corridor to reach another operational area, provided it does not impede Commercial Vessel traffic. Crossing time does not exceed 5 minutes.</w:t>
      </w:r>
    </w:p>
    <w:p>
      <w:pPr>
        <w:pStyle w:val="Normal"/>
      </w:pPr>
      <w:r>
        <w:rPr>
          <w:rFonts w:ascii="Calibri" w:hAnsi="Calibri" w:eastAsia="Microsoft YaHei" w:cs="Calibri"/>
          <w:color w:val="2C3E50"/>
          <w:sz w:val="28"/>
          <w:szCs w:val="22"/>
          <w:b/>
        </w:rPr>
        <w:t xml:space="preserve">(d) No Presumption of Exception: </w:t>
      </w:r>
      <w:r>
        <w:rPr>
          <w:rFonts w:ascii="Calibri" w:hAnsi="Calibri" w:eastAsia="Microsoft YaHei" w:cs="Calibri"/>
          <w:color w:val="1E1E1E"/>
          <w:sz w:val="22"/>
          <w:szCs w:val="22"/>
        </w:rPr>
        <w:t>Any military asset approaching within 1 nautical mile of a Commercial Vessel without meeting (a), (b), or (c) is automatically presumed to be in violation. The burden of proving the exception lies with the approaching military asset.</w:t>
      </w:r>
    </w:p>
    <w:p>
      <w:pPr>
        <w:pStyle w:val="Normal"/>
      </w:pPr>
      <w:r>
        <w:rPr>
          <w:rFonts w:ascii="Calibri" w:hAnsi="Calibri" w:eastAsia="Microsoft YaHei" w:cs="Calibri"/>
          <w:color w:val="1E1E1E"/>
          <w:sz w:val="22"/>
          <w:szCs w:val="22"/>
        </w:rPr>
        <w:t>The framework architecture establishes the following zone-based rule set for all patrol vessels:</w:t>
      </w:r>
    </w:p>
    <w:p>
      <w:pPr>
        <w:pStyle w:val="Normal"/>
        <w:spacing w:before="60" w:after="60"/>
        <w:ind w:left="720" w:hanging="360"/>
      </w:pPr>
      <w:r>
        <w:rPr>
          <w:b/>
          <w:color w:val="2C3E50"/>
          <w:rFonts w:ascii="Calibri" w:hAnsi="Calibri" w:eastAsia="Microsoft YaHei" w:cs="Calibri"/>
          <w:sz w:val="22"/>
          <w:szCs w:val="22"/>
        </w:rPr>
        <w:t xml:space="preserve">Within the Commercial Transit Corridor (CTC): </w:t>
      </w:r>
      <w:r>
        <w:rPr>
          <w:rFonts w:ascii="Calibri" w:hAnsi="Calibri" w:eastAsia="Microsoft YaHei" w:cs="Calibri"/>
          <w:color w:val="1E1E1E"/>
          <w:sz w:val="22"/>
          <w:szCs w:val="22"/>
        </w:rPr>
        <w:t>The framework architecture excludes Iranian patrol boats from the CTC except for three specified exceptions: escorting at a vessel master's request; responding to declared distress; or transiting to or from port with 4-hour MSB notice and continuous AIS broadcasting. The framework architecture excludes all fast attack craft (FAC) from the CTC under all circumstances, except in hot pursuit of a pirate vessel per UNCLOS Article 111 with immediate MSB notification within 5 minutes. For purposes of this Article, all vessels bearing Iranian hull numbers, operating from Iranian ports, or receiving Iranian fuel or logistics support fall under Iran's effective control regardless of formal command structure. The same standard applies in mirror form to all vessels bearing U.S. hull numbers, operating from U.S. forward bases, or receiving U.S. fuel or logistics support.</w:t>
      </w:r>
    </w:p>
    <w:p>
      <w:pPr>
        <w:pStyle w:val="Normal"/>
        <w:spacing w:before="60" w:after="60"/>
        <w:ind w:left="720" w:hanging="360"/>
      </w:pPr>
      <w:r>
        <w:rPr>
          <w:b/>
          <w:color w:val="2C3E50"/>
          <w:rFonts w:ascii="Calibri" w:hAnsi="Calibri" w:eastAsia="Microsoft YaHei" w:cs="Calibri"/>
          <w:sz w:val="22"/>
          <w:szCs w:val="22"/>
        </w:rPr>
        <w:t xml:space="preserve">Within Iranian Territorial Waters (0-12 nm) outside the CTC: </w:t>
      </w:r>
      <w:r>
        <w:rPr>
          <w:rFonts w:ascii="Calibri" w:hAnsi="Calibri" w:eastAsia="Microsoft YaHei" w:cs="Calibri"/>
          <w:color w:val="1E1E1E"/>
          <w:sz w:val="22"/>
          <w:szCs w:val="22"/>
        </w:rPr>
        <w:t>PGSA patrol boats conduct normal law enforcement activities in this zone, including customs inspection, immigration control, safety inspection, and fisheries enforcement. All such activities require continuous Class A AIS broadcasting. Boardings of commercial vessels in this zone require prior MSB notification and are limited to vessels entering or departing Iranian ports, not vessels in innocent passage transiting the Strait.</w:t>
      </w:r>
    </w:p>
    <w:p>
      <w:pPr>
        <w:pStyle w:val="Normal"/>
        <w:spacing w:before="60" w:after="60"/>
        <w:ind w:left="720" w:hanging="360"/>
      </w:pPr>
      <w:r>
        <w:rPr>
          <w:b/>
          <w:color w:val="2C3E50"/>
          <w:rFonts w:ascii="Calibri" w:hAnsi="Calibri" w:eastAsia="Microsoft YaHei" w:cs="Calibri"/>
          <w:sz w:val="22"/>
          <w:szCs w:val="22"/>
        </w:rPr>
        <w:t xml:space="preserve">Beyond 12 Nautical Miles (International Waters): </w:t>
      </w:r>
      <w:r>
        <w:rPr>
          <w:rFonts w:ascii="Calibri" w:hAnsi="Calibri" w:eastAsia="Microsoft YaHei" w:cs="Calibri"/>
          <w:color w:val="1E1E1E"/>
          <w:sz w:val="22"/>
          <w:szCs w:val="22"/>
        </w:rPr>
        <w:t>No Iranian vessel possesses authority to stop, board, or inspect any commercial vessel in international waters. Any such attempt triggers automatic Tier 3 classification.</w:t>
      </w:r>
    </w:p>
    <w:p>
      <w:pPr>
        <w:pStyle w:val="Normal"/>
      </w:pPr>
      <w:r>
        <w:rPr>
          <w:rFonts w:ascii="Calibri" w:hAnsi="Calibri" w:eastAsia="Microsoft YaHei" w:cs="Calibri"/>
          <w:color w:val="1E1E1E"/>
          <w:sz w:val="22"/>
          <w:szCs w:val="22"/>
        </w:rPr>
        <w:t>The following acts constitute interference under this verification regime: attempted boarding or interdiction of a commercial vessel by military, paramilitary, or law enforcement personnel; use of force, threat of force, or warning shots directed at a commercial vessel; directed communications (VHF, loudhailer, visual signals) that threaten the vessel, its crew, or its cargo; interference with navigation systems, including GPS jamming, AIS spoofing, or electronic countermeasures; physical obstruction of the vessel's path by military vessels, patrol craft, or placed obstacles; mandatory inspection or detention of a commercial vessel without prior consent of the flag state.</w:t>
      </w:r>
    </w:p>
    <w:p>
      <w:pPr>
        <w:pStyle w:val="Heading2"/>
      </w:pPr>
      <w:r>
        <w:rPr>
          <w:rFonts w:ascii="Calibri" w:hAnsi="Calibri" w:eastAsia="Microsoft YaHei" w:cs="Calibri"/>
          <w:b/>
          <w:color w:val="2C3E50"/>
          <w:sz w:val="28"/>
          <w:szCs w:val="28"/>
        </w:rPr>
        <w:t>3.4 Emergency Response</w:t>
      </w:r>
    </w:p>
    <w:p>
      <w:pPr>
        <w:pStyle w:val="Normal"/>
      </w:pPr>
      <w:r>
        <w:rPr>
          <w:rFonts w:ascii="Calibri" w:hAnsi="Calibri" w:eastAsia="Microsoft YaHei" w:cs="Calibri"/>
          <w:color w:val="1E1E1E"/>
          <w:sz w:val="22"/>
          <w:szCs w:val="22"/>
        </w:rPr>
        <w:t>A Joint Emergency Response Cell (JERC) is established in Muscat, Oman, staffed 24 hours per day, 7 days per week by liaison officers from Iran, the United States, and Oman. The JERC performs the following functions:</w:t>
      </w:r>
    </w:p>
    <w:p>
      <w:pPr>
        <w:pStyle w:val="Normal"/>
        <w:spacing w:before="60" w:after="60"/>
        <w:ind w:left="720" w:hanging="360"/>
      </w:pPr>
      <w:r>
        <w:rPr>
          <w:b/>
          <w:color w:val="2C3E50"/>
          <w:rFonts w:ascii="Calibri" w:hAnsi="Calibri" w:eastAsia="Microsoft YaHei" w:cs="Calibri"/>
          <w:sz w:val="22"/>
          <w:szCs w:val="22"/>
        </w:rPr>
        <w:t xml:space="preserve">(a) </w:t>
      </w:r>
      <w:r>
        <w:rPr>
          <w:rFonts w:ascii="Calibri" w:hAnsi="Calibri" w:eastAsia="Microsoft YaHei" w:cs="Calibri"/>
          <w:color w:val="1E1E1E"/>
          <w:sz w:val="22"/>
          <w:szCs w:val="22"/>
        </w:rPr>
        <w:t>Coordinates responses to groundings, mechanical failures, fires, or medical emergencies involving Commercial Vessels in the Strait. The JERC maintains direct communication links to all port authorities, coast guard stations, and naval commands in the region;</w:t>
      </w:r>
    </w:p>
    <w:p>
      <w:pPr>
        <w:pStyle w:val="Normal"/>
        <w:spacing w:before="60" w:after="60"/>
        <w:ind w:left="720" w:hanging="360"/>
      </w:pPr>
      <w:r>
        <w:rPr>
          <w:b/>
          <w:color w:val="2C3E50"/>
          <w:rFonts w:ascii="Calibri" w:hAnsi="Calibri" w:eastAsia="Microsoft YaHei" w:cs="Calibri"/>
          <w:sz w:val="22"/>
          <w:szCs w:val="22"/>
        </w:rPr>
        <w:t xml:space="preserve">(b) </w:t>
      </w:r>
      <w:r>
        <w:rPr>
          <w:rFonts w:ascii="Calibri" w:hAnsi="Calibri" w:eastAsia="Microsoft YaHei" w:cs="Calibri"/>
          <w:color w:val="1E1E1E"/>
          <w:sz w:val="22"/>
          <w:szCs w:val="22"/>
        </w:rPr>
        <w:t>Serves as the primary deconfliction hotline for any military-to-military or military-to-civilian incidents. The JERC hotline operates on a dedicated satellite communications channel (Iridium or Inmarsat) with failover capability to three redundant ground stations;</w:t>
      </w:r>
    </w:p>
    <w:p>
      <w:pPr>
        <w:pStyle w:val="Normal"/>
        <w:spacing w:before="60" w:after="60"/>
        <w:ind w:left="720" w:hanging="360"/>
      </w:pPr>
      <w:r>
        <w:rPr>
          <w:b/>
          <w:color w:val="2C3E50"/>
          <w:rFonts w:ascii="Calibri" w:hAnsi="Calibri" w:eastAsia="Microsoft YaHei" w:cs="Calibri"/>
          <w:sz w:val="22"/>
          <w:szCs w:val="22"/>
        </w:rPr>
        <w:t xml:space="preserve">(c) </w:t>
      </w:r>
      <w:r>
        <w:rPr>
          <w:rFonts w:ascii="Calibri" w:hAnsi="Calibri" w:eastAsia="Microsoft YaHei" w:cs="Calibri"/>
          <w:color w:val="1E1E1E"/>
          <w:sz w:val="22"/>
          <w:szCs w:val="22"/>
        </w:rPr>
        <w:t>Activates joint mine-countermeasure operations in the event of a suspected or confirmed mine presence. The JERC coordinates the Phase 0 pre-clearance information exchange through Phase 3 full certification per the Maritime Implementation Schedule.</w:t>
      </w:r>
    </w:p>
    <w:p>
      <w:pPr>
        <w:pStyle w:val="Normal"/>
      </w:pPr>
      <w:r>
        <w:rPr>
          <w:rFonts w:ascii="Calibri" w:hAnsi="Calibri" w:eastAsia="Microsoft YaHei" w:cs="Calibri"/>
          <w:color w:val="1E1E1E"/>
          <w:sz w:val="22"/>
          <w:szCs w:val="22"/>
        </w:rPr>
        <w:t>The JERC maintains a staffing model of four analysts on duty during normal conditions, increasing to eight analysts with supervisory oversight during elevated alert conditions. Each analyst possesses expertise in maritime operations, intelligence analysis, and the specific regulatory frameworks applicable to the monitored region.</w:t>
      </w:r>
    </w:p>
    <w:p>
      <w:pPr>
        <w:pStyle w:val="Heading2"/>
      </w:pPr>
      <w:r>
        <w:rPr>
          <w:rFonts w:ascii="Calibri" w:hAnsi="Calibri" w:eastAsia="Microsoft YaHei" w:cs="Calibri"/>
          <w:b/>
          <w:color w:val="2C3E50"/>
          <w:sz w:val="28"/>
          <w:szCs w:val="28"/>
        </w:rPr>
        <w:t>3.5 Commitment to Non-Escalation</w:t>
      </w:r>
    </w:p>
    <w:p>
      <w:pPr>
        <w:pStyle w:val="Normal"/>
      </w:pPr>
      <w:r>
        <w:rPr>
          <w:rFonts w:ascii="Calibri" w:hAnsi="Calibri" w:eastAsia="Microsoft YaHei" w:cs="Calibri"/>
          <w:color w:val="2C3E50"/>
          <w:sz w:val="28"/>
          <w:szCs w:val="22"/>
          <w:b/>
        </w:rPr>
        <w:t xml:space="preserve">(a) </w:t>
      </w:r>
      <w:r>
        <w:rPr>
          <w:rFonts w:ascii="Calibri" w:hAnsi="Calibri" w:eastAsia="Microsoft YaHei" w:cs="Calibri"/>
          <w:color w:val="1E1E1E"/>
          <w:sz w:val="22"/>
          <w:szCs w:val="22"/>
        </w:rPr>
        <w:t>The Parties affirm their commitment to resolving all disputes arising under this Understanding through the mechanisms established herein, and to refraining from unilateral coercive actions pending resolution.</w:t>
      </w:r>
    </w:p>
    <w:p>
      <w:pPr>
        <w:pStyle w:val="Normal"/>
      </w:pPr>
      <w:r>
        <w:rPr>
          <w:rFonts w:ascii="Calibri" w:hAnsi="Calibri" w:eastAsia="Microsoft YaHei" w:cs="Calibri"/>
          <w:color w:val="2C3E50"/>
          <w:sz w:val="28"/>
          <w:szCs w:val="22"/>
          <w:b/>
        </w:rPr>
        <w:t xml:space="preserve">(b) </w:t>
      </w:r>
      <w:r>
        <w:rPr>
          <w:rFonts w:ascii="Calibri" w:hAnsi="Calibri" w:eastAsia="Microsoft YaHei" w:cs="Calibri"/>
          <w:color w:val="1E1E1E"/>
          <w:sz w:val="22"/>
          <w:szCs w:val="22"/>
        </w:rPr>
        <w:t>In the event of an incident that could escalate into a broader confrontation, the Parties commit to: (i) immediate communication through the JERC Hotline; (ii) exercise of maximum restraint pending JIC review; (iii) good-faith engagement with the dispute resolution mechanisms.</w:t>
      </w:r>
    </w:p>
    <w:p>
      <w:pPr>
        <w:pStyle w:val="Normal"/>
      </w:pPr>
      <w:r>
        <w:rPr>
          <w:rFonts w:ascii="Calibri" w:hAnsi="Calibri" w:eastAsia="Microsoft YaHei" w:cs="Calibri"/>
          <w:color w:val="2C3E50"/>
          <w:sz w:val="28"/>
          <w:szCs w:val="22"/>
          <w:b/>
        </w:rPr>
        <w:t xml:space="preserve">(c) </w:t>
      </w:r>
      <w:r>
        <w:rPr>
          <w:rFonts w:ascii="Calibri" w:hAnsi="Calibri" w:eastAsia="Microsoft YaHei" w:cs="Calibri"/>
          <w:color w:val="1E1E1E"/>
          <w:sz w:val="22"/>
          <w:szCs w:val="22"/>
        </w:rPr>
        <w:t>Nothing in this Article limits any Party's inherent right to self-defense under Article 51 of the UN Charter.</w:t>
      </w:r>
    </w:p>
    <w:p>
      <w:pPr>
        <w:pStyle w:val="Heading2"/>
        <w:keepNext w:val="1"/>
        <w:spacing w:line="300" w:before="360" w:after="160" w:lineRule="auto"/>
      </w:pPr>
      <w:r>
        <w:rPr>
          <w:rFonts w:ascii="Calibri" w:hAnsi="Calibri" w:eastAsia="Microsoft YaHei" w:cs="Calibri"/>
          <w:b/>
          <w:color w:val="2C3E50"/>
          <w:sz w:val="28"/>
          <w:szCs w:val="28"/>
        </w:rPr>
        <w:t>3.6 Joint Training and Exercise</w:t>
      </w:r>
    </w:p>
    <w:p>
      <w:pPr>
        <w:pStyle w:val="Normal"/>
      </w:pPr>
      <w:r>
        <w:rPr>
          <w:rFonts w:ascii="Calibri" w:hAnsi="Calibri" w:eastAsia="Microsoft YaHei" w:cs="Calibri"/>
          <w:color w:val="2C3E50"/>
          <w:sz w:val="22"/>
          <w:szCs w:val="22"/>
          <w:b/>
        </w:rPr>
        <w:t xml:space="preserve">(a) </w:t>
      </w:r>
      <w:r>
        <w:rPr>
          <w:rFonts w:ascii="Calibri" w:hAnsi="Calibri" w:eastAsia="Microsoft YaHei" w:cs="Calibri"/>
          <w:color w:val="1E1E1E"/>
          <w:sz w:val="22"/>
          <w:szCs w:val="22"/>
        </w:rPr>
        <w:t>The Parties conduct a joint tabletop exercise within 90 days of entry into force, simulating a Level 2 incident and testing the response of the JIC, JERC, VTS, and escalation ladder.</w:t>
      </w:r>
    </w:p>
    <w:p>
      <w:pPr>
        <w:pStyle w:val="Normal"/>
      </w:pPr>
      <w:r>
        <w:rPr>
          <w:rFonts w:ascii="Calibri" w:hAnsi="Calibri" w:eastAsia="Microsoft YaHei" w:cs="Calibri"/>
          <w:color w:val="2C3E50"/>
          <w:sz w:val="22"/>
          <w:szCs w:val="22"/>
          <w:b/>
        </w:rPr>
        <w:t xml:space="preserve">(b) </w:t>
      </w:r>
      <w:r>
        <w:rPr>
          <w:rFonts w:ascii="Calibri" w:hAnsi="Calibri" w:eastAsia="Microsoft YaHei" w:cs="Calibri"/>
          <w:color w:val="1E1E1E"/>
          <w:sz w:val="22"/>
          <w:szCs w:val="22"/>
        </w:rPr>
        <w:t>The Parties conduct a full-scale joint communication and coordination exercise within 180 days of entry into force, involving VTS coordination, JERC activation, and military deconfliction protocols.</w:t>
      </w:r>
    </w:p>
    <w:p>
      <w:pPr>
        <w:pStyle w:val="Normal"/>
      </w:pPr>
      <w:r>
        <w:rPr>
          <w:rFonts w:ascii="Calibri" w:hAnsi="Calibri" w:eastAsia="Microsoft YaHei" w:cs="Calibri"/>
          <w:color w:val="2C3E50"/>
          <w:sz w:val="22"/>
          <w:szCs w:val="22"/>
          <w:b/>
        </w:rPr>
        <w:t xml:space="preserve">(c) </w:t>
      </w:r>
      <w:r>
        <w:rPr>
          <w:rFonts w:ascii="Calibri" w:hAnsi="Calibri" w:eastAsia="Microsoft YaHei" w:cs="Calibri"/>
          <w:color w:val="1E1E1E"/>
          <w:sz w:val="22"/>
          <w:szCs w:val="22"/>
        </w:rPr>
        <w:t>Oman and the IMO observe all exercises. The exercise participants submit a written after-action report to the JIC within 30 days. The report includes lessons learned and recommendations for SOP adjustments.</w:t>
      </w:r>
    </w:p>
    <w:p>
      <w:pPr>
        <w:pStyle w:val="Normal"/>
      </w:pPr>
      <w:r>
        <w:rPr>
          <w:rFonts w:ascii="Calibri" w:hAnsi="Calibri" w:eastAsia="Microsoft YaHei" w:cs="Calibri"/>
          <w:color w:val="2C3E50"/>
          <w:sz w:val="22"/>
          <w:szCs w:val="22"/>
          <w:b/>
        </w:rPr>
        <w:t xml:space="preserve">(d) </w:t>
      </w:r>
      <w:r>
        <w:rPr>
          <w:rFonts w:ascii="Calibri" w:hAnsi="Calibri" w:eastAsia="Microsoft YaHei" w:cs="Calibri"/>
          <w:color w:val="1E1E1E"/>
          <w:sz w:val="22"/>
          <w:szCs w:val="22"/>
        </w:rPr>
        <w:t>Failure of a Party to participate in a scheduled joint exercise constitutes a Level 2 violation. Repeated failure (two or more exercises) constitutes a Level 3 violation.</w:t>
      </w:r>
    </w:p>
    <w:p>
      <w:pPr>
        <w:pStyle w:val="Heading1"/>
      </w:pPr>
      <w:bookmarkStart w:name="_TocArt4" w:id="5"/>
      <w:r>
        <w:rPr>
          <w:rFonts w:ascii="Calibri" w:hAnsi="Calibri" w:eastAsia="Microsoft YaHei" w:cs="Calibri"/>
          <w:b/>
          <w:color w:val="1A2A3A"/>
          <w:sz w:val="40"/>
          <w:szCs w:val="40"/>
        </w:rPr>
        <w:t>ARTICLE 4: TRANSIT FACILITATION AND FINANCIAL ARRANGEMENTS</w:t>
      </w:r>
      <w:bookmarkEnd w:id="5"/>
    </w:p>
    <w:p>
      <w:pPr>
        <w:pStyle w:val="Heading2"/>
      </w:pPr>
      <w:r>
        <w:rPr>
          <w:rFonts w:ascii="Calibri" w:hAnsi="Calibri" w:eastAsia="Microsoft YaHei" w:cs="Calibri"/>
          <w:b/>
          <w:color w:val="2C3E50"/>
          <w:sz w:val="28"/>
          <w:szCs w:val="28"/>
        </w:rPr>
        <w:t>4.1 Toll-Free Period</w:t>
      </w:r>
    </w:p>
    <w:p>
      <w:pPr>
        <w:pStyle w:val="Normal"/>
      </w:pPr>
      <w:r>
        <w:rPr>
          <w:rFonts w:ascii="Calibri" w:hAnsi="Calibri" w:eastAsia="Microsoft YaHei" w:cs="Calibri"/>
          <w:color w:val="1E1E1E"/>
          <w:sz w:val="22"/>
          <w:szCs w:val="22"/>
        </w:rPr>
        <w:t>Consistent with the June 17, 2026, Islamabad Memorandum of Understanding, no tolls, fees, or passage charges are levied on Commercial Vessels for the initial 60-day period following the date of signing of this Understanding (the "Toll-Free Period"). The Toll-Free Period expires at 23:59 UTC on the 60th day following signing. The fee collection provisions of Annex 1AC activate on the 61st day following signing.</w:t>
      </w:r>
    </w:p>
    <w:p>
      <w:pPr>
        <w:pStyle w:val="Normal"/>
      </w:pPr>
      <w:r>
        <w:rPr>
          <w:rFonts w:ascii="Calibri" w:hAnsi="Calibri" w:eastAsia="Microsoft YaHei" w:cs="Calibri"/>
          <w:color w:val="1E1E1E"/>
          <w:sz w:val="22"/>
          <w:szCs w:val="22"/>
        </w:rPr>
        <w:t>During the toll-free period, all navigational services, including pilotage, VTS data feeds, emergency towing, and channel maintenance, are provided without charge to Commercial Vessels. The costs of these services are covered by the administrative reserve of the Joint Secretariat, funded through equal contributions from both Parties.</w:t>
      </w:r>
    </w:p>
    <w:p>
      <w:pPr>
        <w:pStyle w:val="Heading2"/>
      </w:pPr>
      <w:r>
        <w:rPr>
          <w:rFonts w:ascii="Calibri" w:hAnsi="Calibri" w:eastAsia="Microsoft YaHei" w:cs="Calibri"/>
          <w:b/>
          <w:color w:val="2C3E50"/>
          <w:sz w:val="28"/>
          <w:szCs w:val="28"/>
        </w:rPr>
        <w:t>4.2 The Hormuz Service Corporation (HSC)</w:t>
      </w:r>
    </w:p>
    <w:p>
      <w:pPr>
        <w:pStyle w:val="Normal"/>
      </w:pPr>
      <w:r>
        <w:rPr>
          <w:rFonts w:ascii="Calibri" w:hAnsi="Calibri" w:eastAsia="Microsoft YaHei" w:cs="Calibri"/>
          <w:color w:val="1E1E1E"/>
          <w:sz w:val="22"/>
          <w:szCs w:val="22"/>
        </w:rPr>
        <w:t>Upon expiration of the toll-free period, the Parties establish the Hormuz Service Corporation (HSC), a non-profit entity chartered in the Sultanate of Oman. The HSC operates as the sole service provider for the following paid services:</w:t>
      </w:r>
    </w:p>
    <w:p>
      <w:pPr>
        <w:pStyle w:val="Normal"/>
        <w:spacing w:before="60" w:after="60"/>
        <w:ind w:left="720" w:hanging="360"/>
      </w:pPr>
      <w:r>
        <w:rPr>
          <w:b/>
          <w:color w:val="2C3E50"/>
          <w:rFonts w:ascii="Calibri" w:hAnsi="Calibri" w:eastAsia="Microsoft YaHei" w:cs="Calibri"/>
          <w:sz w:val="22"/>
          <w:szCs w:val="22"/>
        </w:rPr>
        <w:t xml:space="preserve">(a) </w:t>
      </w:r>
      <w:r>
        <w:rPr>
          <w:rFonts w:ascii="Calibri" w:hAnsi="Calibri" w:eastAsia="Microsoft YaHei" w:cs="Calibri"/>
          <w:color w:val="1E1E1E"/>
          <w:sz w:val="22"/>
          <w:szCs w:val="22"/>
        </w:rPr>
        <w:t>Pilotage services for vessels transiting either corridor, provided by licensed pilots certified under IMO standards;</w:t>
      </w:r>
    </w:p>
    <w:p>
      <w:pPr>
        <w:pStyle w:val="Normal"/>
        <w:spacing w:before="60" w:after="60"/>
        <w:ind w:left="720" w:hanging="360"/>
      </w:pPr>
      <w:r>
        <w:rPr>
          <w:b/>
          <w:color w:val="2C3E50"/>
          <w:rFonts w:ascii="Calibri" w:hAnsi="Calibri" w:eastAsia="Microsoft YaHei" w:cs="Calibri"/>
          <w:sz w:val="22"/>
          <w:szCs w:val="22"/>
        </w:rPr>
        <w:t xml:space="preserve">(b) </w:t>
      </w:r>
      <w:r>
        <w:rPr>
          <w:rFonts w:ascii="Calibri" w:hAnsi="Calibri" w:eastAsia="Microsoft YaHei" w:cs="Calibri"/>
          <w:color w:val="1E1E1E"/>
          <w:sz w:val="22"/>
          <w:szCs w:val="22"/>
        </w:rPr>
        <w:t>Emergency towing and salvage operations within the transit corridor;</w:t>
      </w:r>
    </w:p>
    <w:p>
      <w:pPr>
        <w:pStyle w:val="Normal"/>
        <w:spacing w:before="60" w:after="60"/>
        <w:ind w:left="720" w:hanging="360"/>
      </w:pPr>
      <w:r>
        <w:rPr>
          <w:b/>
          <w:color w:val="2C3E50"/>
          <w:rFonts w:ascii="Calibri" w:hAnsi="Calibri" w:eastAsia="Microsoft YaHei" w:cs="Calibri"/>
          <w:sz w:val="22"/>
          <w:szCs w:val="22"/>
        </w:rPr>
        <w:t xml:space="preserve">(c) </w:t>
      </w:r>
      <w:r>
        <w:rPr>
          <w:rFonts w:ascii="Calibri" w:hAnsi="Calibri" w:eastAsia="Microsoft YaHei" w:cs="Calibri"/>
          <w:color w:val="1E1E1E"/>
          <w:sz w:val="22"/>
          <w:szCs w:val="22"/>
        </w:rPr>
        <w:t>VTS data feeds and navigational information services, including real-time traffic updates, weather advisories, and hazard notifications;</w:t>
      </w:r>
    </w:p>
    <w:p>
      <w:pPr>
        <w:pStyle w:val="Normal"/>
        <w:spacing w:before="60" w:after="60"/>
        <w:ind w:left="720" w:hanging="360"/>
      </w:pPr>
      <w:r>
        <w:rPr>
          <w:b/>
          <w:color w:val="2C3E50"/>
          <w:rFonts w:ascii="Calibri" w:hAnsi="Calibri" w:eastAsia="Microsoft YaHei" w:cs="Calibri"/>
          <w:sz w:val="22"/>
          <w:szCs w:val="22"/>
        </w:rPr>
        <w:t xml:space="preserve">(d) </w:t>
      </w:r>
      <w:r>
        <w:rPr>
          <w:rFonts w:ascii="Calibri" w:hAnsi="Calibri" w:eastAsia="Microsoft YaHei" w:cs="Calibri"/>
          <w:color w:val="1E1E1E"/>
          <w:sz w:val="22"/>
          <w:szCs w:val="22"/>
        </w:rPr>
        <w:t>Channel maintenance, including dredging, buoy tending, and debris removal to maintain the IMO TSS in navigable condition.</w:t>
      </w:r>
    </w:p>
    <w:p>
      <w:pPr>
        <w:pStyle w:val="Normal"/>
      </w:pPr>
      <w:r>
        <w:rPr>
          <w:rFonts w:ascii="Calibri" w:hAnsi="Calibri" w:eastAsia="Microsoft YaHei" w:cs="Calibri"/>
          <w:color w:val="1E1E1E"/>
          <w:sz w:val="22"/>
          <w:szCs w:val="22"/>
        </w:rPr>
        <w:t>The HSC charges a transparent, capped service fee of USD $0.18 per gross ton per transit. This rate is subject to annual review by the JIC and adjustment only by unanimous JIC consent. The HSC publishes its fee schedule, service standards, and complaint procedures on a publicly accessible website in English, Farsi, and Arabic.</w:t>
      </w:r>
    </w:p>
    <w:p>
      <w:pPr>
        <w:pStyle w:val="Normal"/>
      </w:pPr>
      <w:r>
        <w:rPr>
          <w:rFonts w:ascii="Calibri" w:hAnsi="Calibri" w:eastAsia="Microsoft YaHei" w:cs="Calibri"/>
          <w:color w:val="1E1E1E"/>
          <w:sz w:val="22"/>
          <w:szCs w:val="22"/>
        </w:rPr>
        <w:t>The HSC holds all fee revenues in an independent escrow account administered by the Central Bank of Oman under sovereign immunity protections. The Swiss facilitator maintains oversight of the escrow account, with real-time notification of every deposit, release, and balance change provided to all Parties. In the event that the Central Bank of Oman is unable to perform its escrow functions for 30 consecutive days, the Swiss facilitator automatically transfers escrow administration to the Bank for International Settlements (BIS) in Basel. This transfer activates without requiring further consent from any Party. The BIS assumes all escrow duties, including disbursement, reporting, and record-keeping, under the same transparency standards that govern the Omani escrow.</w:t>
      </w:r>
    </w:p>
    <w:p>
      <w:pPr>
        <w:pStyle w:val="Heading2"/>
        <w:keepNext w:val="1"/>
        <w:spacing w:line="300" w:before="360" w:after="160" w:lineRule="auto"/>
      </w:pPr>
      <w:r>
        <w:rPr>
          <w:rFonts w:ascii="Calibri" w:hAnsi="Calibri" w:eastAsia="Microsoft YaHei" w:cs="Calibri"/>
          <w:b/>
          <w:color w:val="4A4A4A"/>
          <w:sz w:val="22"/>
          <w:szCs w:val="28"/>
        </w:rPr>
        <w:t>4.2A Prohibition on Financial Interference</w:t>
      </w:r>
    </w:p>
    <w:p>
      <w:pPr>
        <w:pStyle w:val="Normal"/>
      </w:pPr>
      <w:r>
        <w:rPr>
          <w:rFonts w:ascii="Calibri" w:hAnsi="Calibri" w:eastAsia="Microsoft YaHei" w:cs="Calibri"/>
          <w:color w:val="2C3E50"/>
          <w:sz w:val="28"/>
          <w:szCs w:val="22"/>
          <w:b/>
        </w:rPr>
        <w:t xml:space="preserve">(a) </w:t>
      </w:r>
      <w:r>
        <w:rPr>
          <w:rFonts w:ascii="Calibri" w:hAnsi="Calibri" w:eastAsia="Microsoft YaHei" w:cs="Calibri"/>
          <w:color w:val="1E1E1E"/>
          <w:sz w:val="22"/>
          <w:szCs w:val="22"/>
        </w:rPr>
        <w:t>The framework architecture prohibits either Party from imposing, enforcing, or threatening any financial sanction, penalty, designation, or restriction against the Hormuz Service Corporation, its Board, its Executive Director, its employees, its escrow accounts, or any entity contracting with the HSC for services rendered under this Understanding.</w:t>
      </w:r>
    </w:p>
    <w:p>
      <w:pPr>
        <w:pStyle w:val="Normal"/>
      </w:pPr>
      <w:r>
        <w:rPr>
          <w:rFonts w:ascii="Calibri" w:hAnsi="Calibri" w:eastAsia="Microsoft YaHei" w:cs="Calibri"/>
          <w:color w:val="2C3E50"/>
          <w:sz w:val="28"/>
          <w:szCs w:val="22"/>
          <w:b/>
        </w:rPr>
        <w:t xml:space="preserve">(b) </w:t>
      </w:r>
      <w:r>
        <w:rPr>
          <w:rFonts w:ascii="Calibri" w:hAnsi="Calibri" w:eastAsia="Microsoft YaHei" w:cs="Calibri"/>
          <w:color w:val="1E1E1E"/>
          <w:sz w:val="22"/>
          <w:szCs w:val="22"/>
        </w:rPr>
        <w:t>The framework architecture prohibits either Party from denying, or threatening to deny, correspondent banking services or access to the international financial system to any entity solely on the basis of its contractual relationship with the HSC.</w:t>
      </w:r>
    </w:p>
    <w:p>
      <w:pPr>
        <w:pStyle w:val="Normal"/>
      </w:pPr>
      <w:r>
        <w:rPr>
          <w:rFonts w:ascii="Calibri" w:hAnsi="Calibri" w:eastAsia="Microsoft YaHei" w:cs="Calibri"/>
          <w:color w:val="2C3E50"/>
          <w:sz w:val="28"/>
          <w:szCs w:val="22"/>
          <w:b/>
        </w:rPr>
        <w:t xml:space="preserve">(c) </w:t>
      </w:r>
      <w:r>
        <w:rPr>
          <w:rFonts w:ascii="Calibri" w:hAnsi="Calibri" w:eastAsia="Microsoft YaHei" w:cs="Calibri"/>
          <w:color w:val="1E1E1E"/>
          <w:sz w:val="22"/>
          <w:szCs w:val="22"/>
        </w:rPr>
        <w:t>Any action prohibited by (a) or (b) constitutes a Level 3 violation and triggers automatic freeze of the violating Party's escrow contributions and JIC voting rights until the violation is fully remediated.</w:t>
      </w:r>
    </w:p>
    <w:p>
      <w:pPr>
        <w:pStyle w:val="Heading2"/>
      </w:pPr>
      <w:r>
        <w:rPr>
          <w:rFonts w:ascii="Calibri" w:hAnsi="Calibri" w:eastAsia="Microsoft YaHei" w:cs="Calibri"/>
          <w:b/>
          <w:color w:val="2C3E50"/>
          <w:sz w:val="28"/>
          <w:szCs w:val="28"/>
        </w:rPr>
        <w:t>4.3 Revenue Distribution</w:t>
      </w:r>
    </w:p>
    <w:p>
      <w:pPr>
        <w:pStyle w:val="Normal"/>
      </w:pPr>
      <w:r>
        <w:rPr>
          <w:rFonts w:ascii="Calibri" w:hAnsi="Calibri" w:eastAsia="Microsoft YaHei" w:cs="Calibri"/>
          <w:color w:val="1E1E1E"/>
          <w:sz w:val="22"/>
          <w:szCs w:val="22"/>
        </w:rPr>
        <w:t>Funds from the escrow account are disbursed monthly according to the following distribution formula:</w:t>
      </w:r>
    </w:p>
    <w:tbl>
      <w:tblPr>
        <w:tblW w:w="5000" w:type="pct"/>
        <w:tblBorders>
          <w:top w:val="single" w:color="1a2a3a" w:sz="12"/>
          <w:left w:val="nil"/>
          <w:bottom w:val="single" w:color="1a2a3a" w:sz="12"/>
          <w:right w:val="nil"/>
          <w:insideH w:val="single" w:color="d0ccc0" w:sz="4"/>
          <w:insideV w:val="nil"/>
        </w:tblBorders>
      </w:tblPr>
      <w:tblGrid>
        <w:gridCol w:w="2500"/>
        <w:gridCol w:w="1500"/>
        <w:gridCol w:w="5500"/>
      </w:tblGrid>
      <w:tr>
        <w:trPr>
          <w:tblHeader w:val="1"/>
        </w:trPr>
        <w:tc>
          <w:tcPr>
            <w:tcW w:w="2500" w:type="dxa"/>
            <w:shd w:val="clear" w:fill="E8E6E0" w:color="auto"/>
          </w:tcPr>
          <w:p>
            <w:pPr>
              <w:pStyle w:val="Normal"/>
              <w:spacing w:before="40" w:after="40"/>
            </w:pPr>
            <w:r>
              <w:rPr>
                <w:b/>
                <w:color w:val="1E1E1E"/>
                <w:sz w:val="20"/>
                <w:rFonts w:ascii="Calibri" w:hAnsi="Calibri" w:eastAsia="Microsoft YaHei" w:cs="Calibri"/>
                <w:szCs w:val="20"/>
              </w:rPr>
              <w:t>Recipient</w:t>
            </w:r>
          </w:p>
        </w:tc>
        <w:tc>
          <w:tcPr>
            <w:tcW w:w="1500" w:type="dxa"/>
            <w:shd w:val="clear" w:fill="E8E6E0" w:color="auto"/>
          </w:tcPr>
          <w:p>
            <w:pPr>
              <w:pStyle w:val="Normal"/>
              <w:spacing w:before="40" w:after="40"/>
            </w:pPr>
            <w:r>
              <w:rPr>
                <w:b/>
                <w:color w:val="1E1E1E"/>
                <w:sz w:val="20"/>
                <w:rFonts w:ascii="Calibri" w:hAnsi="Calibri" w:eastAsia="Microsoft YaHei" w:cs="Calibri"/>
                <w:szCs w:val="20"/>
              </w:rPr>
              <w:t>Percentage</w:t>
            </w:r>
          </w:p>
        </w:tc>
        <w:tc>
          <w:tcPr>
            <w:tcW w:w="5500" w:type="dxa"/>
            <w:shd w:val="clear" w:fill="E8E6E0" w:color="auto"/>
          </w:tcPr>
          <w:p>
            <w:pPr>
              <w:pStyle w:val="Normal"/>
              <w:spacing w:before="40" w:after="40"/>
            </w:pPr>
            <w:r>
              <w:rPr>
                <w:b/>
                <w:color w:val="1E1E1E"/>
                <w:sz w:val="20"/>
                <w:rFonts w:ascii="Calibri" w:hAnsi="Calibri" w:eastAsia="Microsoft YaHei" w:cs="Calibri"/>
                <w:szCs w:val="20"/>
              </w:rPr>
              <w:t>Purpose</w:t>
            </w:r>
          </w:p>
        </w:tc>
      </w:tr>
      <w:tr>
        <w:tc>
          <w:tcPr>
            <w:tcW w:w="2500" w:type="dxa"/>
          </w:tcPr>
          <w:p>
            <w:pPr>
              <w:pStyle w:val="Normal"/>
              <w:spacing w:before="40" w:after="40"/>
            </w:pPr>
            <w:r>
              <w:rPr>
                <w:color w:val="4A4A4A"/>
                <w:sz w:val="20"/>
                <w:rFonts w:ascii="Calibri" w:hAnsi="Calibri" w:eastAsia="Microsoft YaHei" w:cs="Calibri"/>
                <w:szCs w:val="20"/>
              </w:rPr>
              <w:t>Iran</w:t>
            </w:r>
          </w:p>
        </w:tc>
        <w:tc>
          <w:tcPr>
            <w:tcW w:w="1500" w:type="dxa"/>
          </w:tcPr>
          <w:p>
            <w:pPr>
              <w:pStyle w:val="Normal"/>
              <w:spacing w:before="40" w:after="40"/>
            </w:pPr>
            <w:r>
              <w:rPr>
                <w:color w:val="4A4A4A"/>
                <w:sz w:val="20"/>
                <w:rFonts w:ascii="Calibri" w:hAnsi="Calibri" w:eastAsia="Microsoft YaHei" w:cs="Calibri"/>
                <w:szCs w:val="20"/>
              </w:rPr>
              <w:t>50%</w:t>
            </w:r>
          </w:p>
        </w:tc>
        <w:tc>
          <w:tcPr>
            <w:tcW w:w="5500" w:type="dxa"/>
          </w:tcPr>
          <w:p>
            <w:pPr>
              <w:pStyle w:val="Normal"/>
              <w:spacing w:before="40" w:after="40"/>
            </w:pPr>
            <w:r>
              <w:rPr>
                <w:color w:val="4A4A4A"/>
                <w:sz w:val="20"/>
                <w:rFonts w:ascii="Calibri" w:hAnsi="Calibri" w:eastAsia="Microsoft YaHei" w:cs="Calibri"/>
                <w:szCs w:val="20"/>
              </w:rPr>
              <w:t>Navigational aids and services in the Northern Corridor</w:t>
            </w:r>
          </w:p>
        </w:tc>
      </w:tr>
      <w:tr>
        <w:tc>
          <w:tcPr>
            <w:tcW w:w="2500" w:type="dxa"/>
          </w:tcPr>
          <w:p>
            <w:pPr>
              <w:pStyle w:val="Normal"/>
              <w:spacing w:before="40" w:after="40"/>
            </w:pPr>
            <w:r>
              <w:rPr>
                <w:color w:val="4A4A4A"/>
                <w:sz w:val="20"/>
                <w:rFonts w:ascii="Calibri" w:hAnsi="Calibri" w:eastAsia="Microsoft YaHei" w:cs="Calibri"/>
                <w:szCs w:val="20"/>
              </w:rPr>
              <w:t>Oman</w:t>
            </w:r>
          </w:p>
        </w:tc>
        <w:tc>
          <w:tcPr>
            <w:tcW w:w="1500" w:type="dxa"/>
          </w:tcPr>
          <w:p>
            <w:pPr>
              <w:pStyle w:val="Normal"/>
              <w:spacing w:before="40" w:after="40"/>
            </w:pPr>
            <w:r>
              <w:rPr>
                <w:color w:val="4A4A4A"/>
                <w:sz w:val="20"/>
                <w:rFonts w:ascii="Calibri" w:hAnsi="Calibri" w:eastAsia="Microsoft YaHei" w:cs="Calibri"/>
                <w:szCs w:val="20"/>
              </w:rPr>
              <w:t>30%</w:t>
            </w:r>
          </w:p>
        </w:tc>
        <w:tc>
          <w:tcPr>
            <w:tcW w:w="5500" w:type="dxa"/>
          </w:tcPr>
          <w:p>
            <w:pPr>
              <w:pStyle w:val="Normal"/>
              <w:spacing w:before="40" w:after="40"/>
            </w:pPr>
            <w:r>
              <w:rPr>
                <w:color w:val="4A4A4A"/>
                <w:sz w:val="20"/>
                <w:rFonts w:ascii="Calibri" w:hAnsi="Calibri" w:eastAsia="Microsoft YaHei" w:cs="Calibri"/>
                <w:szCs w:val="20"/>
              </w:rPr>
              <w:t>Administrative and operational support; JIC and JERC facility costs</w:t>
            </w:r>
          </w:p>
        </w:tc>
      </w:tr>
      <w:tr>
        <w:tc>
          <w:tcPr>
            <w:tcW w:w="2500" w:type="dxa"/>
          </w:tcPr>
          <w:p>
            <w:pPr>
              <w:pStyle w:val="Normal"/>
              <w:spacing w:before="40" w:after="40"/>
            </w:pPr>
            <w:r>
              <w:rPr>
                <w:color w:val="4A4A4A"/>
                <w:sz w:val="20"/>
                <w:rFonts w:ascii="Calibri" w:hAnsi="Calibri" w:eastAsia="Microsoft YaHei" w:cs="Calibri"/>
                <w:szCs w:val="20"/>
              </w:rPr>
              <w:t>Reserve Fund</w:t>
            </w:r>
          </w:p>
        </w:tc>
        <w:tc>
          <w:tcPr>
            <w:tcW w:w="1500" w:type="dxa"/>
          </w:tcPr>
          <w:p>
            <w:pPr>
              <w:pStyle w:val="Normal"/>
              <w:spacing w:before="40" w:after="40"/>
            </w:pPr>
            <w:r>
              <w:rPr>
                <w:color w:val="4A4A4A"/>
                <w:sz w:val="20"/>
                <w:rFonts w:ascii="Calibri" w:hAnsi="Calibri" w:eastAsia="Microsoft YaHei" w:cs="Calibri"/>
                <w:szCs w:val="20"/>
              </w:rPr>
              <w:t>15%</w:t>
            </w:r>
          </w:p>
        </w:tc>
        <w:tc>
          <w:tcPr>
            <w:tcW w:w="5500" w:type="dxa"/>
          </w:tcPr>
          <w:p>
            <w:pPr>
              <w:pStyle w:val="Normal"/>
              <w:spacing w:before="40" w:after="40"/>
            </w:pPr>
            <w:r>
              <w:rPr>
                <w:color w:val="4A4A4A"/>
                <w:sz w:val="20"/>
                <w:rFonts w:ascii="Calibri" w:hAnsi="Calibri" w:eastAsia="Microsoft YaHei" w:cs="Calibri"/>
                <w:szCs w:val="20"/>
              </w:rPr>
              <w:t>Emergency response, mine-clearance, and environmental remediation</w:t>
            </w:r>
          </w:p>
        </w:tc>
      </w:tr>
      <w:tr>
        <w:tc>
          <w:tcPr>
            <w:tcW w:w="2500" w:type="dxa"/>
          </w:tcPr>
          <w:p>
            <w:pPr>
              <w:pStyle w:val="Normal"/>
              <w:spacing w:before="40" w:after="40"/>
            </w:pPr>
            <w:r>
              <w:rPr>
                <w:color w:val="4A4A4A"/>
                <w:sz w:val="20"/>
                <w:rFonts w:ascii="Calibri" w:hAnsi="Calibri" w:eastAsia="Microsoft YaHei" w:cs="Calibri"/>
                <w:szCs w:val="20"/>
              </w:rPr>
              <w:t>HSC Operations</w:t>
            </w:r>
          </w:p>
        </w:tc>
        <w:tc>
          <w:tcPr>
            <w:tcW w:w="1500" w:type="dxa"/>
          </w:tcPr>
          <w:p>
            <w:pPr>
              <w:pStyle w:val="Normal"/>
              <w:spacing w:before="40" w:after="40"/>
            </w:pPr>
            <w:r>
              <w:rPr>
                <w:color w:val="4A4A4A"/>
                <w:sz w:val="20"/>
                <w:rFonts w:ascii="Calibri" w:hAnsi="Calibri" w:eastAsia="Microsoft YaHei" w:cs="Calibri"/>
                <w:szCs w:val="20"/>
              </w:rPr>
              <w:t>5%</w:t>
            </w:r>
          </w:p>
        </w:tc>
        <w:tc>
          <w:tcPr>
            <w:tcW w:w="5500" w:type="dxa"/>
          </w:tcPr>
          <w:p>
            <w:pPr>
              <w:pStyle w:val="Normal"/>
              <w:spacing w:before="40" w:after="40"/>
            </w:pPr>
            <w:r>
              <w:rPr>
                <w:color w:val="4A4A4A"/>
                <w:sz w:val="20"/>
                <w:rFonts w:ascii="Calibri" w:hAnsi="Calibri" w:eastAsia="Microsoft YaHei" w:cs="Calibri"/>
                <w:szCs w:val="20"/>
              </w:rPr>
              <w:t>Operational budget for the Hormuz Service Corporation</w:t>
            </w:r>
          </w:p>
        </w:tc>
      </w:tr>
    </w:tbl>
    <w:p>
      <w:pPr>
        <w:pStyle w:val="Normal"/>
      </w:pPr>
      <w:r>
        <w:rPr>
          <w:rFonts w:ascii="Calibri" w:hAnsi="Calibri" w:eastAsia="Microsoft YaHei" w:cs="Calibri"/>
          <w:color w:val="1E1E1E"/>
          <w:sz w:val="22"/>
          <w:szCs w:val="22"/>
        </w:rPr>
        <w:t>The Swiss facilitator executes disbursements automatically on the 5th day of each month, based on the previous month's verified transit data. If technical review delays verification beyond 72 hours, the Swiss facilitator holds the funds in a pending-release sub-account earning interest at the Omani central bank rate.</w:t>
      </w:r>
    </w:p>
    <w:p>
      <w:pPr>
        <w:pStyle w:val="Heading2"/>
      </w:pPr>
      <w:r>
        <w:rPr>
          <w:rFonts w:ascii="Calibri" w:hAnsi="Calibri" w:eastAsia="Microsoft YaHei" w:cs="Calibri"/>
          <w:b/>
          <w:color w:val="2C3E50"/>
          <w:sz w:val="28"/>
          <w:szCs w:val="28"/>
        </w:rPr>
        <w:t>4.4 Compliance Conditionality</w:t>
      </w:r>
    </w:p>
    <w:p>
      <w:pPr>
        <w:pStyle w:val="Normal"/>
      </w:pPr>
      <w:r>
        <w:rPr>
          <w:rFonts w:ascii="Calibri" w:hAnsi="Calibri" w:eastAsia="Microsoft YaHei" w:cs="Calibri"/>
          <w:color w:val="1E1E1E"/>
          <w:sz w:val="22"/>
          <w:szCs w:val="22"/>
        </w:rPr>
        <w:t>Disbursements to Iran under Article 4.3(a) are expressly conditioned upon Iran's full compliance with the navigational safety, deconfliction, and standardization provisions of Articles 2, 3, and Annex 1AB. Any material breach triggers the graduated response mechanism under Article 8.</w:t>
      </w:r>
    </w:p>
    <w:p>
      <w:pPr>
        <w:pStyle w:val="Normal"/>
      </w:pPr>
      <w:r>
        <w:rPr>
          <w:rFonts w:ascii="Calibri" w:hAnsi="Calibri" w:eastAsia="Microsoft YaHei" w:cs="Calibri"/>
          <w:color w:val="1E1E1E"/>
          <w:sz w:val="22"/>
          <w:szCs w:val="22"/>
        </w:rPr>
        <w:t>The framework architecture measures compliance through the following verification standard: the Technical Working Group considers a metric verified when data from at least two independent monitoring sources is consistent. Consistent means the data values fall within the measurement tolerance defined for each metric.</w:t>
      </w:r>
    </w:p>
    <w:p>
      <w:pPr>
        <w:pStyle w:val="Normal"/>
      </w:pPr>
      <w:r>
        <w:rPr>
          <w:rFonts w:ascii="Calibri" w:hAnsi="Calibri" w:eastAsia="Microsoft YaHei" w:cs="Calibri"/>
          <w:color w:val="1E1E1E"/>
          <w:sz w:val="22"/>
          <w:szCs w:val="22"/>
        </w:rPr>
        <w:t>Independence requires that Source A and Source B do not share: (i) sensor platform; (ii) data fusion algorithm; (iii) national origin of operator; or (iv) communication backbone. The Technical Working Group maintains a published registry of approved source pairings. The TWG reviews and updates this registry quarterly. A single-source finding receives provisional status pending corroboration. The Technical Working Group does not recommend activation based solely on provisional findings. Unverified transits do not count as successful transits for the purpose of performance-indexed revenue distribution. Unverified transits do not count as failed transits unless corroborated evidence of a metric failure emerges.</w:t>
      </w:r>
    </w:p>
    <w:p>
      <w:pPr>
        <w:pStyle w:val="Heading1"/>
      </w:pPr>
      <w:bookmarkStart w:name="_TocArt5" w:id="6"/>
      <w:r>
        <w:rPr>
          <w:rFonts w:ascii="Calibri" w:hAnsi="Calibri" w:eastAsia="Microsoft YaHei" w:cs="Calibri"/>
          <w:b/>
          <w:color w:val="1A2A3A"/>
          <w:sz w:val="40"/>
          <w:szCs w:val="40"/>
        </w:rPr>
        <w:t>ARTICLE 5: CONFIDENCE-BUILDING AND REVERSIBLE MEASURES</w:t>
      </w:r>
      <w:bookmarkEnd w:id="6"/>
    </w:p>
    <w:p>
      <w:pPr>
        <w:pStyle w:val="Heading2"/>
      </w:pPr>
      <w:r>
        <w:rPr>
          <w:rFonts w:ascii="Calibri" w:hAnsi="Calibri" w:eastAsia="Microsoft YaHei" w:cs="Calibri"/>
          <w:b/>
          <w:color w:val="2C3E50"/>
          <w:sz w:val="28"/>
          <w:szCs w:val="28"/>
        </w:rPr>
        <w:t>5.1 Phased Operational Adjustments</w:t>
      </w:r>
    </w:p>
    <w:p>
      <w:pPr>
        <w:pStyle w:val="Normal"/>
      </w:pPr>
      <w:r>
        <w:rPr>
          <w:rFonts w:ascii="Calibri" w:hAnsi="Calibri" w:eastAsia="Microsoft YaHei" w:cs="Calibri"/>
          <w:color w:val="1E1E1E"/>
          <w:sz w:val="22"/>
          <w:szCs w:val="22"/>
        </w:rPr>
        <w:t>The Parties implement a schedule of reciprocal, phased adjustments to their forward-deployed naval presence, as detailed in Annex 1AD. The schedule proceeds through the following phases:</w:t>
      </w:r>
    </w:p>
    <w:p>
      <w:pPr>
        <w:pStyle w:val="Normal"/>
        <w:spacing w:before="60" w:after="60"/>
        <w:ind w:left="720" w:hanging="360"/>
      </w:pPr>
      <w:r>
        <w:rPr>
          <w:b/>
          <w:color w:val="2C3E50"/>
          <w:rFonts w:ascii="Calibri" w:hAnsi="Calibri" w:eastAsia="Microsoft YaHei" w:cs="Calibri"/>
          <w:sz w:val="22"/>
          <w:szCs w:val="22"/>
        </w:rPr>
        <w:t xml:space="preserve">Phase 1 (Days 1-30): </w:t>
      </w:r>
      <w:r>
        <w:rPr>
          <w:rFonts w:ascii="Calibri" w:hAnsi="Calibri" w:eastAsia="Microsoft YaHei" w:cs="Calibri"/>
          <w:color w:val="1E1E1E"/>
          <w:sz w:val="22"/>
          <w:szCs w:val="22"/>
        </w:rPr>
        <w:t>Both Parties maintain current naval postures. The framework architecture focuses on establishing VTS operations, JERC activation, and baseline telemetry collection. No naval adjustments occur during Phase 1.</w:t>
      </w:r>
    </w:p>
    <w:p>
      <w:pPr>
        <w:pStyle w:val="Normal"/>
        <w:spacing w:before="60" w:after="60"/>
        <w:ind w:left="720" w:hanging="360"/>
      </w:pPr>
      <w:r>
        <w:rPr>
          <w:b/>
          <w:color w:val="2C3E50"/>
          <w:rFonts w:ascii="Calibri" w:hAnsi="Calibri" w:eastAsia="Microsoft YaHei" w:cs="Calibri"/>
          <w:sz w:val="22"/>
          <w:szCs w:val="22"/>
        </w:rPr>
        <w:t xml:space="preserve">Phase 2 (Days 31-90): </w:t>
      </w:r>
      <w:r>
        <w:rPr>
          <w:rFonts w:ascii="Calibri" w:hAnsi="Calibri" w:eastAsia="Microsoft YaHei" w:cs="Calibri"/>
          <w:color w:val="1E1E1E"/>
          <w:sz w:val="22"/>
          <w:szCs w:val="22"/>
        </w:rPr>
        <w:t>Upon JIC certification that baseline metrics hold steady, both Parties reduce forward-deployed fast-attack craft presence by 25% within the Hormuz Transit Zone. U.S. naval forces withdraw two destroyer-equivalent units from patrol stations inside the transit corridor. Iran withdraws an equivalent tonnage of patrol vessels to ports beyond 15 nautical miles from the CTC boundary.</w:t>
      </w:r>
    </w:p>
    <w:p>
      <w:pPr>
        <w:pStyle w:val="Normal"/>
        <w:spacing w:before="60" w:after="60"/>
        <w:ind w:left="720" w:hanging="360"/>
      </w:pPr>
      <w:r>
        <w:rPr>
          <w:b/>
          <w:color w:val="2C3E50"/>
          <w:rFonts w:ascii="Calibri" w:hAnsi="Calibri" w:eastAsia="Microsoft YaHei" w:cs="Calibri"/>
          <w:sz w:val="22"/>
          <w:szCs w:val="22"/>
        </w:rPr>
        <w:t xml:space="preserve">Phase 3 (Days 91-180): </w:t>
      </w:r>
      <w:r>
        <w:rPr>
          <w:rFonts w:ascii="Calibri" w:hAnsi="Calibri" w:eastAsia="Microsoft YaHei" w:cs="Calibri"/>
          <w:color w:val="1E1E1E"/>
          <w:sz w:val="22"/>
          <w:szCs w:val="22"/>
        </w:rPr>
        <w:t>Upon JIC certification of 60 consecutive days of verified unobstructed passage, both Parties reduce naval patrol frequency by 50% from baseline. Both Parties relocate aircraft carrier or equivalent strike group operations to stations beyond 50 nautical miles from the Strait entrance, except in bona fide emergency response scenarios.</w:t>
      </w:r>
    </w:p>
    <w:p>
      <w:pPr>
        <w:pStyle w:val="Normal"/>
        <w:spacing w:before="60" w:after="60"/>
        <w:ind w:left="720" w:hanging="360"/>
      </w:pPr>
      <w:r>
        <w:rPr>
          <w:b/>
          <w:color w:val="2C3E50"/>
          <w:rFonts w:ascii="Calibri" w:hAnsi="Calibri" w:eastAsia="Microsoft YaHei" w:cs="Calibri"/>
          <w:sz w:val="22"/>
          <w:szCs w:val="22"/>
        </w:rPr>
        <w:t xml:space="preserve">Phase 4 (Days 181-365): </w:t>
      </w:r>
      <w:r>
        <w:rPr>
          <w:rFonts w:ascii="Calibri" w:hAnsi="Calibri" w:eastAsia="Microsoft YaHei" w:cs="Calibri"/>
          <w:color w:val="1E1E1E"/>
          <w:sz w:val="22"/>
          <w:szCs w:val="22"/>
        </w:rPr>
        <w:t>Upon JIC certification of sustained compliance through the first 180 days, both Parties implement maximum reversible posture: naval patrols continue only as random-schedule spot-checks; both Parties pre-notify the JIC 48 hours in advance of any naval exercise within 100 nautical miles of the Strait; the framework architecture activates the full dual-key authorization system for any change in operational posture.</w:t>
      </w:r>
    </w:p>
    <w:p>
      <w:pPr>
        <w:pStyle w:val="Heading2"/>
      </w:pPr>
      <w:r>
        <w:rPr>
          <w:rFonts w:ascii="Calibri" w:hAnsi="Calibri" w:eastAsia="Microsoft YaHei" w:cs="Calibri"/>
          <w:b/>
          <w:color w:val="2C3E50"/>
          <w:sz w:val="28"/>
          <w:szCs w:val="28"/>
        </w:rPr>
        <w:t>5.2 Principle of Reversibility</w:t>
      </w:r>
    </w:p>
    <w:p>
      <w:pPr>
        <w:pStyle w:val="Normal"/>
      </w:pPr>
      <w:r>
        <w:rPr>
          <w:rFonts w:ascii="Calibri" w:hAnsi="Calibri" w:eastAsia="Microsoft YaHei" w:cs="Calibri"/>
          <w:color w:val="1E1E1E"/>
          <w:sz w:val="22"/>
          <w:szCs w:val="22"/>
        </w:rPr>
        <w:t>All measures undertaken under Annex 1AD are inherently reversible. Any Party suspends its own adjustments with 48 hours' written notice to the JIC if it determines that the other Party has materially breached its corresponding obligations.</w:t>
      </w:r>
    </w:p>
    <w:p>
      <w:pPr>
        <w:pStyle w:val="Normal"/>
      </w:pPr>
      <w:r>
        <w:rPr>
          <w:rFonts w:ascii="Calibri" w:hAnsi="Calibri" w:eastAsia="Microsoft YaHei" w:cs="Calibri"/>
          <w:color w:val="1E1E1E"/>
          <w:sz w:val="22"/>
          <w:szCs w:val="22"/>
        </w:rPr>
        <w:t>The suspension procedure operates as follows: the suspending Party transmits a written suspension notification to the JIC, specifying the breach that triggered the suspension and the adjustment being suspended; the JIC transmits the notification to the other Party within 12 hours and convenes an emergency session within 48 hours; the suspended adjustment reinstates automatically upon JIC certification that the triggering breach is remediated; neither Party suffers penalty for a good-faith suspension that the JIC subsequently determines was triggered by a verifiable breach.</w:t>
      </w:r>
    </w:p>
    <w:p>
      <w:pPr>
        <w:pStyle w:val="Heading2"/>
      </w:pPr>
      <w:r>
        <w:rPr>
          <w:rFonts w:ascii="Calibri" w:hAnsi="Calibri" w:eastAsia="Microsoft YaHei" w:cs="Calibri"/>
          <w:b/>
          <w:color w:val="2C3E50"/>
          <w:sz w:val="28"/>
          <w:szCs w:val="28"/>
        </w:rPr>
        <w:t>5.3 Transparency Measures</w:t>
      </w:r>
    </w:p>
    <w:p>
      <w:pPr>
        <w:pStyle w:val="Normal"/>
      </w:pPr>
      <w:r>
        <w:rPr>
          <w:rFonts w:ascii="Calibri" w:hAnsi="Calibri" w:eastAsia="Microsoft YaHei" w:cs="Calibri"/>
          <w:color w:val="1E1E1E"/>
          <w:sz w:val="22"/>
          <w:szCs w:val="22"/>
        </w:rPr>
        <w:t>The JIC publishes a weekly Compliance Dashboard, accessible to all Parties and the IMO, indicating the status of each Phase of Annex 1AD. The Dashboard displays the following indicators:</w:t>
      </w:r>
    </w:p>
    <w:p>
      <w:pPr>
        <w:pStyle w:val="Normal"/>
        <w:spacing w:before="60" w:after="60"/>
        <w:ind w:left="720" w:hanging="360"/>
      </w:pPr>
      <w:r>
        <w:rPr>
          <w:b/>
          <w:color w:val="2C3E50"/>
          <w:rFonts w:ascii="Calibri" w:hAnsi="Calibri" w:eastAsia="Microsoft YaHei" w:cs="Calibri"/>
          <w:sz w:val="22"/>
          <w:szCs w:val="22"/>
        </w:rPr>
        <w:t xml:space="preserve">Green: </w:t>
      </w:r>
      <w:r>
        <w:rPr>
          <w:rFonts w:ascii="Calibri" w:hAnsi="Calibri" w:eastAsia="Microsoft YaHei" w:cs="Calibri"/>
          <w:color w:val="1E1E1E"/>
          <w:sz w:val="22"/>
          <w:szCs w:val="22"/>
        </w:rPr>
        <w:t>All metrics for the Phase are met. The Phase proceeds on schedule.</w:t>
      </w:r>
    </w:p>
    <w:p>
      <w:pPr>
        <w:pStyle w:val="Normal"/>
        <w:spacing w:before="60" w:after="60"/>
        <w:ind w:left="720" w:hanging="360"/>
      </w:pPr>
      <w:r>
        <w:rPr>
          <w:b/>
          <w:color w:val="2C3E50"/>
          <w:rFonts w:ascii="Calibri" w:hAnsi="Calibri" w:eastAsia="Microsoft YaHei" w:cs="Calibri"/>
          <w:sz w:val="22"/>
          <w:szCs w:val="22"/>
        </w:rPr>
        <w:t xml:space="preserve">Yellow: </w:t>
      </w:r>
      <w:r>
        <w:rPr>
          <w:rFonts w:ascii="Calibri" w:hAnsi="Calibri" w:eastAsia="Microsoft YaHei" w:cs="Calibri"/>
          <w:color w:val="1E1E1E"/>
          <w:sz w:val="22"/>
          <w:szCs w:val="22"/>
        </w:rPr>
        <w:t>One or more metrics for the Phase are at risk. The JIC issues a caution and the Parties engage in technical consultation within 7 days.</w:t>
      </w:r>
    </w:p>
    <w:p>
      <w:pPr>
        <w:pStyle w:val="Normal"/>
        <w:spacing w:before="60" w:after="60"/>
        <w:ind w:left="720" w:hanging="360"/>
      </w:pPr>
      <w:r>
        <w:rPr>
          <w:b/>
          <w:color w:val="2C3E50"/>
          <w:rFonts w:ascii="Calibri" w:hAnsi="Calibri" w:eastAsia="Microsoft YaHei" w:cs="Calibri"/>
          <w:sz w:val="22"/>
          <w:szCs w:val="22"/>
        </w:rPr>
        <w:t xml:space="preserve">Red: </w:t>
      </w:r>
      <w:r>
        <w:rPr>
          <w:rFonts w:ascii="Calibri" w:hAnsi="Calibri" w:eastAsia="Microsoft YaHei" w:cs="Calibri"/>
          <w:color w:val="1E1E1E"/>
          <w:sz w:val="22"/>
          <w:szCs w:val="22"/>
        </w:rPr>
        <w:t>One or more metrics for the Phase have failed. A Red status triggers a mandatory JIC emergency session within 72 hours. Phase progression pauses until the JIC certifies remediation.</w:t>
      </w:r>
    </w:p>
    <w:p>
      <w:pPr>
        <w:pStyle w:val="Normal"/>
      </w:pPr>
      <w:r>
        <w:rPr>
          <w:rFonts w:ascii="Calibri" w:hAnsi="Calibri" w:eastAsia="Microsoft YaHei" w:cs="Calibri"/>
          <w:color w:val="1E1E1E"/>
          <w:sz w:val="22"/>
          <w:szCs w:val="22"/>
        </w:rPr>
        <w:t>The Compliance Dashboard is accessible via a live, publicly accessible portal in English, Farsi, and Arabic. No login is required for read-only access to non-classified metrics.</w:t>
      </w:r>
    </w:p>
    <w:p>
      <w:pPr>
        <w:pStyle w:val="Heading1"/>
      </w:pPr>
      <w:bookmarkStart w:name="_TocArt6" w:id="7"/>
      <w:r>
        <w:rPr>
          <w:rFonts w:ascii="Calibri" w:hAnsi="Calibri" w:eastAsia="Microsoft YaHei" w:cs="Calibri"/>
          <w:b/>
          <w:color w:val="1A2A3A"/>
          <w:sz w:val="40"/>
          <w:szCs w:val="40"/>
        </w:rPr>
        <w:t>ARTICLE 6: TRANSPARENCY AND DATA SHARING</w:t>
      </w:r>
      <w:bookmarkEnd w:id="7"/>
    </w:p>
    <w:p>
      <w:pPr>
        <w:pStyle w:val="Heading2"/>
      </w:pPr>
      <w:r>
        <w:rPr>
          <w:rFonts w:ascii="Calibri" w:hAnsi="Calibri" w:eastAsia="Microsoft YaHei" w:cs="Calibri"/>
          <w:b/>
          <w:color w:val="2C3E50"/>
          <w:sz w:val="28"/>
          <w:szCs w:val="28"/>
        </w:rPr>
        <w:t>6.1 AIS Protocol</w:t>
      </w:r>
    </w:p>
    <w:p>
      <w:pPr>
        <w:pStyle w:val="Normal"/>
      </w:pPr>
      <w:r>
        <w:rPr>
          <w:rFonts w:ascii="Calibri" w:hAnsi="Calibri" w:eastAsia="Microsoft YaHei" w:cs="Calibri"/>
          <w:color w:val="1E1E1E"/>
          <w:sz w:val="22"/>
          <w:szCs w:val="22"/>
        </w:rPr>
        <w:t>Commercial Vessels maintain Automatic Identification System (AIS) transmissions while transiting the Strait, except in cases of bona fide security emergencies as determined by the vessel's master or flag state. The use of dark (transponder-off) routing is strongly discouraged and, if detected, is reported to the JIC.</w:t>
      </w:r>
    </w:p>
    <w:p>
      <w:pPr>
        <w:pStyle w:val="Normal"/>
      </w:pPr>
      <w:r>
        <w:rPr>
          <w:rFonts w:ascii="Calibri" w:hAnsi="Calibri" w:eastAsia="Microsoft YaHei" w:cs="Calibri"/>
          <w:color w:val="1E1E1E"/>
          <w:sz w:val="22"/>
          <w:szCs w:val="22"/>
        </w:rPr>
        <w:t>The commercial vessel maintains an operational AIS transponder transmitting accurate data continuously throughout the transit. The AIS transmission includes the following minimum data fields as required under SOLAS Chapter V, Regulation 19: Maritime Mobile Service Identity (MMSI) number; vessel name and call sign; position (latitude and longitude, WGS 84); speed over ground (SOG); course over ground (COG); true heading; navigation status; destination port and ETA; vessel type and dimensions.</w:t>
      </w:r>
    </w:p>
    <w:p>
      <w:pPr>
        <w:pStyle w:val="Normal"/>
      </w:pPr>
      <w:r>
        <w:rPr>
          <w:rFonts w:ascii="Calibri" w:hAnsi="Calibri" w:eastAsia="Microsoft YaHei" w:cs="Calibri"/>
          <w:color w:val="1E1E1E"/>
          <w:sz w:val="22"/>
          <w:szCs w:val="22"/>
        </w:rPr>
        <w:t>AIS transmission interrupts only for the following technical reasons: scheduled equipment maintenance, not exceeding 10 minutes per transit; equipment malfunction, with immediate notification to the Joint Secretariat upon restoration; security protocol authorized by the vessel's flag state in specific threat conditions. The aggregate AIS downtime per transit does not exceed 15 minutes.</w:t>
      </w:r>
    </w:p>
    <w:p>
      <w:pPr>
        <w:pStyle w:val="Normal"/>
      </w:pPr>
      <w:r>
        <w:rPr>
          <w:rFonts w:ascii="Calibri" w:hAnsi="Calibri" w:eastAsia="Microsoft YaHei" w:cs="Calibri"/>
          <w:color w:val="1E1E1E"/>
          <w:sz w:val="22"/>
          <w:szCs w:val="22"/>
        </w:rPr>
        <w:t>The Technical Working Group cross-validates AIS data against satellite-based Synthetic Aperture Radar (SAR) imagery and independent radar tracking to detect AIS spoofing or dark vessel activity. A vessel whose AIS position deviates by more than 0.5 nautical miles from its independently verified position for more than 10 consecutive minutes triggers an AIS integrity alert. The Technical Working Group investigates all integrity alerts within 24 hours.</w:t>
      </w:r>
    </w:p>
    <w:p>
      <w:pPr>
        <w:pStyle w:val="Heading2"/>
      </w:pPr>
      <w:r>
        <w:rPr>
          <w:rFonts w:ascii="Calibri" w:hAnsi="Calibri" w:eastAsia="Microsoft YaHei" w:cs="Calibri"/>
          <w:b/>
          <w:color w:val="2C3E50"/>
          <w:sz w:val="28"/>
          <w:szCs w:val="28"/>
        </w:rPr>
        <w:t>6.2 Incident Reporting</w:t>
      </w:r>
    </w:p>
    <w:p>
      <w:pPr>
        <w:pStyle w:val="Normal"/>
      </w:pPr>
      <w:r>
        <w:rPr>
          <w:rFonts w:ascii="Calibri" w:hAnsi="Calibri" w:eastAsia="Microsoft YaHei" w:cs="Calibri"/>
          <w:color w:val="1E1E1E"/>
          <w:sz w:val="22"/>
          <w:szCs w:val="22"/>
        </w:rPr>
        <w:t>Any collision, grounding, near-miss, or hostile interaction involving a Commercial Vessel is reported to the JERC within 6 hours of the event. The report includes: vessel name and IMO number; time and position of the incident; nature of the incident; identities of all vessels involved; preliminary assessment of cause; and any injuries or damage sustained.</w:t>
      </w:r>
    </w:p>
    <w:p>
      <w:pPr>
        <w:pStyle w:val="Normal"/>
      </w:pPr>
      <w:r>
        <w:rPr>
          <w:rFonts w:ascii="Calibri" w:hAnsi="Calibri" w:eastAsia="Microsoft YaHei" w:cs="Calibri"/>
          <w:color w:val="1E1E1E"/>
          <w:sz w:val="22"/>
          <w:szCs w:val="22"/>
        </w:rPr>
        <w:t>The JERC compiles an anonymized quarterly incident report for the IMO. The report includes: aggregate incident statistics by type and severity; trend analysis comparing the current quarter to prior periods; identification of recurring safety hazards or compliance patterns; and recommendations for protocol adjustments.</w:t>
      </w:r>
    </w:p>
    <w:p>
      <w:pPr>
        <w:pStyle w:val="Heading2"/>
      </w:pPr>
      <w:r>
        <w:rPr>
          <w:rFonts w:ascii="Calibri" w:hAnsi="Calibri" w:eastAsia="Microsoft YaHei" w:cs="Calibri"/>
          <w:b/>
          <w:color w:val="2C3E50"/>
          <w:sz w:val="28"/>
          <w:szCs w:val="28"/>
        </w:rPr>
        <w:t>6.3 Data Sovereignty and Access Protocol</w:t>
      </w:r>
    </w:p>
    <w:p>
      <w:pPr>
        <w:pStyle w:val="Normal"/>
      </w:pPr>
      <w:r>
        <w:rPr>
          <w:rFonts w:ascii="Calibri" w:hAnsi="Calibri" w:eastAsia="Microsoft YaHei" w:cs="Calibri"/>
          <w:color w:val="2C3E50"/>
          <w:sz w:val="28"/>
          <w:szCs w:val="22"/>
          <w:b/>
        </w:rPr>
        <w:t xml:space="preserve">(a) Ownership: </w:t>
      </w:r>
      <w:r>
        <w:rPr>
          <w:rFonts w:ascii="Calibri" w:hAnsi="Calibri" w:eastAsia="Microsoft YaHei" w:cs="Calibri"/>
          <w:color w:val="1E1E1E"/>
          <w:sz w:val="22"/>
          <w:szCs w:val="22"/>
        </w:rPr>
        <w:t>Data collected by the VTS, JERC, or HSC under this Understanding is owned collectively by all Parties and Oman. No Party possesses unilateral ownership, control, or disposition rights over any dataset.</w:t>
      </w:r>
    </w:p>
    <w:p>
      <w:pPr>
        <w:pStyle w:val="Normal"/>
      </w:pPr>
      <w:r>
        <w:rPr>
          <w:rFonts w:ascii="Calibri" w:hAnsi="Calibri" w:eastAsia="Microsoft YaHei" w:cs="Calibri"/>
          <w:color w:val="2C3E50"/>
          <w:sz w:val="28"/>
          <w:szCs w:val="22"/>
          <w:b/>
        </w:rPr>
        <w:t xml:space="preserve">(b) Access Rights: </w:t>
      </w:r>
      <w:r>
        <w:rPr>
          <w:rFonts w:ascii="Calibri" w:hAnsi="Calibri" w:eastAsia="Microsoft YaHei" w:cs="Calibri"/>
          <w:color w:val="1E1E1E"/>
          <w:sz w:val="22"/>
          <w:szCs w:val="22"/>
        </w:rPr>
        <w:t>All Parties have equal, real-time access to all unprocessed data through the Shared Digital Registry. Access is read-only; no Party deletes, modifies, or restricts another Party's access.</w:t>
      </w:r>
    </w:p>
    <w:p>
      <w:pPr>
        <w:pStyle w:val="Normal"/>
      </w:pPr>
      <w:r>
        <w:rPr>
          <w:rFonts w:ascii="Calibri" w:hAnsi="Calibri" w:eastAsia="Microsoft YaHei" w:cs="Calibri"/>
          <w:color w:val="2C3E50"/>
          <w:sz w:val="28"/>
          <w:szCs w:val="22"/>
          <w:b/>
        </w:rPr>
        <w:t xml:space="preserve">(c) Prohibited Uses: </w:t>
      </w:r>
      <w:r>
        <w:rPr>
          <w:rFonts w:ascii="Calibri" w:hAnsi="Calibri" w:eastAsia="Microsoft YaHei" w:cs="Calibri"/>
          <w:color w:val="1E1E1E"/>
          <w:sz w:val="22"/>
          <w:szCs w:val="22"/>
        </w:rPr>
        <w:t>Data collected under this Understanding is used exclusively for the following purposes: (i) navigational safety; (ii) deconfliction; (iii) compliance verification; (iv) incident investigation; (v) IMO audit; (vi) statistical analysis and reporting. The framework architecture excludes the use of data for intelligence, law enforcement, military targeting, or economic sanctions enforcement. "Intelligence purposes" means the collection, analysis, or use of data for military targeting, national security assessment, or foreign policy advantage. This definition does not prohibit use of data for compliance verification, incident investigation, or safety analysis.</w:t>
      </w:r>
    </w:p>
    <w:p>
      <w:pPr>
        <w:pStyle w:val="Normal"/>
      </w:pPr>
      <w:r>
        <w:rPr>
          <w:rFonts w:ascii="Calibri" w:hAnsi="Calibri" w:eastAsia="Microsoft YaHei" w:cs="Calibri"/>
          <w:color w:val="2C3E50"/>
          <w:sz w:val="28"/>
          <w:szCs w:val="22"/>
          <w:b/>
        </w:rPr>
        <w:t xml:space="preserve">(d) Technical Controls: </w:t>
      </w:r>
      <w:r>
        <w:rPr>
          <w:rFonts w:ascii="Calibri" w:hAnsi="Calibri" w:eastAsia="Microsoft YaHei" w:cs="Calibri"/>
          <w:color w:val="1E1E1E"/>
          <w:sz w:val="22"/>
          <w:szCs w:val="22"/>
        </w:rPr>
        <w:t>All data transmitted through the Shared Digital Registry carries a non-removable JIC watermark. Any data found outside the Registry bearing this watermark triggers an automatic Level 2 investigation. The Technical Working Group conducts quarterly forensic audits of Party data handling practices. The audit examines: data access logs; download records; external transmission patterns; and unauthorized copy detection. The TWG publishes each audit's findings in the Compliance Report.</w:t>
      </w:r>
    </w:p>
    <w:p>
      <w:pPr>
        <w:pStyle w:val="Normal"/>
      </w:pPr>
      <w:r>
        <w:rPr>
          <w:rFonts w:ascii="Calibri" w:hAnsi="Calibri" w:eastAsia="Microsoft YaHei" w:cs="Calibri"/>
          <w:color w:val="2C3E50"/>
          <w:sz w:val="28"/>
          <w:szCs w:val="22"/>
          <w:b/>
        </w:rPr>
        <w:t xml:space="preserve">(e) Third-Party Sharing: </w:t>
      </w:r>
      <w:r>
        <w:rPr>
          <w:rFonts w:ascii="Calibri" w:hAnsi="Calibri" w:eastAsia="Microsoft YaHei" w:cs="Calibri"/>
          <w:color w:val="1E1E1E"/>
          <w:sz w:val="22"/>
          <w:szCs w:val="22"/>
        </w:rPr>
        <w:t>Data is shared with non-signatory third parties only under the following conditions: (i) unanimous JIC consent; (ii) IMO request for safety purposes; (iii) emergency response coordination. The IMO receives anonymized aggregated data for safety reporting purposes without requiring JIC consent. The IMO's receipt of this data is solely for the operational purposes of this Understanding and is not interpreted as any broader grant of regulatory authority to the IMO over the Strait. In an emergency, data is shared with relevant search-and-rescue authorities without prior JIC consent, provided the sharing is logged within 24 hours. Any third-party sharing is logged in the Shared Digital Registry and visible to all Parties.</w:t>
      </w:r>
    </w:p>
    <w:p>
      <w:pPr>
        <w:pStyle w:val="Normal"/>
      </w:pPr>
      <w:r>
        <w:rPr>
          <w:rFonts w:ascii="Calibri" w:hAnsi="Calibri" w:eastAsia="Microsoft YaHei" w:cs="Calibri"/>
          <w:color w:val="2C3E50"/>
          <w:sz w:val="28"/>
          <w:szCs w:val="22"/>
          <w:b/>
        </w:rPr>
        <w:t xml:space="preserve">(f) Data Retention: </w:t>
      </w:r>
      <w:r>
        <w:rPr>
          <w:rFonts w:ascii="Calibri" w:hAnsi="Calibri" w:eastAsia="Microsoft YaHei" w:cs="Calibri"/>
          <w:color w:val="1E1E1E"/>
          <w:sz w:val="22"/>
          <w:szCs w:val="22"/>
        </w:rPr>
        <w:t>Raw data is retained for 90 days (automatic deletion). Aggregated statistical data is retained for the duration of the HSU. Anonymized historical data is retained for academic or safety research purposes with JIC approval.</w:t>
      </w:r>
    </w:p>
    <w:p>
      <w:pPr>
        <w:pStyle w:val="Heading2"/>
      </w:pPr>
      <w:r>
        <w:rPr>
          <w:rFonts w:ascii="Calibri" w:hAnsi="Calibri" w:eastAsia="Microsoft YaHei" w:cs="Calibri"/>
          <w:b/>
          <w:color w:val="2C3E50"/>
          <w:sz w:val="28"/>
          <w:szCs w:val="28"/>
        </w:rPr>
        <w:t>6.4 Compliance Dashboard</w:t>
      </w:r>
    </w:p>
    <w:p>
      <w:pPr>
        <w:pStyle w:val="Normal"/>
      </w:pPr>
      <w:r>
        <w:rPr>
          <w:rFonts w:ascii="Calibri" w:hAnsi="Calibri" w:eastAsia="Microsoft YaHei" w:cs="Calibri"/>
          <w:color w:val="2C3E50"/>
          <w:sz w:val="28"/>
          <w:szCs w:val="22"/>
          <w:b/>
        </w:rPr>
        <w:t xml:space="preserve">(a) </w:t>
      </w:r>
      <w:r>
        <w:rPr>
          <w:rFonts w:ascii="Calibri" w:hAnsi="Calibri" w:eastAsia="Microsoft YaHei" w:cs="Calibri"/>
          <w:color w:val="1E1E1E"/>
          <w:sz w:val="22"/>
          <w:szCs w:val="22"/>
        </w:rPr>
        <w:t>The JIC establishes and maintains a public Compliance Dashboard indicating the status of all measures under this Understanding and its Annexes.</w:t>
      </w:r>
    </w:p>
    <w:p>
      <w:pPr>
        <w:pStyle w:val="Normal"/>
      </w:pPr>
      <w:r>
        <w:rPr>
          <w:rFonts w:ascii="Calibri" w:hAnsi="Calibri" w:eastAsia="Microsoft YaHei" w:cs="Calibri"/>
          <w:color w:val="2C3E50"/>
          <w:sz w:val="28"/>
          <w:szCs w:val="22"/>
          <w:b/>
        </w:rPr>
        <w:t xml:space="preserve">(b) </w:t>
      </w:r>
      <w:r>
        <w:rPr>
          <w:rFonts w:ascii="Calibri" w:hAnsi="Calibri" w:eastAsia="Microsoft YaHei" w:cs="Calibri"/>
          <w:color w:val="1E1E1E"/>
          <w:sz w:val="22"/>
          <w:szCs w:val="22"/>
        </w:rPr>
        <w:t>The Dashboard uses a color-coded indicator system: Green (full compliance), Yellow (partial compliance), Red (material non-compliance), White (phase not yet reached).</w:t>
      </w:r>
    </w:p>
    <w:p>
      <w:pPr>
        <w:pStyle w:val="Normal"/>
      </w:pPr>
      <w:r>
        <w:rPr>
          <w:rFonts w:ascii="Calibri" w:hAnsi="Calibri" w:eastAsia="Microsoft YaHei" w:cs="Calibri"/>
          <w:color w:val="2C3E50"/>
          <w:sz w:val="28"/>
          <w:szCs w:val="22"/>
          <w:b/>
        </w:rPr>
        <w:t xml:space="preserve">(c) </w:t>
      </w:r>
      <w:r>
        <w:rPr>
          <w:rFonts w:ascii="Calibri" w:hAnsi="Calibri" w:eastAsia="Microsoft YaHei" w:cs="Calibri"/>
          <w:color w:val="1E1E1E"/>
          <w:sz w:val="22"/>
          <w:szCs w:val="22"/>
        </w:rPr>
        <w:t>The Dashboard updates weekly and publishes on the JIC's public website in English, Farsi, and Arabic.</w:t>
      </w:r>
    </w:p>
    <w:p>
      <w:pPr>
        <w:pStyle w:val="Normal"/>
      </w:pPr>
      <w:r>
        <w:rPr>
          <w:rFonts w:ascii="Calibri" w:hAnsi="Calibri" w:eastAsia="Microsoft YaHei" w:cs="Calibri"/>
          <w:color w:val="2C3E50"/>
          <w:sz w:val="28"/>
          <w:szCs w:val="22"/>
          <w:b/>
        </w:rPr>
        <w:t xml:space="preserve">(d) </w:t>
      </w:r>
      <w:r>
        <w:rPr>
          <w:rFonts w:ascii="Calibri" w:hAnsi="Calibri" w:eastAsia="Microsoft YaHei" w:cs="Calibri"/>
          <w:color w:val="1E1E1E"/>
          <w:sz w:val="22"/>
          <w:szCs w:val="22"/>
        </w:rPr>
        <w:t>The Dashboard is submitted monthly to the IMO as part of the formal compliance reporting package.</w:t>
      </w:r>
    </w:p>
    <w:p>
      <w:pPr>
        <w:pStyle w:val="Heading1"/>
      </w:pPr>
      <w:bookmarkStart w:name="_TocArt7" w:id="8"/>
      <w:r>
        <w:rPr>
          <w:rFonts w:ascii="Calibri" w:hAnsi="Calibri" w:eastAsia="Microsoft YaHei" w:cs="Calibri"/>
          <w:b/>
          <w:color w:val="1A2A3A"/>
          <w:sz w:val="40"/>
          <w:szCs w:val="40"/>
        </w:rPr>
        <w:t>ARTICLE 7: THE JOINT IMPLEMENTATION COMMISSION (JIC)</w:t>
      </w:r>
      <w:bookmarkEnd w:id="8"/>
    </w:p>
    <w:p>
      <w:pPr>
        <w:pStyle w:val="Heading2"/>
      </w:pPr>
      <w:r>
        <w:rPr>
          <w:rFonts w:ascii="Calibri" w:hAnsi="Calibri" w:eastAsia="Microsoft YaHei" w:cs="Calibri"/>
          <w:b/>
          <w:color w:val="2C3E50"/>
          <w:sz w:val="28"/>
          <w:szCs w:val="28"/>
        </w:rPr>
        <w:t>7.1 Establishment and Composition</w:t>
      </w:r>
    </w:p>
    <w:p>
      <w:pPr>
        <w:pStyle w:val="Normal"/>
      </w:pPr>
      <w:r>
        <w:rPr>
          <w:rFonts w:ascii="Calibri" w:hAnsi="Calibri" w:eastAsia="Microsoft YaHei" w:cs="Calibri"/>
          <w:color w:val="1E1E1E"/>
          <w:sz w:val="22"/>
          <w:szCs w:val="22"/>
        </w:rPr>
        <w:t>A Joint Implementation Commission (JIC) is established, composed of the following members:</w:t>
      </w:r>
    </w:p>
    <w:p>
      <w:pPr>
        <w:pStyle w:val="Normal"/>
        <w:spacing w:before="60" w:after="60"/>
        <w:ind w:left="720" w:hanging="360"/>
      </w:pPr>
      <w:r>
        <w:rPr>
          <w:b/>
          <w:color w:val="2C3E50"/>
          <w:rFonts w:ascii="Calibri" w:hAnsi="Calibri" w:eastAsia="Microsoft YaHei" w:cs="Calibri"/>
          <w:sz w:val="22"/>
          <w:szCs w:val="22"/>
        </w:rPr>
        <w:t xml:space="preserve">(a) </w:t>
      </w:r>
      <w:r>
        <w:rPr>
          <w:rFonts w:ascii="Calibri" w:hAnsi="Calibri" w:eastAsia="Microsoft YaHei" w:cs="Calibri"/>
          <w:color w:val="1E1E1E"/>
          <w:sz w:val="22"/>
          <w:szCs w:val="22"/>
        </w:rPr>
        <w:t>Two senior representatives from Iran, each possessing full authority to bind Iran on technical and procedural matters within the scope of this Understanding;</w:t>
      </w:r>
    </w:p>
    <w:p>
      <w:pPr>
        <w:pStyle w:val="Normal"/>
        <w:spacing w:before="60" w:after="60"/>
        <w:ind w:left="720" w:hanging="360"/>
      </w:pPr>
      <w:r>
        <w:rPr>
          <w:b/>
          <w:color w:val="2C3E50"/>
          <w:rFonts w:ascii="Calibri" w:hAnsi="Calibri" w:eastAsia="Microsoft YaHei" w:cs="Calibri"/>
          <w:sz w:val="22"/>
          <w:szCs w:val="22"/>
        </w:rPr>
        <w:t xml:space="preserve">(b) </w:t>
      </w:r>
      <w:r>
        <w:rPr>
          <w:rFonts w:ascii="Calibri" w:hAnsi="Calibri" w:eastAsia="Microsoft YaHei" w:cs="Calibri"/>
          <w:color w:val="1E1E1E"/>
          <w:sz w:val="22"/>
          <w:szCs w:val="22"/>
        </w:rPr>
        <w:t>Two senior representatives from the United States, each possessing full authority to bind the United States on technical and procedural matters within the scope of this Understanding;</w:t>
      </w:r>
    </w:p>
    <w:p>
      <w:pPr>
        <w:pStyle w:val="Normal"/>
        <w:spacing w:before="60" w:after="60"/>
        <w:ind w:left="720" w:hanging="360"/>
      </w:pPr>
      <w:r>
        <w:rPr>
          <w:b/>
          <w:color w:val="2C3E50"/>
          <w:rFonts w:ascii="Calibri" w:hAnsi="Calibri" w:eastAsia="Microsoft YaHei" w:cs="Calibri"/>
          <w:sz w:val="22"/>
          <w:szCs w:val="22"/>
        </w:rPr>
        <w:t xml:space="preserve">(c) </w:t>
      </w:r>
      <w:r>
        <w:rPr>
          <w:rFonts w:ascii="Calibri" w:hAnsi="Calibri" w:eastAsia="Microsoft YaHei" w:cs="Calibri"/>
          <w:color w:val="1E1E1E"/>
          <w:sz w:val="22"/>
          <w:szCs w:val="22"/>
        </w:rPr>
        <w:t>One senior representative from Oman, serving as neutral facilitator and tie-breaking chair in the event of deadlock;</w:t>
      </w:r>
    </w:p>
    <w:p>
      <w:pPr>
        <w:pStyle w:val="Normal"/>
        <w:spacing w:before="60" w:after="60"/>
        <w:ind w:left="720" w:hanging="360"/>
      </w:pPr>
      <w:r>
        <w:rPr>
          <w:b/>
          <w:color w:val="2C3E50"/>
          <w:rFonts w:ascii="Calibri" w:hAnsi="Calibri" w:eastAsia="Microsoft YaHei" w:cs="Calibri"/>
          <w:sz w:val="22"/>
          <w:szCs w:val="22"/>
        </w:rPr>
        <w:t xml:space="preserve">(d) </w:t>
      </w:r>
      <w:r>
        <w:rPr>
          <w:rFonts w:ascii="Calibri" w:hAnsi="Calibri" w:eastAsia="Microsoft YaHei" w:cs="Calibri"/>
          <w:color w:val="1E1E1E"/>
          <w:sz w:val="22"/>
          <w:szCs w:val="22"/>
        </w:rPr>
        <w:t>One senior representative from the IMO, serving as technical advisor with no voting authority. The IMO representative provides guidance on international maritime standards, interprets IMO resolutions and circulars, and advises on best practices for navigational safety.</w:t>
      </w:r>
    </w:p>
    <w:p>
      <w:pPr>
        <w:pStyle w:val="Normal"/>
      </w:pPr>
      <w:r>
        <w:rPr>
          <w:rFonts w:ascii="Calibri" w:hAnsi="Calibri" w:eastAsia="Microsoft YaHei" w:cs="Calibri"/>
          <w:color w:val="1E1E1E"/>
          <w:sz w:val="22"/>
          <w:szCs w:val="22"/>
        </w:rPr>
        <w:t>The JIC maintains its permanent seat in Muscat, Sultanate of Oman. Each Party provides up to two liaison officers for continuous duty at the JIC facility. Oman provides administrative support staff. The total JIC staff does not exceed 15 persons at any time. English serves as the sole official language for all JIC reports and communications. Farsi and Arabic interpreters are available upon 12 hours' notice for live sessions.</w:t>
      </w:r>
    </w:p>
    <w:p>
      <w:pPr>
        <w:pStyle w:val="Heading2"/>
      </w:pPr>
      <w:r>
        <w:rPr>
          <w:rFonts w:ascii="Calibri" w:hAnsi="Calibri" w:eastAsia="Microsoft YaHei" w:cs="Calibri"/>
          <w:b/>
          <w:color w:val="2C3E50"/>
          <w:sz w:val="28"/>
          <w:szCs w:val="28"/>
        </w:rPr>
        <w:t>7.2 Functions</w:t>
      </w:r>
    </w:p>
    <w:p>
      <w:pPr>
        <w:pStyle w:val="Normal"/>
      </w:pPr>
      <w:r>
        <w:rPr>
          <w:rFonts w:ascii="Calibri" w:hAnsi="Calibri" w:eastAsia="Microsoft YaHei" w:cs="Calibri"/>
          <w:color w:val="1E1E1E"/>
          <w:sz w:val="22"/>
          <w:szCs w:val="22"/>
        </w:rPr>
        <w:t>The JIC performs the following functions:</w:t>
      </w:r>
    </w:p>
    <w:p>
      <w:pPr>
        <w:pStyle w:val="Normal"/>
        <w:spacing w:before="60" w:after="60"/>
        <w:ind w:left="720" w:hanging="360"/>
      </w:pPr>
      <w:r>
        <w:rPr>
          <w:b/>
          <w:color w:val="2C3E50"/>
          <w:rFonts w:ascii="Calibri" w:hAnsi="Calibri" w:eastAsia="Microsoft YaHei" w:cs="Calibri"/>
          <w:sz w:val="22"/>
          <w:szCs w:val="22"/>
        </w:rPr>
        <w:t xml:space="preserve">(a) </w:t>
      </w:r>
      <w:r>
        <w:rPr>
          <w:rFonts w:ascii="Calibri" w:hAnsi="Calibri" w:eastAsia="Microsoft YaHei" w:cs="Calibri"/>
          <w:color w:val="1E1E1E"/>
          <w:sz w:val="22"/>
          <w:szCs w:val="22"/>
        </w:rPr>
        <w:t>Oversees the implementation of all Annexes, monitors compliance with the provisions of this Understanding, and coordinates the activities of the Technical Working Group;</w:t>
      </w:r>
    </w:p>
    <w:p>
      <w:pPr>
        <w:pStyle w:val="Normal"/>
        <w:spacing w:before="60" w:after="60"/>
        <w:ind w:left="720" w:hanging="360"/>
      </w:pPr>
      <w:r>
        <w:rPr>
          <w:b/>
          <w:color w:val="2C3E50"/>
          <w:rFonts w:ascii="Calibri" w:hAnsi="Calibri" w:eastAsia="Microsoft YaHei" w:cs="Calibri"/>
          <w:sz w:val="22"/>
          <w:szCs w:val="22"/>
        </w:rPr>
        <w:t xml:space="preserve">(b) </w:t>
      </w:r>
      <w:r>
        <w:rPr>
          <w:rFonts w:ascii="Calibri" w:hAnsi="Calibri" w:eastAsia="Microsoft YaHei" w:cs="Calibri"/>
          <w:color w:val="1E1E1E"/>
          <w:sz w:val="22"/>
          <w:szCs w:val="22"/>
        </w:rPr>
        <w:t>Approves and updates Standard Operating Procedures (SOPs) without reopening the political text of this Understanding. SOP updates require only JIC consensus, not a new round of political negotiation;</w:t>
      </w:r>
    </w:p>
    <w:p>
      <w:pPr>
        <w:pStyle w:val="Normal"/>
        <w:spacing w:before="60" w:after="60"/>
        <w:ind w:left="720" w:hanging="360"/>
      </w:pPr>
      <w:r>
        <w:rPr>
          <w:b/>
          <w:color w:val="2C3E50"/>
          <w:rFonts w:ascii="Calibri" w:hAnsi="Calibri" w:eastAsia="Microsoft YaHei" w:cs="Calibri"/>
          <w:sz w:val="22"/>
          <w:szCs w:val="22"/>
        </w:rPr>
        <w:t xml:space="preserve">(c) </w:t>
      </w:r>
      <w:r>
        <w:rPr>
          <w:rFonts w:ascii="Calibri" w:hAnsi="Calibri" w:eastAsia="Microsoft YaHei" w:cs="Calibri"/>
          <w:color w:val="1E1E1E"/>
          <w:sz w:val="22"/>
          <w:szCs w:val="22"/>
        </w:rPr>
        <w:t>Adjudicates disputes referred to it under Article 8. The JIC issues binding determinations on all matters within its competence, subject to the appeal procedures in Article 8.2;</w:t>
      </w:r>
    </w:p>
    <w:p>
      <w:pPr>
        <w:pStyle w:val="Normal"/>
        <w:spacing w:before="60" w:after="60"/>
        <w:ind w:left="720" w:hanging="360"/>
      </w:pPr>
      <w:r>
        <w:rPr>
          <w:b/>
          <w:color w:val="2C3E50"/>
          <w:rFonts w:ascii="Calibri" w:hAnsi="Calibri" w:eastAsia="Microsoft YaHei" w:cs="Calibri"/>
          <w:sz w:val="22"/>
          <w:szCs w:val="22"/>
        </w:rPr>
        <w:t xml:space="preserve">(d) </w:t>
      </w:r>
      <w:r>
        <w:rPr>
          <w:rFonts w:ascii="Calibri" w:hAnsi="Calibri" w:eastAsia="Microsoft YaHei" w:cs="Calibri"/>
          <w:color w:val="1E1E1E"/>
          <w:sz w:val="22"/>
          <w:szCs w:val="22"/>
        </w:rPr>
        <w:t>Prepares a Quarterly Public Report on the status of the Strait's navigation safety, containing: (i) aggregate transit statistics by corridor and vessel type; (ii) number and classification of incidents by Level (1-4); (iii) compliance rates for all Phase measures; (iv) any significant operational adjustments or reversals; (v) HSC financial summary (revenue, disbursements, reserve fund balance); (vi) IMO audit status; (vii) recommendations for operational improvements. The report is submitted to all Parties, the IMO, and published on the JIC's public website within 30 days of the quarter's end. The JIC allows a 15-day public comment period following the publication of the Quarterly Report and provides a public response to significant comments.</w:t>
      </w:r>
    </w:p>
    <w:p>
      <w:pPr>
        <w:pStyle w:val="Heading2"/>
      </w:pPr>
      <w:r>
        <w:rPr>
          <w:rFonts w:ascii="Calibri" w:hAnsi="Calibri" w:eastAsia="Microsoft YaHei" w:cs="Calibri"/>
          <w:b/>
          <w:color w:val="2C3E50"/>
          <w:sz w:val="28"/>
          <w:szCs w:val="28"/>
        </w:rPr>
        <w:t>7.3 Decision-Making</w:t>
      </w:r>
    </w:p>
    <w:p>
      <w:pPr>
        <w:pStyle w:val="Normal"/>
      </w:pPr>
      <w:r>
        <w:rPr>
          <w:rFonts w:ascii="Calibri" w:hAnsi="Calibri" w:eastAsia="Microsoft YaHei" w:cs="Calibri"/>
          <w:color w:val="2C3E50"/>
          <w:sz w:val="22"/>
          <w:szCs w:val="22"/>
          <w:b/>
        </w:rPr>
        <w:t xml:space="preserve">(a) Consensus First: </w:t>
      </w:r>
      <w:r>
        <w:rPr>
          <w:rFonts w:ascii="Calibri" w:hAnsi="Calibri" w:eastAsia="Microsoft YaHei" w:cs="Calibri"/>
          <w:color w:val="1E1E1E"/>
          <w:sz w:val="22"/>
          <w:szCs w:val="22"/>
        </w:rPr>
        <w:t>The JIC strives for consensus on all matters. A decision is considered "consensus" if no voting member objects.</w:t>
      </w:r>
    </w:p>
    <w:p>
      <w:pPr>
        <w:pStyle w:val="Normal"/>
      </w:pPr>
      <w:r>
        <w:rPr>
          <w:rFonts w:ascii="Calibri" w:hAnsi="Calibri" w:eastAsia="Microsoft YaHei" w:cs="Calibri"/>
          <w:color w:val="2C3E50"/>
          <w:sz w:val="22"/>
          <w:szCs w:val="22"/>
          <w:b/>
        </w:rPr>
        <w:t xml:space="preserve">(b) Deadlock Procedure: </w:t>
      </w:r>
      <w:r>
        <w:rPr>
          <w:rFonts w:ascii="Calibri" w:hAnsi="Calibri" w:eastAsia="Microsoft YaHei" w:cs="Calibri"/>
          <w:color w:val="1E1E1E"/>
          <w:sz w:val="22"/>
          <w:szCs w:val="22"/>
        </w:rPr>
        <w:t>If consensus is not achievable within 30 days, the following procedure applies: the JIC refers the matter to the Technical Working Group for a neutral technical assessment; the Technical Working Group provides a recommendation to the JIC within 14 days; the JIC reconvenes and votes again; if deadlock persists, the matter is referred to binding arbitration under HSU Article 8.2.</w:t>
      </w:r>
    </w:p>
    <w:p>
      <w:pPr>
        <w:pStyle w:val="Normal"/>
      </w:pPr>
      <w:r>
        <w:rPr>
          <w:rFonts w:ascii="Calibri" w:hAnsi="Calibri" w:eastAsia="Microsoft YaHei" w:cs="Calibri"/>
          <w:color w:val="2C3E50"/>
          <w:sz w:val="22"/>
          <w:szCs w:val="22"/>
          <w:b/>
        </w:rPr>
        <w:t xml:space="preserve">(c) Voting: </w:t>
      </w:r>
      <w:r>
        <w:rPr>
          <w:rFonts w:ascii="Calibri" w:hAnsi="Calibri" w:eastAsia="Microsoft YaHei" w:cs="Calibri"/>
          <w:color w:val="1E1E1E"/>
          <w:sz w:val="22"/>
          <w:szCs w:val="22"/>
        </w:rPr>
        <w:t>Each Party has 2 votes (U.S. representatives) and 2 votes (Iranian representatives). Oman has 1 vote (tie-breaking only). The IMO representative does not vote. A two-thirds majority is required for decisions. Oman's tie-breaking vote is used only in the following circumstances: (i) the Technical Working Group has made a recommendation; (ii) the Parties have failed to reach consensus after the second vote; (iii) the matter is not subject to binding arbitration under Article 8.2.</w:t>
      </w:r>
    </w:p>
    <w:p>
      <w:pPr>
        <w:pStyle w:val="Normal"/>
      </w:pPr>
      <w:r>
        <w:rPr>
          <w:rFonts w:ascii="Calibri" w:hAnsi="Calibri" w:eastAsia="Microsoft YaHei" w:cs="Calibri"/>
          <w:color w:val="2C3E50"/>
          <w:sz w:val="22"/>
          <w:szCs w:val="22"/>
          <w:b/>
        </w:rPr>
        <w:t xml:space="preserve">(d) Arbitration Escalation: </w:t>
      </w:r>
      <w:r>
        <w:rPr>
          <w:rFonts w:ascii="Calibri" w:hAnsi="Calibri" w:eastAsia="Microsoft YaHei" w:cs="Calibri"/>
          <w:color w:val="1E1E1E"/>
          <w:sz w:val="22"/>
          <w:szCs w:val="22"/>
        </w:rPr>
        <w:t>If the JIC remains deadlocked after the second vote, either Party automatically and without further consent from the other Party refers the matter to binding arbitration under Article 8.2. The referral is effective upon filing with the IMO Secretariat and copying the other Party and the JIC.</w:t>
      </w:r>
    </w:p>
    <w:p>
      <w:pPr>
        <w:pStyle w:val="Normal"/>
      </w:pPr>
      <w:r>
        <w:rPr>
          <w:rFonts w:ascii="Calibri" w:hAnsi="Calibri" w:eastAsia="Microsoft YaHei" w:cs="Calibri"/>
          <w:color w:val="1E1E1E"/>
          <w:sz w:val="22"/>
          <w:szCs w:val="22"/>
        </w:rPr>
        <w:t>Where the JIC deadlocks on a factual finding, the Omani facilitator drafts a neutral technical assessment based exclusively on the raw telemetry data. The assessment transmits to all Parties simultaneously. Either Party appeals the outcome to the dispute resolution procedures under Article 8 within 14 days.</w:t>
      </w:r>
    </w:p>
    <w:p>
      <w:pPr>
        <w:pStyle w:val="Heading1"/>
      </w:pPr>
      <w:bookmarkStart w:name="_TocArt8" w:id="9"/>
      <w:r>
        <w:rPr>
          <w:rFonts w:ascii="Calibri" w:hAnsi="Calibri" w:eastAsia="Microsoft YaHei" w:cs="Calibri"/>
          <w:b/>
          <w:color w:val="1A2A3A"/>
          <w:sz w:val="40"/>
          <w:szCs w:val="40"/>
        </w:rPr>
        <w:t>ARTICLE 8: DISPUTE RESOLUTION AND GRADUATED RESPONSE</w:t>
      </w:r>
      <w:bookmarkEnd w:id="9"/>
    </w:p>
    <w:p>
      <w:pPr>
        <w:pStyle w:val="Heading2"/>
      </w:pPr>
      <w:r>
        <w:rPr>
          <w:rFonts w:ascii="Calibri" w:hAnsi="Calibri" w:eastAsia="Microsoft YaHei" w:cs="Calibri"/>
          <w:b/>
          <w:color w:val="2C3E50"/>
          <w:sz w:val="28"/>
          <w:szCs w:val="28"/>
        </w:rPr>
        <w:t>8.1 Escalation Ladder</w:t>
      </w:r>
    </w:p>
    <w:p>
      <w:pPr>
        <w:pStyle w:val="Normal"/>
      </w:pPr>
      <w:r>
        <w:rPr>
          <w:rFonts w:ascii="Calibri" w:hAnsi="Calibri" w:eastAsia="Microsoft YaHei" w:cs="Calibri"/>
          <w:color w:val="1E1E1E"/>
          <w:sz w:val="22"/>
          <w:szCs w:val="22"/>
        </w:rPr>
        <w:t>Alleged violations of this Understanding or its Annexes are addressed through the following graduated response mechanism, without prejudice to the Parties' rights under international law:</w:t>
      </w:r>
    </w:p>
    <w:tbl>
      <w:tblPr>
        <w:tblW w:w="5000" w:type="pct"/>
        <w:tblBorders>
          <w:top w:val="single" w:color="1a2a3a" w:sz="12"/>
          <w:left w:val="nil"/>
          <w:bottom w:val="single" w:color="1a2a3a" w:sz="12"/>
          <w:right w:val="nil"/>
          <w:insideH w:val="single" w:color="d0ccc0" w:sz="4"/>
          <w:insideV w:val="nil"/>
        </w:tblBorders>
      </w:tblPr>
      <w:tblGrid>
        <w:gridCol w:w="1200"/>
        <w:gridCol w:w="2000"/>
        <w:gridCol w:w="6300"/>
      </w:tblGrid>
      <w:tr>
        <w:trPr>
          <w:tblHeader w:val="1"/>
        </w:trPr>
        <w:tc>
          <w:tcPr>
            <w:tcW w:w="1200" w:type="dxa"/>
            <w:shd w:val="clear" w:fill="E8E6E0" w:color="auto"/>
          </w:tcPr>
          <w:p>
            <w:pPr>
              <w:pStyle w:val="Normal"/>
              <w:spacing w:before="40" w:after="40"/>
            </w:pPr>
            <w:r>
              <w:rPr>
                <w:b/>
                <w:color w:val="1E1E1E"/>
                <w:sz w:val="20"/>
                <w:rFonts w:ascii="Calibri" w:hAnsi="Calibri" w:eastAsia="Microsoft YaHei" w:cs="Calibri"/>
                <w:szCs w:val="20"/>
              </w:rPr>
              <w:t>Level</w:t>
            </w:r>
          </w:p>
        </w:tc>
        <w:tc>
          <w:tcPr>
            <w:tcW w:w="2000" w:type="dxa"/>
            <w:shd w:val="clear" w:fill="E8E6E0" w:color="auto"/>
          </w:tcPr>
          <w:p>
            <w:pPr>
              <w:pStyle w:val="Normal"/>
              <w:spacing w:before="40" w:after="40"/>
            </w:pPr>
            <w:r>
              <w:rPr>
                <w:b/>
                <w:color w:val="1E1E1E"/>
                <w:sz w:val="20"/>
                <w:rFonts w:ascii="Calibri" w:hAnsi="Calibri" w:eastAsia="Microsoft YaHei" w:cs="Calibri"/>
                <w:szCs w:val="20"/>
              </w:rPr>
              <w:t>Definition</w:t>
            </w:r>
          </w:p>
        </w:tc>
        <w:tc>
          <w:tcPr>
            <w:tcW w:w="6300" w:type="dxa"/>
            <w:shd w:val="clear" w:fill="E8E6E0" w:color="auto"/>
          </w:tcPr>
          <w:p>
            <w:pPr>
              <w:pStyle w:val="Normal"/>
              <w:spacing w:before="40" w:after="40"/>
            </w:pPr>
            <w:r>
              <w:rPr>
                <w:b/>
                <w:color w:val="1E1E1E"/>
                <w:sz w:val="20"/>
                <w:rFonts w:ascii="Calibri" w:hAnsi="Calibri" w:eastAsia="Microsoft YaHei" w:cs="Calibri"/>
                <w:szCs w:val="20"/>
              </w:rPr>
              <w:t>Response</w:t>
            </w:r>
          </w:p>
        </w:tc>
      </w:tr>
      <w:tr>
        <w:tc>
          <w:tcPr>
            <w:tcW w:w="1200" w:type="dxa"/>
          </w:tcPr>
          <w:p>
            <w:pPr>
              <w:pStyle w:val="Normal"/>
              <w:spacing w:before="40" w:after="40"/>
            </w:pPr>
            <w:r>
              <w:rPr>
                <w:color w:val="4A4A4A"/>
                <w:sz w:val="20"/>
                <w:rFonts w:ascii="Calibri" w:hAnsi="Calibri" w:eastAsia="Microsoft YaHei" w:cs="Calibri"/>
                <w:szCs w:val="20"/>
              </w:rPr>
              <w:t>Level 1 (Minor)</w:t>
            </w:r>
          </w:p>
        </w:tc>
        <w:tc>
          <w:tcPr>
            <w:tcW w:w="2000" w:type="dxa"/>
          </w:tcPr>
          <w:p>
            <w:pPr>
              <w:pStyle w:val="Normal"/>
              <w:spacing w:before="40" w:after="40"/>
            </w:pPr>
            <w:r>
              <w:rPr>
                <w:color w:val="4A4A4A"/>
                <w:sz w:val="20"/>
                <w:rFonts w:ascii="Calibri" w:hAnsi="Calibri" w:eastAsia="Microsoft YaHei" w:cs="Calibri"/>
                <w:szCs w:val="20"/>
              </w:rPr>
              <w:t>VHF protocol breach; minor administrative non-compliance</w:t>
            </w:r>
          </w:p>
        </w:tc>
        <w:tc>
          <w:tcPr>
            <w:tcW w:w="6300" w:type="dxa"/>
          </w:tcPr>
          <w:p>
            <w:pPr>
              <w:pStyle w:val="Normal"/>
              <w:spacing w:before="40" w:after="40"/>
            </w:pPr>
            <w:r>
              <w:rPr>
                <w:color w:val="4A4A4A"/>
                <w:sz w:val="20"/>
                <w:rFonts w:ascii="Calibri" w:hAnsi="Calibri" w:eastAsia="Microsoft YaHei" w:cs="Calibri"/>
                <w:szCs w:val="20"/>
              </w:rPr>
              <w:t>JIC issues private Notice of Concern. No other consequences.</w:t>
            </w:r>
          </w:p>
        </w:tc>
      </w:tr>
      <w:tr>
        <w:tc>
          <w:tcPr>
            <w:tcW w:w="1200" w:type="dxa"/>
          </w:tcPr>
          <w:p>
            <w:pPr>
              <w:pStyle w:val="Normal"/>
              <w:spacing w:before="40" w:after="40"/>
            </w:pPr>
            <w:r>
              <w:rPr>
                <w:color w:val="4A4A4A"/>
                <w:sz w:val="20"/>
                <w:rFonts w:ascii="Calibri" w:hAnsi="Calibri" w:eastAsia="Microsoft YaHei" w:cs="Calibri"/>
                <w:szCs w:val="20"/>
              </w:rPr>
              <w:t>Level 2 (Moderate)</w:t>
            </w:r>
          </w:p>
        </w:tc>
        <w:tc>
          <w:tcPr>
            <w:tcW w:w="2000" w:type="dxa"/>
          </w:tcPr>
          <w:p>
            <w:pPr>
              <w:pStyle w:val="Normal"/>
              <w:spacing w:before="40" w:after="40"/>
            </w:pPr>
            <w:r>
              <w:rPr>
                <w:color w:val="4A4A4A"/>
                <w:sz w:val="20"/>
                <w:rFonts w:ascii="Calibri" w:hAnsi="Calibri" w:eastAsia="Microsoft YaHei" w:cs="Calibri"/>
                <w:szCs w:val="20"/>
              </w:rPr>
              <w:t>Unauthorized approach within standoff distance; minor interference with a Commercial Vessel</w:t>
            </w:r>
          </w:p>
        </w:tc>
        <w:tc>
          <w:tcPr>
            <w:tcW w:w="6300" w:type="dxa"/>
          </w:tcPr>
          <w:p>
            <w:pPr>
              <w:pStyle w:val="Normal"/>
              <w:spacing w:before="40" w:after="40"/>
            </w:pPr>
            <w:r>
              <w:rPr>
                <w:color w:val="4A4A4A"/>
                <w:sz w:val="20"/>
                <w:rFonts w:ascii="Calibri" w:hAnsi="Calibri" w:eastAsia="Microsoft YaHei" w:cs="Calibri"/>
                <w:szCs w:val="20"/>
              </w:rPr>
              <w:t>JIC issues public Compliance Alert. Iran's monthly HSC disbursement reduces by 10% for that month.</w:t>
            </w:r>
          </w:p>
        </w:tc>
      </w:tr>
      <w:tr>
        <w:tc>
          <w:tcPr>
            <w:tcW w:w="1200" w:type="dxa"/>
          </w:tcPr>
          <w:p>
            <w:pPr>
              <w:pStyle w:val="Normal"/>
              <w:spacing w:before="40" w:after="40"/>
            </w:pPr>
            <w:r>
              <w:rPr>
                <w:color w:val="4A4A4A"/>
                <w:sz w:val="20"/>
                <w:rFonts w:ascii="Calibri" w:hAnsi="Calibri" w:eastAsia="Microsoft YaHei" w:cs="Calibri"/>
                <w:szCs w:val="20"/>
              </w:rPr>
              <w:t>Level 3 (Serious)</w:t>
            </w:r>
          </w:p>
        </w:tc>
        <w:tc>
          <w:tcPr>
            <w:tcW w:w="2000" w:type="dxa"/>
          </w:tcPr>
          <w:p>
            <w:pPr>
              <w:pStyle w:val="Normal"/>
              <w:spacing w:before="40" w:after="40"/>
            </w:pPr>
            <w:r>
              <w:rPr>
                <w:color w:val="4A4A4A"/>
                <w:sz w:val="20"/>
                <w:rFonts w:ascii="Calibri" w:hAnsi="Calibri" w:eastAsia="Microsoft YaHei" w:cs="Calibri"/>
                <w:szCs w:val="20"/>
              </w:rPr>
              <w:t>Unauthorized mine-laying; vessel fired upon (without sinking); coercive boarding</w:t>
            </w:r>
          </w:p>
        </w:tc>
        <w:tc>
          <w:tcPr>
            <w:tcW w:w="6300" w:type="dxa"/>
          </w:tcPr>
          <w:p>
            <w:pPr>
              <w:pStyle w:val="Normal"/>
              <w:spacing w:before="40" w:after="40"/>
            </w:pPr>
            <w:r>
              <w:rPr>
                <w:color w:val="4A4A4A"/>
                <w:sz w:val="20"/>
                <w:rFonts w:ascii="Calibri" w:hAnsi="Calibri" w:eastAsia="Microsoft YaHei" w:cs="Calibri"/>
                <w:szCs w:val="20"/>
              </w:rPr>
              <w:t>All HSC disbursements freeze for 60 days. Mandatory crisis session of the JIC in Muscat within 7 days.</w:t>
            </w:r>
          </w:p>
        </w:tc>
      </w:tr>
      <w:tr>
        <w:tc>
          <w:tcPr>
            <w:tcW w:w="1200" w:type="dxa"/>
          </w:tcPr>
          <w:p>
            <w:pPr>
              <w:pStyle w:val="Normal"/>
              <w:spacing w:before="40" w:after="40"/>
            </w:pPr>
            <w:r>
              <w:rPr>
                <w:color w:val="4A4A4A"/>
                <w:sz w:val="20"/>
                <w:rFonts w:ascii="Calibri" w:hAnsi="Calibri" w:eastAsia="Microsoft YaHei" w:cs="Calibri"/>
                <w:szCs w:val="20"/>
              </w:rPr>
              <w:t>Level 4 (Critical)</w:t>
            </w:r>
          </w:p>
        </w:tc>
        <w:tc>
          <w:tcPr>
            <w:tcW w:w="2000" w:type="dxa"/>
          </w:tcPr>
          <w:p>
            <w:pPr>
              <w:pStyle w:val="Normal"/>
              <w:spacing w:before="40" w:after="40"/>
            </w:pPr>
            <w:r>
              <w:rPr>
                <w:color w:val="4A4A4A"/>
                <w:sz w:val="20"/>
                <w:rFonts w:ascii="Calibri" w:hAnsi="Calibri" w:eastAsia="Microsoft YaHei" w:cs="Calibri"/>
                <w:szCs w:val="20"/>
              </w:rPr>
              <w:t>Closure of the Strait; sinking of a Commercial Vessel</w:t>
            </w:r>
          </w:p>
        </w:tc>
        <w:tc>
          <w:tcPr>
            <w:tcW w:w="6300" w:type="dxa"/>
          </w:tcPr>
          <w:p>
            <w:pPr>
              <w:pStyle w:val="Normal"/>
              <w:spacing w:before="40" w:after="40"/>
            </w:pPr>
            <w:r>
              <w:rPr>
                <w:color w:val="4A4A4A"/>
                <w:sz w:val="20"/>
                <w:rFonts w:ascii="Calibri" w:hAnsi="Calibri" w:eastAsia="Microsoft YaHei" w:cs="Calibri"/>
                <w:szCs w:val="20"/>
              </w:rPr>
              <w:t>This Understanding suspends for 30 days. All reversible military measures under Annex 1AD automatically reinstate.</w:t>
            </w:r>
          </w:p>
        </w:tc>
      </w:tr>
    </w:tbl>
    <w:p>
      <w:pPr>
        <w:pStyle w:val="Normal"/>
      </w:pPr>
      <w:r>
        <w:rPr>
          <w:rFonts w:ascii="Calibri" w:hAnsi="Calibri" w:eastAsia="Microsoft YaHei" w:cs="Calibri"/>
          <w:color w:val="1E1E1E"/>
          <w:sz w:val="22"/>
          <w:szCs w:val="22"/>
        </w:rPr>
        <w:t>The escalation ladder operates on Cothrom principles: proportionality governs every response; the penalty fits the violation; human judgment sits above automation; AI informs but humans decide; earn-back is always available and no violation creates permanent exclusion; humanitarian flows remain sacred and no step-back touches food, medicine, or safety; modules fire independently and failure in one does not collapse the rest; cooling-off prevents heat-of-moment escalation and every penalty pauses for consultation; military escalation is structurally decoupled from economic penalties. The framework architecture presumes good faith: attribution requires evidence and false flags are excluded. Each level triggers automatically upon verification by at least two independent monitoring sources. However, the following human-in-the-loop review applies: Level 1 reviews within 48 hours by the TWG; Level 2 reviews within 7 days by the JIC; Level 3 reviews within 14 days by the JIC Emergency Session; Level 4 reviews within 14 days by the JIC Emergency Session. If the JIC determines that an incident was classified incorrectly, the record is amended and any provisional measures are reversed. The JIC's classification of an incident is final and binding on all Parties for the purposes of this Understanding, unless overturned on appeal to arbitration under Article 8.2.</w:t>
      </w:r>
    </w:p>
    <w:p>
      <w:pPr>
        <w:pStyle w:val="Normal"/>
      </w:pPr>
      <w:r>
        <w:rPr>
          <w:rFonts w:ascii="Calibri" w:hAnsi="Calibri" w:eastAsia="Microsoft YaHei" w:cs="Calibri"/>
          <w:color w:val="1E1E1E"/>
          <w:sz w:val="22"/>
          <w:szCs w:val="22"/>
        </w:rPr>
        <w:t>During the review timeline, provisional measures apply: Level 3 financial freeze is held in escrow (not disbursed, but not forfeited); Level 4 HSU suspension is delayed (suspension begins only after review confirms the violation). If the JIC overturns a classification, any provisional measures are reversed retroactively.</w:t>
      </w:r>
    </w:p>
    <w:p>
      <w:pPr>
        <w:pStyle w:val="Heading2"/>
      </w:pPr>
      <w:r>
        <w:rPr>
          <w:rFonts w:ascii="Calibri" w:hAnsi="Calibri" w:eastAsia="Microsoft YaHei" w:cs="Calibri"/>
          <w:b/>
          <w:color w:val="2C3E50"/>
          <w:sz w:val="22"/>
          <w:szCs w:val="28"/>
        </w:rPr>
        <w:t>8.1A First Violation Protocol</w:t>
      </w:r>
    </w:p>
    <w:p>
      <w:pPr>
        <w:pStyle w:val="Normal"/>
      </w:pPr>
      <w:r>
        <w:rPr>
          <w:rFonts w:ascii="Calibri" w:hAnsi="Calibri" w:eastAsia="Microsoft YaHei" w:cs="Calibri"/>
          <w:color w:val="2C3E50"/>
          <w:sz w:val="28"/>
          <w:szCs w:val="22"/>
          <w:b/>
        </w:rPr>
        <w:t xml:space="preserve">(a) </w:t>
      </w:r>
      <w:r>
        <w:rPr>
          <w:rFonts w:ascii="Calibri" w:hAnsi="Calibri" w:eastAsia="Microsoft YaHei" w:cs="Calibri"/>
          <w:color w:val="1E1E1E"/>
          <w:sz w:val="22"/>
          <w:szCs w:val="22"/>
        </w:rPr>
        <w:t>The first Level 2 violation by either Party at any time during the duration of this Understanding receives First Violation designation. The JIC grants this designation only when the preponderance of evidence indicates the violation was not premeditated and did not form part of a coordinated pattern. The modified response operates as follows: (i) the JIC issues a private Notice of Concern (as per Level 1) instead of a public Compliance Alert; (ii) the framework applies no financial penalty; (iii) the JIC convenes a technical consultation within 14 days to review the circumstances and recommend corrective actions. The JIC retains authority to revoke First Violation status if subsequent analysis reveals tactical sequencing or deliberate gaming of the Protocol.</w:t>
      </w:r>
    </w:p>
    <w:p>
      <w:pPr>
        <w:pStyle w:val="Normal"/>
      </w:pPr>
      <w:r>
        <w:rPr>
          <w:rFonts w:ascii="Calibri" w:hAnsi="Calibri" w:eastAsia="Microsoft YaHei" w:cs="Calibri"/>
          <w:color w:val="2C3E50"/>
          <w:sz w:val="28"/>
          <w:szCs w:val="22"/>
          <w:b/>
        </w:rPr>
        <w:t xml:space="preserve">(b) </w:t>
      </w:r>
      <w:r>
        <w:rPr>
          <w:rFonts w:ascii="Calibri" w:hAnsi="Calibri" w:eastAsia="Microsoft YaHei" w:cs="Calibri"/>
          <w:color w:val="1E1E1E"/>
          <w:sz w:val="22"/>
          <w:szCs w:val="22"/>
        </w:rPr>
        <w:t>The First Violation Protocol applies once per Party, for the entire duration of this Understanding. Once a Party receives a First Violation designation, the Protocol exhausts itself for that Party, and no subsequent invocation is permitted, regardless of the passage of time. The JIC treats any second violation by the same Party, at any time, according to the standard escalation ladder.</w:t>
      </w:r>
    </w:p>
    <w:p>
      <w:pPr>
        <w:pStyle w:val="Normal"/>
      </w:pPr>
      <w:r>
        <w:rPr>
          <w:rFonts w:ascii="Calibri" w:hAnsi="Calibri" w:eastAsia="Microsoft YaHei" w:cs="Calibri"/>
          <w:color w:val="2C3E50"/>
          <w:sz w:val="28"/>
          <w:szCs w:val="22"/>
          <w:b/>
        </w:rPr>
        <w:t xml:space="preserve">(c) </w:t>
      </w:r>
      <w:r>
        <w:rPr>
          <w:rFonts w:ascii="Calibri" w:hAnsi="Calibri" w:eastAsia="Microsoft YaHei" w:cs="Calibri"/>
          <w:color w:val="1E1E1E"/>
          <w:sz w:val="22"/>
          <w:szCs w:val="22"/>
        </w:rPr>
        <w:t>Level 3 or Level 4 violations are not eligible for First Violation treatment.</w:t>
      </w:r>
    </w:p>
    <w:p>
      <w:pPr>
        <w:pStyle w:val="Normal"/>
      </w:pPr>
      <w:r>
        <w:rPr>
          <w:rFonts w:ascii="Calibri" w:hAnsi="Calibri" w:eastAsia="Microsoft YaHei" w:cs="Calibri"/>
          <w:color w:val="2C3E50"/>
          <w:sz w:val="22"/>
          <w:szCs w:val="22"/>
          <w:b/>
        </w:rPr>
        <w:t xml:space="preserve">8.1B Automatic Escalation for Repeat Offenses: </w:t>
      </w:r>
      <w:r>
        <w:rPr>
          <w:rFonts w:ascii="Calibri" w:hAnsi="Calibri" w:eastAsia="Microsoft YaHei" w:cs="Calibri"/>
          <w:color w:val="1E1E1E"/>
          <w:sz w:val="22"/>
          <w:szCs w:val="22"/>
        </w:rPr>
        <w:t>If a Level 2 violation occurs more than three times within any 90-day period by the same Party, the JIC provisionally categorizes the fourth and any subsequent violations as Level 3 violations pending the standard review process.</w:t>
      </w:r>
    </w:p>
    <w:p>
      <w:pPr>
        <w:pStyle w:val="Heading2"/>
      </w:pPr>
      <w:r>
        <w:rPr>
          <w:rFonts w:ascii="Calibri" w:hAnsi="Calibri" w:eastAsia="Microsoft YaHei" w:cs="Calibri"/>
          <w:b/>
          <w:color w:val="2C3E50"/>
          <w:sz w:val="28"/>
          <w:szCs w:val="28"/>
        </w:rPr>
        <w:t>8.2 Arbitration</w:t>
      </w:r>
    </w:p>
    <w:p>
      <w:pPr>
        <w:pStyle w:val="Normal"/>
      </w:pPr>
      <w:r>
        <w:rPr>
          <w:rFonts w:ascii="Calibri" w:hAnsi="Calibri" w:eastAsia="Microsoft YaHei" w:cs="Calibri"/>
          <w:color w:val="1E1E1E"/>
          <w:sz w:val="22"/>
          <w:szCs w:val="22"/>
        </w:rPr>
        <w:t>Any dispute regarding the interpretation or application of this Understanding that the JIC does not resolve within 30 days following the procedures in Article 7.3 is, upon request of either Party, referred to a neutral arbitrator appointed by the Secretary-General of the IMO. The framework architecture excludes mutual consent as a requirement for referral to arbitration once the JIC deadlock procedures in Article 7.3 are exhausted.</w:t>
      </w:r>
    </w:p>
    <w:p>
      <w:pPr>
        <w:pStyle w:val="Normal"/>
      </w:pPr>
      <w:r>
        <w:rPr>
          <w:rFonts w:ascii="Calibri" w:hAnsi="Calibri" w:eastAsia="Microsoft YaHei" w:cs="Calibri"/>
          <w:color w:val="1E1E1E"/>
          <w:sz w:val="22"/>
          <w:szCs w:val="22"/>
        </w:rPr>
        <w:t>The arbitration procedure operates as follows: either Party files a Request for Arbitration with the IMO Secretariat, copying the other Party and the JIC; the Request specifies the dispute issue, the referring Party's proposed resolution, evidence of good-faith efforts to resolve the dispute through the JIC, and the remedy sought; the IMO Secretary-General appoints a three-member tribunal within 7 days of the Request; the tribunal convenes within 14 days of appointment and issues a ruling within 30 days of the first hearing; the tribunal's ruling is binding on both Parties and is not subject to appeal.</w:t>
      </w:r>
    </w:p>
    <w:p>
      <w:pPr>
        <w:pStyle w:val="Normal"/>
      </w:pPr>
      <w:r>
        <w:rPr>
          <w:rFonts w:ascii="Calibri" w:hAnsi="Calibri" w:eastAsia="Microsoft YaHei" w:cs="Calibri"/>
          <w:color w:val="1E1E1E"/>
          <w:sz w:val="22"/>
          <w:szCs w:val="22"/>
        </w:rPr>
        <w:t>During the arbitration window: no unilateral coercive action, including military or economic measures, is taken by either Party pending the arbitration ruling; all provisions of this Understanding remain in full effect; the JIC continues its monitoring and reporting functions without interruption.</w:t>
      </w:r>
    </w:p>
    <w:p>
      <w:pPr>
        <w:pStyle w:val="Heading1"/>
      </w:pPr>
      <w:bookmarkStart w:name="_TocArt9" w:id="10"/>
      <w:r>
        <w:rPr>
          <w:rFonts w:ascii="Calibri" w:hAnsi="Calibri" w:eastAsia="Microsoft YaHei" w:cs="Calibri"/>
          <w:b/>
          <w:color w:val="1A2A3A"/>
          <w:sz w:val="40"/>
          <w:szCs w:val="40"/>
        </w:rPr>
        <w:t>ARTICLE 9: DURATION, RENEWAL, AND WITHDRAWAL</w:t>
      </w:r>
      <w:bookmarkEnd w:id="10"/>
    </w:p>
    <w:p>
      <w:pPr>
        <w:pStyle w:val="Heading2"/>
      </w:pPr>
      <w:r>
        <w:rPr>
          <w:rFonts w:ascii="Calibri" w:hAnsi="Calibri" w:eastAsia="Microsoft YaHei" w:cs="Calibri"/>
          <w:b/>
          <w:color w:val="2C3E50"/>
          <w:sz w:val="28"/>
          <w:szCs w:val="28"/>
        </w:rPr>
        <w:t>9.1 Duration</w:t>
      </w:r>
    </w:p>
    <w:p>
      <w:pPr>
        <w:pStyle w:val="Normal"/>
      </w:pPr>
      <w:r>
        <w:rPr>
          <w:rFonts w:ascii="Calibri" w:hAnsi="Calibri" w:eastAsia="Microsoft YaHei" w:cs="Calibri"/>
          <w:color w:val="1E1E1E"/>
          <w:sz w:val="22"/>
          <w:szCs w:val="22"/>
        </w:rPr>
        <w:t>This Understanding enters into force upon signature and remains in effect for a period of 36 months from the date of signing. The Parties extend the duration by mutual written agreement. For the avoidance of doubt, the 36-month duration specified in this Article governs and supersedes any other reference to duration appearing in the cover page, preamble, or any Annex of this Understanding.</w:t>
      </w:r>
    </w:p>
    <w:p>
      <w:pPr>
        <w:pStyle w:val="Heading2"/>
      </w:pPr>
      <w:r>
        <w:rPr>
          <w:rFonts w:ascii="Calibri" w:hAnsi="Calibri" w:eastAsia="Microsoft YaHei" w:cs="Calibri"/>
          <w:b/>
          <w:color w:val="2C3E50"/>
          <w:sz w:val="28"/>
          <w:szCs w:val="28"/>
        </w:rPr>
        <w:t>9.2 Renewal</w:t>
      </w:r>
    </w:p>
    <w:p>
      <w:pPr>
        <w:pStyle w:val="Normal"/>
      </w:pPr>
      <w:r>
        <w:rPr>
          <w:rFonts w:ascii="Calibri" w:hAnsi="Calibri" w:eastAsia="Microsoft YaHei" w:cs="Calibri"/>
          <w:color w:val="1E1E1E"/>
          <w:sz w:val="22"/>
          <w:szCs w:val="22"/>
        </w:rPr>
        <w:t>The Understanding renews automatically for successive 24-month periods unless either Party provides written notice of non-renewal to the Depositary at least 90 days prior to expiration. The Depositary notifies the other Party and all witnesses within 7 days of receiving a notice of non-renewal.</w:t>
      </w:r>
    </w:p>
    <w:p>
      <w:pPr>
        <w:pStyle w:val="Normal"/>
      </w:pPr>
      <w:r>
        <w:rPr>
          <w:rFonts w:ascii="Calibri" w:hAnsi="Calibri" w:eastAsia="Microsoft YaHei" w:cs="Calibri"/>
          <w:color w:val="1E1E1E"/>
          <w:sz w:val="22"/>
          <w:szCs w:val="22"/>
        </w:rPr>
        <w:t>If non-renewal notice is given, the Parties enter a 90-day transition period during which all provisions of this Understanding remain in full effect. The transition period allows for orderly handover of JIC functions, data archives, and financial accounts.</w:t>
      </w:r>
    </w:p>
    <w:p>
      <w:pPr>
        <w:pStyle w:val="Heading2"/>
      </w:pPr>
      <w:r>
        <w:rPr>
          <w:rFonts w:ascii="Calibri" w:hAnsi="Calibri" w:eastAsia="Microsoft YaHei" w:cs="Calibri"/>
          <w:b/>
          <w:color w:val="2C3E50"/>
          <w:sz w:val="28"/>
          <w:szCs w:val="28"/>
        </w:rPr>
        <w:t>9.3 Withdrawal</w:t>
      </w:r>
    </w:p>
    <w:p>
      <w:pPr>
        <w:pStyle w:val="Normal"/>
      </w:pPr>
      <w:r>
        <w:rPr>
          <w:rFonts w:ascii="Calibri" w:hAnsi="Calibri" w:eastAsia="Microsoft YaHei" w:cs="Calibri"/>
          <w:color w:val="1E1E1E"/>
          <w:sz w:val="22"/>
          <w:szCs w:val="22"/>
        </w:rPr>
        <w:t>Either Party withdraws from this Understanding with 180 days' written notice to the Depositary and the other Party.</w:t>
      </w:r>
    </w:p>
    <w:p>
      <w:pPr>
        <w:pStyle w:val="Normal"/>
      </w:pPr>
      <w:r>
        <w:rPr>
          <w:rFonts w:ascii="Calibri" w:hAnsi="Calibri" w:eastAsia="Microsoft YaHei" w:cs="Calibri"/>
          <w:color w:val="2C3E50"/>
          <w:sz w:val="28"/>
          <w:szCs w:val="22"/>
          <w:b/>
        </w:rPr>
        <w:t xml:space="preserve">During the 180-day withdrawal window: </w:t>
      </w:r>
      <w:r>
        <w:rPr>
          <w:rFonts w:ascii="Calibri" w:hAnsi="Calibri" w:eastAsia="Microsoft YaHei" w:cs="Calibri"/>
          <w:color w:val="1E1E1E"/>
          <w:sz w:val="22"/>
          <w:szCs w:val="22"/>
        </w:rPr>
        <w:t>all provisions of this Understanding remain in full effect; the JIC convenes quarterly to review the withdrawal's implications; either Party rescinds its withdrawal notice at any time; neither Party takes unilateral coercive action pending the withdrawal's effective date.</w:t>
      </w:r>
    </w:p>
    <w:p>
      <w:pPr>
        <w:pStyle w:val="Normal"/>
      </w:pPr>
      <w:r>
        <w:rPr>
          <w:rFonts w:ascii="Calibri" w:hAnsi="Calibri" w:eastAsia="Microsoft YaHei" w:cs="Calibri"/>
          <w:color w:val="2C3E50"/>
          <w:sz w:val="28"/>
          <w:szCs w:val="22"/>
          <w:b/>
        </w:rPr>
        <w:t xml:space="preserve">Upon withdrawal: </w:t>
      </w:r>
      <w:r>
        <w:rPr>
          <w:rFonts w:ascii="Calibri" w:hAnsi="Calibri" w:eastAsia="Microsoft YaHei" w:cs="Calibri"/>
          <w:color w:val="1E1E1E"/>
          <w:sz w:val="22"/>
          <w:szCs w:val="22"/>
        </w:rPr>
        <w:t>the withdrawing Party is subject to the continued obligations of: (a) all financial obligations accrued prior to the withdrawal date; (b) all incident reports and compliance determinations issued by the JIC; (c) all dispute resolution proceedings initiated prior to the withdrawal date. The data sovereignty provisions of Article 6.3 survive withdrawal.</w:t>
      </w:r>
    </w:p>
    <w:p>
      <w:pPr>
        <w:pStyle w:val="Heading2"/>
        <w:keepNext w:val="1"/>
        <w:spacing w:line="300" w:before="360" w:after="160" w:lineRule="auto"/>
      </w:pPr>
      <w:r>
        <w:rPr>
          <w:rFonts w:ascii="Calibri" w:hAnsi="Calibri" w:eastAsia="Microsoft YaHei" w:cs="Calibri"/>
          <w:b/>
          <w:color w:val="2C3E50"/>
          <w:sz w:val="28"/>
          <w:szCs w:val="28"/>
        </w:rPr>
        <w:t>9.4 Material Adverse Change</w:t>
      </w:r>
    </w:p>
    <w:p>
      <w:pPr>
        <w:pStyle w:val="Normal"/>
      </w:pPr>
      <w:r>
        <w:rPr>
          <w:rFonts w:ascii="Calibri" w:hAnsi="Calibri" w:eastAsia="Microsoft YaHei" w:cs="Calibri"/>
          <w:color w:val="1E1E1E"/>
          <w:sz w:val="22"/>
          <w:szCs w:val="22"/>
        </w:rPr>
        <w:t>If any of the following events occurs, either Party invokes a 60-day emergency suspension of all reversible measures under Annex 1AD, with a rolling option to renew for successive 60-day periods upon JIC affirmation by consensus:</w:t>
      </w:r>
    </w:p>
    <w:p>
      <w:pPr>
        <w:pStyle w:val="Normal"/>
      </w:pPr>
      <w:r>
        <w:rPr>
          <w:rFonts w:ascii="Calibri" w:hAnsi="Calibri" w:eastAsia="Microsoft YaHei" w:cs="Calibri"/>
          <w:color w:val="1E1E1E"/>
          <w:sz w:val="22"/>
          <w:szCs w:val="22"/>
        </w:rPr>
        <w:t>(a) The United Nations Security Council adopts a resolution under Chapter VII concerning either Party's conduct in the Strait;</w:t>
      </w:r>
    </w:p>
    <w:p>
      <w:pPr>
        <w:pStyle w:val="Normal"/>
      </w:pPr>
      <w:r>
        <w:rPr>
          <w:rFonts w:ascii="Calibri" w:hAnsi="Calibri" w:eastAsia="Microsoft YaHei" w:cs="Calibri"/>
          <w:color w:val="1E1E1E"/>
          <w:sz w:val="22"/>
          <w:szCs w:val="22"/>
        </w:rPr>
        <w:t>(b) Either Party conducts a nuclear test;</w:t>
      </w:r>
    </w:p>
    <w:p>
      <w:pPr>
        <w:pStyle w:val="Normal"/>
      </w:pPr>
      <w:r>
        <w:rPr>
          <w:rFonts w:ascii="Calibri" w:hAnsi="Calibri" w:eastAsia="Microsoft YaHei" w:cs="Calibri"/>
          <w:color w:val="1E1E1E"/>
          <w:sz w:val="22"/>
          <w:szCs w:val="22"/>
        </w:rPr>
        <w:t>(c) The IAEA Board of Governors issues a determination of non-compliance with safeguards obligations concerning either Party.</w:t>
      </w:r>
    </w:p>
    <w:p>
      <w:pPr>
        <w:pStyle w:val="Normal"/>
      </w:pPr>
      <w:r>
        <w:rPr>
          <w:rFonts w:ascii="Calibri" w:hAnsi="Calibri" w:eastAsia="Microsoft YaHei" w:cs="Calibri"/>
          <w:color w:val="1E1E1E"/>
          <w:sz w:val="22"/>
          <w:szCs w:val="22"/>
        </w:rPr>
        <w:t>The JIC convenes within 72 hours of invocation to assess whether the Understanding remains viable. This suspension does not prejudice the underlying Understanding and does not trigger the reversibility protocols in Article 5.2. The Cothrom Verification Method governs all compliance assessments during the suspension period. Under the Cothrom architecture: discretionary benefits pause first; core constraints survive longest; humanitarian protections remain absolute; minor infractions produce minor proportional consequences; sustained compliance restores full benefits; no violation creates permanent exclusion. Earn-back pathways remain open throughout any suspension. The framework architecture breathes; it does not collapse upon breach.</w:t>
      </w:r>
    </w:p>
    <w:p>
      <w:pPr>
        <w:pStyle w:val="Heading1"/>
      </w:pPr>
      <w:bookmarkStart w:name="_TocArt10" w:id="11"/>
      <w:r>
        <w:rPr>
          <w:rFonts w:ascii="Calibri" w:hAnsi="Calibri" w:eastAsia="Microsoft YaHei" w:cs="Calibri"/>
          <w:b/>
          <w:color w:val="1A2A3A"/>
          <w:sz w:val="40"/>
          <w:szCs w:val="40"/>
        </w:rPr>
        <w:t>ARTICLE 10: FINAL PROVISIONS</w:t>
      </w:r>
      <w:bookmarkEnd w:id="11"/>
    </w:p>
    <w:p>
      <w:pPr>
        <w:pStyle w:val="Heading2"/>
      </w:pPr>
      <w:r>
        <w:rPr>
          <w:rFonts w:ascii="Calibri" w:hAnsi="Calibri" w:eastAsia="Microsoft YaHei" w:cs="Calibri"/>
          <w:b/>
          <w:color w:val="2C3E50"/>
          <w:sz w:val="28"/>
          <w:szCs w:val="28"/>
        </w:rPr>
        <w:t>10.1 Annexes</w:t>
      </w:r>
    </w:p>
    <w:p>
      <w:pPr>
        <w:pStyle w:val="Normal"/>
      </w:pPr>
      <w:r>
        <w:rPr>
          <w:rFonts w:ascii="Calibri" w:hAnsi="Calibri" w:eastAsia="Microsoft YaHei" w:cs="Calibri"/>
          <w:color w:val="1E1E1E"/>
          <w:sz w:val="22"/>
          <w:szCs w:val="22"/>
        </w:rPr>
        <w:t>The following Annexes are attached to this Understanding as external, freestanding documents. They form an integral part of this Understanding and carry equal legal weight to the main text. Each Annex bears its full formal identifier (Annex 1AB, Annex 1AC, Annex 1AD) for all official references:</w:t>
      </w:r>
    </w:p>
    <w:p>
      <w:pPr>
        <w:pStyle w:val="Normal"/>
        <w:spacing w:before="60" w:after="60"/>
        <w:ind w:left="720" w:hanging="360"/>
      </w:pPr>
      <w:r>
        <w:rPr>
          <w:b/>
          <w:color w:val="2C3E50"/>
          <w:rFonts w:ascii="Calibri" w:hAnsi="Calibri" w:eastAsia="Microsoft YaHei" w:cs="Calibri"/>
          <w:sz w:val="28"/>
          <w:szCs w:val="22"/>
        </w:rPr>
        <w:t xml:space="preserve">Annex 1AB (Navigation Safety and Deconfliction Protocol): </w:t>
      </w:r>
      <w:r>
        <w:rPr>
          <w:rFonts w:ascii="Calibri" w:hAnsi="Calibri" w:eastAsia="Microsoft YaHei" w:cs="Calibri"/>
          <w:color w:val="1E1E1E"/>
          <w:sz w:val="22"/>
          <w:szCs w:val="22"/>
        </w:rPr>
        <w:t>Establishes the technical definitions, measurement methodologies, and verification criteria for determining unobstructed passage through the Strait of Hormuz. These definitions operate as the technical yardstick for the verification functions of the Technical Working Group. The metrics derive from internationally recognized maritime standards, including the IMO Traffic Separation Scheme, COLREGs, and SOLAS.</w:t>
      </w:r>
    </w:p>
    <w:p>
      <w:pPr>
        <w:pStyle w:val="Normal"/>
        <w:spacing w:before="60" w:after="60"/>
        <w:ind w:left="720" w:hanging="360"/>
      </w:pPr>
      <w:r>
        <w:rPr>
          <w:b/>
          <w:color w:val="2C3E50"/>
          <w:rFonts w:ascii="Calibri" w:hAnsi="Calibri" w:eastAsia="Microsoft YaHei" w:cs="Calibri"/>
          <w:sz w:val="28"/>
          <w:szCs w:val="22"/>
        </w:rPr>
        <w:t xml:space="preserve">Annex 1AC (Transit Facilitation and Service Fee Mechanism): </w:t>
      </w:r>
      <w:r>
        <w:rPr>
          <w:rFonts w:ascii="Calibri" w:hAnsi="Calibri" w:eastAsia="Microsoft YaHei" w:cs="Calibri"/>
          <w:color w:val="1E1E1E"/>
          <w:sz w:val="22"/>
          <w:szCs w:val="22"/>
        </w:rPr>
        <w:t>Establishes the operational framework for the Hormuz Service Corporation, including fee structures, service standards, escrow administration, and revenue distribution procedures.</w:t>
      </w:r>
    </w:p>
    <w:p>
      <w:pPr>
        <w:pStyle w:val="Normal"/>
        <w:spacing w:before="60" w:after="60"/>
        <w:ind w:left="720" w:hanging="360"/>
      </w:pPr>
      <w:r>
        <w:rPr>
          <w:b/>
          <w:color w:val="2C3E50"/>
          <w:rFonts w:ascii="Calibri" w:hAnsi="Calibri" w:eastAsia="Microsoft YaHei" w:cs="Calibri"/>
          <w:sz w:val="28"/>
          <w:szCs w:val="22"/>
        </w:rPr>
        <w:t xml:space="preserve">Annex 1AD (Confidence-Building and Reversible Measures Schedule): </w:t>
      </w:r>
      <w:r>
        <w:rPr>
          <w:rFonts w:ascii="Calibri" w:hAnsi="Calibri" w:eastAsia="Microsoft YaHei" w:cs="Calibri"/>
          <w:color w:val="1E1E1E"/>
          <w:sz w:val="22"/>
          <w:szCs w:val="22"/>
        </w:rPr>
        <w:t>Details the phased schedule of reciprocal naval posture adjustments, reversibility protocols, and transparency measures.</w:t>
      </w:r>
    </w:p>
    <w:p>
      <w:pPr>
        <w:pStyle w:val="Heading2"/>
      </w:pPr>
      <w:r>
        <w:rPr>
          <w:rFonts w:ascii="Calibri" w:hAnsi="Calibri" w:eastAsia="Microsoft YaHei" w:cs="Calibri"/>
          <w:b/>
          <w:color w:val="2C3E50"/>
          <w:sz w:val="28"/>
          <w:szCs w:val="28"/>
        </w:rPr>
        <w:t>10.1A Relationship Between Annexes</w:t>
      </w:r>
    </w:p>
    <w:p>
      <w:pPr>
        <w:pStyle w:val="Normal"/>
      </w:pPr>
      <w:r>
        <w:rPr>
          <w:rFonts w:ascii="Calibri" w:hAnsi="Calibri" w:eastAsia="Microsoft YaHei" w:cs="Calibri"/>
          <w:color w:val="2C3E50"/>
          <w:sz w:val="28"/>
          <w:szCs w:val="22"/>
          <w:b/>
        </w:rPr>
        <w:t xml:space="preserve">(a) </w:t>
      </w:r>
      <w:r>
        <w:rPr>
          <w:rFonts w:ascii="Calibri" w:hAnsi="Calibri" w:eastAsia="Microsoft YaHei" w:cs="Calibri"/>
          <w:color w:val="1E1E1E"/>
          <w:sz w:val="22"/>
          <w:szCs w:val="22"/>
        </w:rPr>
        <w:t>The Annexes form an integral part of this Understanding and carry equal legal weight.</w:t>
      </w:r>
    </w:p>
    <w:p>
      <w:pPr>
        <w:pStyle w:val="Normal"/>
      </w:pPr>
      <w:r>
        <w:rPr>
          <w:rFonts w:ascii="Calibri" w:hAnsi="Calibri" w:eastAsia="Microsoft YaHei" w:cs="Calibri"/>
          <w:color w:val="2C3E50"/>
          <w:sz w:val="28"/>
          <w:szCs w:val="22"/>
          <w:b/>
        </w:rPr>
        <w:t xml:space="preserve">(b) </w:t>
      </w:r>
      <w:r>
        <w:rPr>
          <w:rFonts w:ascii="Calibri" w:hAnsi="Calibri" w:eastAsia="Microsoft YaHei" w:cs="Calibri"/>
          <w:color w:val="1E1E1E"/>
          <w:sz w:val="22"/>
          <w:szCs w:val="22"/>
        </w:rPr>
        <w:t>In the event of inconsistency between Annexes, the following precedence applies: (i) Annex 1AB (Navigation Safety) takes precedence over Annex 1AC and Annex 1AD for operational safety matters; (ii) Annex 1AC (Financial) takes precedence for financial and disbursement matters; (iii) Annex 1AD (Confidence-Building) takes precedence for reversibility and Phase schedule matters.</w:t>
      </w:r>
    </w:p>
    <w:p>
      <w:pPr>
        <w:pStyle w:val="Normal"/>
      </w:pPr>
      <w:r>
        <w:rPr>
          <w:rFonts w:ascii="Calibri" w:hAnsi="Calibri" w:eastAsia="Microsoft YaHei" w:cs="Calibri"/>
          <w:color w:val="2C3E50"/>
          <w:sz w:val="28"/>
          <w:szCs w:val="22"/>
          <w:b/>
        </w:rPr>
        <w:t xml:space="preserve">(c) </w:t>
      </w:r>
      <w:r>
        <w:rPr>
          <w:rFonts w:ascii="Calibri" w:hAnsi="Calibri" w:eastAsia="Microsoft YaHei" w:cs="Calibri"/>
          <w:color w:val="1E1E1E"/>
          <w:sz w:val="22"/>
          <w:szCs w:val="22"/>
        </w:rPr>
        <w:t>In the event of inconsistency between an Annex and the HSU, the HSU prevails.</w:t>
      </w:r>
    </w:p>
    <w:p>
      <w:pPr>
        <w:pStyle w:val="Heading2"/>
      </w:pPr>
      <w:r>
        <w:rPr>
          <w:rFonts w:ascii="Calibri" w:hAnsi="Calibri" w:eastAsia="Microsoft YaHei" w:cs="Calibri"/>
          <w:b/>
          <w:color w:val="2C3E50"/>
          <w:sz w:val="28"/>
          <w:szCs w:val="28"/>
        </w:rPr>
        <w:t>10.2 Standard Operating Procedures (SOPs)</w:t>
      </w:r>
    </w:p>
    <w:p>
      <w:pPr>
        <w:pStyle w:val="Normal"/>
      </w:pPr>
      <w:r>
        <w:rPr>
          <w:rFonts w:ascii="Calibri" w:hAnsi="Calibri" w:eastAsia="Microsoft YaHei" w:cs="Calibri"/>
          <w:color w:val="1E1E1E"/>
          <w:sz w:val="22"/>
          <w:szCs w:val="22"/>
        </w:rPr>
        <w:t>Technical SOPs are developed under each Annex and approved by the JIC. Such SOPs are treated as administrative appendices and are updated by the JIC without amending this Understanding. SOP updates require only JIC consensus, not a new round of political negotiation between the Parties.</w:t>
      </w:r>
    </w:p>
    <w:p>
      <w:pPr>
        <w:pStyle w:val="Normal"/>
      </w:pPr>
      <w:r>
        <w:rPr>
          <w:rFonts w:ascii="Calibri" w:hAnsi="Calibri" w:eastAsia="Microsoft YaHei" w:cs="Calibri"/>
          <w:color w:val="1E1E1E"/>
          <w:sz w:val="22"/>
          <w:szCs w:val="22"/>
        </w:rPr>
        <w:t>The Technical Working Group retains standing authority to adjust the following parameters by consensus without formal amendment: numerical tolerances (speed variance, deviation distance, AIS downtime) within plus or minus 20 percent of the defined values; corroboration source priority order; weather threshold values within one Beaufort force level; and reporting timeframes.</w:t>
      </w:r>
    </w:p>
    <w:p>
      <w:pPr>
        <w:pStyle w:val="Heading2"/>
      </w:pPr>
      <w:r>
        <w:rPr>
          <w:rFonts w:ascii="Calibri" w:hAnsi="Calibri" w:eastAsia="Microsoft YaHei" w:cs="Calibri"/>
          <w:b/>
          <w:color w:val="2C3E50"/>
          <w:sz w:val="28"/>
          <w:szCs w:val="28"/>
        </w:rPr>
        <w:t>10.3 Depositary</w:t>
      </w:r>
    </w:p>
    <w:p>
      <w:pPr>
        <w:pStyle w:val="Normal"/>
      </w:pPr>
      <w:r>
        <w:rPr>
          <w:rFonts w:ascii="Calibri" w:hAnsi="Calibri" w:eastAsia="Microsoft YaHei" w:cs="Calibri"/>
          <w:color w:val="1E1E1E"/>
          <w:sz w:val="22"/>
          <w:szCs w:val="22"/>
        </w:rPr>
        <w:t>The Government of the Sultanate of Oman serves as the Depositary of this Understanding and circulates certified copies to all Signatories and to the IMO. The Depositary maintains the original signed document and all subsequent amendments, certifications, and official communications.</w:t>
      </w:r>
    </w:p>
    <w:p>
      <w:pPr>
        <w:pStyle w:val="Normal"/>
      </w:pPr>
      <w:r>
        <w:rPr>
          <w:rFonts w:ascii="Calibri" w:hAnsi="Calibri" w:eastAsia="Microsoft YaHei" w:cs="Calibri"/>
          <w:color w:val="1E1E1E"/>
          <w:sz w:val="22"/>
          <w:szCs w:val="22"/>
        </w:rPr>
        <w:t>The Depositary performs the following functions: receives and archives all notifications, communications, and instruments relating to this Understanding; verifies the authenticity of signatures and instruments; notifies all Parties of any communication received from a Party; and registers this Understanding with the IMO upon entry into force.</w:t>
      </w:r>
    </w:p>
    <w:p>
      <w:pPr>
        <w:pStyle w:val="Heading2"/>
      </w:pPr>
      <w:r>
        <w:rPr>
          <w:rFonts w:ascii="Calibri" w:hAnsi="Calibri" w:eastAsia="Microsoft YaHei" w:cs="Calibri"/>
          <w:b/>
          <w:color w:val="2C3E50"/>
          <w:sz w:val="28"/>
          <w:szCs w:val="28"/>
        </w:rPr>
        <w:t>10.4 Languages</w:t>
      </w:r>
    </w:p>
    <w:p>
      <w:pPr>
        <w:pStyle w:val="Normal"/>
      </w:pPr>
      <w:r>
        <w:rPr>
          <w:rFonts w:ascii="Calibri" w:hAnsi="Calibri" w:eastAsia="Microsoft YaHei" w:cs="Calibri"/>
          <w:color w:val="1E1E1E"/>
          <w:sz w:val="22"/>
          <w:szCs w:val="22"/>
        </w:rPr>
        <w:t>This Understanding is executed in English, Farsi, and Arabic. In the event of a dispute over interpretation, the English text prevails. All official records are maintained in English; translations are provided for convenience but carry no independent legal weight.</w:t>
      </w:r>
    </w:p>
    <w:p>
      <w:pPr>
        <w:pStyle w:val="Heading2"/>
      </w:pPr>
      <w:r>
        <w:rPr>
          <w:rFonts w:ascii="Calibri" w:hAnsi="Calibri" w:eastAsia="Microsoft YaHei" w:cs="Calibri"/>
          <w:b/>
          <w:color w:val="2C3E50"/>
          <w:sz w:val="28"/>
          <w:szCs w:val="28"/>
        </w:rPr>
        <w:t>10.5 Operational Commander Acknowledgment</w:t>
      </w:r>
    </w:p>
    <w:p>
      <w:pPr>
        <w:pStyle w:val="Normal"/>
      </w:pPr>
      <w:r>
        <w:rPr>
          <w:rFonts w:ascii="Calibri" w:hAnsi="Calibri" w:eastAsia="Microsoft YaHei" w:cs="Calibri"/>
          <w:color w:val="2C3E50"/>
          <w:sz w:val="28"/>
          <w:szCs w:val="22"/>
          <w:b/>
        </w:rPr>
        <w:t xml:space="preserve">(a) </w:t>
      </w:r>
      <w:r>
        <w:rPr>
          <w:rFonts w:ascii="Calibri" w:hAnsi="Calibri" w:eastAsia="Microsoft YaHei" w:cs="Calibri"/>
          <w:color w:val="1E1E1E"/>
          <w:sz w:val="22"/>
          <w:szCs w:val="22"/>
        </w:rPr>
        <w:t>Within 30 days of the signing of this Understanding, each Party submits to the JIC a written acknowledgment from its operational commanders responsible for activities in the Strait, confirming receipt of the Annexes and commitment to executing their provisions.</w:t>
      </w:r>
    </w:p>
    <w:p>
      <w:pPr>
        <w:pStyle w:val="Normal"/>
      </w:pPr>
      <w:r>
        <w:rPr>
          <w:rFonts w:ascii="Calibri" w:hAnsi="Calibri" w:eastAsia="Microsoft YaHei" w:cs="Calibri"/>
          <w:color w:val="2C3E50"/>
          <w:sz w:val="28"/>
          <w:szCs w:val="22"/>
          <w:b/>
        </w:rPr>
        <w:t xml:space="preserve">(b) </w:t>
      </w:r>
      <w:r>
        <w:rPr>
          <w:rFonts w:ascii="Calibri" w:hAnsi="Calibri" w:eastAsia="Microsoft YaHei" w:cs="Calibri"/>
          <w:color w:val="1E1E1E"/>
          <w:sz w:val="22"/>
          <w:szCs w:val="22"/>
        </w:rPr>
        <w:t>The following commands provide acknowledgment: for Iran, the IRGC Navy and the Ports and Maritime Organization (PMO); for the United States, U.S. Naval Forces Central Command (NAVCENT); for Oman, the Maritime Security Centre.</w:t>
      </w:r>
    </w:p>
    <w:p>
      <w:pPr>
        <w:pStyle w:val="Normal"/>
      </w:pPr>
      <w:r>
        <w:rPr>
          <w:rFonts w:ascii="Calibri" w:hAnsi="Calibri" w:eastAsia="Microsoft YaHei" w:cs="Calibri"/>
          <w:color w:val="2C3E50"/>
          <w:sz w:val="28"/>
          <w:szCs w:val="22"/>
          <w:b/>
        </w:rPr>
        <w:t xml:space="preserve">(c) </w:t>
      </w:r>
      <w:r>
        <w:rPr>
          <w:rFonts w:ascii="Calibri" w:hAnsi="Calibri" w:eastAsia="Microsoft YaHei" w:cs="Calibri"/>
          <w:color w:val="1E1E1E"/>
          <w:sz w:val="22"/>
          <w:szCs w:val="22"/>
        </w:rPr>
        <w:t>Failure to provide acknowledgment within 30 days does not relieve any Party of its obligations under this Understanding. The JIC records the acknowledgment status and reports it in the quarterly public report.</w:t>
      </w:r>
    </w:p>
    <w:p>
      <w:pPr>
        <w:pStyle w:val="Normal"/>
      </w:pPr>
      <w:r>
        <w:rPr>
          <w:rFonts w:ascii="Calibri" w:hAnsi="Calibri" w:eastAsia="Microsoft YaHei" w:cs="Calibri"/>
          <w:color w:val="2C3E50"/>
          <w:sz w:val="28"/>
          <w:szCs w:val="22"/>
          <w:b/>
        </w:rPr>
        <w:t xml:space="preserve">(d) </w:t>
      </w:r>
      <w:r>
        <w:rPr>
          <w:rFonts w:ascii="Calibri" w:hAnsi="Calibri" w:eastAsia="Microsoft YaHei" w:cs="Calibri"/>
          <w:color w:val="1E1E1E"/>
          <w:sz w:val="22"/>
          <w:szCs w:val="22"/>
        </w:rPr>
        <w:t>The acknowledgment is not a signature and does not bind operational commanders beyond their existing chain of command obligations.</w:t>
      </w:r>
    </w:p>
    <w:p>
      <w:pPr>
        <w:pStyle w:val="Normal"/>
      </w:pPr>
      <w:r>
        <w:rPr>
          <w:rFonts w:ascii="Calibri" w:hAnsi="Calibri" w:eastAsia="Microsoft YaHei" w:cs="Calibri"/>
          <w:color w:val="2C3E50"/>
          <w:sz w:val="28"/>
          <w:szCs w:val="22"/>
          <w:b/>
        </w:rPr>
        <w:t xml:space="preserve">(e) </w:t>
      </w:r>
      <w:r>
        <w:rPr>
          <w:rFonts w:ascii="Calibri" w:hAnsi="Calibri" w:eastAsia="Microsoft YaHei" w:cs="Calibri"/>
          <w:color w:val="1E1E1E"/>
          <w:sz w:val="22"/>
          <w:szCs w:val="22"/>
        </w:rPr>
        <w:t>If acknowledgment is not received within 30 days, the JIC publishes a public notice of non-acknowledgment, and the non-acknowledging Party's Phase benefits under Annex 1AD suspend until acknowledgment is received. This suspension is not a penalty and does not trigger the reversibility protocols in Article 5.2. The suspension lifts automatically upon JIC receipt of the required acknowledgment.</w:t>
      </w:r>
    </w:p>
    <w:p>
      <w:pPr>
        <w:pStyle w:val="Heading2"/>
      </w:pPr>
      <w:r>
        <w:rPr>
          <w:rFonts w:ascii="Calibri" w:hAnsi="Calibri" w:eastAsia="Microsoft YaHei" w:cs="Calibri"/>
          <w:b/>
          <w:color w:val="2C3E50"/>
          <w:sz w:val="28"/>
          <w:szCs w:val="28"/>
        </w:rPr>
        <w:t>10.6 Annual Review and Lessons Learned</w:t>
      </w:r>
    </w:p>
    <w:p>
      <w:pPr>
        <w:pStyle w:val="Normal"/>
      </w:pPr>
      <w:r>
        <w:rPr>
          <w:rFonts w:ascii="Calibri" w:hAnsi="Calibri" w:eastAsia="Microsoft YaHei" w:cs="Calibri"/>
          <w:color w:val="2C3E50"/>
          <w:sz w:val="28"/>
          <w:szCs w:val="22"/>
          <w:b/>
        </w:rPr>
        <w:t xml:space="preserve">(a) </w:t>
      </w:r>
      <w:r>
        <w:rPr>
          <w:rFonts w:ascii="Calibri" w:hAnsi="Calibri" w:eastAsia="Microsoft YaHei" w:cs="Calibri"/>
          <w:color w:val="1E1E1E"/>
          <w:sz w:val="22"/>
          <w:szCs w:val="22"/>
        </w:rPr>
        <w:t>The JIC convenes an Annual Review of this Understanding and its Annexes no later than 12 months after the effective date, and annually thereafter.</w:t>
      </w:r>
    </w:p>
    <w:p>
      <w:pPr>
        <w:pStyle w:val="Normal"/>
      </w:pPr>
      <w:r>
        <w:rPr>
          <w:rFonts w:ascii="Calibri" w:hAnsi="Calibri" w:eastAsia="Microsoft YaHei" w:cs="Calibri"/>
          <w:color w:val="2C3E50"/>
          <w:sz w:val="28"/>
          <w:szCs w:val="22"/>
          <w:b/>
        </w:rPr>
        <w:t xml:space="preserve">(b) </w:t>
      </w:r>
      <w:r>
        <w:rPr>
          <w:rFonts w:ascii="Calibri" w:hAnsi="Calibri" w:eastAsia="Microsoft YaHei" w:cs="Calibri"/>
          <w:color w:val="1E1E1E"/>
          <w:sz w:val="22"/>
          <w:szCs w:val="22"/>
        </w:rPr>
        <w:t>The Annual Review assesses: operational effectiveness of all provisions; compliance patterns and trends; gaps, ambiguities, or areas for improvement; lessons learned from incidents and exercises; recommendations for amendments or adjustments.</w:t>
      </w:r>
    </w:p>
    <w:p>
      <w:pPr>
        <w:pStyle w:val="Normal"/>
      </w:pPr>
      <w:r>
        <w:rPr>
          <w:rFonts w:ascii="Calibri" w:hAnsi="Calibri" w:eastAsia="Microsoft YaHei" w:cs="Calibri"/>
          <w:color w:val="2C3E50"/>
          <w:sz w:val="28"/>
          <w:szCs w:val="22"/>
          <w:b/>
        </w:rPr>
        <w:t xml:space="preserve">(c) </w:t>
      </w:r>
      <w:r>
        <w:rPr>
          <w:rFonts w:ascii="Calibri" w:hAnsi="Calibri" w:eastAsia="Microsoft YaHei" w:cs="Calibri"/>
          <w:color w:val="1E1E1E"/>
          <w:sz w:val="22"/>
          <w:szCs w:val="22"/>
        </w:rPr>
        <w:t>The Annual Review produces a formal report to the Parties and the IMO. The report is published publicly, with classified operational details redacted.</w:t>
      </w:r>
    </w:p>
    <w:p>
      <w:pPr>
        <w:pStyle w:val="Normal"/>
      </w:pPr>
      <w:r>
        <w:rPr>
          <w:rFonts w:ascii="Calibri" w:hAnsi="Calibri" w:eastAsia="Microsoft YaHei" w:cs="Calibri"/>
          <w:color w:val="2C3E50"/>
          <w:sz w:val="28"/>
          <w:szCs w:val="22"/>
          <w:b/>
        </w:rPr>
        <w:t xml:space="preserve">(d) </w:t>
      </w:r>
      <w:r>
        <w:rPr>
          <w:rFonts w:ascii="Calibri" w:hAnsi="Calibri" w:eastAsia="Microsoft YaHei" w:cs="Calibri"/>
          <w:color w:val="1E1E1E"/>
          <w:sz w:val="22"/>
          <w:szCs w:val="22"/>
        </w:rPr>
        <w:t>The Annual Review is a technical, operational assessment. It does not reopen political negotiations unless a Party explicitly requests a political amendment.</w:t>
      </w:r>
    </w:p>
    <w:p>
      <w:pPr>
        <w:pStyle w:val="Heading2"/>
      </w:pPr>
      <w:r>
        <w:rPr>
          <w:rFonts w:ascii="Calibri" w:hAnsi="Calibri" w:eastAsia="Microsoft YaHei" w:cs="Calibri"/>
          <w:b/>
          <w:color w:val="2C3E50"/>
          <w:sz w:val="28"/>
          <w:szCs w:val="28"/>
        </w:rPr>
        <w:t>10.7 IMO Consultation on Amendments</w:t>
      </w:r>
    </w:p>
    <w:p>
      <w:pPr>
        <w:pStyle w:val="Normal"/>
      </w:pPr>
      <w:r>
        <w:rPr>
          <w:rFonts w:ascii="Calibri" w:hAnsi="Calibri" w:eastAsia="Microsoft YaHei" w:cs="Calibri"/>
          <w:color w:val="2C3E50"/>
          <w:sz w:val="28"/>
          <w:szCs w:val="22"/>
          <w:b/>
        </w:rPr>
        <w:t xml:space="preserve">(a) </w:t>
      </w:r>
      <w:r>
        <w:rPr>
          <w:rFonts w:ascii="Calibri" w:hAnsi="Calibri" w:eastAsia="Microsoft YaHei" w:cs="Calibri"/>
          <w:color w:val="1E1E1E"/>
          <w:sz w:val="22"/>
          <w:szCs w:val="22"/>
        </w:rPr>
        <w:t>Prior to adopting any substantive amendment to this Understanding or its Annexes, the JIC consults with the IMO representative on the technical implications of the proposed amendment.</w:t>
      </w:r>
    </w:p>
    <w:p>
      <w:pPr>
        <w:pStyle w:val="Normal"/>
      </w:pPr>
      <w:r>
        <w:rPr>
          <w:rFonts w:ascii="Calibri" w:hAnsi="Calibri" w:eastAsia="Microsoft YaHei" w:cs="Calibri"/>
          <w:color w:val="2C3E50"/>
          <w:sz w:val="28"/>
          <w:szCs w:val="22"/>
          <w:b/>
        </w:rPr>
        <w:t xml:space="preserve">(b) </w:t>
      </w:r>
      <w:r>
        <w:rPr>
          <w:rFonts w:ascii="Calibri" w:hAnsi="Calibri" w:eastAsia="Microsoft YaHei" w:cs="Calibri"/>
          <w:color w:val="1E1E1E"/>
          <w:sz w:val="22"/>
          <w:szCs w:val="22"/>
        </w:rPr>
        <w:t>The IMO representative provides a written technical assessment of the proposed amendment, including: (i) consistency with IMO resolutions and circulars; (ii) impact on international maritime safety standards; (iii) any potential conflicts with UNCLOS or other international instruments.</w:t>
      </w:r>
    </w:p>
    <w:p>
      <w:pPr>
        <w:pStyle w:val="Normal"/>
      </w:pPr>
      <w:r>
        <w:rPr>
          <w:rFonts w:ascii="Calibri" w:hAnsi="Calibri" w:eastAsia="Microsoft YaHei" w:cs="Calibri"/>
          <w:color w:val="2C3E50"/>
          <w:sz w:val="28"/>
          <w:szCs w:val="22"/>
          <w:b/>
        </w:rPr>
        <w:t xml:space="preserve">(c) </w:t>
      </w:r>
      <w:r>
        <w:rPr>
          <w:rFonts w:ascii="Calibri" w:hAnsi="Calibri" w:eastAsia="Microsoft YaHei" w:cs="Calibri"/>
          <w:color w:val="1E1E1E"/>
          <w:sz w:val="22"/>
          <w:szCs w:val="22"/>
        </w:rPr>
        <w:t>The IMO representative's assessment is advisory and does not bind the Parties.</w:t>
      </w:r>
    </w:p>
    <w:p>
      <w:pPr>
        <w:pStyle w:val="Normal"/>
      </w:pPr>
      <w:r>
        <w:rPr>
          <w:rFonts w:ascii="Calibri" w:hAnsi="Calibri" w:eastAsia="Microsoft YaHei" w:cs="Calibri"/>
          <w:color w:val="2C3E50"/>
          <w:sz w:val="28"/>
          <w:szCs w:val="22"/>
          <w:b/>
        </w:rPr>
        <w:t xml:space="preserve">(d) </w:t>
      </w:r>
      <w:r>
        <w:rPr>
          <w:rFonts w:ascii="Calibri" w:hAnsi="Calibri" w:eastAsia="Microsoft YaHei" w:cs="Calibri"/>
          <w:color w:val="1E1E1E"/>
          <w:sz w:val="22"/>
          <w:szCs w:val="22"/>
        </w:rPr>
        <w:t>The JIC includes the IMO representative's assessment in the record of the amendment proceedings.</w:t>
      </w:r>
    </w:p>
    <w:p>
      <w:pPr>
        <w:pStyle w:val="Heading2"/>
      </w:pPr>
      <w:r>
        <w:rPr>
          <w:rFonts w:ascii="Calibri" w:hAnsi="Calibri" w:eastAsia="Microsoft YaHei" w:cs="Calibri"/>
          <w:b/>
          <w:color w:val="2C3E50"/>
          <w:sz w:val="28"/>
          <w:szCs w:val="28"/>
        </w:rPr>
        <w:t>10.8 Non-Retroactivity</w:t>
      </w:r>
    </w:p>
    <w:p>
      <w:pPr>
        <w:pStyle w:val="Normal"/>
      </w:pPr>
      <w:r>
        <w:rPr>
          <w:rFonts w:ascii="Calibri" w:hAnsi="Calibri" w:eastAsia="Microsoft YaHei" w:cs="Calibri"/>
          <w:color w:val="1E1E1E"/>
          <w:sz w:val="22"/>
          <w:szCs w:val="22"/>
        </w:rPr>
        <w:t>This Understanding applies exclusively to conduct occurring on or after its effective date. No provision of this Understanding is construed as having retroactive effect. Incidents occurring prior to the effective date are governed by the legal regimes in effect at the time.</w:t>
      </w:r>
    </w:p>
    <w:p>
      <w:pPr>
        <w:pStyle w:val="Heading2"/>
      </w:pPr>
      <w:r>
        <w:rPr>
          <w:rFonts w:ascii="Calibri" w:hAnsi="Calibri" w:eastAsia="Microsoft YaHei" w:cs="Calibri"/>
          <w:b/>
          <w:color w:val="2C3E50"/>
          <w:sz w:val="28"/>
          <w:szCs w:val="28"/>
        </w:rPr>
        <w:t>10.9 Confidentiality</w:t>
      </w:r>
    </w:p>
    <w:p>
      <w:pPr>
        <w:pStyle w:val="Normal"/>
      </w:pPr>
      <w:r>
        <w:rPr>
          <w:rFonts w:ascii="Calibri" w:hAnsi="Calibri" w:eastAsia="Microsoft YaHei" w:cs="Calibri"/>
          <w:color w:val="2C3E50"/>
          <w:sz w:val="28"/>
          <w:szCs w:val="22"/>
          <w:b/>
        </w:rPr>
        <w:t xml:space="preserve">(a) </w:t>
      </w:r>
      <w:r>
        <w:rPr>
          <w:rFonts w:ascii="Calibri" w:hAnsi="Calibri" w:eastAsia="Microsoft YaHei" w:cs="Calibri"/>
          <w:color w:val="1E1E1E"/>
          <w:sz w:val="22"/>
          <w:szCs w:val="22"/>
        </w:rPr>
        <w:t>All operational data, communications logs, incident reports, and financial records generated under this Understanding bear classification as CONFIDENTIAL / RESTRICTED.</w:t>
      </w:r>
    </w:p>
    <w:p>
      <w:pPr>
        <w:pStyle w:val="Normal"/>
      </w:pPr>
      <w:r>
        <w:rPr>
          <w:rFonts w:ascii="Calibri" w:hAnsi="Calibri" w:eastAsia="Microsoft YaHei" w:cs="Calibri"/>
          <w:color w:val="2C3E50"/>
          <w:sz w:val="28"/>
          <w:szCs w:val="22"/>
          <w:b/>
        </w:rPr>
        <w:t xml:space="preserve">(b) </w:t>
      </w:r>
      <w:r>
        <w:rPr>
          <w:rFonts w:ascii="Calibri" w:hAnsi="Calibri" w:eastAsia="Microsoft YaHei" w:cs="Calibri"/>
          <w:color w:val="1E1E1E"/>
          <w:sz w:val="22"/>
          <w:szCs w:val="22"/>
        </w:rPr>
        <w:t>Such materials are disclosed to third parties only under the following conditions: (i) as required for emergency response; (ii) as required by the IMO for safety reporting; (iii) by unanimous JIC consent.</w:t>
      </w:r>
    </w:p>
    <w:p>
      <w:pPr>
        <w:pStyle w:val="Normal"/>
      </w:pPr>
      <w:r>
        <w:rPr>
          <w:rFonts w:ascii="Calibri" w:hAnsi="Calibri" w:eastAsia="Microsoft YaHei" w:cs="Calibri"/>
          <w:color w:val="2C3E50"/>
          <w:sz w:val="28"/>
          <w:szCs w:val="22"/>
          <w:b/>
        </w:rPr>
        <w:t xml:space="preserve">(c) </w:t>
      </w:r>
      <w:r>
        <w:rPr>
          <w:rFonts w:ascii="Calibri" w:hAnsi="Calibri" w:eastAsia="Microsoft YaHei" w:cs="Calibri"/>
          <w:color w:val="1E1E1E"/>
          <w:sz w:val="22"/>
          <w:szCs w:val="22"/>
        </w:rPr>
        <w:t>Quarterly public reports, Compliance Dashboards, and annual reviews are exempt from this confidentiality provision and are published publicly.</w:t>
      </w:r>
    </w:p>
    <w:p>
      <w:pPr>
        <w:pStyle w:val="Normal"/>
      </w:pPr>
      <w:r>
        <w:rPr>
          <w:rFonts w:ascii="Calibri" w:hAnsi="Calibri" w:eastAsia="Microsoft YaHei" w:cs="Calibri"/>
          <w:color w:val="2C3E50"/>
          <w:sz w:val="28"/>
          <w:szCs w:val="22"/>
          <w:b/>
        </w:rPr>
        <w:t xml:space="preserve">(d) </w:t>
      </w:r>
      <w:r>
        <w:rPr>
          <w:rFonts w:ascii="Calibri" w:hAnsi="Calibri" w:eastAsia="Microsoft YaHei" w:cs="Calibri"/>
          <w:color w:val="1E1E1E"/>
          <w:sz w:val="22"/>
          <w:szCs w:val="22"/>
        </w:rPr>
        <w:t>This Article does not prevent a Party from disclosing information to its own national security apparatus, provided such disclosure is logged and visible to all Parties through the Shared Digital Registry.</w:t>
      </w:r>
    </w:p>
    <w:p>
      <w:pPr>
        <w:pStyle w:val="Normal"/>
        <w:pageBreakBefore/>
      </w:pPr>
    </w:p>
    <w:p>
      <w:pPr>
        <w:pStyle w:val="Heading1"/>
      </w:pPr>
      <w:bookmarkStart w:name="_TocAnnexA" w:id="12"/>
      <w:r>
        <w:rPr>
          <w:rFonts w:ascii="Calibri" w:hAnsi="Calibri" w:eastAsia="Microsoft YaHei" w:cs="Calibri"/>
          <w:b/>
          <w:color w:val="1A2A3A"/>
          <w:sz w:val="40"/>
          <w:szCs w:val="40"/>
        </w:rPr>
        <w:t>ANNEX 1AB: NAVIGATION SAFETY AND DECONFLICTION PROTOCOL</w:t>
      </w:r>
      <w:bookmarkEnd w:id="12"/>
    </w:p>
    <w:p>
      <w:pPr>
        <w:pStyle w:val="Normal"/>
      </w:pPr>
      <w:r>
        <w:rPr>
          <w:rFonts w:ascii="Calibri" w:hAnsi="Calibri" w:eastAsia="Microsoft YaHei" w:cs="Calibri"/>
          <w:color w:val="1E1E1E"/>
          <w:sz w:val="22"/>
          <w:szCs w:val="22"/>
        </w:rPr>
        <w:t>Annex 1AB establishes the technical definitions, measurement methodologies, and verification criteria for determining whether unobstructed passage has occurred through the Strait of Hormuz. These definitions operate as the technical yardstick for the verification functions of the Technical Working Group (TWG).</w:t>
      </w:r>
    </w:p>
    <w:p>
      <w:pPr>
        <w:pStyle w:val="Heading2"/>
      </w:pPr>
      <w:r>
        <w:rPr>
          <w:rFonts w:ascii="Calibri" w:hAnsi="Calibri" w:eastAsia="Microsoft YaHei" w:cs="Calibri"/>
          <w:b/>
          <w:color w:val="2C3E50"/>
          <w:sz w:val="28"/>
          <w:szCs w:val="28"/>
        </w:rPr>
        <w:t>A.1 Transit Speed Metrics</w:t>
      </w:r>
    </w:p>
    <w:p>
      <w:pPr>
        <w:pStyle w:val="Normal"/>
      </w:pPr>
      <w:r>
        <w:rPr>
          <w:rFonts w:ascii="Calibri" w:hAnsi="Calibri" w:eastAsia="Microsoft YaHei" w:cs="Calibri"/>
          <w:color w:val="1E1E1E"/>
          <w:sz w:val="22"/>
          <w:szCs w:val="22"/>
        </w:rPr>
        <w:t>A commercial vessel maintains an average speed of no less than 12 knots over the course of its transit through the transit corridor. The framework architecture calculates average speed as the total distance traveled from Point Alpha to Point Omega (or vice versa) divided by the total elapsed time between entry and exit.</w:t>
      </w:r>
    </w:p>
    <w:p>
      <w:pPr>
        <w:pStyle w:val="Normal"/>
      </w:pPr>
      <w:r>
        <w:rPr>
          <w:rFonts w:ascii="Calibri" w:hAnsi="Calibri" w:eastAsia="Microsoft YaHei" w:cs="Calibri"/>
          <w:color w:val="1E1E1E"/>
          <w:sz w:val="22"/>
          <w:szCs w:val="22"/>
        </w:rPr>
        <w:t>A variance of up to 1.5 knots below the 12-knot minimum constitutes an acceptable tolerance, provided the variance results from adverse sea conditions below the force majeure threshold, navigation within high-density traffic zones requiring speed reduction for safety, or temporary speed adjustment to maintain safe separation from other vessels. A variance exceeding 1.5 knots below the minimum constitutes a failure of the transit speed metric, unless the vessel invokes a force majeure exception.</w:t>
      </w:r>
    </w:p>
    <w:p>
      <w:pPr>
        <w:pStyle w:val="Heading2"/>
      </w:pPr>
      <w:r>
        <w:rPr>
          <w:rFonts w:ascii="Calibri" w:hAnsi="Calibri" w:eastAsia="Microsoft YaHei" w:cs="Calibri"/>
          <w:b/>
          <w:color w:val="2C3E50"/>
          <w:sz w:val="28"/>
          <w:szCs w:val="28"/>
        </w:rPr>
        <w:t>A.2 Lane Adherence Standards</w:t>
      </w:r>
    </w:p>
    <w:p>
      <w:pPr>
        <w:pStyle w:val="Normal"/>
      </w:pPr>
      <w:r>
        <w:rPr>
          <w:rFonts w:ascii="Calibri" w:hAnsi="Calibri" w:eastAsia="Microsoft YaHei" w:cs="Calibri"/>
          <w:color w:val="1E1E1E"/>
          <w:sz w:val="22"/>
          <w:szCs w:val="22"/>
        </w:rPr>
        <w:t>The commercial vessel remains within its designated TSS lane throughout the transit. The framework architecture measures lane adherence as the perpendicular distance between the vessel's reported position and the centreline of the designated TSS lane.</w:t>
      </w:r>
    </w:p>
    <w:p>
      <w:pPr>
        <w:pStyle w:val="Normal"/>
      </w:pPr>
      <w:r>
        <w:rPr>
          <w:rFonts w:ascii="Calibri" w:hAnsi="Calibri" w:eastAsia="Microsoft YaHei" w:cs="Calibri"/>
          <w:color w:val="1E1E1E"/>
          <w:sz w:val="22"/>
          <w:szCs w:val="22"/>
        </w:rPr>
        <w:t>A deviation exceeding 0.5 nautical miles from the centreline of the designated TSS lane for more than 15 consecutive minutes constitutes a failure of the lane adherence metric, unless the deviation results from emergency collision avoidance manoeuvre, weather avoidance, navigational hazard avoidance, or directed manoeuvre by Vessel Traffic Service for traffic management. The vessel bears the burden of demonstrating that the deviation falls within one of these exceptions.</w:t>
      </w:r>
    </w:p>
    <w:p>
      <w:pPr>
        <w:pStyle w:val="Normal"/>
      </w:pPr>
      <w:r>
        <w:rPr>
          <w:rFonts w:ascii="Calibri" w:hAnsi="Calibri" w:eastAsia="Microsoft YaHei" w:cs="Calibri"/>
          <w:color w:val="1E1E1E"/>
          <w:sz w:val="22"/>
          <w:szCs w:val="22"/>
        </w:rPr>
        <w:t>The commercial vessel maintains a minimum distance of 0.25 nautical miles from the edge of the designated TSS lane at all times during transit. Cross-track error exceeding this margin for more than 5 consecutive minutes constitutes a failure of the channel clearance metric.</w:t>
      </w:r>
    </w:p>
    <w:p>
      <w:pPr>
        <w:pStyle w:val="Heading2"/>
      </w:pPr>
      <w:r>
        <w:rPr>
          <w:rFonts w:ascii="Calibri" w:hAnsi="Calibri" w:eastAsia="Microsoft YaHei" w:cs="Calibri"/>
          <w:b/>
          <w:color w:val="2C3E50"/>
          <w:sz w:val="28"/>
          <w:szCs w:val="28"/>
        </w:rPr>
        <w:t>A.3 Non-Interference Verification</w:t>
      </w:r>
    </w:p>
    <w:p>
      <w:pPr>
        <w:pStyle w:val="Normal"/>
      </w:pPr>
      <w:r>
        <w:rPr>
          <w:rFonts w:ascii="Calibri" w:hAnsi="Calibri" w:eastAsia="Microsoft YaHei" w:cs="Calibri"/>
          <w:color w:val="1E1E1E"/>
          <w:sz w:val="22"/>
          <w:szCs w:val="22"/>
        </w:rPr>
        <w:t>An interference event is deemed to have occurred when independently verified by at least two of the following sources: AIS data showing abnormal vessel behaviour (sudden course change, speed reduction to near-zero, anchoring in non-designated area); satellite imagery (optical or Synthetic Aperture Radar) showing vessel interaction with military or paramilitary craft; VHF communications intercepts containing threatening or directive language; crew reports filed through the vessel's flag state or protection and indemnity club; or independent maritime security monitoring service reports.</w:t>
      </w:r>
    </w:p>
    <w:p>
      <w:pPr>
        <w:pStyle w:val="Normal"/>
      </w:pPr>
      <w:r>
        <w:rPr>
          <w:rFonts w:ascii="Calibri" w:hAnsi="Calibri" w:eastAsia="Microsoft YaHei" w:cs="Calibri"/>
          <w:color w:val="1E1E1E"/>
          <w:sz w:val="22"/>
          <w:szCs w:val="22"/>
        </w:rPr>
        <w:t>A single-source report of interference does not constitute verified interference. The Technical Working Group applies the corroboration standard before recording an interference event.</w:t>
      </w:r>
    </w:p>
    <w:p>
      <w:pPr>
        <w:pStyle w:val="Heading2"/>
      </w:pPr>
      <w:r>
        <w:rPr>
          <w:rFonts w:ascii="Calibri" w:hAnsi="Calibri" w:eastAsia="Microsoft YaHei" w:cs="Calibri"/>
          <w:b/>
          <w:color w:val="2C3E50"/>
          <w:sz w:val="28"/>
          <w:szCs w:val="28"/>
        </w:rPr>
        <w:t>A.4 Continuous AIS Transmission</w:t>
      </w:r>
    </w:p>
    <w:p>
      <w:pPr>
        <w:pStyle w:val="Normal"/>
      </w:pPr>
      <w:r>
        <w:rPr>
          <w:rFonts w:ascii="Calibri" w:hAnsi="Calibri" w:eastAsia="Microsoft YaHei" w:cs="Calibri"/>
          <w:color w:val="1E1E1E"/>
          <w:sz w:val="22"/>
          <w:szCs w:val="22"/>
        </w:rPr>
        <w:t>The commercial vessel maintains an operational AIS transponder transmitting accurate data continuously throughout the transit. The aggregate AIS downtime per transit does not exceed 15 minutes. An AIS outage exceeding 15 minutes in aggregate during a single transit constitutes a failure of the continuous AIS transmission metric.</w:t>
      </w:r>
    </w:p>
    <w:p>
      <w:pPr>
        <w:pStyle w:val="Heading2"/>
      </w:pPr>
      <w:r>
        <w:rPr>
          <w:rFonts w:ascii="Calibri" w:hAnsi="Calibri" w:eastAsia="Microsoft YaHei" w:cs="Calibri"/>
          <w:b/>
          <w:color w:val="2C3E50"/>
          <w:sz w:val="28"/>
          <w:szCs w:val="28"/>
        </w:rPr>
        <w:t>A.5 Performance Thresholds</w:t>
      </w:r>
    </w:p>
    <w:p>
      <w:pPr>
        <w:pStyle w:val="Normal"/>
      </w:pPr>
      <w:r>
        <w:rPr>
          <w:rFonts w:ascii="Calibri" w:hAnsi="Calibri" w:eastAsia="Microsoft YaHei" w:cs="Calibri"/>
          <w:color w:val="1E1E1E"/>
          <w:sz w:val="22"/>
          <w:szCs w:val="22"/>
        </w:rPr>
        <w:t>A successful transit means a transit in which all four metrics (transit speed, lane adherence, non-interference, continuous AIS) meet their respective standards for the entire duration of the transit. A successful 48-hour period means a continuous 48-hour window in which at least 90 percent of commercial transits through the Strait of Hormuz qualify as successful transits. A successful 15-day cycle means a continuous 15-day period in which at least 85 percent of all 48-hour periods qualify as successful 48-hour periods.</w:t>
      </w:r>
    </w:p>
    <w:p>
      <w:pPr>
        <w:pStyle w:val="Normal"/>
        <w:pageBreakBefore/>
      </w:pPr>
    </w:p>
    <w:p>
      <w:pPr>
        <w:pStyle w:val="Heading1"/>
      </w:pPr>
      <w:bookmarkStart w:name="_TocAnnexB" w:id="13"/>
      <w:r>
        <w:rPr>
          <w:rFonts w:ascii="Calibri" w:hAnsi="Calibri" w:eastAsia="Microsoft YaHei" w:cs="Calibri"/>
          <w:b/>
          <w:color w:val="1A2A3A"/>
          <w:sz w:val="40"/>
          <w:szCs w:val="40"/>
        </w:rPr>
        <w:t>ANNEX 1AC: TRANSIT FACILITATION AND SERVICE FEE MECHANISM</w:t>
      </w:r>
      <w:bookmarkEnd w:id="13"/>
    </w:p>
    <w:p>
      <w:pPr>
        <w:pStyle w:val="Normal"/>
      </w:pPr>
      <w:r>
        <w:rPr>
          <w:rFonts w:ascii="Calibri" w:hAnsi="Calibri" w:eastAsia="Microsoft YaHei" w:cs="Calibri"/>
          <w:color w:val="1E1E1E"/>
          <w:sz w:val="22"/>
          <w:szCs w:val="22"/>
        </w:rPr>
        <w:t>Annex 1AC establishes the operational framework for the Hormuz Service Corporation (HSC), including its governance structure, service offerings, fee schedule, escrow administration, and complaint procedures.</w:t>
      </w:r>
    </w:p>
    <w:p>
      <w:pPr>
        <w:pStyle w:val="Heading2"/>
      </w:pPr>
      <w:r>
        <w:rPr>
          <w:rFonts w:ascii="Calibri" w:hAnsi="Calibri" w:eastAsia="Microsoft YaHei" w:cs="Calibri"/>
          <w:b/>
          <w:color w:val="2C3E50"/>
          <w:sz w:val="28"/>
          <w:szCs w:val="28"/>
        </w:rPr>
        <w:t>B.1 HSC Governance</w:t>
      </w:r>
    </w:p>
    <w:p>
      <w:pPr>
        <w:pStyle w:val="Normal"/>
      </w:pPr>
      <w:r>
        <w:rPr>
          <w:rFonts w:ascii="Calibri" w:hAnsi="Calibri" w:eastAsia="Microsoft YaHei" w:cs="Calibri"/>
          <w:color w:val="1E1E1E"/>
          <w:sz w:val="22"/>
          <w:szCs w:val="22"/>
        </w:rPr>
        <w:t>The HSC operates under a Board of Directors composed of one nominee from each Party, one nominee from Oman, and one independent director appointed by the IMO. The Board convenes quarterly and exercises oversight of HSC operations, budget, and service quality. Day-to-day management is vested in an Executive Director appointed by the Board through consensus.</w:t>
      </w:r>
    </w:p>
    <w:p>
      <w:pPr>
        <w:pStyle w:val="Heading2"/>
      </w:pPr>
      <w:r>
        <w:rPr>
          <w:rFonts w:ascii="Calibri" w:hAnsi="Calibri" w:eastAsia="Microsoft YaHei" w:cs="Calibri"/>
          <w:b/>
          <w:color w:val="2C3E50"/>
          <w:sz w:val="28"/>
          <w:szCs w:val="28"/>
        </w:rPr>
        <w:t>B.2 Service Standards</w:t>
      </w:r>
    </w:p>
    <w:p>
      <w:pPr>
        <w:pStyle w:val="Normal"/>
      </w:pPr>
      <w:r>
        <w:rPr>
          <w:rFonts w:ascii="Calibri" w:hAnsi="Calibri" w:eastAsia="Microsoft YaHei" w:cs="Calibri"/>
          <w:color w:val="1E1E1E"/>
          <w:sz w:val="22"/>
          <w:szCs w:val="22"/>
        </w:rPr>
        <w:t>The HSC maintains the following service standards: pilotage services are available within 2 hours of request for vessels over 10,000 gross tons, and within 4 hours for all other Commercial Vessels; VTS data feeds provide position updates every 5 minutes and hazard notifications within 15 minutes of detection; emergency towing vessels maintain 30-minute readiness status at stations located at both ends of the transit corridor; channel maintenance ensures a minimum depth of 20 metres in the central channel at all times.</w:t>
      </w:r>
    </w:p>
    <w:p>
      <w:pPr>
        <w:pStyle w:val="Heading2"/>
      </w:pPr>
      <w:r>
        <w:rPr>
          <w:rFonts w:ascii="Calibri" w:hAnsi="Calibri" w:eastAsia="Microsoft YaHei" w:cs="Calibri"/>
          <w:b/>
          <w:color w:val="2C3E50"/>
          <w:sz w:val="28"/>
          <w:szCs w:val="28"/>
        </w:rPr>
        <w:t>B.3 Escrow Administration</w:t>
      </w:r>
    </w:p>
    <w:p>
      <w:pPr>
        <w:pStyle w:val="Normal"/>
      </w:pPr>
      <w:r>
        <w:rPr>
          <w:rFonts w:ascii="Calibri" w:hAnsi="Calibri" w:eastAsia="Microsoft YaHei" w:cs="Calibri"/>
          <w:color w:val="1E1E1E"/>
          <w:sz w:val="22"/>
          <w:szCs w:val="22"/>
        </w:rPr>
        <w:t>The Central Bank of Oman hosts the escrow account under sovereign immunity protections. IAEA certification or JHA MCC telemetry confirmation constitutes the sole release trigger. No political entity overrides a verified release. Every release generates an automatic entry in the Shared Digital Registry, timestamped and visible to all Parties.</w:t>
      </w:r>
    </w:p>
    <w:p>
      <w:pPr>
        <w:pStyle w:val="Normal"/>
        <w:pageBreakBefore/>
      </w:pPr>
    </w:p>
    <w:p>
      <w:pPr>
        <w:pStyle w:val="Heading1"/>
      </w:pPr>
      <w:bookmarkStart w:name="_TocAnnexC" w:id="14"/>
      <w:r>
        <w:rPr>
          <w:rFonts w:ascii="Calibri" w:hAnsi="Calibri" w:eastAsia="Microsoft YaHei" w:cs="Calibri"/>
          <w:b/>
          <w:color w:val="1A2A3A"/>
          <w:sz w:val="40"/>
          <w:szCs w:val="40"/>
        </w:rPr>
        <w:t>ANNEX 1AD: CONFIDENCE-BUILDING AND REVERSIBLE MEASURES SCHEDULE</w:t>
      </w:r>
      <w:bookmarkEnd w:id="14"/>
    </w:p>
    <w:p>
      <w:pPr>
        <w:pStyle w:val="Normal"/>
      </w:pPr>
      <w:r>
        <w:rPr>
          <w:rFonts w:ascii="Calibri" w:hAnsi="Calibri" w:eastAsia="Microsoft YaHei" w:cs="Calibri"/>
          <w:color w:val="1E1E1E"/>
          <w:sz w:val="22"/>
          <w:szCs w:val="22"/>
        </w:rPr>
        <w:t>Annex 1AD details the phased schedule of reciprocal naval posture adjustments, the reversibility protocols that govern each adjustment, and the transparency measures that verify compliance.</w:t>
      </w:r>
    </w:p>
    <w:p>
      <w:pPr>
        <w:pStyle w:val="Heading2"/>
      </w:pPr>
      <w:r>
        <w:rPr>
          <w:rFonts w:ascii="Calibri" w:hAnsi="Calibri" w:eastAsia="Microsoft YaHei" w:cs="Calibri"/>
          <w:b/>
          <w:color w:val="2C3E50"/>
          <w:sz w:val="22"/>
          <w:szCs w:val="28"/>
        </w:rPr>
        <w:t>C.1 Phase Schedule</w:t>
      </w:r>
    </w:p>
    <w:p>
      <w:pPr>
        <w:pStyle w:val="Normal"/>
      </w:pPr>
      <w:r>
        <w:rPr>
          <w:rFonts w:ascii="Calibri" w:hAnsi="Calibri" w:eastAsia="Microsoft YaHei" w:cs="Calibri"/>
          <w:color w:val="1E1E1E"/>
          <w:sz w:val="22"/>
          <w:szCs w:val="22"/>
        </w:rPr>
        <w:t>The schedule proceeds through four phases as outlined in Article 5.1. Each Phase transitions to the next only upon JIC certification that all metrics for the current Phase hold steady for the required duration. No Phase progresses automatically; each requires active JIC certification.</w:t>
      </w:r>
    </w:p>
    <w:p>
      <w:pPr>
        <w:pStyle w:val="Heading2"/>
      </w:pPr>
      <w:r>
        <w:rPr>
          <w:rFonts w:ascii="Calibri" w:hAnsi="Calibri" w:eastAsia="Microsoft YaHei" w:cs="Calibri"/>
          <w:b/>
          <w:color w:val="2C3E50"/>
          <w:sz w:val="22"/>
          <w:szCs w:val="28"/>
        </w:rPr>
        <w:t>C.2 Reversibility Protocols</w:t>
      </w:r>
    </w:p>
    <w:p>
      <w:pPr>
        <w:pStyle w:val="Normal"/>
      </w:pPr>
      <w:r>
        <w:rPr>
          <w:rFonts w:ascii="Calibri" w:hAnsi="Calibri" w:eastAsia="Microsoft YaHei" w:cs="Calibri"/>
          <w:color w:val="1E1E1E"/>
          <w:sz w:val="22"/>
          <w:szCs w:val="22"/>
        </w:rPr>
        <w:t>Any Party suspends its adjustments with 48 hours' written notice to the JIC if it determines that the other Party has materially breached its corresponding obligations. The suspension is unilateral; no JIC approval is required for a good-faith suspension. The suspended Party bears the burden of demonstrating good faith if the other Party challenges the suspension.</w:t>
      </w:r>
    </w:p>
    <w:p>
      <w:pPr>
        <w:pStyle w:val="Heading2"/>
      </w:pPr>
      <w:r>
        <w:rPr>
          <w:rFonts w:ascii="Calibri" w:hAnsi="Calibri" w:eastAsia="Microsoft YaHei" w:cs="Calibri"/>
          <w:b/>
          <w:color w:val="2C3E50"/>
          <w:sz w:val="22"/>
          <w:szCs w:val="28"/>
        </w:rPr>
        <w:t>C.3 Transparency Dashboard</w:t>
      </w:r>
    </w:p>
    <w:p>
      <w:pPr>
        <w:pStyle w:val="Normal"/>
      </w:pPr>
      <w:r>
        <w:rPr>
          <w:rFonts w:ascii="Calibri" w:hAnsi="Calibri" w:eastAsia="Microsoft YaHei" w:cs="Calibri"/>
          <w:color w:val="1E1E1E"/>
          <w:sz w:val="22"/>
          <w:szCs w:val="22"/>
        </w:rPr>
        <w:t>The JIC publishes a weekly Compliance Dashboard accessible via a live, publicly accessible portal. The Dashboard displays: current operational posture tier for each Phase; naval unit counts and positions (aggregated and anonymized); stand-off compliance rate (percentage of time within limits); incident log (anonymized); and active remediation windows.</w:t>
      </w:r>
    </w:p>
    <w:p>
      <w:pPr>
        <w:pStyle w:val="Normal"/>
        <w:pageBreakBefore/>
      </w:pPr>
    </w:p>
    <w:p>
      <w:pPr>
        <w:pStyle w:val="Heading1"/>
      </w:pPr>
      <w:bookmarkStart w:name="_TocSigs" w:id="15"/>
      <w:r>
        <w:rPr>
          <w:rFonts w:ascii="Calibri" w:hAnsi="Calibri" w:eastAsia="Microsoft YaHei" w:cs="Calibri"/>
          <w:b/>
          <w:color w:val="1A2A3A"/>
          <w:sz w:val="40"/>
          <w:szCs w:val="40"/>
        </w:rPr>
        <w:t>SIGNATURE PAGES</w:t>
      </w:r>
      <w:bookmarkEnd w:id="15"/>
    </w:p>
    <w:p>
      <w:pPr>
        <w:pStyle w:val="Normal"/>
      </w:pPr>
      <w:r>
        <w:rPr>
          <w:rFonts w:ascii="Calibri" w:hAnsi="Calibri" w:eastAsia="Microsoft YaHei" w:cs="Calibri"/>
          <w:color w:val="1E1E1E"/>
          <w:sz w:val="22"/>
          <w:szCs w:val="22"/>
        </w:rPr>
        <w:t>SIGNED this _____ day of ___________, 2026, in Muscat, Oman</w:t>
      </w:r>
    </w:p>
    <w:p>
      <w:pPr>
        <w:pStyle w:val="Normal"/>
      </w:pPr>
      <w:r>
        <w:rPr>
          <w:rFonts w:ascii="Calibri" w:hAnsi="Calibri" w:eastAsia="Microsoft YaHei" w:cs="Calibri"/>
          <w:color w:val="1E1E1E"/>
          <w:sz w:val="22"/>
          <w:szCs w:val="22"/>
        </w:rPr>
        <w:t/>
      </w:r>
    </w:p>
    <w:p>
      <w:pPr>
        <w:pStyle w:val="Heading2"/>
      </w:pPr>
      <w:r>
        <w:rPr>
          <w:rFonts w:ascii="Calibri" w:hAnsi="Calibri" w:eastAsia="Microsoft YaHei" w:cs="Calibri"/>
          <w:b/>
          <w:color w:val="2C3E50"/>
          <w:sz w:val="22"/>
          <w:szCs w:val="28"/>
        </w:rPr>
        <w:t>TIER 1: THE PRIMARY SIGNATORIES</w:t>
      </w:r>
    </w:p>
    <w:p>
      <w:pPr>
        <w:pStyle w:val="Normal"/>
      </w:pPr>
      <w:r>
        <w:rPr>
          <w:rFonts w:ascii="Calibri" w:hAnsi="Calibri" w:eastAsia="Microsoft YaHei" w:cs="Calibri"/>
          <w:color w:val="1E1E1E"/>
          <w:sz w:val="22"/>
          <w:szCs w:val="22"/>
        </w:rPr>
        <w:t>The following parties are bound by the HSU as primary signatories:</w:t>
      </w:r>
    </w:p>
    <w:p>
      <w:pPr>
        <w:pStyle w:val="Normal"/>
      </w:pPr>
      <w:r>
        <w:rPr>
          <w:rFonts w:ascii="Calibri" w:hAnsi="Calibri" w:eastAsia="Microsoft YaHei" w:cs="Calibri"/>
          <w:color w:val="1E1E1E"/>
          <w:sz w:val="22"/>
          <w:szCs w:val="22"/>
        </w:rPr>
        <w:t/>
      </w:r>
    </w:p>
    <w:tbl>
      <w:tblPr>
        <w:tblW w:w="5000" w:type="pct"/>
        <w:tblBorders>
          <w:top w:val="nil"/>
          <w:left w:val="nil"/>
          <w:bottom w:val="nil"/>
          <w:right w:val="nil"/>
          <w:insideH w:val="nil"/>
          <w:insideV w:val="nil"/>
        </w:tblBorders>
      </w:tblPr>
      <w:tblGrid>
        <w:gridCol w:w="4750"/>
        <w:gridCol w:w="4750"/>
      </w:tblGrid>
      <w:tr>
        <w:tc>
          <w:tcPr>
            <w:tcW w:w="4750" w:type="dxa"/>
          </w:tcPr>
          <w:p>
            <w:pPr>
              <w:pStyle w:val="Normal"/>
              <w:spacing w:before="200" w:after="80"/>
            </w:pPr>
            <w:r>
              <w:rPr>
                <w:b/>
                <w:color w:val="1A2A3A"/>
                <w:sz w:val="22"/>
                <w:rFonts w:ascii="Calibri" w:hAnsi="Calibri" w:eastAsia="Microsoft YaHei" w:cs="Calibri"/>
                <w:szCs w:val="22"/>
              </w:rPr>
              <w:t>FOR THE UNITED STATES OF AMERICA</w:t>
            </w:r>
          </w:p>
        </w:tc>
        <w:tc>
          <w:tcPr>
            <w:tcW w:w="4750" w:type="dxa"/>
          </w:tcPr>
          <w:p>
            <w:pPr>
              <w:pStyle w:val="Normal"/>
              <w:spacing w:before="200" w:after="80"/>
            </w:pPr>
            <w:r>
              <w:rPr>
                <w:b/>
                <w:color w:val="1A2A3A"/>
                <w:sz w:val="22"/>
                <w:rFonts w:ascii="Calibri" w:hAnsi="Calibri" w:eastAsia="Microsoft YaHei" w:cs="Calibri"/>
                <w:szCs w:val="22"/>
              </w:rPr>
              <w:t>FOR THE ISLAMIC REPUBLIC OF IRAN</w:t>
            </w:r>
          </w:p>
        </w:tc>
      </w:tr>
      <w:tr>
        <w:tc>
          <w:tcPr>
            <w:tcW w:w="4750" w:type="dxa"/>
          </w:tcPr>
          <w:p>
            <w:pPr>
              <w:pStyle w:val="Normal"/>
              <w:spacing w:before="80" w:after="80"/>
            </w:pPr>
            <w:r>
              <w:rPr>
                <w:color w:val="1E1E1E"/>
                <w:sz w:val="20"/>
                <w:rFonts w:ascii="Calibri" w:hAnsi="Calibri" w:eastAsia="Microsoft YaHei" w:cs="Calibri"/>
                <w:szCs w:val="20"/>
              </w:rPr>
              <w:t>_________________________</w:t>
            </w:r>
          </w:p>
        </w:tc>
        <w:tc>
          <w:tcPr>
            <w:tcW w:w="4750" w:type="dxa"/>
          </w:tcPr>
          <w:p>
            <w:pPr>
              <w:pStyle w:val="Normal"/>
              <w:spacing w:before="80" w:after="80"/>
            </w:pPr>
            <w:r>
              <w:rPr>
                <w:color w:val="1E1E1E"/>
                <w:sz w:val="20"/>
                <w:rFonts w:ascii="Calibri" w:hAnsi="Calibri" w:eastAsia="Microsoft YaHei" w:cs="Calibri"/>
                <w:szCs w:val="20"/>
              </w:rPr>
              <w:t>_________________________</w:t>
            </w:r>
          </w:p>
        </w:tc>
      </w:tr>
      <w:tr>
        <w:tc>
          <w:tcPr>
            <w:tcW w:w="4750" w:type="dxa"/>
          </w:tcPr>
          <w:p>
            <w:pPr>
              <w:pStyle w:val="Normal"/>
              <w:spacing w:before="80" w:after="80"/>
            </w:pPr>
            <w:r>
              <w:rPr>
                <w:color w:val="1E1E1E"/>
                <w:sz w:val="20"/>
                <w:rFonts w:ascii="Calibri" w:hAnsi="Calibri" w:eastAsia="Microsoft YaHei" w:cs="Calibri"/>
                <w:szCs w:val="20"/>
              </w:rPr>
              <w:t>[Name]</w:t>
            </w:r>
          </w:p>
        </w:tc>
        <w:tc>
          <w:tcPr>
            <w:tcW w:w="4750" w:type="dxa"/>
          </w:tcPr>
          <w:p>
            <w:pPr>
              <w:pStyle w:val="Normal"/>
              <w:spacing w:before="80" w:after="80"/>
            </w:pPr>
            <w:r>
              <w:rPr>
                <w:color w:val="1E1E1E"/>
                <w:sz w:val="20"/>
                <w:rFonts w:ascii="Calibri" w:hAnsi="Calibri" w:eastAsia="Microsoft YaHei" w:cs="Calibri"/>
                <w:szCs w:val="20"/>
              </w:rPr>
              <w:t>[Name]</w:t>
            </w:r>
          </w:p>
        </w:tc>
      </w:tr>
      <w:tr>
        <w:tc>
          <w:tcPr>
            <w:tcW w:w="4750" w:type="dxa"/>
          </w:tcPr>
          <w:p>
            <w:pPr>
              <w:pStyle w:val="Normal"/>
              <w:spacing w:before="80" w:after="80"/>
            </w:pPr>
            <w:r>
              <w:rPr>
                <w:color w:val="1E1E1E"/>
                <w:sz w:val="20"/>
                <w:rFonts w:ascii="Calibri" w:hAnsi="Calibri" w:eastAsia="Microsoft YaHei" w:cs="Calibri"/>
                <w:szCs w:val="20"/>
              </w:rPr>
              <w:t>Special Envoy for Iran</w:t>
            </w:r>
          </w:p>
        </w:tc>
        <w:tc>
          <w:tcPr>
            <w:tcW w:w="4750" w:type="dxa"/>
          </w:tcPr>
          <w:p>
            <w:pPr>
              <w:pStyle w:val="Normal"/>
              <w:spacing w:before="80" w:after="80"/>
            </w:pPr>
            <w:r>
              <w:rPr>
                <w:color w:val="1E1E1E"/>
                <w:sz w:val="20"/>
                <w:rFonts w:ascii="Calibri" w:hAnsi="Calibri" w:eastAsia="Microsoft YaHei" w:cs="Calibri"/>
                <w:szCs w:val="20"/>
              </w:rPr>
              <w:t>Minister of Foreign Affairs</w:t>
            </w:r>
          </w:p>
        </w:tc>
      </w:tr>
      <w:tr>
        <w:tc>
          <w:tcPr>
            <w:tcW w:w="4750" w:type="dxa"/>
          </w:tcPr>
          <w:p>
            <w:pPr>
              <w:pStyle w:val="Normal"/>
              <w:spacing w:before="80" w:after="80"/>
            </w:pPr>
            <w:r>
              <w:rPr>
                <w:color w:val="1E1E1E"/>
                <w:sz w:val="20"/>
                <w:rFonts w:ascii="Calibri" w:hAnsi="Calibri" w:eastAsia="Microsoft YaHei" w:cs="Calibri"/>
                <w:szCs w:val="20"/>
              </w:rPr>
              <w:t>Date: _______________</w:t>
            </w:r>
          </w:p>
        </w:tc>
        <w:tc>
          <w:tcPr>
            <w:tcW w:w="4750" w:type="dxa"/>
          </w:tcPr>
          <w:p>
            <w:pPr>
              <w:pStyle w:val="Normal"/>
              <w:spacing w:before="80" w:after="80"/>
            </w:pPr>
            <w:r>
              <w:rPr>
                <w:color w:val="1E1E1E"/>
                <w:sz w:val="20"/>
                <w:rFonts w:ascii="Calibri" w:hAnsi="Calibri" w:eastAsia="Microsoft YaHei" w:cs="Calibri"/>
                <w:szCs w:val="20"/>
              </w:rPr>
              <w:t>Date: _______________</w:t>
            </w:r>
          </w:p>
        </w:tc>
      </w:tr>
    </w:tbl>
    <w:p>
      <w:pPr>
        <w:pStyle w:val="Normal"/>
      </w:pPr>
      <w:r>
        <w:rPr>
          <w:rFonts w:ascii="Calibri" w:hAnsi="Calibri" w:eastAsia="Microsoft YaHei" w:cs="Calibri"/>
          <w:color w:val="1E1E1E"/>
          <w:sz w:val="22"/>
          <w:szCs w:val="22"/>
        </w:rPr>
        <w:t/>
      </w:r>
    </w:p>
    <w:p>
      <w:pPr>
        <w:pStyle w:val="Normal"/>
      </w:pPr>
      <w:r>
        <w:rPr>
          <w:rFonts w:ascii="Calibri" w:hAnsi="Calibri" w:eastAsia="Microsoft YaHei" w:cs="Calibri"/>
          <w:color w:val="1E1E1E"/>
          <w:sz w:val="22"/>
          <w:szCs w:val="22"/>
        </w:rPr>
        <w:t>The primary signatories are positioned side-by-side, not top-and-bottom, to avoid any implication of hierarchy. Both versions (English and Farsi) are authentic. No Party is first.</w:t>
      </w:r>
    </w:p>
    <w:p>
      <w:pPr>
        <w:pStyle w:val="Normal"/>
      </w:pPr>
      <w:r>
        <w:rPr>
          <w:rFonts w:ascii="Calibri" w:hAnsi="Calibri" w:eastAsia="Microsoft YaHei" w:cs="Calibri"/>
          <w:color w:val="1E1E1E"/>
          <w:sz w:val="22"/>
          <w:szCs w:val="22"/>
        </w:rPr>
        <w:t/>
      </w:r>
    </w:p>
    <w:p>
      <w:pPr>
        <w:pStyle w:val="Heading2"/>
      </w:pPr>
      <w:r>
        <w:rPr>
          <w:rFonts w:ascii="Calibri" w:hAnsi="Calibri" w:eastAsia="Microsoft YaHei" w:cs="Calibri"/>
          <w:b/>
          <w:color w:val="2C3E50"/>
          <w:sz w:val="22"/>
          <w:szCs w:val="28"/>
        </w:rPr>
        <w:t>TIER 2: THE WITNESSES</w:t>
      </w:r>
    </w:p>
    <w:p>
      <w:pPr>
        <w:pStyle w:val="Normal"/>
      </w:pPr>
      <w:r>
        <w:rPr>
          <w:rFonts w:ascii="Calibri" w:hAnsi="Calibri" w:eastAsia="Microsoft YaHei" w:cs="Calibri"/>
          <w:color w:val="1E1E1E"/>
          <w:sz w:val="22"/>
          <w:szCs w:val="22"/>
        </w:rPr>
        <w:t>The following entities witness this Understanding as neutral guarantors of the process. They are not signatories to the obligations and are not legally bound by the HSU's terms:</w:t>
      </w:r>
    </w:p>
    <w:p>
      <w:pPr>
        <w:pStyle w:val="Normal"/>
      </w:pPr>
      <w:r>
        <w:rPr>
          <w:rFonts w:ascii="Calibri" w:hAnsi="Calibri" w:eastAsia="Microsoft YaHei" w:cs="Calibri"/>
          <w:color w:val="1E1E1E"/>
          <w:sz w:val="22"/>
          <w:szCs w:val="22"/>
        </w:rPr>
        <w:t/>
      </w:r>
    </w:p>
    <w:tbl>
      <w:tblPr>
        <w:tblW w:w="5000" w:type="pct"/>
        <w:tblBorders>
          <w:top w:val="nil"/>
          <w:left w:val="nil"/>
          <w:bottom w:val="nil"/>
          <w:right w:val="nil"/>
          <w:insideH w:val="nil"/>
          <w:insideV w:val="nil"/>
        </w:tblBorders>
      </w:tblPr>
      <w:tblGrid>
        <w:gridCol w:w="4750"/>
        <w:gridCol w:w="4750"/>
      </w:tblGrid>
      <w:tr>
        <w:tc>
          <w:tcPr>
            <w:tcW w:w="4750" w:type="dxa"/>
          </w:tcPr>
          <w:p>
            <w:pPr>
              <w:pStyle w:val="Normal"/>
              <w:spacing w:before="200" w:after="80"/>
            </w:pPr>
            <w:r>
              <w:rPr>
                <w:b/>
                <w:color w:val="1A2A3A"/>
                <w:sz w:val="22"/>
                <w:rFonts w:ascii="Calibri" w:hAnsi="Calibri" w:eastAsia="Microsoft YaHei" w:cs="Calibri"/>
                <w:szCs w:val="22"/>
              </w:rPr>
              <w:t>WITNESSED BY THE SULTANATE OF OMAN</w:t>
            </w:r>
          </w:p>
        </w:tc>
        <w:tc>
          <w:tcPr>
            <w:tcW w:w="4750" w:type="dxa"/>
          </w:tcPr>
          <w:p>
            <w:pPr>
              <w:pStyle w:val="Normal"/>
              <w:spacing w:before="200" w:after="80"/>
            </w:pPr>
            <w:r>
              <w:rPr>
                <w:b/>
                <w:color w:val="1A2A3A"/>
                <w:sz w:val="22"/>
                <w:rFonts w:ascii="Calibri" w:hAnsi="Calibri" w:eastAsia="Microsoft YaHei" w:cs="Calibri"/>
                <w:szCs w:val="22"/>
              </w:rPr>
              <w:t>WITNESSED BY THE INTERNATIONAL MARITIME ORGANIZATION</w:t>
            </w:r>
          </w:p>
        </w:tc>
      </w:tr>
      <w:tr>
        <w:tc>
          <w:tcPr>
            <w:tcW w:w="4750" w:type="dxa"/>
          </w:tcPr>
          <w:p>
            <w:pPr>
              <w:pStyle w:val="Normal"/>
              <w:spacing w:before="80" w:after="80"/>
            </w:pPr>
            <w:r>
              <w:rPr>
                <w:color w:val="1E1E1E"/>
                <w:sz w:val="20"/>
                <w:rFonts w:ascii="Calibri" w:hAnsi="Calibri" w:eastAsia="Microsoft YaHei" w:cs="Calibri"/>
                <w:szCs w:val="20"/>
              </w:rPr>
              <w:t>_________________________</w:t>
            </w:r>
          </w:p>
        </w:tc>
        <w:tc>
          <w:tcPr>
            <w:tcW w:w="4750" w:type="dxa"/>
          </w:tcPr>
          <w:p>
            <w:pPr>
              <w:pStyle w:val="Normal"/>
              <w:spacing w:before="80" w:after="80"/>
            </w:pPr>
            <w:r>
              <w:rPr>
                <w:color w:val="1E1E1E"/>
                <w:sz w:val="20"/>
                <w:rFonts w:ascii="Calibri" w:hAnsi="Calibri" w:eastAsia="Microsoft YaHei" w:cs="Calibri"/>
                <w:szCs w:val="20"/>
              </w:rPr>
              <w:t>_________________________</w:t>
            </w:r>
          </w:p>
        </w:tc>
      </w:tr>
      <w:tr>
        <w:tc>
          <w:tcPr>
            <w:tcW w:w="4750" w:type="dxa"/>
          </w:tcPr>
          <w:p>
            <w:pPr>
              <w:pStyle w:val="Normal"/>
              <w:spacing w:before="80" w:after="80"/>
            </w:pPr>
            <w:r>
              <w:rPr>
                <w:color w:val="1E1E1E"/>
                <w:sz w:val="20"/>
                <w:rFonts w:ascii="Calibri" w:hAnsi="Calibri" w:eastAsia="Microsoft YaHei" w:cs="Calibri"/>
                <w:szCs w:val="20"/>
              </w:rPr>
              <w:t>[Name]</w:t>
            </w:r>
          </w:p>
        </w:tc>
        <w:tc>
          <w:tcPr>
            <w:tcW w:w="4750" w:type="dxa"/>
          </w:tcPr>
          <w:p>
            <w:pPr>
              <w:pStyle w:val="Normal"/>
              <w:spacing w:before="80" w:after="80"/>
            </w:pPr>
            <w:r>
              <w:rPr>
                <w:color w:val="1E1E1E"/>
                <w:sz w:val="20"/>
                <w:rFonts w:ascii="Calibri" w:hAnsi="Calibri" w:eastAsia="Microsoft YaHei" w:cs="Calibri"/>
                <w:szCs w:val="20"/>
              </w:rPr>
              <w:t>[Name]</w:t>
            </w:r>
          </w:p>
        </w:tc>
      </w:tr>
      <w:tr>
        <w:tc>
          <w:tcPr>
            <w:tcW w:w="4750" w:type="dxa"/>
          </w:tcPr>
          <w:p>
            <w:pPr>
              <w:pStyle w:val="Normal"/>
              <w:spacing w:before="80" w:after="80"/>
            </w:pPr>
            <w:r>
              <w:rPr>
                <w:color w:val="1E1E1E"/>
                <w:sz w:val="20"/>
                <w:rFonts w:ascii="Calibri" w:hAnsi="Calibri" w:eastAsia="Microsoft YaHei" w:cs="Calibri"/>
                <w:szCs w:val="20"/>
              </w:rPr>
              <w:t>Minister of Foreign Affairs</w:t>
            </w:r>
          </w:p>
        </w:tc>
        <w:tc>
          <w:tcPr>
            <w:tcW w:w="4750" w:type="dxa"/>
          </w:tcPr>
          <w:p>
            <w:pPr>
              <w:pStyle w:val="Normal"/>
              <w:spacing w:before="80" w:after="80"/>
            </w:pPr>
            <w:r>
              <w:rPr>
                <w:color w:val="1E1E1E"/>
                <w:sz w:val="20"/>
                <w:rFonts w:ascii="Calibri" w:hAnsi="Calibri" w:eastAsia="Microsoft YaHei" w:cs="Calibri"/>
                <w:szCs w:val="20"/>
              </w:rPr>
              <w:t>Secretary-General</w:t>
            </w:r>
          </w:p>
        </w:tc>
      </w:tr>
      <w:tr>
        <w:tc>
          <w:tcPr>
            <w:tcW w:w="4750" w:type="dxa"/>
          </w:tcPr>
          <w:p>
            <w:pPr>
              <w:pStyle w:val="Normal"/>
              <w:spacing w:before="80" w:after="80"/>
            </w:pPr>
            <w:r>
              <w:rPr>
                <w:color w:val="1E1E1E"/>
                <w:sz w:val="20"/>
                <w:rFonts w:ascii="Calibri" w:hAnsi="Calibri" w:eastAsia="Microsoft YaHei" w:cs="Calibri"/>
                <w:szCs w:val="20"/>
              </w:rPr>
              <w:t>Date: _______________</w:t>
            </w:r>
          </w:p>
        </w:tc>
        <w:tc>
          <w:tcPr>
            <w:tcW w:w="4750" w:type="dxa"/>
          </w:tcPr>
          <w:p>
            <w:pPr>
              <w:pStyle w:val="Normal"/>
              <w:spacing w:before="80" w:after="80"/>
            </w:pPr>
            <w:r>
              <w:rPr>
                <w:color w:val="1E1E1E"/>
                <w:sz w:val="20"/>
                <w:rFonts w:ascii="Calibri" w:hAnsi="Calibri" w:eastAsia="Microsoft YaHei" w:cs="Calibri"/>
                <w:szCs w:val="20"/>
              </w:rPr>
              <w:t>Date: _______________</w:t>
            </w:r>
          </w:p>
        </w:tc>
      </w:tr>
    </w:tbl>
    <w:p>
      <w:pPr>
        <w:pStyle w:val="Normal"/>
      </w:pPr>
      <w:r>
        <w:rPr>
          <w:rFonts w:ascii="Calibri" w:hAnsi="Calibri" w:eastAsia="Microsoft YaHei" w:cs="Calibri"/>
          <w:color w:val="1E1E1E"/>
          <w:sz w:val="22"/>
          <w:szCs w:val="22"/>
        </w:rPr>
        <w:t/>
      </w:r>
    </w:p>
    <w:p>
      <w:pPr>
        <w:pStyle w:val="Normal"/>
      </w:pPr>
      <w:r>
        <w:rPr>
          <w:rFonts w:ascii="Calibri" w:hAnsi="Calibri" w:eastAsia="Microsoft YaHei" w:cs="Calibri"/>
          <w:color w:val="1E1E1E"/>
          <w:sz w:val="22"/>
          <w:szCs w:val="22"/>
        </w:rPr>
        <w:t>Oman and the IMO are positioned below the primary signatories to signal their role as facilitators, not parties to the dispute. Their presence as witnesses means they are not legally bound by the HSU's obligations, which protects them from being dragged into future disputes. Their physical presence on the page means they cannot later claim ignorance of the deal.</w:t>
      </w:r>
    </w:p>
    <w:p>
      <w:pPr>
        <w:pStyle w:val="Normal"/>
      </w:pPr>
      <w:r>
        <w:rPr>
          <w:rFonts w:ascii="Calibri" w:hAnsi="Calibri" w:eastAsia="Microsoft YaHei" w:cs="Calibri"/>
          <w:color w:val="1E1E1E"/>
          <w:sz w:val="22"/>
          <w:szCs w:val="22"/>
        </w:rPr>
        <w:t/>
      </w:r>
    </w:p>
    <w:p>
      <w:pPr>
        <w:pStyle w:val="Heading2"/>
      </w:pPr>
      <w:r>
        <w:rPr>
          <w:rFonts w:ascii="Calibri" w:hAnsi="Calibri" w:eastAsia="Microsoft YaHei" w:cs="Calibri"/>
          <w:b/>
          <w:color w:val="2C3E50"/>
          <w:sz w:val="22"/>
          <w:szCs w:val="28"/>
        </w:rPr>
        <w:t>TIER 3: IMPLEMENTING OFFICIALS ACKNOWLEDGMENT</w:t>
      </w:r>
    </w:p>
    <w:p>
      <w:pPr>
        <w:pStyle w:val="Normal"/>
      </w:pPr>
      <w:r>
        <w:rPr>
          <w:rFonts w:ascii="Calibri" w:hAnsi="Calibri" w:eastAsia="Microsoft YaHei" w:cs="Calibri"/>
          <w:color w:val="1E1E1E"/>
          <w:sz w:val="22"/>
          <w:szCs w:val="22"/>
        </w:rPr>
        <w:t>The following operational commanders acknowledge receipt of the Annexes without formally signing them. This acknowledgment provides operational buy-in without giving any military body a formal veto over the entire HSU:</w:t>
      </w:r>
    </w:p>
    <w:p>
      <w:pPr>
        <w:pStyle w:val="Normal"/>
      </w:pPr>
      <w:r>
        <w:rPr>
          <w:rFonts w:ascii="Calibri" w:hAnsi="Calibri" w:eastAsia="Microsoft YaHei" w:cs="Calibri"/>
          <w:color w:val="1E1E1E"/>
          <w:sz w:val="22"/>
          <w:szCs w:val="22"/>
        </w:rPr>
        <w:t/>
      </w:r>
    </w:p>
    <w:tbl>
      <w:tblPr>
        <w:tblW w:w="5000" w:type="pct"/>
        <w:tblBorders>
          <w:top w:val="nil"/>
          <w:left w:val="nil"/>
          <w:bottom w:val="nil"/>
          <w:right w:val="nil"/>
          <w:insideH w:val="nil"/>
          <w:insideV w:val="nil"/>
        </w:tblBorders>
      </w:tblPr>
      <w:tblGrid>
        <w:gridCol w:w="3000"/>
        <w:gridCol w:w="3000"/>
        <w:gridCol w:w="3500"/>
      </w:tblGrid>
      <w:tr>
        <w:trPr>
          <w:tblHeader w:val="1"/>
        </w:trPr>
        <w:tc>
          <w:tcPr>
            <w:tcW w:w="3000" w:type="dxa"/>
            <w:shd w:val="clear" w:fill="E8E6E0" w:color="auto"/>
          </w:tcPr>
          <w:p>
            <w:pPr>
              <w:pStyle w:val="Normal"/>
              <w:spacing w:before="40" w:after="40"/>
            </w:pPr>
            <w:r>
              <w:rPr>
                <w:b/>
                <w:color w:val="1E1E1E"/>
                <w:sz w:val="20"/>
                <w:rFonts w:ascii="Calibri" w:hAnsi="Calibri" w:eastAsia="Microsoft YaHei" w:cs="Calibri"/>
                <w:szCs w:val="20"/>
              </w:rPr>
              <w:t>Annex</w:t>
            </w:r>
          </w:p>
        </w:tc>
        <w:tc>
          <w:tcPr>
            <w:tcW w:w="3000" w:type="dxa"/>
            <w:shd w:val="clear" w:fill="E8E6E0" w:color="auto"/>
          </w:tcPr>
          <w:p>
            <w:pPr>
              <w:pStyle w:val="Normal"/>
              <w:spacing w:before="40" w:after="40"/>
            </w:pPr>
            <w:r>
              <w:rPr>
                <w:b/>
                <w:color w:val="1E1E1E"/>
                <w:sz w:val="20"/>
                <w:rFonts w:ascii="Calibri" w:hAnsi="Calibri" w:eastAsia="Microsoft YaHei" w:cs="Calibri"/>
                <w:szCs w:val="20"/>
              </w:rPr>
              <w:t>U.S. Acknowledgment</w:t>
            </w:r>
          </w:p>
        </w:tc>
        <w:tc>
          <w:tcPr>
            <w:tcW w:w="3500" w:type="dxa"/>
            <w:shd w:val="clear" w:fill="E8E6E0" w:color="auto"/>
          </w:tcPr>
          <w:p>
            <w:pPr>
              <w:pStyle w:val="Normal"/>
              <w:spacing w:before="40" w:after="40"/>
            </w:pPr>
            <w:r>
              <w:rPr>
                <w:b/>
                <w:color w:val="1E1E1E"/>
                <w:sz w:val="20"/>
                <w:rFonts w:ascii="Calibri" w:hAnsi="Calibri" w:eastAsia="Microsoft YaHei" w:cs="Calibri"/>
                <w:szCs w:val="20"/>
              </w:rPr>
              <w:t>Iranian Acknowledgment</w:t>
            </w:r>
          </w:p>
        </w:tc>
      </w:tr>
      <w:tr>
        <w:tc>
          <w:tcPr>
            <w:tcW w:w="3000" w:type="dxa"/>
          </w:tcPr>
          <w:p>
            <w:pPr>
              <w:pStyle w:val="Normal"/>
              <w:spacing w:before="40" w:after="40"/>
            </w:pPr>
            <w:r>
              <w:rPr>
                <w:color w:val="4A4A4A"/>
                <w:sz w:val="20"/>
                <w:rFonts w:ascii="Calibri" w:hAnsi="Calibri" w:eastAsia="Microsoft YaHei" w:cs="Calibri"/>
                <w:szCs w:val="20"/>
              </w:rPr>
              <w:t>Annex 1AB: Navigation Safety</w:t>
            </w:r>
          </w:p>
        </w:tc>
        <w:tc>
          <w:tcPr>
            <w:tcW w:w="3000" w:type="dxa"/>
          </w:tcPr>
          <w:p>
            <w:pPr>
              <w:pStyle w:val="Normal"/>
              <w:spacing w:before="40" w:after="40"/>
            </w:pPr>
            <w:r>
              <w:rPr>
                <w:color w:val="4A4A4A"/>
                <w:sz w:val="20"/>
                <w:rFonts w:ascii="Calibri" w:hAnsi="Calibri" w:eastAsia="Microsoft YaHei" w:cs="Calibri"/>
                <w:szCs w:val="20"/>
              </w:rPr>
              <w:t>U.S. Naval Forces Central Command (COMUSNAVCENT)</w:t>
            </w:r>
          </w:p>
        </w:tc>
        <w:tc>
          <w:tcPr>
            <w:tcW w:w="3500" w:type="dxa"/>
          </w:tcPr>
          <w:p>
            <w:pPr>
              <w:pStyle w:val="Normal"/>
              <w:spacing w:before="40" w:after="40"/>
            </w:pPr>
            <w:r>
              <w:rPr>
                <w:color w:val="4A4A4A"/>
                <w:sz w:val="20"/>
                <w:rFonts w:ascii="Calibri" w:hAnsi="Calibri" w:eastAsia="Microsoft YaHei" w:cs="Calibri"/>
                <w:szCs w:val="20"/>
              </w:rPr>
              <w:t>IRGC Navy</w:t>
            </w:r>
          </w:p>
        </w:tc>
      </w:tr>
      <w:tr>
        <w:tc>
          <w:tcPr>
            <w:tcW w:w="3000" w:type="dxa"/>
          </w:tcPr>
          <w:p>
            <w:pPr>
              <w:pStyle w:val="Normal"/>
              <w:spacing w:before="40" w:after="40"/>
            </w:pPr>
            <w:r>
              <w:rPr>
                <w:color w:val="4A4A4A"/>
                <w:sz w:val="20"/>
                <w:rFonts w:ascii="Calibri" w:hAnsi="Calibri" w:eastAsia="Microsoft YaHei" w:cs="Calibri"/>
                <w:szCs w:val="20"/>
              </w:rPr>
              <w:t>Annex 1AC: Transit Fees</w:t>
            </w:r>
          </w:p>
        </w:tc>
        <w:tc>
          <w:tcPr>
            <w:tcW w:w="3000" w:type="dxa"/>
          </w:tcPr>
          <w:p>
            <w:pPr>
              <w:pStyle w:val="Normal"/>
              <w:spacing w:before="40" w:after="40"/>
            </w:pPr>
            <w:r>
              <w:rPr>
                <w:color w:val="4A4A4A"/>
                <w:sz w:val="20"/>
                <w:rFonts w:ascii="Calibri" w:hAnsi="Calibri" w:eastAsia="Microsoft YaHei" w:cs="Calibri"/>
                <w:szCs w:val="20"/>
              </w:rPr>
              <w:t>U.S. Treasury / State Department</w:t>
            </w:r>
          </w:p>
        </w:tc>
        <w:tc>
          <w:tcPr>
            <w:tcW w:w="3500" w:type="dxa"/>
          </w:tcPr>
          <w:p>
            <w:pPr>
              <w:pStyle w:val="Normal"/>
              <w:spacing w:before="40" w:after="40"/>
            </w:pPr>
            <w:r>
              <w:rPr>
                <w:color w:val="4A4A4A"/>
                <w:sz w:val="20"/>
                <w:rFonts w:ascii="Calibri" w:hAnsi="Calibri" w:eastAsia="Microsoft YaHei" w:cs="Calibri"/>
                <w:szCs w:val="20"/>
              </w:rPr>
              <w:t>Iranian Central Bank / Oil Ministry</w:t>
            </w:r>
          </w:p>
        </w:tc>
      </w:tr>
      <w:tr>
        <w:tc>
          <w:tcPr>
            <w:tcW w:w="3000" w:type="dxa"/>
          </w:tcPr>
          <w:p>
            <w:pPr>
              <w:pStyle w:val="Normal"/>
              <w:spacing w:before="40" w:after="40"/>
            </w:pPr>
            <w:r>
              <w:rPr>
                <w:color w:val="4A4A4A"/>
                <w:sz w:val="20"/>
                <w:rFonts w:ascii="Calibri" w:hAnsi="Calibri" w:eastAsia="Microsoft YaHei" w:cs="Calibri"/>
                <w:szCs w:val="20"/>
              </w:rPr>
              <w:t>Annex 1AD: Confidence-Building</w:t>
            </w:r>
          </w:p>
        </w:tc>
        <w:tc>
          <w:tcPr>
            <w:tcW w:w="3000" w:type="dxa"/>
          </w:tcPr>
          <w:p>
            <w:pPr>
              <w:pStyle w:val="Normal"/>
              <w:spacing w:before="40" w:after="40"/>
            </w:pPr>
            <w:r>
              <w:rPr>
                <w:color w:val="4A4A4A"/>
                <w:sz w:val="20"/>
                <w:rFonts w:ascii="Calibri" w:hAnsi="Calibri" w:eastAsia="Microsoft YaHei" w:cs="Calibri"/>
                <w:szCs w:val="20"/>
              </w:rPr>
              <w:t>U.S. Department of Defense</w:t>
            </w:r>
          </w:p>
        </w:tc>
        <w:tc>
          <w:tcPr>
            <w:tcW w:w="3500" w:type="dxa"/>
          </w:tcPr>
          <w:p>
            <w:pPr>
              <w:pStyle w:val="Normal"/>
              <w:spacing w:before="40" w:after="40"/>
            </w:pPr>
            <w:r>
              <w:rPr>
                <w:color w:val="4A4A4A"/>
                <w:sz w:val="20"/>
                <w:rFonts w:ascii="Calibri" w:hAnsi="Calibri" w:eastAsia="Microsoft YaHei" w:cs="Calibri"/>
                <w:szCs w:val="20"/>
              </w:rPr>
              <w:t>IRGC Joint Staff</w:t>
            </w:r>
          </w:p>
        </w:tc>
      </w:tr>
    </w:tbl>
    <w:p>
      <w:pPr>
        <w:pStyle w:val="Normal"/>
      </w:pPr>
      <w:r>
        <w:rPr>
          <w:rFonts w:ascii="Calibri" w:hAnsi="Calibri" w:eastAsia="Microsoft YaHei" w:cs="Calibri"/>
          <w:color w:val="1E1E1E"/>
          <w:sz w:val="22"/>
          <w:szCs w:val="22"/>
        </w:rPr>
        <w:t/>
      </w:r>
    </w:p>
    <w:p>
      <w:pPr>
        <w:pStyle w:val="Normal"/>
      </w:pPr>
      <w:r>
        <w:rPr>
          <w:rFonts w:ascii="Calibri" w:hAnsi="Calibri" w:eastAsia="Microsoft YaHei" w:cs="Calibri"/>
          <w:color w:val="1E1E1E"/>
          <w:sz w:val="22"/>
          <w:szCs w:val="22"/>
        </w:rPr>
        <w:t>The Implementing Officials addendum provides operational buy-in without giving the IRGC or any military body a formal veto over the entire HSU. Operational commanders acknowledge receipt of the Annexes, but the political signatories retain full authority over the text.</w:t>
      </w:r>
    </w:p>
    <w:p>
      <w:pPr>
        <w:pStyle w:val="Normal"/>
      </w:pPr>
      <w:r>
        <w:rPr>
          <w:rFonts w:ascii="Calibri" w:hAnsi="Calibri" w:eastAsia="Microsoft YaHei" w:cs="Calibri"/>
          <w:color w:val="1E1E1E"/>
          <w:sz w:val="22"/>
          <w:szCs w:val="22"/>
        </w:rPr>
        <w:t/>
      </w:r>
    </w:p>
    <w:p>
      <w:pPr>
        <w:pStyle w:val="Heading2"/>
      </w:pPr>
      <w:r>
        <w:rPr>
          <w:rFonts w:ascii="Calibri" w:hAnsi="Calibri" w:eastAsia="Microsoft YaHei" w:cs="Calibri"/>
          <w:b/>
          <w:color w:val="2C3E50"/>
          <w:sz w:val="22"/>
          <w:szCs w:val="28"/>
        </w:rPr>
        <w:t>TIER 4: DEPOSITARY ACKNOWLEDGMENT</w:t>
      </w:r>
    </w:p>
    <w:p>
      <w:pPr>
        <w:pStyle w:val="Normal"/>
      </w:pPr>
      <w:r>
        <w:rPr>
          <w:rFonts w:ascii="Calibri" w:hAnsi="Calibri" w:eastAsia="Microsoft YaHei" w:cs="Calibri"/>
          <w:color w:val="1E1E1E"/>
          <w:sz w:val="22"/>
          <w:szCs w:val="22"/>
        </w:rPr>
        <w:t>The undersigned, as Depositary of the Hormuz Standardization Understanding, certifies that the foregoing text is a true and complete copy of the original, duly signed by the authorized representatives of the Parties.</w:t>
      </w:r>
    </w:p>
    <w:p>
      <w:pPr>
        <w:pStyle w:val="Normal"/>
      </w:pPr>
      <w:r>
        <w:rPr>
          <w:rFonts w:ascii="Calibri" w:hAnsi="Calibri" w:eastAsia="Microsoft YaHei" w:cs="Calibri"/>
          <w:color w:val="1E1E1E"/>
          <w:sz w:val="22"/>
          <w:szCs w:val="22"/>
        </w:rPr>
        <w:t/>
      </w:r>
    </w:p>
    <w:p>
      <w:pPr>
        <w:pStyle w:val="Normal"/>
      </w:pPr>
      <w:r>
        <w:rPr>
          <w:rFonts w:ascii="Calibri" w:hAnsi="Calibri" w:eastAsia="Microsoft YaHei" w:cs="Calibri"/>
          <w:color w:val="1E1E1E"/>
          <w:sz w:val="22"/>
          <w:szCs w:val="22"/>
        </w:rPr>
        <w:t>_________________________</w:t>
      </w:r>
    </w:p>
    <w:p>
      <w:pPr>
        <w:pStyle w:val="Normal"/>
      </w:pPr>
      <w:r>
        <w:rPr>
          <w:rFonts w:ascii="Calibri" w:hAnsi="Calibri" w:eastAsia="Microsoft YaHei" w:cs="Calibri"/>
          <w:color w:val="1E1E1E"/>
          <w:sz w:val="22"/>
          <w:szCs w:val="22"/>
        </w:rPr>
        <w:t>[Name]</w:t>
      </w:r>
    </w:p>
    <w:p>
      <w:pPr>
        <w:pStyle w:val="Normal"/>
      </w:pPr>
      <w:r>
        <w:rPr>
          <w:rFonts w:ascii="Calibri" w:hAnsi="Calibri" w:eastAsia="Microsoft YaHei" w:cs="Calibri"/>
          <w:color w:val="1E1E1E"/>
          <w:sz w:val="22"/>
          <w:szCs w:val="22"/>
        </w:rPr>
        <w:t>Minister of Foreign Affairs, Sultanate of Oman</w:t>
      </w:r>
    </w:p>
    <w:p>
      <w:pPr>
        <w:pStyle w:val="Normal"/>
      </w:pPr>
      <w:r>
        <w:rPr>
          <w:rFonts w:ascii="Calibri" w:hAnsi="Calibri" w:eastAsia="Microsoft YaHei" w:cs="Calibri"/>
          <w:color w:val="1E1E1E"/>
          <w:sz w:val="22"/>
          <w:szCs w:val="22"/>
        </w:rPr>
        <w:t>Date: _______________</w:t>
      </w:r>
    </w:p>
    <w:p>
      <w:pPr>
        <w:pStyle w:val="Normal"/>
      </w:pPr>
      <w:r>
        <w:rPr>
          <w:rFonts w:ascii="Calibri" w:hAnsi="Calibri" w:eastAsia="Microsoft YaHei" w:cs="Calibri"/>
          <w:color w:val="1E1E1E"/>
          <w:sz w:val="22"/>
          <w:szCs w:val="22"/>
        </w:rPr>
        <w:t/>
      </w:r>
    </w:p>
    <w:p>
      <w:pPr>
        <w:pStyle w:val="Normal"/>
      </w:pPr>
      <w:r>
        <w:rPr>
          <w:rFonts w:ascii="Calibri" w:hAnsi="Calibri" w:eastAsia="Microsoft YaHei" w:cs="Calibri"/>
          <w:color w:val="1E1E1E"/>
          <w:sz w:val="22"/>
          <w:szCs w:val="22"/>
        </w:rPr>
        <w:t>Seal of the Sultanate of Oman</w:t>
      </w:r>
    </w:p>
    <w:p>
      <w:pPr>
        <w:pStyle w:val="Normal"/>
        <w:pageBreakBefore/>
      </w:pPr>
    </w:p>
    <w:p>
      <w:pPr>
        <w:pStyle w:val="Heading1"/>
      </w:pPr>
      <w:bookmarkStart w:name="_TocNotes" w:id="16"/>
      <w:r>
        <w:rPr>
          <w:rFonts w:ascii="Calibri" w:hAnsi="Calibri" w:eastAsia="Microsoft YaHei" w:cs="Calibri"/>
          <w:b/>
          <w:color w:val="1A2A3A"/>
          <w:sz w:val="40"/>
          <w:szCs w:val="40"/>
        </w:rPr>
        <w:t>NEGOTIATOR'S ANNOTATIONS</w:t>
      </w:r>
      <w:bookmarkEnd w:id="16"/>
    </w:p>
    <w:p>
      <w:pPr>
        <w:pStyle w:val="Normal"/>
      </w:pPr>
      <w:r>
        <w:rPr>
          <w:rFonts w:ascii="Calibri" w:hAnsi="Calibri" w:eastAsia="Microsoft YaHei" w:cs="Calibri"/>
          <w:color w:val="1E1E1E"/>
          <w:sz w:val="22"/>
          <w:szCs w:val="22"/>
        </w:rPr>
        <w:t>The following annotations are provided for the guidance of the negotiating teams. They are not part of the official text of the Understanding and carry no operative legal force.</w:t>
      </w:r>
    </w:p>
    <w:p>
      <w:pPr>
        <w:pStyle w:val="Normal"/>
      </w:pPr>
      <w:r>
        <w:rPr>
          <w:rFonts w:ascii="Calibri" w:hAnsi="Calibri" w:eastAsia="Microsoft YaHei" w:cs="Calibri"/>
          <w:color w:val="1E1E1E"/>
          <w:sz w:val="22"/>
          <w:szCs w:val="22"/>
        </w:rPr>
        <w:t/>
      </w:r>
    </w:p>
    <w:tbl>
      <w:tblPr>
        <w:tblW w:w="5000" w:type="pct"/>
        <w:tblBorders>
          <w:top w:val="single" w:color="1a2a3a" w:sz="12"/>
          <w:left w:val="nil"/>
          <w:bottom w:val="single" w:color="1a2a3a" w:sz="12"/>
          <w:right w:val="nil"/>
          <w:insideH w:val="single" w:color="d0ccc0" w:sz="4"/>
          <w:insideV w:val="nil"/>
        </w:tblBorders>
      </w:tblPr>
      <w:tblGrid>
        <w:gridCol w:w="1200"/>
        <w:gridCol w:w="2800"/>
        <w:gridCol w:w="5500"/>
      </w:tblGrid>
      <w:tr>
        <w:trPr>
          <w:tblHeader w:val="1"/>
        </w:trPr>
        <w:tc>
          <w:tcPr>
            <w:tcW w:w="1200" w:type="dxa"/>
            <w:shd w:val="clear" w:fill="E8E6E0" w:color="auto"/>
          </w:tcPr>
          <w:p>
            <w:pPr>
              <w:pStyle w:val="Normal"/>
              <w:spacing w:before="40" w:after="40"/>
            </w:pPr>
            <w:r>
              <w:rPr>
                <w:b/>
                <w:color w:val="1E1E1E"/>
                <w:sz w:val="20"/>
                <w:rFonts w:ascii="Calibri" w:hAnsi="Calibri" w:eastAsia="Microsoft YaHei" w:cs="Calibri"/>
                <w:szCs w:val="20"/>
              </w:rPr>
              <w:t>Article</w:t>
            </w:r>
          </w:p>
        </w:tc>
        <w:tc>
          <w:tcPr>
            <w:tcW w:w="2800" w:type="dxa"/>
            <w:shd w:val="clear" w:fill="E8E6E0" w:color="auto"/>
          </w:tcPr>
          <w:p>
            <w:pPr>
              <w:pStyle w:val="Normal"/>
              <w:spacing w:before="40" w:after="40"/>
            </w:pPr>
            <w:r>
              <w:rPr>
                <w:b/>
                <w:color w:val="1E1E1E"/>
                <w:sz w:val="20"/>
                <w:rFonts w:ascii="Calibri" w:hAnsi="Calibri" w:eastAsia="Microsoft YaHei" w:cs="Calibri"/>
                <w:szCs w:val="20"/>
              </w:rPr>
              <w:t>Friction Point</w:t>
            </w:r>
          </w:p>
        </w:tc>
        <w:tc>
          <w:tcPr>
            <w:tcW w:w="5500" w:type="dxa"/>
            <w:shd w:val="clear" w:fill="E8E6E0" w:color="auto"/>
          </w:tcPr>
          <w:p>
            <w:pPr>
              <w:pStyle w:val="Normal"/>
              <w:spacing w:before="40" w:after="40"/>
            </w:pPr>
            <w:r>
              <w:rPr>
                <w:b/>
                <w:color w:val="1E1E1E"/>
                <w:sz w:val="20"/>
                <w:rFonts w:ascii="Calibri" w:hAnsi="Calibri" w:eastAsia="Microsoft YaHei" w:cs="Calibri"/>
                <w:szCs w:val="20"/>
              </w:rPr>
              <w:t>Fallback Position</w:t>
            </w:r>
          </w:p>
        </w:tc>
      </w:tr>
      <w:tr>
        <w:tc>
          <w:tcPr>
            <w:tcW w:w="1200" w:type="dxa"/>
          </w:tcPr>
          <w:p>
            <w:pPr>
              <w:pStyle w:val="Normal"/>
              <w:spacing w:before="40" w:after="40"/>
            </w:pPr>
            <w:r>
              <w:rPr>
                <w:color w:val="4A4A4A"/>
                <w:sz w:val="20"/>
                <w:rFonts w:ascii="Calibri" w:hAnsi="Calibri" w:eastAsia="Microsoft YaHei" w:cs="Calibri"/>
                <w:szCs w:val="20"/>
              </w:rPr>
              <w:t>1.3(d)</w:t>
            </w:r>
          </w:p>
        </w:tc>
        <w:tc>
          <w:tcPr>
            <w:tcW w:w="2800" w:type="dxa"/>
          </w:tcPr>
          <w:p>
            <w:pPr>
              <w:pStyle w:val="Normal"/>
              <w:spacing w:before="40" w:after="40"/>
            </w:pPr>
            <w:r>
              <w:rPr>
                <w:color w:val="4A4A4A"/>
                <w:sz w:val="20"/>
                <w:rFonts w:ascii="Calibri" w:hAnsi="Calibri" w:eastAsia="Microsoft YaHei" w:cs="Calibri"/>
                <w:szCs w:val="20"/>
              </w:rPr>
              <w:t>Iran pushes to remove the no precedent clause</w:t>
            </w:r>
          </w:p>
        </w:tc>
        <w:tc>
          <w:tcPr>
            <w:tcW w:w="5500" w:type="dxa"/>
          </w:tcPr>
          <w:p>
            <w:pPr>
              <w:pStyle w:val="Normal"/>
              <w:spacing w:before="40" w:after="40"/>
            </w:pPr>
            <w:r>
              <w:rPr>
                <w:color w:val="4A4A4A"/>
                <w:sz w:val="20"/>
                <w:rFonts w:ascii="Calibri" w:hAnsi="Calibri" w:eastAsia="Microsoft YaHei" w:cs="Calibri"/>
                <w:szCs w:val="20"/>
              </w:rPr>
              <w:t>Hold firm. This is non-negotiable. Offer Iran an additional recognition of regional role phrase in the preamble instead.</w:t>
            </w:r>
          </w:p>
        </w:tc>
      </w:tr>
      <w:tr>
        <w:tc>
          <w:tcPr>
            <w:tcW w:w="1200" w:type="dxa"/>
          </w:tcPr>
          <w:p>
            <w:pPr>
              <w:pStyle w:val="Normal"/>
              <w:spacing w:before="40" w:after="40"/>
            </w:pPr>
            <w:r>
              <w:rPr>
                <w:color w:val="4A4A4A"/>
                <w:sz w:val="20"/>
                <w:rFonts w:ascii="Calibri" w:hAnsi="Calibri" w:eastAsia="Microsoft YaHei" w:cs="Calibri"/>
                <w:szCs w:val="20"/>
              </w:rPr>
              <w:t>2.1</w:t>
            </w:r>
          </w:p>
        </w:tc>
        <w:tc>
          <w:tcPr>
            <w:tcW w:w="2800" w:type="dxa"/>
          </w:tcPr>
          <w:p>
            <w:pPr>
              <w:pStyle w:val="Normal"/>
              <w:spacing w:before="40" w:after="40"/>
            </w:pPr>
            <w:r>
              <w:rPr>
                <w:color w:val="4A4A4A"/>
                <w:sz w:val="20"/>
                <w:rFonts w:ascii="Calibri" w:hAnsi="Calibri" w:eastAsia="Microsoft YaHei" w:cs="Calibri"/>
                <w:szCs w:val="20"/>
              </w:rPr>
              <w:t>Iran demands the Northern Corridor be called the Primary lane</w:t>
            </w:r>
          </w:p>
        </w:tc>
        <w:tc>
          <w:tcPr>
            <w:tcW w:w="5500" w:type="dxa"/>
          </w:tcPr>
          <w:p>
            <w:pPr>
              <w:pStyle w:val="Normal"/>
              <w:spacing w:before="40" w:after="40"/>
            </w:pPr>
            <w:r>
              <w:rPr>
                <w:color w:val="4A4A4A"/>
                <w:sz w:val="20"/>
                <w:rFonts w:ascii="Calibri" w:hAnsi="Calibri" w:eastAsia="Microsoft YaHei" w:cs="Calibri"/>
                <w:szCs w:val="20"/>
              </w:rPr>
              <w:t>Reject. Insist on Dual Corridor with equal legal footing. Iran calls it Primary in domestic press releases.</w:t>
            </w:r>
          </w:p>
        </w:tc>
      </w:tr>
      <w:tr>
        <w:tc>
          <w:tcPr>
            <w:tcW w:w="1200" w:type="dxa"/>
          </w:tcPr>
          <w:p>
            <w:pPr>
              <w:pStyle w:val="Normal"/>
              <w:spacing w:before="40" w:after="40"/>
            </w:pPr>
            <w:r>
              <w:rPr>
                <w:color w:val="4A4A4A"/>
                <w:sz w:val="20"/>
                <w:rFonts w:ascii="Calibri" w:hAnsi="Calibri" w:eastAsia="Microsoft YaHei" w:cs="Calibri"/>
                <w:szCs w:val="20"/>
              </w:rPr>
              <w:t>4.3</w:t>
            </w:r>
          </w:p>
        </w:tc>
        <w:tc>
          <w:tcPr>
            <w:tcW w:w="2800" w:type="dxa"/>
          </w:tcPr>
          <w:p>
            <w:pPr>
              <w:pStyle w:val="Normal"/>
              <w:spacing w:before="40" w:after="40"/>
            </w:pPr>
            <w:r>
              <w:rPr>
                <w:color w:val="4A4A4A"/>
                <w:sz w:val="20"/>
                <w:rFonts w:ascii="Calibri" w:hAnsi="Calibri" w:eastAsia="Microsoft YaHei" w:cs="Calibri"/>
                <w:szCs w:val="20"/>
              </w:rPr>
              <w:t>The revenue split percentage is contentious</w:t>
            </w:r>
          </w:p>
        </w:tc>
        <w:tc>
          <w:tcPr>
            <w:tcW w:w="5500" w:type="dxa"/>
          </w:tcPr>
          <w:p>
            <w:pPr>
              <w:pStyle w:val="Normal"/>
              <w:spacing w:before="40" w:after="40"/>
            </w:pPr>
            <w:r>
              <w:rPr>
                <w:color w:val="4A4A4A"/>
                <w:sz w:val="20"/>
                <w:rFonts w:ascii="Calibri" w:hAnsi="Calibri" w:eastAsia="Microsoft YaHei" w:cs="Calibri"/>
                <w:szCs w:val="20"/>
              </w:rPr>
              <w:t>Open with 50% Iran / 30% Oman / 15% Reserve / 5% HSC. The 50% walk-away is firm. Use compliance conditionality (4.4) as leverage.</w:t>
            </w:r>
          </w:p>
        </w:tc>
      </w:tr>
      <w:tr>
        <w:tc>
          <w:tcPr>
            <w:tcW w:w="1200" w:type="dxa"/>
          </w:tcPr>
          <w:p>
            <w:pPr>
              <w:pStyle w:val="Normal"/>
              <w:spacing w:before="40" w:after="40"/>
            </w:pPr>
            <w:r>
              <w:rPr>
                <w:color w:val="4A4A4A"/>
                <w:sz w:val="20"/>
                <w:rFonts w:ascii="Calibri" w:hAnsi="Calibri" w:eastAsia="Microsoft YaHei" w:cs="Calibri"/>
                <w:szCs w:val="20"/>
              </w:rPr>
              <w:t>8.1</w:t>
            </w:r>
          </w:p>
        </w:tc>
        <w:tc>
          <w:tcPr>
            <w:tcW w:w="2800" w:type="dxa"/>
          </w:tcPr>
          <w:p>
            <w:pPr>
              <w:pStyle w:val="Normal"/>
              <w:spacing w:before="40" w:after="40"/>
            </w:pPr>
            <w:r>
              <w:rPr>
                <w:color w:val="4A4A4A"/>
                <w:sz w:val="20"/>
                <w:rFonts w:ascii="Calibri" w:hAnsi="Calibri" w:eastAsia="Microsoft YaHei" w:cs="Calibri"/>
                <w:szCs w:val="20"/>
              </w:rPr>
              <w:t>Iran demands mutual consent for Level 3/4 triggers</w:t>
            </w:r>
          </w:p>
        </w:tc>
        <w:tc>
          <w:tcPr>
            <w:tcW w:w="5500" w:type="dxa"/>
          </w:tcPr>
          <w:p>
            <w:pPr>
              <w:pStyle w:val="Normal"/>
              <w:spacing w:before="40" w:after="40"/>
            </w:pPr>
            <w:r>
              <w:rPr>
                <w:color w:val="4A4A4A"/>
                <w:sz w:val="20"/>
                <w:rFonts w:ascii="Calibri" w:hAnsi="Calibri" w:eastAsia="Microsoft YaHei" w:cs="Calibri"/>
                <w:szCs w:val="20"/>
              </w:rPr>
              <w:t>Reject. That gives the IRGC a veto. Insist on objective criteria confirmed by two independent sources.</w:t>
            </w:r>
          </w:p>
        </w:tc>
      </w:tr>
      <w:tr>
        <w:tc>
          <w:tcPr>
            <w:tcW w:w="1200" w:type="dxa"/>
          </w:tcPr>
          <w:p>
            <w:pPr>
              <w:pStyle w:val="Normal"/>
              <w:spacing w:before="40" w:after="40"/>
            </w:pPr>
            <w:r>
              <w:rPr>
                <w:color w:val="4A4A4A"/>
                <w:sz w:val="20"/>
                <w:rFonts w:ascii="Calibri" w:hAnsi="Calibri" w:eastAsia="Microsoft YaHei" w:cs="Calibri"/>
                <w:szCs w:val="20"/>
              </w:rPr>
              <w:t>9.3</w:t>
            </w:r>
          </w:p>
        </w:tc>
        <w:tc>
          <w:tcPr>
            <w:tcW w:w="2800" w:type="dxa"/>
          </w:tcPr>
          <w:p>
            <w:pPr>
              <w:pStyle w:val="Normal"/>
              <w:spacing w:before="40" w:after="40"/>
            </w:pPr>
            <w:r>
              <w:rPr>
                <w:color w:val="4A4A4A"/>
                <w:sz w:val="20"/>
                <w:rFonts w:ascii="Calibri" w:hAnsi="Calibri" w:eastAsia="Microsoft YaHei" w:cs="Calibri"/>
                <w:szCs w:val="20"/>
              </w:rPr>
              <w:t>Iran wants a shorter withdrawal clause (90 days)</w:t>
            </w:r>
          </w:p>
        </w:tc>
        <w:tc>
          <w:tcPr>
            <w:tcW w:w="5500" w:type="dxa"/>
          </w:tcPr>
          <w:p>
            <w:pPr>
              <w:pStyle w:val="Normal"/>
              <w:spacing w:before="40" w:after="40"/>
            </w:pPr>
            <w:r>
              <w:rPr>
                <w:color w:val="4A4A4A"/>
                <w:sz w:val="20"/>
                <w:rFonts w:ascii="Calibri" w:hAnsi="Calibri" w:eastAsia="Microsoft YaHei" w:cs="Calibri"/>
                <w:szCs w:val="20"/>
              </w:rPr>
              <w:t>Accept. A shorter withdrawal window favors both sides. It signals this is not a permanent trap.</w:t>
            </w:r>
          </w:p>
        </w:tc>
      </w:tr>
    </w:tbl>
    <w:p>
      <w:pPr>
        <w:pStyle w:val="Normal"/>
      </w:pPr>
      <w:r>
        <w:rPr>
          <w:rFonts w:ascii="Calibri" w:hAnsi="Calibri" w:eastAsia="Microsoft YaHei" w:cs="Calibri"/>
          <w:color w:val="1E1E1E"/>
          <w:sz w:val="22"/>
          <w:szCs w:val="22"/>
        </w:rPr>
        <w:t/>
      </w:r>
    </w:p>
    <w:p>
      <w:pPr>
        <w:pStyle w:val="Heading2"/>
      </w:pPr>
      <w:r>
        <w:rPr>
          <w:rFonts w:ascii="Calibri" w:hAnsi="Calibri" w:eastAsia="Microsoft YaHei" w:cs="Calibri"/>
          <w:b/>
          <w:color w:val="2C3E50"/>
          <w:sz w:val="22"/>
          <w:szCs w:val="28"/>
        </w:rPr>
        <w:t>Signature Page Architecture Guidance</w:t>
      </w:r>
    </w:p>
    <w:p>
      <w:pPr>
        <w:pStyle w:val="Normal"/>
      </w:pPr>
      <w:r>
        <w:rPr>
          <w:rFonts w:ascii="Calibri" w:hAnsi="Calibri" w:eastAsia="Microsoft YaHei" w:cs="Calibri"/>
          <w:color w:val="1E1E1E"/>
          <w:sz w:val="22"/>
          <w:szCs w:val="22"/>
        </w:rPr>
        <w:t>The signature page employs four tiers of signatures, arranged in a specific visual hierarchy that signals process, not sovereignty.</w:t>
      </w:r>
    </w:p>
    <w:p>
      <w:r>
        <w:t>Tier 1 places the primary signatories side-by-side on equal footing. This placement avoids any implication of hierarchy. The U.S. Special Envoy for Iran signs rather than the Secretary of State; this signals commitment while avoiding treaty status requiring Senate ratification. Iran's Foreign Minister signs rather than an IRGC-affiliated official; this ensures the diplomatic track owns the agreement.</w:t>
      </w:r>
    </w:p>
    <w:p>
      <w:r>
        <w:t>Tier 2 positions the witnesses below the primary signatories, visually signaling their role as facilitators. Their presence as witnesses (not co-signatories) means they are not legally bound by the HSU's obligations.</w:t>
      </w:r>
    </w:p>
    <w:p>
      <w:r>
        <w:t>Tier 3 uses an Implementing Officials addendum rather than direct Annex signatures. This gives operational buy-in without giving the IRGC a formal veto over the entire HSU.</w:t>
      </w:r>
    </w:p>
    <w:p>
      <w:r>
        <w:t>Tier 4 is the Depositary Acknowledgment. The Omani Foreign Minister certifies the authenticity of the signed document and archives the original.</w:t>
      </w:r>
    </w:p>
    <w:p>
      <w:r>
        <w:t/>
      </w:r>
    </w:p>
    <w:p>
      <w:pPr>
        <w:pStyle w:val="Heading2"/>
      </w:pPr>
      <w:r>
        <w:t>The Simultaneous Exchange Protocol</w:t>
      </w:r>
    </w:p>
    <w:p>
      <w:r>
        <w:t>To prevent either side from backing out after the other signs, the Parties agree to a simultaneous exchange: both delegations hold identical, pre-printed signature pages; at a pre-agreed signal (the Omani Foreign Minister's gavel), both sign at the same time; the signed originals are handed immediately to the Omani Depositary, who certifies them on the spot; no one leaves the room with an unsigned copy.</w:t>
      </w:r>
    </w:p>
    <w:p>
      <w:pPr>
        <w:sectPr>
          <w:headerReference w:type="default" r:id="R197142c88d6a4d8e"/>
          <w:footerReference w:type="default" r:id="R451d36556bbf4543"/>
          <w:pgSz w:w="11906" w:h="16838"/>
          <w:pgMar w:top="1800" w:right="1440" w:bottom="1440" w:left="1440" w:header="720" w:footer="720"/>
        </w:sectPr>
      </w:pPr>
    </w:p>
    <w:p>
      <w:pPr>
        <w:spacing w:before="6000"/>
      </w:pPr>
      <w:r/>
    </w:p>
    <w:p>
      <w:pPr>
        <w:spacing w:before="2000"/>
        <w:jc w:val="center"/>
      </w:pPr>
      <w:r>
        <w:rPr>
          <w:b/>
          <w:color w:val="1a2a3a"/>
          <w:spacing w:val="40"/>
          <w:sz w:val="52"/>
        </w:rPr>
        <w:t>THE HORMUZ STANDARDIZATION</w:t>
      </w:r>
    </w:p>
    <w:p>
      <w:pPr>
        <w:spacing w:before="120"/>
        <w:jc w:val="center"/>
      </w:pPr>
      <w:r>
        <w:rPr>
          <w:b/>
          <w:color w:val="1a2a3a"/>
          <w:spacing w:val="40"/>
          <w:sz w:val="52"/>
        </w:rPr>
        <w:t>UNDERSTANDING</w:t>
      </w:r>
    </w:p>
    <w:p>
      <w:pPr>
        <w:spacing w:before="600"/>
        <w:jc w:val="center"/>
      </w:pPr>
      <w:r>
        <w:rPr>
          <w:i/>
          <w:color w:val="2c3e50"/>
          <w:sz w:val="22"/>
        </w:rPr>
        <w:t>A Framework for Coordinated Maritime Transit Procedures</w:t>
      </w:r>
    </w:p>
    <w:p>
      <w:pPr>
        <w:spacing w:before="1200"/>
        <w:jc w:val="center"/>
      </w:pPr>
      <w:r>
        <w:rPr>
          <w:color w:val="c9a84c"/>
          <w:sz w:val="20"/>
        </w:rPr>
        <w:t>———  ✦  ———</w:t>
      </w:r>
    </w:p>
    <w:p>
      <w:pPr>
        <w:spacing w:before="1200"/>
        <w:jc w:val="center"/>
      </w:pPr>
      <w:r>
        <w:rPr>
          <w:color w:val="4a4a4a"/>
          <w:sz w:val="20"/>
        </w:rPr>
        <w:t>Signed at Muscat, Sultanate of Oman</w:t>
      </w:r>
    </w:p>
    <w:p>
      <w:pPr>
        <w:spacing w:before="80"/>
        <w:jc w:val="center"/>
      </w:pPr>
      <w:r>
        <w:rPr>
          <w:color w:val="4a4a4a"/>
          <w:sz w:val="20"/>
        </w:rPr>
        <w:t>July 2026</w:t>
      </w:r>
    </w:p>
    <w:p>
      <w:pPr>
        <w:spacing w:before="2000"/>
        <w:jc w:val="center"/>
      </w:pPr>
      <w:r>
        <w:rPr>
          <w:color w:val="7a7a7a"/>
          <w:sz w:val="16"/>
        </w:rPr>
        <w:t>Depositary: Government of the Sultanate of Oman</w:t>
      </w:r>
    </w:p>
    <w:p>
      <w:pPr>
        <w:spacing w:before="80"/>
        <w:jc w:val="center"/>
      </w:pPr>
      <w:r>
        <w:rPr>
          <w:color w:val="7a7a7a"/>
          <w:sz w:val="16"/>
        </w:rPr>
        <w:t>CONFIDENTIAL / AUTHORIZED NEGOTIATORS ONLY</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a7a7a"/>
        <w:sz w:val="18"/>
      </w:rPr>
      <w:fldChar w:fldCharType="begin"/>
    </w:r>
    <w:r>
      <w:rPr>
        <w:color w:val="7a7a7a"/>
        <w:sz w:val="18"/>
      </w:rPr>
      <w:instrText xml:space="preserve"> PAGE </w:instrText>
    </w:r>
    <w:r>
      <w:rPr>
        <w:color w:val="7a7a7a"/>
        <w:sz w:val="18"/>
      </w:rPr>
      <w:fldChar w:fldCharType="separate"/>
    </w:r>
    <w:r>
      <w:rPr>
        <w:color w:val="7a7a7a"/>
        <w:sz w:val="18"/>
      </w:rPr>
      <w:t>1</w:t>
    </w:r>
    <w:r>
      <w:rPr>
        <w:color w:val="7a7a7a"/>
        <w:sz w:val="18"/>
      </w:rPr>
      <w:fldChar w:fldCharType="end"/>
    </w:r>
    <w:r>
      <w:rPr>
        <w:color w:val="7a7a7a"/>
        <w:sz w:val="18"/>
      </w:rPr>
      <w:t xml:space="preserve"> / </w:t>
    </w:r>
    <w:r>
      <w:rPr>
        <w:color w:val="7a7a7a"/>
        <w:sz w:val="18"/>
      </w:rPr>
      <w:fldChar w:fldCharType="begin"/>
    </w:r>
    <w:r>
      <w:rPr>
        <w:color w:val="7a7a7a"/>
        <w:sz w:val="18"/>
      </w:rPr>
      <w:instrText xml:space="preserve"> NUMPAGES </w:instrText>
    </w:r>
    <w:r>
      <w:rPr>
        <w:color w:val="7a7a7a"/>
        <w:sz w:val="18"/>
      </w:rPr>
      <w:fldChar w:fldCharType="separate"/>
    </w:r>
    <w:r>
      <w:rPr>
        <w:color w:val="7a7a7a"/>
        <w:sz w:val="18"/>
      </w:rPr>
      <w:t>1</w:t>
    </w:r>
    <w:r>
      <w:rPr>
        <w:color w:val="7a7a7a"/>
        <w:sz w:val="18"/>
      </w:rPr>
      <w:fldChar w:fldCharType="end"/>
    </w:r>
  </w:p>
</w:ftr>
</file>

<file path=word/header1.xml><?xml version="1.0" encoding="utf-8"?>
<w:hdr xmlns:w="http://schemas.openxmlformats.org/wordprocessingml/2006/main">
  <w:p>
    <w:pPr>
      <w:jc w:val="right"/>
    </w:pPr>
    <w:r>
      <w:rPr>
        <w:color w:val="7a7a7a"/>
        <w:sz w:val="16"/>
      </w:rPr>
      <w:t>The Hormuz Standardization Understanding (HSU)</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80" w:line="300" w:lineRule="auto"/>
    </w:pPr>
    <w:rPr>
      <w:rFonts w:ascii="Calibri" w:hAnsi="Calibri" w:eastAsia="Microsoft YaHei"/>
      <w:color w:val="1e1e1e"/>
      <w:sz w:val="22"/>
    </w:rPr>
  </w:style>
  <w:style w:type="paragraph" w:styleId="Heading1">
    <w:name w:val="heading 1"/>
    <w:basedOn w:val="Normal"/>
    <w:pPr>
      <w:keepNext/>
      <w:keepLines/>
      <w:spacing w:before="480" w:after="240"/>
      <w:outlineLvl w:val="0"/>
    </w:pPr>
    <w:rPr>
      <w:rFonts w:ascii="Calibri" w:hAnsi="Calibri" w:eastAsia="Microsoft YaHei"/>
      <w:b/>
      <w:color w:val="1a2a3a"/>
      <w:sz w:val="40"/>
    </w:rPr>
  </w:style>
  <w:style w:type="paragraph" w:styleId="Heading2">
    <w:name w:val="heading 2"/>
    <w:basedOn w:val="Normal"/>
    <w:pPr>
      <w:keepNext/>
      <w:keepLines/>
      <w:spacing w:before="360" w:after="160"/>
      <w:outlineLvl w:val="1"/>
    </w:pPr>
    <w:rPr>
      <w:rFonts w:ascii="Calibri" w:hAnsi="Calibri" w:eastAsia="Microsoft YaHei"/>
      <w:b/>
      <w:color w:val="2c3e50"/>
      <w:sz w:val="28"/>
    </w:rPr>
  </w:style>
  <w:style w:type="paragraph" w:styleId="Heading3">
    <w:name w:val="heading 3"/>
    <w:basedOn w:val="Normal"/>
    <w:pPr>
      <w:keepNext/>
      <w:keepLines/>
      <w:spacing w:before="280" w:after="120"/>
      <w:outlineLvl w:val="2"/>
    </w:pPr>
    <w:rPr>
      <w:rFonts w:ascii="Calibri" w:hAnsi="Calibri" w:eastAsia="Microsoft YaHei"/>
      <w:b/>
      <w:color w:val="4a4a4a"/>
      <w:sz w:val="24"/>
    </w:rPr>
  </w:style>
  <w:style w:type="paragraph" w:styleId="Caption">
    <w:name w:val="Caption"/>
    <w:basedOn w:val="Normal"/>
    <w:pPr>
      <w:spacing w:before="60" w:after="280"/>
      <w:jc w:val="center"/>
    </w:pPr>
    <w:rPr>
      <w:color w:val="7a7a7a"/>
      <w:sz w:val="20"/>
    </w:rPr>
  </w:style>
  <w:style w:type="paragraph" w:styleId="TOC1">
    <w:name w:val="toc 1"/>
    <w:basedOn w:val="Normal"/>
    <w:pPr>
      <w:tabs>
        <w:tab w:val="right" w:leader="dot" w:pos="9350"/>
      </w:tabs>
      <w:spacing w:before="200" w:after="40"/>
      <w:ind w:left="0"/>
    </w:pPr>
    <w:rPr>
      <w:b/>
      <w:color w:val="1e1e1e"/>
    </w:rPr>
  </w:style>
  <w:style w:type="paragraph" w:styleId="TOC2">
    <w:name w:val="toc 2"/>
    <w:basedOn w:val="Normal"/>
    <w:pPr>
      <w:tabs>
        <w:tab w:val="right" w:leader="dot" w:pos="9350"/>
      </w:tabs>
      <w:spacing w:before="60" w:after="40"/>
      <w:ind w:left="360"/>
    </w:pPr>
    <w:rPr>
      <w:color w:val="4a4a4a"/>
    </w:rPr>
  </w:style>
  <w:style w:type="paragraph" w:styleId="TOC3">
    <w:name w:val="toc 3"/>
    <w:basedOn w:val="Normal"/>
    <w:pPr>
      <w:tabs>
        <w:tab w:val="right" w:leader="dot" w:pos="9350"/>
      </w:tabs>
      <w:spacing w:before="40" w:after="40"/>
      <w:ind w:left="720"/>
    </w:pPr>
    <w:rPr>
      <w:color w:val="4a4a4a"/>
    </w:rPr>
  </w:style>
</w:styles>
</file>

<file path=word/_rels/document.xml.rels><?xml version='1.0' encoding='UTF-8'?>
<Relationships xmlns="http://schemas.openxmlformats.org/package/2006/relationships"><Relationship Id="R059e951f1dcf4ae2" Type="http://schemas.openxmlformats.org/officeDocument/2006/relationships/numbering" Target="numbering.xml" /><Relationship Id="R086d736b261c412e" Type="http://schemas.openxmlformats.org/officeDocument/2006/relationships/image" Target="media/image.png" /><Relationship Id="R197142c88d6a4d8e" Type="http://schemas.openxmlformats.org/officeDocument/2006/relationships/header" Target="header1.xml" /><Relationship Id="R2bb491587bc64728" Type="http://schemas.openxmlformats.org/officeDocument/2006/relationships/styles" Target="styles.xml" /><Relationship Id="R398b7aa126204151" Type="http://schemas.openxmlformats.org/officeDocument/2006/relationships/settings" Target="settings.xml" /><Relationship Id="R451d36556bbf4543" Type="http://schemas.openxmlformats.org/officeDocument/2006/relationships/footer" Target="footer1.xml" /><Relationship Id="Rdc6a4e9986f448ce" Type="http://schemas.openxmlformats.org/officeDocument/2006/relationships/image" Target="media/image2.png" /></Relationships>
</file>

<file path=word/_rels/header1.xml.rels><?xml version='1.0' encoding='UTF-8'?>
<Relationships xmlns="http://schemas.openxmlformats.org/package/2006/relationships"><Relationship Id="R238f263e031e406e" Type="http://schemas.openxmlformats.org/officeDocument/2006/relationships/image" Target="media/image3.png" /></Relationships>
</file>