
<file path=[Content_Types].xml><?xml version="1.0" encoding="utf-8"?>
<Types xmlns="http://schemas.openxmlformats.org/package/2006/content-types">
  <Default Extension="xml" ContentType="application/xml"/>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b229685fc00d4441" Type="http://schemas.openxmlformats.org/officeDocument/2006/relationships/officeDocument" Target="word/document.xml" /></Relationships>
</file>

<file path=word/document.xml><?xml version="1.0" encoding="utf-8"?>
<w:document xmlns:r="http://schemas.openxmlformats.org/officeDocument/2006/relationships" xmlns:w="http://schemas.openxmlformats.org/wordprocessingml/2006/main">
  <w:body>
    <w:p>
      <w:pPr>
        <w:pStyle w:val="Normal"/>
        <w:spacing w:before="600" w:after="200"/>
        <w:jc w:val="center"/>
      </w:pPr>
      <w:r>
        <w:rPr>
          <w:rFonts w:ascii="Times New Roman" w:hAnsi="Times New Roman" w:eastAsia="Times New Roman" w:cs="Times New Roman"/>
          <w:b/>
          <w:color w:val="1B3A4B"/>
          <w:sz w:val="36"/>
          <w:szCs w:val="36"/>
        </w:rPr>
        <w:t>ANNEX RDF</w:t>
      </w:r>
    </w:p>
    <w:p>
      <w:pPr>
        <w:pStyle w:val="Normal"/>
        <w:spacing w:after="120"/>
        <w:jc w:val="center"/>
      </w:pPr>
      <w:r>
        <w:rPr>
          <w:rFonts w:ascii="Times New Roman" w:hAnsi="Times New Roman" w:eastAsia="Times New Roman" w:cs="Times New Roman"/>
          <w:b/>
          <w:color w:val="2E5A6B"/>
          <w:sz w:val="28"/>
          <w:szCs w:val="28"/>
        </w:rPr>
        <w:t>Reconstruction and Development Fund Protocol</w:t>
      </w:r>
    </w:p>
    <w:p>
      <w:pPr>
        <w:pStyle w:val="Normal"/>
        <w:spacing w:after="80"/>
        <w:jc w:val="center"/>
      </w:pPr>
      <w:r>
        <w:rPr>
          <w:rFonts w:ascii="Times New Roman" w:hAnsi="Times New Roman" w:eastAsia="Times New Roman" w:cs="Times New Roman"/>
          <w:i/>
          <w:color w:val="4A4A4A"/>
          <w:sz w:val="22"/>
          <w:szCs w:val="22"/>
        </w:rPr>
        <w:t>A Multilateral, Modular Blueprint for Iran's Reconstruction</w:t>
      </w:r>
    </w:p>
    <w:p>
      <w:pPr>
        <w:pStyle w:val="Normal"/>
        <w:spacing w:after="200"/>
        <w:jc w:val="center"/>
      </w:pPr>
      <w:r>
        <w:rPr>
          <w:rFonts w:ascii="Times New Roman" w:hAnsi="Times New Roman" w:eastAsia="Times New Roman" w:cs="Times New Roman"/>
          <w:i/>
          <w:color w:val="6A6A6A"/>
          <w:sz w:val="20"/>
          <w:szCs w:val="20"/>
        </w:rPr>
        <w:t>A Self-Contained · Incorporable by Reference Protocol</w:t>
      </w:r>
    </w:p>
    <w:p>
      <w:pPr>
        <w:pStyle w:val="Normal"/>
        <w:spacing w:after="200"/>
        <w:jc w:val="center"/>
      </w:pPr>
      <w:r>
        <w:rPr>
          <w:rFonts w:ascii="Times New Roman" w:hAnsi="Times New Roman" w:eastAsia="Times New Roman" w:cs="Times New Roman"/>
          <w:color w:val="6A6A6A"/>
          <w:sz w:val="20"/>
          <w:szCs w:val="20"/>
        </w:rPr>
        <w:t>For the Islamabad Accord</w:t>
      </w:r>
    </w:p>
    <w:p>
      <w:pPr>
        <w:pStyle w:val="Normal"/>
        <w:spacing w:before="400" w:after="600"/>
        <w:jc w:val="center"/>
      </w:pPr>
      <w:r>
        <w:rPr>
          <w:rFonts w:ascii="Times New Roman" w:hAnsi="Times New Roman" w:eastAsia="Times New Roman" w:cs="Times New Roman"/>
          <w:color w:val="4A4A4A"/>
          <w:sz w:val="20"/>
          <w:szCs w:val="20"/>
        </w:rPr>
        <w:t>Version 1.0 | June 2026</w:t>
      </w:r>
    </w:p>
    <w:p>
      <w:pPr>
        <w:pStyle w:val="Normal"/>
        <w:pBdr>
          <w:bottom w:val="single" w:color="1B3A4B" w:sz="12"/>
        </w:pBdr>
        <w:spacing w:after="400"/>
      </w:pPr>
    </w:p>
    <w:p>
      <w:pPr>
        <w:pStyle w:val="Heading1"/>
      </w:pPr>
      <w:bookmarkStart w:name="_Toc001" w:id="1"/>
      <w:r>
        <w:rPr>
          <w:rFonts w:ascii="Times New Roman" w:hAnsi="Times New Roman" w:eastAsia="Times New Roman" w:cs="Times New Roman"/>
          <w:b/>
          <w:color w:val="1B3A4B"/>
          <w:sz w:val="28"/>
          <w:szCs w:val="28"/>
        </w:rPr>
        <w:t>Preamble</w:t>
      </w:r>
      <w:bookmarkEnd w:id="1"/>
    </w:p>
    <w:p>
      <w:pPr>
        <w:pStyle w:val="Normal"/>
        <w:ind w:left="360" w:right="360"/>
      </w:pPr>
      <w:r>
        <w:rPr>
          <w:rFonts w:ascii="Times New Roman" w:hAnsi="Times New Roman" w:eastAsia="Times New Roman" w:cs="Times New Roman"/>
          <w:color w:val="4A4A4A"/>
          <w:sz w:val="22"/>
          <w:szCs w:val="22"/>
          <w:i/>
        </w:rPr>
        <w:t>This document reflects the capitalization status and prospective contributor landscape as understood at the time of drafting. Figures, participation, and timelines are indicative of the contemporaneous negotiation environment and may be updated by the Reconstruction Steering Committee without amendment to the operative Articles of this Protocol.</w:t>
      </w:r>
    </w:p>
    <w:p>
      <w:pPr>
        <w:pStyle w:val="Normal"/>
      </w:pPr>
      <w:r>
        <w:rPr>
          <w:rFonts w:ascii="Times New Roman" w:hAnsi="Times New Roman" w:eastAsia="Times New Roman" w:cs="Times New Roman"/>
          <w:color w:val="1A1A1A"/>
          <w:sz w:val="22"/>
          <w:szCs w:val="22"/>
        </w:rPr>
        <w:t>The Parties acknowledge the extensive damage to Iranian civilian infrastructure resulting from the 2026 conflict. Iranian officials estimate total reconstruction costs at approximately $270 billion over a ten-year horizon, encompassing:</w:t>
      </w:r>
    </w:p>
    <w:p>
      <w:pPr>
        <w:pStyle w:val="Normal"/>
        <w:ind w:left="720" w:hanging="360"/>
      </w:pPr>
      <w:r>
        <w:rPr>
          <w:rFonts w:ascii="Times New Roman" w:hAnsi="Times New Roman" w:eastAsia="Times New Roman" w:cs="Times New Roman"/>
          <w:color w:val="1A1A1A"/>
          <w:sz w:val="22"/>
          <w:szCs w:val="22"/>
        </w:rPr>
        <w:t xml:space="preserve">•  Energy infrastructure (power plants, refineries, pipelines)</w:t>
      </w:r>
    </w:p>
    <w:p>
      <w:pPr>
        <w:pStyle w:val="Normal"/>
        <w:ind w:left="720" w:hanging="360"/>
      </w:pPr>
      <w:r>
        <w:rPr>
          <w:rFonts w:ascii="Times New Roman" w:hAnsi="Times New Roman" w:eastAsia="Times New Roman" w:cs="Times New Roman"/>
          <w:color w:val="1A1A1A"/>
          <w:sz w:val="22"/>
          <w:szCs w:val="22"/>
        </w:rPr>
        <w:t xml:space="preserve">•  Transportation networks (roads, railways, ports, airports)</w:t>
      </w:r>
    </w:p>
    <w:p>
      <w:pPr>
        <w:pStyle w:val="Normal"/>
        <w:ind w:left="720" w:hanging="360"/>
      </w:pPr>
      <w:r>
        <w:rPr>
          <w:rFonts w:ascii="Times New Roman" w:hAnsi="Times New Roman" w:eastAsia="Times New Roman" w:cs="Times New Roman"/>
          <w:color w:val="1A1A1A"/>
          <w:sz w:val="22"/>
          <w:szCs w:val="22"/>
        </w:rPr>
        <w:t xml:space="preserve">•  Water and sanitation systems</w:t>
      </w:r>
    </w:p>
    <w:p>
      <w:pPr>
        <w:pStyle w:val="Normal"/>
        <w:ind w:left="720" w:hanging="360"/>
      </w:pPr>
      <w:r>
        <w:rPr>
          <w:rFonts w:ascii="Times New Roman" w:hAnsi="Times New Roman" w:eastAsia="Times New Roman" w:cs="Times New Roman"/>
          <w:color w:val="1A1A1A"/>
          <w:sz w:val="22"/>
          <w:szCs w:val="22"/>
        </w:rPr>
        <w:t xml:space="preserve">•  Healthcare facilities and medical supply chains</w:t>
      </w:r>
    </w:p>
    <w:p>
      <w:pPr>
        <w:pStyle w:val="Normal"/>
        <w:ind w:left="720" w:hanging="360"/>
      </w:pPr>
      <w:r>
        <w:rPr>
          <w:rFonts w:ascii="Times New Roman" w:hAnsi="Times New Roman" w:eastAsia="Times New Roman" w:cs="Times New Roman"/>
          <w:color w:val="1A1A1A"/>
          <w:sz w:val="22"/>
          <w:szCs w:val="22"/>
        </w:rPr>
        <w:t xml:space="preserve">•  Educational institutions and research centers</w:t>
      </w:r>
    </w:p>
    <w:p>
      <w:pPr>
        <w:pStyle w:val="Normal"/>
        <w:ind w:left="720" w:hanging="360"/>
      </w:pPr>
      <w:r>
        <w:rPr>
          <w:rFonts w:ascii="Times New Roman" w:hAnsi="Times New Roman" w:eastAsia="Times New Roman" w:cs="Times New Roman"/>
          <w:color w:val="1A1A1A"/>
          <w:sz w:val="22"/>
          <w:szCs w:val="22"/>
        </w:rPr>
        <w:t xml:space="preserve">•  Residential housing and urban reconstruction</w:t>
      </w:r>
    </w:p>
    <w:p>
      <w:pPr>
        <w:pStyle w:val="Normal"/>
        <w:ind w:left="720" w:hanging="360"/>
      </w:pPr>
      <w:r>
        <w:rPr>
          <w:rFonts w:ascii="Times New Roman" w:hAnsi="Times New Roman" w:eastAsia="Times New Roman" w:cs="Times New Roman"/>
          <w:color w:val="1A1A1A"/>
          <w:sz w:val="22"/>
          <w:szCs w:val="22"/>
        </w:rPr>
        <w:t xml:space="preserve">•  Agricultural and food security infrastructure</w:t>
      </w:r>
    </w:p>
    <w:p>
      <w:pPr>
        <w:pStyle w:val="Normal"/>
      </w:pPr>
      <w:r>
        <w:rPr>
          <w:rFonts w:ascii="Times New Roman" w:hAnsi="Times New Roman" w:eastAsia="Times New Roman" w:cs="Times New Roman"/>
          <w:color w:val="1A1A1A"/>
          <w:sz w:val="22"/>
          <w:szCs w:val="22"/>
        </w:rPr>
        <w:t>The Parties further recognize that direct U.S. financial aid or un-vetted capital flows to Iran are politically impossible for Washington. The United States cannot be seen as paying for Iranian reconstruction without risking severe domestic political backlash and accusations of rewarding aggression. Conversely, Iran cannot accept direct U.S. funding without undermining its narrative of sovereign resilience and resistance.</w:t>
      </w:r>
    </w:p>
    <w:p>
      <w:pPr>
        <w:pStyle w:val="Normal"/>
      </w:pPr>
      <w:r>
        <w:rPr>
          <w:rFonts w:ascii="Times New Roman" w:hAnsi="Times New Roman" w:eastAsia="Times New Roman" w:cs="Times New Roman"/>
          <w:color w:val="1A1A1A"/>
          <w:sz w:val="22"/>
          <w:szCs w:val="22"/>
        </w:rPr>
        <w:t>This Annex therefore establishes the Multilateral Reconstruction Fund (MRF) -- a highly innovative, modular financial architecture that routes third-party capital, humanitarian aid, and industrial investments through neutral channels without requiring direct, high-visibility U.S. state funding or triggering primary U.S. sanctions lines.</w:t>
      </w:r>
    </w:p>
    <w:p>
      <w:pPr>
        <w:pStyle w:val="Normal"/>
      </w:pPr>
      <w:r>
        <w:rPr>
          <w:rFonts w:ascii="Times New Roman" w:hAnsi="Times New Roman" w:eastAsia="Times New Roman" w:cs="Times New Roman"/>
          <w:color w:val="1A1A1A"/>
          <w:sz w:val="22"/>
          <w:szCs w:val="22"/>
        </w:rPr>
        <w:t>The MRF operates on the following core principles:</w:t>
      </w:r>
    </w:p>
    <w:p>
      <w:pPr>
        <w:pStyle w:val="Heading3"/>
      </w:pPr>
      <w:r>
        <w:rPr>
          <w:rFonts w:ascii="Times New Roman" w:hAnsi="Times New Roman" w:eastAsia="Times New Roman" w:cs="Times New Roman"/>
          <w:b/>
          <w:i/>
          <w:color w:val="4A4A4A"/>
          <w:sz w:val="22"/>
          <w:szCs w:val="22"/>
        </w:rPr>
        <w:t>Third-Party Capital Aggregation</w:t>
      </w:r>
    </w:p>
    <w:p>
      <w:pPr>
        <w:pStyle w:val="Normal"/>
      </w:pPr>
      <w:r>
        <w:rPr>
          <w:rFonts w:ascii="Times New Roman" w:hAnsi="Times New Roman" w:eastAsia="Times New Roman" w:cs="Times New Roman"/>
          <w:color w:val="1A1A1A"/>
          <w:sz w:val="22"/>
          <w:szCs w:val="22"/>
        </w:rPr>
        <w:t>The MRF aggregates contributions from multiple sources -- sovereign wealth funds, international development banks, private investors, humanitarian organizations, and regional states -- into a neutral escrow administered by the State of Qatar and the World Bank.</w:t>
      </w:r>
    </w:p>
    <w:p>
      <w:pPr>
        <w:pStyle w:val="Heading3"/>
      </w:pPr>
      <w:r>
        <w:rPr>
          <w:rFonts w:ascii="Times New Roman" w:hAnsi="Times New Roman" w:eastAsia="Times New Roman" w:cs="Times New Roman"/>
          <w:b/>
          <w:i/>
          <w:color w:val="4A4A4A"/>
          <w:sz w:val="22"/>
          <w:szCs w:val="22"/>
        </w:rPr>
        <w:t>Iranian Sovereignty Over Project Selection</w:t>
      </w:r>
    </w:p>
    <w:p>
      <w:pPr>
        <w:pStyle w:val="Normal"/>
      </w:pPr>
      <w:r>
        <w:rPr>
          <w:rFonts w:ascii="Times New Roman" w:hAnsi="Times New Roman" w:eastAsia="Times New Roman" w:cs="Times New Roman"/>
          <w:color w:val="1A1A1A"/>
          <w:sz w:val="22"/>
          <w:szCs w:val="22"/>
        </w:rPr>
        <w:t>Iran retains full sovereign authority over reconstruction priorities and project selection. The MRF does not impose projects on Iran; Iran proposes projects, and the MRF funds those that meet technical and financial criteria.</w:t>
      </w:r>
    </w:p>
    <w:p>
      <w:pPr>
        <w:pStyle w:val="Heading3"/>
      </w:pPr>
      <w:r>
        <w:rPr>
          <w:rFonts w:ascii="Times New Roman" w:hAnsi="Times New Roman" w:eastAsia="Times New Roman" w:cs="Times New Roman"/>
          <w:b/>
          <w:i/>
          <w:color w:val="4A4A4A"/>
          <w:sz w:val="22"/>
          <w:szCs w:val="22"/>
        </w:rPr>
        <w:t>Neutral Channeling</w:t>
      </w:r>
    </w:p>
    <w:p>
      <w:pPr>
        <w:pStyle w:val="Normal"/>
      </w:pPr>
      <w:r>
        <w:rPr>
          <w:rFonts w:ascii="Times New Roman" w:hAnsi="Times New Roman" w:eastAsia="Times New Roman" w:cs="Times New Roman"/>
          <w:color w:val="1A1A1A"/>
          <w:sz w:val="22"/>
          <w:szCs w:val="22"/>
        </w:rPr>
        <w:t>All funds flow through the Qatar Central Bank, the World Bank, or other internationally recognized financial intermediaries. The United States does not disburse funds directly to Iran, and no U.S. government funds are co-mingled with MRF funds. U.S. contributions, if any, are limited to technical assistance, project identification, or capacity building -- never direct cash transfers.</w:t>
      </w:r>
    </w:p>
    <w:p>
      <w:pPr>
        <w:pStyle w:val="Heading3"/>
      </w:pPr>
      <w:r>
        <w:rPr>
          <w:rFonts w:ascii="Times New Roman" w:hAnsi="Times New Roman" w:eastAsia="Times New Roman" w:cs="Times New Roman"/>
          <w:b/>
          <w:i/>
          <w:color w:val="4A4A4A"/>
          <w:sz w:val="22"/>
          <w:szCs w:val="22"/>
        </w:rPr>
        <w:t>Modularity</w:t>
      </w:r>
    </w:p>
    <w:p>
      <w:pPr>
        <w:pStyle w:val="Normal"/>
      </w:pPr>
      <w:r>
        <w:rPr>
          <w:rFonts w:ascii="Times New Roman" w:hAnsi="Times New Roman" w:eastAsia="Times New Roman" w:cs="Times New Roman"/>
          <w:color w:val="1A1A1A"/>
          <w:sz w:val="22"/>
          <w:szCs w:val="22"/>
        </w:rPr>
        <w:t>The MRF divides into independent sub-funds, each addressing a specific sector (energy, water, transportation, healthcare, education, housing). Failure or delay in one sub-fund does not affect others.</w:t>
      </w:r>
    </w:p>
    <w:p>
      <w:pPr>
        <w:pStyle w:val="Heading3"/>
      </w:pPr>
      <w:r>
        <w:rPr>
          <w:rFonts w:ascii="Times New Roman" w:hAnsi="Times New Roman" w:eastAsia="Times New Roman" w:cs="Times New Roman"/>
          <w:b/>
          <w:i/>
          <w:color w:val="4A4A4A"/>
          <w:sz w:val="22"/>
          <w:szCs w:val="22"/>
        </w:rPr>
        <w:t>Performance-Based Disbursement</w:t>
      </w:r>
    </w:p>
    <w:p>
      <w:pPr>
        <w:pStyle w:val="Normal"/>
      </w:pPr>
      <w:r>
        <w:rPr>
          <w:rFonts w:ascii="Times New Roman" w:hAnsi="Times New Roman" w:eastAsia="Times New Roman" w:cs="Times New Roman"/>
          <w:color w:val="1A1A1A"/>
          <w:sz w:val="22"/>
          <w:szCs w:val="22"/>
        </w:rPr>
        <w:t>Like the Escrow Protocol, MRF disbursements are tied to verifiable milestones -- in this case, project completion, procurement verification, and independent auditing.</w:t>
      </w:r>
    </w:p>
    <w:p>
      <w:pPr>
        <w:pStyle w:val="Heading3"/>
      </w:pPr>
      <w:r>
        <w:rPr>
          <w:rFonts w:ascii="Times New Roman" w:hAnsi="Times New Roman" w:eastAsia="Times New Roman" w:cs="Times New Roman"/>
          <w:b/>
          <w:i/>
          <w:color w:val="4A4A4A"/>
          <w:sz w:val="22"/>
          <w:szCs w:val="22"/>
        </w:rPr>
        <w:t>Sanctions Firewall</w:t>
      </w:r>
    </w:p>
    <w:p>
      <w:pPr>
        <w:pStyle w:val="Normal"/>
      </w:pPr>
      <w:r>
        <w:rPr>
          <w:rFonts w:ascii="Times New Roman" w:hAnsi="Times New Roman" w:eastAsia="Times New Roman" w:cs="Times New Roman"/>
          <w:color w:val="1A1A1A"/>
          <w:sz w:val="22"/>
          <w:szCs w:val="22"/>
        </w:rPr>
        <w:t>MRF transactions are explicitly exempt from U.S. secondary sanctions. Participating financial institutions receive a general license from OFAC for all MRF-related activities.</w:t>
      </w:r>
    </w:p>
    <w:p>
      <w:pPr>
        <w:pStyle w:val="Heading1"/>
        <w:pageBreakBefore w:val="1"/>
      </w:pPr>
      <w:r>
        <w:rPr>
          <w:rFonts w:ascii="Times New Roman" w:hAnsi="Times New Roman" w:eastAsia="Times New Roman" w:cs="Times New Roman"/>
          <w:b/>
          <w:color w:val="1B3A4B"/>
          <w:sz w:val="28"/>
          <w:szCs w:val="28"/>
        </w:rPr>
        <w:t>Index</w:t>
      </w:r>
    </w:p>
    <w:p>
      <w:pPr>
        <w:pStyle w:val="Normal"/>
      </w:pPr>
      <w:r>
        <w:rPr>
          <w:rFonts w:ascii="Times New Roman" w:hAnsi="Times New Roman" w:eastAsia="Times New Roman" w:cs="Times New Roman"/>
          <w:color w:val="1A1A1A"/>
          <w:sz w:val="22"/>
          <w:szCs w:val="22"/>
        </w:rPr>
        <w:t>The following numbered index provides a complete guide to the articles, appendices, and major sections of this Annex with their corresponding page numbers.</w:t>
      </w:r>
    </w:p>
    <w:p>
      <w:pPr>
        <w:pStyle w:val="Normal"/>
      </w:pPr>
      <w:r>
        <w:rPr>
          <w:rFonts w:ascii="Times New Roman" w:hAnsi="Times New Roman" w:eastAsia="Times New Roman" w:cs="Times New Roman"/>
          <w:color w:val="1A1A1A"/>
          <w:sz w:val="22"/>
          <w:szCs w:val="22"/>
        </w:rPr>
        <w:t xml:space="preserve">  1. Preamble ....................................................... 1</w:t>
      </w:r>
    </w:p>
    <w:p>
      <w:pPr>
        <w:pStyle w:val="Normal"/>
      </w:pPr>
      <w:r>
        <w:rPr>
          <w:rFonts w:ascii="Times New Roman" w:hAnsi="Times New Roman" w:eastAsia="Times New Roman" w:cs="Times New Roman"/>
          <w:color w:val="1A1A1A"/>
          <w:sz w:val="22"/>
          <w:szCs w:val="22"/>
        </w:rPr>
        <w:t xml:space="preserve">  2. Article 1: Definitions ........................................ 1</w:t>
      </w:r>
    </w:p>
    <w:p>
      <w:pPr>
        <w:pStyle w:val="Normal"/>
      </w:pPr>
      <w:r>
        <w:rPr>
          <w:rFonts w:ascii="Times New Roman" w:hAnsi="Times New Roman" w:eastAsia="Times New Roman" w:cs="Times New Roman"/>
          <w:color w:val="1A1A1A"/>
          <w:sz w:val="22"/>
          <w:szCs w:val="22"/>
        </w:rPr>
        <w:t xml:space="preserve">  3. Article 2: Capital Aggregation and Escrow ..................... 9</w:t>
      </w:r>
    </w:p>
    <w:p>
      <w:pPr>
        <w:pStyle w:val="Normal"/>
      </w:pPr>
      <w:r>
        <w:rPr>
          <w:rFonts w:ascii="Times New Roman" w:hAnsi="Times New Roman" w:eastAsia="Times New Roman" w:cs="Times New Roman"/>
          <w:color w:val="1A1A1A"/>
          <w:sz w:val="22"/>
          <w:szCs w:val="22"/>
        </w:rPr>
        <w:t xml:space="preserve">  4. Article 3: Project Proposal and Approval Process .............. 12</w:t>
      </w:r>
    </w:p>
    <w:p>
      <w:pPr>
        <w:pStyle w:val="Normal"/>
      </w:pPr>
      <w:r>
        <w:rPr>
          <w:rFonts w:ascii="Times New Roman" w:hAnsi="Times New Roman" w:eastAsia="Times New Roman" w:cs="Times New Roman"/>
          <w:color w:val="1A1A1A"/>
          <w:sz w:val="22"/>
          <w:szCs w:val="22"/>
        </w:rPr>
        <w:t xml:space="preserve">  5. Article 4: Disbursement and Verification ...................... 16</w:t>
      </w:r>
    </w:p>
    <w:p>
      <w:pPr>
        <w:pStyle w:val="Normal"/>
      </w:pPr>
      <w:r>
        <w:rPr>
          <w:rFonts w:ascii="Times New Roman" w:hAnsi="Times New Roman" w:eastAsia="Times New Roman" w:cs="Times New Roman"/>
          <w:color w:val="1A1A1A"/>
          <w:sz w:val="22"/>
          <w:szCs w:val="22"/>
        </w:rPr>
        <w:t xml:space="preserve">  6. Article 5: Governance and Transparency ........................ 16</w:t>
      </w:r>
    </w:p>
    <w:p>
      <w:pPr>
        <w:pStyle w:val="Normal"/>
      </w:pPr>
      <w:r>
        <w:rPr>
          <w:rFonts w:ascii="Times New Roman" w:hAnsi="Times New Roman" w:eastAsia="Times New Roman" w:cs="Times New Roman"/>
          <w:color w:val="1A1A1A"/>
          <w:sz w:val="22"/>
          <w:szCs w:val="22"/>
        </w:rPr>
        <w:t xml:space="preserve">  7. Article 6: Relationship to Other Annexes ...................... 20</w:t>
      </w:r>
    </w:p>
    <w:p>
      <w:pPr>
        <w:pStyle w:val="Normal"/>
      </w:pPr>
      <w:r>
        <w:rPr>
          <w:rFonts w:ascii="Times New Roman" w:hAnsi="Times New Roman" w:eastAsia="Times New Roman" w:cs="Times New Roman"/>
          <w:color w:val="1A1A1A"/>
          <w:sz w:val="22"/>
          <w:szCs w:val="22"/>
        </w:rPr>
        <w:t xml:space="preserve">  8. Article 7: Duration and Supersession .......................... 20</w:t>
      </w:r>
    </w:p>
    <w:p>
      <w:pPr>
        <w:pStyle w:val="Normal"/>
      </w:pPr>
      <w:r>
        <w:rPr>
          <w:rFonts w:ascii="Times New Roman" w:hAnsi="Times New Roman" w:eastAsia="Times New Roman" w:cs="Times New Roman"/>
          <w:color w:val="1A1A1A"/>
          <w:sz w:val="22"/>
          <w:szCs w:val="22"/>
        </w:rPr>
        <w:t xml:space="preserve">  9. Article 8: Sovereign Procurement and Non-Directed Purchasing .. 24</w:t>
      </w:r>
    </w:p>
    <w:p>
      <w:pPr>
        <w:pStyle w:val="Normal"/>
      </w:pPr>
      <w:r>
        <w:rPr>
          <w:rFonts w:ascii="Times New Roman" w:hAnsi="Times New Roman" w:eastAsia="Times New Roman" w:cs="Times New Roman"/>
          <w:color w:val="1A1A1A"/>
          <w:sz w:val="22"/>
          <w:szCs w:val="22"/>
        </w:rPr>
        <w:t xml:space="preserve"> 10. Appendix A: Capital Contributor Registry ...................... 24</w:t>
      </w:r>
    </w:p>
    <w:p>
      <w:pPr>
        <w:pStyle w:val="Normal"/>
      </w:pPr>
      <w:r>
        <w:rPr>
          <w:rFonts w:ascii="Times New Roman" w:hAnsi="Times New Roman" w:eastAsia="Times New Roman" w:cs="Times New Roman"/>
          <w:color w:val="1A1A1A"/>
          <w:sz w:val="22"/>
          <w:szCs w:val="22"/>
        </w:rPr>
        <w:t xml:space="preserve"> 11. Appendix B: Regional Development Funds and Grant Programs ..... 28</w:t>
      </w:r>
    </w:p>
    <w:p>
      <w:pPr>
        <w:pStyle w:val="Normal"/>
      </w:pPr>
      <w:r>
        <w:rPr>
          <w:rFonts w:ascii="Times New Roman" w:hAnsi="Times New Roman" w:eastAsia="Times New Roman" w:cs="Times New Roman"/>
          <w:color w:val="1A1A1A"/>
          <w:sz w:val="22"/>
          <w:szCs w:val="22"/>
        </w:rPr>
        <w:t xml:space="preserve"> 12. Appendix C: The Multilateral Architecture ..................... 31</w:t>
      </w:r>
    </w:p>
    <w:p>
      <w:pPr>
        <w:pStyle w:val="Normal"/>
      </w:pPr>
      <w:r>
        <w:rPr>
          <w:rFonts w:ascii="Times New Roman" w:hAnsi="Times New Roman" w:eastAsia="Times New Roman" w:cs="Times New Roman"/>
          <w:color w:val="1A1A1A"/>
          <w:sz w:val="22"/>
          <w:szCs w:val="22"/>
        </w:rPr>
        <w:t xml:space="preserve"> 13. Appendix D: Supplementary Regional Programs ................... 31</w:t>
      </w:r>
    </w:p>
    <w:p>
      <w:pPr>
        <w:pStyle w:val="Normal"/>
      </w:pPr>
      <w:r>
        <w:rPr>
          <w:rFonts w:ascii="Times New Roman" w:hAnsi="Times New Roman" w:eastAsia="Times New Roman" w:cs="Times New Roman"/>
          <w:color w:val="1A1A1A"/>
          <w:sz w:val="22"/>
          <w:szCs w:val="22"/>
        </w:rPr>
        <w:t xml:space="preserve"> 14. Appendix E: International Funding Sources and Application Pathways ........ 35</w:t>
      </w:r>
    </w:p>
    <w:p>
      <w:pPr>
        <w:pStyle w:val="Normal"/>
      </w:pPr>
      <w:r>
        <w:rPr>
          <w:rFonts w:ascii="Times New Roman" w:hAnsi="Times New Roman" w:eastAsia="Times New Roman" w:cs="Times New Roman"/>
          <w:color w:val="1A1A1A"/>
          <w:sz w:val="22"/>
          <w:szCs w:val="22"/>
        </w:rPr>
        <w:t xml:space="preserve"> 15. Appendix F: Force Majeure and Sanctions Reimposition Fallback Protocol ... 43</w:t>
      </w:r>
    </w:p>
    <w:p>
      <w:pPr>
        <w:pStyle w:val="Normal"/>
      </w:pPr>
      <w:r>
        <w:rPr>
          <w:rFonts w:ascii="Times New Roman" w:hAnsi="Times New Roman" w:eastAsia="Times New Roman" w:cs="Times New Roman"/>
          <w:color w:val="1A1A1A"/>
          <w:sz w:val="22"/>
          <w:szCs w:val="22"/>
        </w:rPr>
        <w:t xml:space="preserve"> 16. Appendix G: Additional International Funding Sources ........... 47</w:t>
      </w:r>
    </w:p>
    <w:p>
      <w:pPr>
        <w:pStyle w:val="Normal"/>
      </w:pPr>
      <w:r>
        <w:rPr>
          <w:rFonts w:ascii="Times New Roman" w:hAnsi="Times New Roman" w:eastAsia="Times New Roman" w:cs="Times New Roman"/>
          <w:color w:val="1A1A1A"/>
          <w:sz w:val="22"/>
          <w:szCs w:val="22"/>
        </w:rPr>
        <w:t xml:space="preserve"> 17. Appendix H: Global South, BRICS, and Regional Development Partners .... 54</w:t>
      </w:r>
    </w:p>
    <w:p>
      <w:pPr>
        <w:pStyle w:val="Normal"/>
      </w:pPr>
      <w:r>
        <w:rPr>
          <w:rFonts w:ascii="Times New Roman" w:hAnsi="Times New Roman" w:eastAsia="Times New Roman" w:cs="Times New Roman"/>
          <w:color w:val="1A1A1A"/>
          <w:sz w:val="22"/>
          <w:szCs w:val="22"/>
        </w:rPr>
        <w:t xml:space="preserve"> 18. Appendix I: Country-by-Country Funding Sources ................ 58</w:t>
      </w:r>
    </w:p>
    <w:p>
      <w:pPr>
        <w:pStyle w:val="Heading1"/>
      </w:pPr>
      <w:bookmarkStart w:name="_Toc002" w:id="2"/>
      <w:r>
        <w:rPr>
          <w:rFonts w:ascii="Times New Roman" w:hAnsi="Times New Roman" w:eastAsia="Times New Roman" w:cs="Times New Roman"/>
          <w:b/>
          <w:color w:val="1B3A4B"/>
          <w:sz w:val="28"/>
          <w:szCs w:val="28"/>
        </w:rPr>
        <w:t>Article 1: Definitions</w:t>
      </w:r>
      <w:bookmarkEnd w:id="2"/>
    </w:p>
    <w:p>
      <w:pPr>
        <w:pStyle w:val="Heading2"/>
      </w:pPr>
      <w:r>
        <w:rPr>
          <w:rFonts w:ascii="Times New Roman" w:hAnsi="Times New Roman" w:eastAsia="Times New Roman" w:cs="Times New Roman"/>
          <w:b/>
          <w:color w:val="2E5A6B"/>
          <w:sz w:val="24"/>
          <w:szCs w:val="24"/>
        </w:rPr>
        <w:t>1.1 Multilateral Reconstruction Fund (MRF)</w:t>
      </w:r>
    </w:p>
    <w:p>
      <w:pPr>
        <w:pStyle w:val="Normal"/>
      </w:pPr>
      <w:r>
        <w:rPr>
          <w:rFonts w:ascii="Times New Roman" w:hAnsi="Times New Roman" w:eastAsia="Times New Roman" w:cs="Times New Roman"/>
          <w:color w:val="1A1A1A"/>
          <w:sz w:val="22"/>
          <w:szCs w:val="22"/>
        </w:rPr>
        <w:t>The MRF is the central vehicle for aggregating, administering, and disbursing reconstruction capital. It consists of multiple sub-funds, each dedicated to a specific sector.</w:t>
      </w:r>
    </w:p>
    <w:p>
      <w:pPr>
        <w:pStyle w:val="Heading2"/>
      </w:pPr>
      <w:r>
        <w:rPr>
          <w:rFonts w:ascii="Times New Roman" w:hAnsi="Times New Roman" w:eastAsia="Times New Roman" w:cs="Times New Roman"/>
          <w:b/>
          <w:color w:val="2E5A6B"/>
          <w:sz w:val="24"/>
          <w:szCs w:val="24"/>
        </w:rPr>
        <w:t>1.2 Sub-Funds</w:t>
      </w:r>
    </w:p>
    <w:p>
      <w:pPr>
        <w:pStyle w:val="Normal"/>
      </w:pPr>
      <w:r>
        <w:rPr>
          <w:rFonts w:ascii="Times New Roman" w:hAnsi="Times New Roman" w:eastAsia="Times New Roman" w:cs="Times New Roman"/>
          <w:color w:val="1A1A1A"/>
          <w:sz w:val="22"/>
          <w:szCs w:val="22"/>
        </w:rPr>
        <w:t>The MRF comprises the following Sub-Funds, each with its own governance, project pipeline, and disbursement schedule:</w:t>
      </w:r>
    </w:p>
    <w:tbl>
      <w:tblPr>
        <w:tblW w:w="5000" w:type="pct"/>
        <w:tblBorders>
          <w:top w:val="single" w:color="1B3A4B" w:sz="12"/>
          <w:left w:val="nil"/>
          <w:bottom w:val="single" w:color="1B3A4B" w:sz="12"/>
          <w:right w:val="nil"/>
          <w:insideH w:val="single" w:color="b0b0b0" w:sz="4"/>
          <w:insideV w:val="nil"/>
        </w:tblBorders>
      </w:tblPr>
      <w:tblGrid>
        <w:gridCol w:w="1800"/>
        <w:gridCol w:w="4200"/>
        <w:gridCol w:w="2000"/>
      </w:tblGrid>
      <w:tr>
        <w:trPr>
          <w:tblHeader w:val="1"/>
        </w:trPr>
        <w:tc>
          <w:tcPr>
            <w:tcW w:w="1800" w:type="dxa"/>
            <w:shd w:val="clear" w:fill="E8EEF2" w:color="auto"/>
          </w:tcPr>
          <w:p>
            <w:pPr>
              <w:pStyle w:val="Normal"/>
              <w:spacing w:before="60" w:after="60"/>
              <w:jc w:val="center"/>
            </w:pPr>
            <w:r>
              <w:rPr>
                <w:b/>
                <w:color w:val="1A1A1A"/>
                <w:sz w:val="20"/>
                <w:rFonts w:ascii="Times New Roman" w:hAnsi="Times New Roman" w:eastAsia="Times New Roman" w:cs="Times New Roman"/>
                <w:szCs w:val="20"/>
              </w:rPr>
              <w:t>Sub-Fund</w:t>
            </w:r>
          </w:p>
        </w:tc>
        <w:tc>
          <w:tcPr>
            <w:tcW w:w="4200" w:type="dxa"/>
            <w:shd w:val="clear" w:fill="E8EEF2" w:color="auto"/>
          </w:tcPr>
          <w:p>
            <w:pPr>
              <w:pStyle w:val="Normal"/>
              <w:spacing w:before="60" w:after="60"/>
              <w:jc w:val="center"/>
            </w:pPr>
            <w:r>
              <w:rPr>
                <w:b/>
                <w:color w:val="1A1A1A"/>
                <w:sz w:val="20"/>
                <w:rFonts w:ascii="Times New Roman" w:hAnsi="Times New Roman" w:eastAsia="Times New Roman" w:cs="Times New Roman"/>
                <w:szCs w:val="20"/>
              </w:rPr>
              <w:t>Sector</w:t>
            </w:r>
          </w:p>
        </w:tc>
        <w:tc>
          <w:tcPr>
            <w:tcW w:w="2000" w:type="dxa"/>
            <w:shd w:val="clear" w:fill="E8EEF2" w:color="auto"/>
          </w:tcPr>
          <w:p>
            <w:pPr>
              <w:pStyle w:val="Normal"/>
              <w:spacing w:before="60" w:after="60"/>
              <w:jc w:val="center"/>
            </w:pPr>
            <w:r>
              <w:rPr>
                <w:b/>
                <w:color w:val="1A1A1A"/>
                <w:sz w:val="20"/>
                <w:rFonts w:ascii="Times New Roman" w:hAnsi="Times New Roman" w:eastAsia="Times New Roman" w:cs="Times New Roman"/>
                <w:szCs w:val="20"/>
              </w:rPr>
              <w:t>Target Capitalization (10-Year)</w:t>
            </w:r>
          </w:p>
        </w:tc>
      </w:tr>
      <w:tr>
        <w:tc>
          <w:tcPr>
            <w:tcW w:w="1800" w:type="dxa"/>
          </w:tcPr>
          <w:p>
            <w:pPr>
              <w:pStyle w:val="Normal"/>
              <w:spacing w:before="40" w:after="40"/>
            </w:pPr>
            <w:r>
              <w:rPr>
                <w:color w:val="1A1A1A"/>
                <w:sz w:val="20"/>
                <w:rFonts w:ascii="Times New Roman" w:hAnsi="Times New Roman" w:eastAsia="Times New Roman" w:cs="Times New Roman"/>
                <w:szCs w:val="20"/>
              </w:rPr>
              <w:t>MRF-Energy</w:t>
            </w:r>
          </w:p>
        </w:tc>
        <w:tc>
          <w:tcPr>
            <w:tcW w:w="4200" w:type="dxa"/>
          </w:tcPr>
          <w:p>
            <w:pPr>
              <w:pStyle w:val="Normal"/>
              <w:spacing w:before="40" w:after="40"/>
            </w:pPr>
            <w:r>
              <w:rPr>
                <w:color w:val="1A1A1A"/>
                <w:sz w:val="20"/>
                <w:rFonts w:ascii="Times New Roman" w:hAnsi="Times New Roman" w:eastAsia="Times New Roman" w:cs="Times New Roman"/>
                <w:szCs w:val="20"/>
              </w:rPr>
              <w:t>Power plants, refineries, renewable energy, grid modernization</w:t>
            </w:r>
          </w:p>
        </w:tc>
        <w:tc>
          <w:tcPr>
            <w:tcW w:w="2000" w:type="dxa"/>
          </w:tcPr>
          <w:p>
            <w:pPr>
              <w:pStyle w:val="Normal"/>
              <w:spacing w:before="40" w:after="40"/>
            </w:pPr>
            <w:r>
              <w:rPr>
                <w:color w:val="1A1A1A"/>
                <w:sz w:val="20"/>
                <w:rFonts w:ascii="Times New Roman" w:hAnsi="Times New Roman" w:eastAsia="Times New Roman" w:cs="Times New Roman"/>
                <w:szCs w:val="20"/>
              </w:rPr>
              <w:t>$80 billion</w:t>
            </w:r>
          </w:p>
        </w:tc>
      </w:tr>
      <w:tr>
        <w:tc>
          <w:tcPr>
            <w:tcW w:w="1800" w:type="dxa"/>
          </w:tcPr>
          <w:p>
            <w:pPr>
              <w:pStyle w:val="Normal"/>
              <w:spacing w:before="40" w:after="40"/>
            </w:pPr>
            <w:r>
              <w:rPr>
                <w:color w:val="1A1A1A"/>
                <w:sz w:val="20"/>
                <w:rFonts w:ascii="Times New Roman" w:hAnsi="Times New Roman" w:eastAsia="Times New Roman" w:cs="Times New Roman"/>
                <w:szCs w:val="20"/>
              </w:rPr>
              <w:t>MRF-Water</w:t>
            </w:r>
          </w:p>
        </w:tc>
        <w:tc>
          <w:tcPr>
            <w:tcW w:w="4200" w:type="dxa"/>
          </w:tcPr>
          <w:p>
            <w:pPr>
              <w:pStyle w:val="Normal"/>
              <w:spacing w:before="40" w:after="40"/>
            </w:pPr>
            <w:r>
              <w:rPr>
                <w:color w:val="1A1A1A"/>
                <w:sz w:val="20"/>
                <w:rFonts w:ascii="Times New Roman" w:hAnsi="Times New Roman" w:eastAsia="Times New Roman" w:cs="Times New Roman"/>
                <w:szCs w:val="20"/>
              </w:rPr>
              <w:t>Water treatment, desalination, irrigation, sanitation</w:t>
            </w:r>
          </w:p>
        </w:tc>
        <w:tc>
          <w:tcPr>
            <w:tcW w:w="2000" w:type="dxa"/>
          </w:tcPr>
          <w:p>
            <w:pPr>
              <w:pStyle w:val="Normal"/>
              <w:spacing w:before="40" w:after="40"/>
            </w:pPr>
            <w:r>
              <w:rPr>
                <w:color w:val="1A1A1A"/>
                <w:sz w:val="20"/>
                <w:rFonts w:ascii="Times New Roman" w:hAnsi="Times New Roman" w:eastAsia="Times New Roman" w:cs="Times New Roman"/>
                <w:szCs w:val="20"/>
              </w:rPr>
              <w:t>$40 billion</w:t>
            </w:r>
          </w:p>
        </w:tc>
      </w:tr>
      <w:tr>
        <w:tc>
          <w:tcPr>
            <w:tcW w:w="1800" w:type="dxa"/>
          </w:tcPr>
          <w:p>
            <w:pPr>
              <w:pStyle w:val="Normal"/>
              <w:spacing w:before="40" w:after="40"/>
            </w:pPr>
            <w:r>
              <w:rPr>
                <w:color w:val="1A1A1A"/>
                <w:sz w:val="20"/>
                <w:rFonts w:ascii="Times New Roman" w:hAnsi="Times New Roman" w:eastAsia="Times New Roman" w:cs="Times New Roman"/>
                <w:szCs w:val="20"/>
              </w:rPr>
              <w:t>MRF-Transport</w:t>
            </w:r>
          </w:p>
        </w:tc>
        <w:tc>
          <w:tcPr>
            <w:tcW w:w="4200" w:type="dxa"/>
          </w:tcPr>
          <w:p>
            <w:pPr>
              <w:pStyle w:val="Normal"/>
              <w:spacing w:before="40" w:after="40"/>
            </w:pPr>
            <w:r>
              <w:rPr>
                <w:color w:val="1A1A1A"/>
                <w:sz w:val="20"/>
                <w:rFonts w:ascii="Times New Roman" w:hAnsi="Times New Roman" w:eastAsia="Times New Roman" w:cs="Times New Roman"/>
                <w:szCs w:val="20"/>
              </w:rPr>
              <w:t>Roads, railways, ports, airports, urban transit</w:t>
            </w:r>
          </w:p>
        </w:tc>
        <w:tc>
          <w:tcPr>
            <w:tcW w:w="2000" w:type="dxa"/>
          </w:tcPr>
          <w:p>
            <w:pPr>
              <w:pStyle w:val="Normal"/>
              <w:spacing w:before="40" w:after="40"/>
            </w:pPr>
            <w:r>
              <w:rPr>
                <w:color w:val="1A1A1A"/>
                <w:sz w:val="20"/>
                <w:rFonts w:ascii="Times New Roman" w:hAnsi="Times New Roman" w:eastAsia="Times New Roman" w:cs="Times New Roman"/>
                <w:szCs w:val="20"/>
              </w:rPr>
              <w:t>$50 billion</w:t>
            </w:r>
          </w:p>
        </w:tc>
      </w:tr>
      <w:tr>
        <w:tc>
          <w:tcPr>
            <w:tcW w:w="1800" w:type="dxa"/>
          </w:tcPr>
          <w:p>
            <w:pPr>
              <w:pStyle w:val="Normal"/>
              <w:spacing w:before="40" w:after="40"/>
            </w:pPr>
            <w:r>
              <w:rPr>
                <w:color w:val="1A1A1A"/>
                <w:sz w:val="20"/>
                <w:rFonts w:ascii="Times New Roman" w:hAnsi="Times New Roman" w:eastAsia="Times New Roman" w:cs="Times New Roman"/>
                <w:szCs w:val="20"/>
              </w:rPr>
              <w:t>MRF-Health</w:t>
            </w:r>
          </w:p>
        </w:tc>
        <w:tc>
          <w:tcPr>
            <w:tcW w:w="4200" w:type="dxa"/>
          </w:tcPr>
          <w:p>
            <w:pPr>
              <w:pStyle w:val="Normal"/>
              <w:spacing w:before="40" w:after="40"/>
            </w:pPr>
            <w:r>
              <w:rPr>
                <w:color w:val="1A1A1A"/>
                <w:sz w:val="20"/>
                <w:rFonts w:ascii="Times New Roman" w:hAnsi="Times New Roman" w:eastAsia="Times New Roman" w:cs="Times New Roman"/>
                <w:szCs w:val="20"/>
              </w:rPr>
              <w:t>Hospitals, clinics, medical supply chains, pandemic preparedness</w:t>
            </w:r>
          </w:p>
        </w:tc>
        <w:tc>
          <w:tcPr>
            <w:tcW w:w="2000" w:type="dxa"/>
          </w:tcPr>
          <w:p>
            <w:pPr>
              <w:pStyle w:val="Normal"/>
              <w:spacing w:before="40" w:after="40"/>
            </w:pPr>
            <w:r>
              <w:rPr>
                <w:color w:val="1A1A1A"/>
                <w:sz w:val="20"/>
                <w:rFonts w:ascii="Times New Roman" w:hAnsi="Times New Roman" w:eastAsia="Times New Roman" w:cs="Times New Roman"/>
                <w:szCs w:val="20"/>
              </w:rPr>
              <w:t>$25 billion</w:t>
            </w:r>
          </w:p>
        </w:tc>
      </w:tr>
      <w:tr>
        <w:tc>
          <w:tcPr>
            <w:tcW w:w="1800" w:type="dxa"/>
          </w:tcPr>
          <w:p>
            <w:pPr>
              <w:pStyle w:val="Normal"/>
              <w:spacing w:before="40" w:after="40"/>
            </w:pPr>
            <w:r>
              <w:rPr>
                <w:color w:val="1A1A1A"/>
                <w:sz w:val="20"/>
                <w:rFonts w:ascii="Times New Roman" w:hAnsi="Times New Roman" w:eastAsia="Times New Roman" w:cs="Times New Roman"/>
                <w:szCs w:val="20"/>
              </w:rPr>
              <w:t>MRF-Education</w:t>
            </w:r>
          </w:p>
        </w:tc>
        <w:tc>
          <w:tcPr>
            <w:tcW w:w="4200" w:type="dxa"/>
          </w:tcPr>
          <w:p>
            <w:pPr>
              <w:pStyle w:val="Normal"/>
              <w:spacing w:before="40" w:after="40"/>
            </w:pPr>
            <w:r>
              <w:rPr>
                <w:color w:val="1A1A1A"/>
                <w:sz w:val="20"/>
                <w:rFonts w:ascii="Times New Roman" w:hAnsi="Times New Roman" w:eastAsia="Times New Roman" w:cs="Times New Roman"/>
                <w:szCs w:val="20"/>
              </w:rPr>
              <w:t>Schools, universities, research centers, vocational training</w:t>
            </w:r>
          </w:p>
        </w:tc>
        <w:tc>
          <w:tcPr>
            <w:tcW w:w="2000" w:type="dxa"/>
          </w:tcPr>
          <w:p>
            <w:pPr>
              <w:pStyle w:val="Normal"/>
              <w:spacing w:before="40" w:after="40"/>
            </w:pPr>
            <w:r>
              <w:rPr>
                <w:color w:val="1A1A1A"/>
                <w:sz w:val="20"/>
                <w:rFonts w:ascii="Times New Roman" w:hAnsi="Times New Roman" w:eastAsia="Times New Roman" w:cs="Times New Roman"/>
                <w:szCs w:val="20"/>
              </w:rPr>
              <w:t>$20 billion</w:t>
            </w:r>
          </w:p>
        </w:tc>
      </w:tr>
      <w:tr>
        <w:tc>
          <w:tcPr>
            <w:tcW w:w="1800" w:type="dxa"/>
          </w:tcPr>
          <w:p>
            <w:pPr>
              <w:pStyle w:val="Normal"/>
              <w:spacing w:before="40" w:after="40"/>
            </w:pPr>
            <w:r>
              <w:rPr>
                <w:color w:val="1A1A1A"/>
                <w:sz w:val="20"/>
                <w:rFonts w:ascii="Times New Roman" w:hAnsi="Times New Roman" w:eastAsia="Times New Roman" w:cs="Times New Roman"/>
                <w:szCs w:val="20"/>
              </w:rPr>
              <w:t>MRF-Housing</w:t>
            </w:r>
          </w:p>
        </w:tc>
        <w:tc>
          <w:tcPr>
            <w:tcW w:w="4200" w:type="dxa"/>
          </w:tcPr>
          <w:p>
            <w:pPr>
              <w:pStyle w:val="Normal"/>
              <w:spacing w:before="40" w:after="40"/>
            </w:pPr>
            <w:r>
              <w:rPr>
                <w:color w:val="1A1A1A"/>
                <w:sz w:val="20"/>
                <w:rFonts w:ascii="Times New Roman" w:hAnsi="Times New Roman" w:eastAsia="Times New Roman" w:cs="Times New Roman"/>
                <w:szCs w:val="20"/>
              </w:rPr>
              <w:t>Urban reconstruction, earthquake-resistant housing, slum upgrading</w:t>
            </w:r>
          </w:p>
        </w:tc>
        <w:tc>
          <w:tcPr>
            <w:tcW w:w="2000" w:type="dxa"/>
          </w:tcPr>
          <w:p>
            <w:pPr>
              <w:pStyle w:val="Normal"/>
              <w:spacing w:before="40" w:after="40"/>
            </w:pPr>
            <w:r>
              <w:rPr>
                <w:color w:val="1A1A1A"/>
                <w:sz w:val="20"/>
                <w:rFonts w:ascii="Times New Roman" w:hAnsi="Times New Roman" w:eastAsia="Times New Roman" w:cs="Times New Roman"/>
                <w:szCs w:val="20"/>
              </w:rPr>
              <w:t>$35 billion</w:t>
            </w:r>
          </w:p>
        </w:tc>
      </w:tr>
      <w:tr>
        <w:tc>
          <w:tcPr>
            <w:tcW w:w="1800" w:type="dxa"/>
          </w:tcPr>
          <w:p>
            <w:pPr>
              <w:pStyle w:val="Normal"/>
              <w:spacing w:before="40" w:after="40"/>
            </w:pPr>
            <w:r>
              <w:rPr>
                <w:color w:val="1A1A1A"/>
                <w:sz w:val="20"/>
                <w:rFonts w:ascii="Times New Roman" w:hAnsi="Times New Roman" w:eastAsia="Times New Roman" w:cs="Times New Roman"/>
                <w:szCs w:val="20"/>
              </w:rPr>
              <w:t>MRF-Agriculture</w:t>
            </w:r>
          </w:p>
        </w:tc>
        <w:tc>
          <w:tcPr>
            <w:tcW w:w="4200" w:type="dxa"/>
          </w:tcPr>
          <w:p>
            <w:pPr>
              <w:pStyle w:val="Normal"/>
              <w:spacing w:before="40" w:after="40"/>
            </w:pPr>
            <w:r>
              <w:rPr>
                <w:color w:val="1A1A1A"/>
                <w:sz w:val="20"/>
                <w:rFonts w:ascii="Times New Roman" w:hAnsi="Times New Roman" w:eastAsia="Times New Roman" w:cs="Times New Roman"/>
                <w:szCs w:val="20"/>
              </w:rPr>
              <w:t>Food security, irrigation, agricultural technology, rural development</w:t>
            </w:r>
          </w:p>
        </w:tc>
        <w:tc>
          <w:tcPr>
            <w:tcW w:w="2000" w:type="dxa"/>
          </w:tcPr>
          <w:p>
            <w:pPr>
              <w:pStyle w:val="Normal"/>
              <w:spacing w:before="40" w:after="40"/>
            </w:pPr>
            <w:r>
              <w:rPr>
                <w:color w:val="1A1A1A"/>
                <w:sz w:val="20"/>
                <w:rFonts w:ascii="Times New Roman" w:hAnsi="Times New Roman" w:eastAsia="Times New Roman" w:cs="Times New Roman"/>
                <w:szCs w:val="20"/>
              </w:rPr>
              <w:t>$20 billion</w:t>
            </w:r>
          </w:p>
        </w:tc>
      </w:tr>
      <w:tr>
        <w:tc>
          <w:tcPr>
            <w:tcW w:w="1800" w:type="dxa"/>
          </w:tcPr>
          <w:p>
            <w:pPr>
              <w:pStyle w:val="Normal"/>
              <w:spacing w:before="40" w:after="40"/>
            </w:pPr>
            <w:r>
              <w:rPr>
                <w:b/>
                <w:color w:val="1A1A1A"/>
                <w:sz w:val="20"/>
                <w:rFonts w:ascii="Times New Roman" w:hAnsi="Times New Roman" w:eastAsia="Times New Roman" w:cs="Times New Roman"/>
                <w:szCs w:val="20"/>
              </w:rPr>
              <w:t>TOTAL</w:t>
            </w:r>
          </w:p>
        </w:tc>
        <w:tc>
          <w:tcPr>
            <w:tcW w:w="4200" w:type="dxa"/>
          </w:tcPr>
          <w:p>
            <w:pPr>
              <w:pStyle w:val="Normal"/>
              <w:spacing w:before="40" w:after="40"/>
            </w:pPr>
            <w:r>
              <w:rPr>
                <w:b/>
                <w:color w:val="1A1A1A"/>
                <w:sz w:val="20"/>
                <w:rFonts w:ascii="Times New Roman" w:hAnsi="Times New Roman" w:eastAsia="Times New Roman" w:cs="Times New Roman"/>
                <w:szCs w:val="20"/>
              </w:rPr>
              <w:t>All Sectors</w:t>
            </w:r>
          </w:p>
        </w:tc>
        <w:tc>
          <w:tcPr>
            <w:tcW w:w="2000" w:type="dxa"/>
          </w:tcPr>
          <w:p>
            <w:pPr>
              <w:pStyle w:val="Normal"/>
              <w:spacing w:before="40" w:after="40"/>
            </w:pPr>
            <w:r>
              <w:rPr>
                <w:b/>
                <w:color w:val="1A1A1A"/>
                <w:sz w:val="20"/>
                <w:rFonts w:ascii="Times New Roman" w:hAnsi="Times New Roman" w:eastAsia="Times New Roman" w:cs="Times New Roman"/>
                <w:szCs w:val="20"/>
              </w:rPr>
              <w:t>$270 billion</w:t>
            </w:r>
          </w:p>
        </w:tc>
      </w:tr>
    </w:tbl>
    <w:p>
      <w:pPr>
        <w:pStyle w:val="Heading2"/>
      </w:pPr>
      <w:r>
        <w:rPr>
          <w:rFonts w:ascii="Times New Roman" w:hAnsi="Times New Roman" w:eastAsia="Times New Roman" w:cs="Times New Roman"/>
          <w:b/>
          <w:color w:val="2E5A6B"/>
          <w:sz w:val="24"/>
          <w:szCs w:val="24"/>
        </w:rPr>
        <w:t>1.2(b) Iranian National Development Fund Co-Financing Match</w:t>
      </w:r>
    </w:p>
    <w:p>
      <w:pPr>
        <w:pStyle w:val="Normal"/>
      </w:pPr>
      <w:r>
        <w:rPr>
          <w:rFonts w:ascii="Times New Roman" w:hAnsi="Times New Roman" w:eastAsia="Times New Roman" w:cs="Times New Roman"/>
          <w:color w:val="1A1A1A"/>
          <w:sz w:val="22"/>
          <w:szCs w:val="22"/>
        </w:rPr>
        <w:t>All MRF projects above $100 million require a 20% local co-financing contribution from Iran's National Development Fund (NDF). The NDF, a sovereign wealth fund derived from oil and gas revenues, provides the local match in Iranian rial or in-kind land and resource concessions. The co-financing structure operates as follows:</w:t>
      </w:r>
    </w:p>
    <w:p>
      <w:pPr>
        <w:pStyle w:val="Normal"/>
      </w:pPr>
      <w:r>
        <w:rPr>
          <w:rFonts w:ascii="Times New Roman" w:hAnsi="Times New Roman" w:eastAsia="Times New Roman" w:cs="Times New Roman"/>
          <w:color w:val="1A1A1A"/>
          <w:sz w:val="22"/>
          <w:szCs w:val="22"/>
        </w:rPr>
        <w:t xml:space="preserve">•  MRF international capital covers 80% of project cost.</w:t>
      </w:r>
    </w:p>
    <w:p>
      <w:pPr>
        <w:pStyle w:val="Normal"/>
      </w:pPr>
      <w:r>
        <w:rPr>
          <w:rFonts w:ascii="Times New Roman" w:hAnsi="Times New Roman" w:eastAsia="Times New Roman" w:cs="Times New Roman"/>
          <w:color w:val="1A1A1A"/>
          <w:sz w:val="22"/>
          <w:szCs w:val="22"/>
        </w:rPr>
        <w:t xml:space="preserve">•  The NDF covers 20% through direct cash, land allocation, mineral or water rights concessions, or sovereign guarantees.</w:t>
      </w:r>
    </w:p>
    <w:p>
      <w:pPr>
        <w:pStyle w:val="Normal"/>
      </w:pPr>
      <w:r>
        <w:rPr>
          <w:rFonts w:ascii="Times New Roman" w:hAnsi="Times New Roman" w:eastAsia="Times New Roman" w:cs="Times New Roman"/>
          <w:color w:val="1A1A1A"/>
          <w:sz w:val="22"/>
          <w:szCs w:val="22"/>
        </w:rPr>
        <w:t xml:space="preserve">•  The RSC verifies NDF contributions through the same independent audit mechanism applied to MRF disbursements.</w:t>
      </w:r>
    </w:p>
    <w:p>
      <w:pPr>
        <w:pStyle w:val="Normal"/>
      </w:pPr>
      <w:r>
        <w:rPr>
          <w:rFonts w:ascii="Times New Roman" w:hAnsi="Times New Roman" w:eastAsia="Times New Roman" w:cs="Times New Roman"/>
          <w:color w:val="1A1A1A"/>
          <w:sz w:val="22"/>
          <w:szCs w:val="22"/>
        </w:rPr>
        <w:t xml:space="preserve">•  NDF contributions are treated as pari passu with MRF capital for milestone and disbursement purposes.</w:t>
      </w:r>
    </w:p>
    <w:p>
      <w:pPr>
        <w:pStyle w:val="Normal"/>
      </w:pPr>
      <w:r>
        <w:rPr>
          <w:rFonts w:ascii="Times New Roman" w:hAnsi="Times New Roman" w:eastAsia="Times New Roman" w:cs="Times New Roman"/>
          <w:color w:val="1A1A1A"/>
          <w:sz w:val="22"/>
          <w:szCs w:val="22"/>
        </w:rPr>
        <w:t>This matching requirement stretches international dollars further, demonstrates Iranian financial commitment to donors, and aligns project incentives across both funding streams. The NDF co-financing match potentially unlocks an additional $10 billion in domestic capital for the $50 billion MRF Core Tier.</w:t>
      </w:r>
    </w:p>
    <w:p>
      <w:pPr>
        <w:pStyle w:val="Heading2"/>
      </w:pPr>
      <w:r>
        <w:rPr>
          <w:rFonts w:ascii="Times New Roman" w:hAnsi="Times New Roman" w:eastAsia="Times New Roman" w:cs="Times New Roman"/>
          <w:b/>
          <w:color w:val="2E5A6B"/>
          <w:sz w:val="24"/>
          <w:szCs w:val="24"/>
        </w:rPr>
        <w:t>1.2(a) Sub-Fund Application Process</w:t>
      </w:r>
    </w:p>
    <w:p>
      <w:pPr>
        <w:pStyle w:val="Normal"/>
      </w:pPr>
      <w:r>
        <w:rPr>
          <w:rFonts w:ascii="Times New Roman" w:hAnsi="Times New Roman" w:eastAsia="Times New Roman" w:cs="Times New Roman"/>
          <w:color w:val="1A1A1A"/>
          <w:sz w:val="22"/>
          <w:szCs w:val="22"/>
        </w:rPr>
        <w:t>Each Sub-Fund maintains a distinct application pathway. Iran submits project proposals through the RSC secretariat. The following steps apply across all Sub-Funds:</w:t>
      </w:r>
    </w:p>
    <w:p>
      <w:pPr>
        <w:pStyle w:val="Heading3"/>
      </w:pPr>
      <w:r>
        <w:rPr>
          <w:rFonts w:ascii="Times New Roman" w:hAnsi="Times New Roman" w:eastAsia="Times New Roman" w:cs="Times New Roman"/>
          <w:b/>
          <w:i/>
          <w:color w:val="4A4A4A"/>
          <w:sz w:val="22"/>
          <w:szCs w:val="22"/>
        </w:rPr>
        <w:t>Step 1: Pre-Application Consultation</w:t>
      </w:r>
    </w:p>
    <w:p>
      <w:pPr>
        <w:pStyle w:val="Normal"/>
      </w:pPr>
      <w:r>
        <w:rPr>
          <w:rFonts w:ascii="Times New Roman" w:hAnsi="Times New Roman" w:eastAsia="Times New Roman" w:cs="Times New Roman"/>
          <w:color w:val="1A1A1A"/>
          <w:sz w:val="22"/>
          <w:szCs w:val="22"/>
        </w:rPr>
        <w:t>Iran engages the TAG for preliminary technical consultation. The TAG assesses project concept alignment with Sub-Fund objectives and advises on feasibility study requirements. This consultation occurs within 14 days of initial contact.</w:t>
      </w:r>
    </w:p>
    <w:p>
      <w:pPr>
        <w:pStyle w:val="Heading3"/>
      </w:pPr>
      <w:r>
        <w:rPr>
          <w:rFonts w:ascii="Times New Roman" w:hAnsi="Times New Roman" w:eastAsia="Times New Roman" w:cs="Times New Roman"/>
          <w:b/>
          <w:i/>
          <w:color w:val="4A4A4A"/>
          <w:sz w:val="22"/>
          <w:szCs w:val="22"/>
        </w:rPr>
        <w:t>Step 2: Feasibility Study Preparation</w:t>
      </w:r>
    </w:p>
    <w:p>
      <w:pPr>
        <w:pStyle w:val="Normal"/>
      </w:pPr>
      <w:r>
        <w:rPr>
          <w:rFonts w:ascii="Times New Roman" w:hAnsi="Times New Roman" w:eastAsia="Times New Roman" w:cs="Times New Roman"/>
          <w:color w:val="1A1A1A"/>
          <w:sz w:val="22"/>
          <w:szCs w:val="22"/>
        </w:rPr>
        <w:t>Iran commissions or prepares a feasibility study covering technical design, cost estimation, environmental impact, and social safeguards. The World Bank provides technical assistance for study preparation upon request. Study completion typically requires 60-90 days.</w:t>
      </w:r>
    </w:p>
    <w:p>
      <w:pPr>
        <w:pStyle w:val="Heading3"/>
      </w:pPr>
      <w:r>
        <w:rPr>
          <w:rFonts w:ascii="Times New Roman" w:hAnsi="Times New Roman" w:eastAsia="Times New Roman" w:cs="Times New Roman"/>
          <w:b/>
          <w:i/>
          <w:color w:val="4A4A4A"/>
          <w:sz w:val="22"/>
          <w:szCs w:val="22"/>
        </w:rPr>
        <w:t>Step 3: Formal Submission to RSC</w:t>
      </w:r>
    </w:p>
    <w:p>
      <w:pPr>
        <w:pStyle w:val="Normal"/>
      </w:pPr>
      <w:r>
        <w:rPr>
          <w:rFonts w:ascii="Times New Roman" w:hAnsi="Times New Roman" w:eastAsia="Times New Roman" w:cs="Times New Roman"/>
          <w:color w:val="1A1A1A"/>
          <w:sz w:val="22"/>
          <w:szCs w:val="22"/>
        </w:rPr>
        <w:t>Iran submits the complete Project Proposal package through the RSC secretariat. The package includes: (a) completed project proposal form, (b) feasibility study, (c) environmental and social impact assessment, (d) procurement plan, (e) verification milestone schedule, and (f) independent audit plan.</w:t>
      </w:r>
    </w:p>
    <w:p>
      <w:pPr>
        <w:pStyle w:val="Heading3"/>
      </w:pPr>
      <w:r>
        <w:rPr>
          <w:rFonts w:ascii="Times New Roman" w:hAnsi="Times New Roman" w:eastAsia="Times New Roman" w:cs="Times New Roman"/>
          <w:b/>
          <w:i/>
          <w:color w:val="4A4A4A"/>
          <w:sz w:val="22"/>
          <w:szCs w:val="22"/>
        </w:rPr>
        <w:t>Step 4: TAG Technical Review (30 Days)</w:t>
      </w:r>
    </w:p>
    <w:p>
      <w:pPr>
        <w:pStyle w:val="Normal"/>
      </w:pPr>
      <w:r>
        <w:rPr>
          <w:rFonts w:ascii="Times New Roman" w:hAnsi="Times New Roman" w:eastAsia="Times New Roman" w:cs="Times New Roman"/>
          <w:color w:val="1A1A1A"/>
          <w:sz w:val="22"/>
          <w:szCs w:val="22"/>
        </w:rPr>
        <w:t>The TAG conducts a comprehensive technical review. The TAG evaluates: technical feasibility, cost realism, environmental compliance, alignment with Sub-Fund goals, and value for money. The TAG issues a written recommendation to the RSC within 30 days.</w:t>
      </w:r>
    </w:p>
    <w:p>
      <w:pPr>
        <w:pStyle w:val="Heading3"/>
      </w:pPr>
      <w:r>
        <w:rPr>
          <w:rFonts w:ascii="Times New Roman" w:hAnsi="Times New Roman" w:eastAsia="Times New Roman" w:cs="Times New Roman"/>
          <w:b/>
          <w:i/>
          <w:color w:val="4A4A4A"/>
          <w:sz w:val="22"/>
          <w:szCs w:val="22"/>
        </w:rPr>
        <w:t>Step 5: RSC Approval (60 Days)</w:t>
      </w:r>
    </w:p>
    <w:p>
      <w:pPr>
        <w:pStyle w:val="Normal"/>
      </w:pPr>
      <w:r>
        <w:rPr>
          <w:rFonts w:ascii="Times New Roman" w:hAnsi="Times New Roman" w:eastAsia="Times New Roman" w:cs="Times New Roman"/>
          <w:color w:val="1A1A1A"/>
          <w:sz w:val="22"/>
          <w:szCs w:val="22"/>
        </w:rPr>
        <w:t>The RSC reviews the TAG recommendation and the complete proposal package. Approval requires consensus of all voting members and confirmation of available capital in the relevant Sub-Fund. The RSC issues an approval decision or requests revision within 60 days.</w:t>
      </w:r>
    </w:p>
    <w:p>
      <w:pPr>
        <w:pStyle w:val="Heading3"/>
      </w:pPr>
      <w:r>
        <w:rPr>
          <w:rFonts w:ascii="Times New Roman" w:hAnsi="Times New Roman" w:eastAsia="Times New Roman" w:cs="Times New Roman"/>
          <w:b/>
          <w:i/>
          <w:color w:val="4A4A4A"/>
          <w:sz w:val="22"/>
          <w:szCs w:val="22"/>
        </w:rPr>
        <w:t>Step 6: Milestone-Based Disbursement</w:t>
      </w:r>
    </w:p>
    <w:p>
      <w:pPr>
        <w:pStyle w:val="Normal"/>
      </w:pPr>
      <w:r>
        <w:rPr>
          <w:rFonts w:ascii="Times New Roman" w:hAnsi="Times New Roman" w:eastAsia="Times New Roman" w:cs="Times New Roman"/>
          <w:color w:val="1A1A1A"/>
          <w:sz w:val="22"/>
          <w:szCs w:val="22"/>
        </w:rPr>
        <w:t>Upon approval, the Qatar Central Bank establishes a dedicated project account. Funds disburse in tranches tied to verification milestones. Each tranche release requires: (a) Iranian self-certification, (b) World Bank independent audit, (c) TAG assessment, and (d) RSC authorization.</w:t>
      </w:r>
    </w:p>
    <w:p>
      <w:pPr>
        <w:pStyle w:val="Heading3"/>
      </w:pPr>
      <w:r>
        <w:rPr>
          <w:rFonts w:ascii="Times New Roman" w:hAnsi="Times New Roman" w:eastAsia="Times New Roman" w:cs="Times New Roman"/>
          <w:b/>
          <w:i/>
          <w:color w:val="4A4A4A"/>
          <w:sz w:val="22"/>
          <w:szCs w:val="22"/>
        </w:rPr>
        <w:t>Sub-Fund Specific Requirements</w:t>
      </w:r>
    </w:p>
    <w:p>
      <w:pPr>
        <w:pStyle w:val="Normal"/>
      </w:pPr>
      <w:r>
        <w:rPr>
          <w:rFonts w:ascii="Times New Roman" w:hAnsi="Times New Roman" w:eastAsia="Times New Roman" w:cs="Times New Roman"/>
          <w:color w:val="1A1A1A"/>
          <w:sz w:val="22"/>
          <w:szCs w:val="22"/>
        </w:rPr>
        <w:t>MRF-Energy: Proposals require additional technical review by the International Energy Agency (IEA) for grid integration assessments. Renewable energy projects above $500 million require a separate grid impact study.</w:t>
      </w:r>
    </w:p>
    <w:p>
      <w:pPr>
        <w:pStyle w:val="Normal"/>
      </w:pPr>
      <w:r>
        <w:rPr>
          <w:rFonts w:ascii="Times New Roman" w:hAnsi="Times New Roman" w:eastAsia="Times New Roman" w:cs="Times New Roman"/>
          <w:color w:val="1A1A1A"/>
          <w:sz w:val="22"/>
          <w:szCs w:val="22"/>
        </w:rPr>
        <w:t>MRF-Water: All water infrastructure projects require a hydrological assessment certified by the World Meteorological Organization (WMO) or equivalent regional body. Desalination projects require environmental impact certification from the Regional Organization for the Protection of the Marine Environment (ROPME).</w:t>
      </w:r>
    </w:p>
    <w:p>
      <w:pPr>
        <w:pStyle w:val="Normal"/>
      </w:pPr>
      <w:r>
        <w:rPr>
          <w:rFonts w:ascii="Times New Roman" w:hAnsi="Times New Roman" w:eastAsia="Times New Roman" w:cs="Times New Roman"/>
          <w:color w:val="1A1A1A"/>
          <w:sz w:val="22"/>
          <w:szCs w:val="22"/>
        </w:rPr>
        <w:t>MRF-Transport: Transport projects crossing international borders require coordination letters from affected neighboring states. Port and airport projects require International Maritime Organization (IMO) or International Civil Aviation Organization (ICAO) compliance certification.</w:t>
      </w:r>
    </w:p>
    <w:p>
      <w:pPr>
        <w:pStyle w:val="Normal"/>
      </w:pPr>
      <w:r>
        <w:rPr>
          <w:rFonts w:ascii="Times New Roman" w:hAnsi="Times New Roman" w:eastAsia="Times New Roman" w:cs="Times New Roman"/>
          <w:color w:val="1A1A1A"/>
          <w:sz w:val="22"/>
          <w:szCs w:val="22"/>
        </w:rPr>
        <w:t>MRF-Health: Health facility projects require WHO technical standards compliance certification. Medical supply chain projects require verification of cold chain infrastructure and pharmaceutical regulatory compliance.</w:t>
      </w:r>
    </w:p>
    <w:p>
      <w:pPr>
        <w:pStyle w:val="Normal"/>
      </w:pPr>
      <w:r>
        <w:rPr>
          <w:rFonts w:ascii="Times New Roman" w:hAnsi="Times New Roman" w:eastAsia="Times New Roman" w:cs="Times New Roman"/>
          <w:color w:val="1A1A1A"/>
          <w:sz w:val="22"/>
          <w:szCs w:val="22"/>
        </w:rPr>
        <w:t>MRF-Education: Education projects involving curriculum development require UNESCO alignment review. Vocational training centers require International Labour Organization (ILO) standards compliance certification.</w:t>
      </w:r>
    </w:p>
    <w:p>
      <w:pPr>
        <w:pStyle w:val="Normal"/>
      </w:pPr>
      <w:r>
        <w:rPr>
          <w:rFonts w:ascii="Times New Roman" w:hAnsi="Times New Roman" w:eastAsia="Times New Roman" w:cs="Times New Roman"/>
          <w:color w:val="1A1A1A"/>
          <w:sz w:val="22"/>
          <w:szCs w:val="22"/>
        </w:rPr>
        <w:t>MRF-Housing: Housing projects in seismic zones require earthquake-resistant design certification from an internationally recognized engineering body. Slum upgrading projects require a social impact assessment with community participation documentation.</w:t>
      </w:r>
    </w:p>
    <w:p>
      <w:pPr>
        <w:pStyle w:val="Normal"/>
      </w:pPr>
      <w:r>
        <w:rPr>
          <w:rFonts w:ascii="Times New Roman" w:hAnsi="Times New Roman" w:eastAsia="Times New Roman" w:cs="Times New Roman"/>
          <w:color w:val="1A1A1A"/>
          <w:sz w:val="22"/>
          <w:szCs w:val="22"/>
        </w:rPr>
        <w:t>MRF-Agriculture: Agricultural projects require Food and Agriculture Organization (FAO) technical review for sustainability standards. Irrigation projects require water rights assessment and downstream impact analysis.</w:t>
      </w:r>
    </w:p>
    <w:p>
      <w:pPr>
        <w:pStyle w:val="Heading2"/>
      </w:pPr>
      <w:r>
        <w:rPr>
          <w:rFonts w:ascii="Times New Roman" w:hAnsi="Times New Roman" w:eastAsia="Times New Roman" w:cs="Times New Roman"/>
          <w:b/>
          <w:color w:val="2E5A6B"/>
          <w:sz w:val="24"/>
          <w:szCs w:val="24"/>
        </w:rPr>
        <w:t>1.3 Capital Contributors</w:t>
      </w:r>
    </w:p>
    <w:p>
      <w:pPr>
        <w:pStyle w:val="Normal"/>
      </w:pPr>
      <w:r>
        <w:rPr>
          <w:rFonts w:ascii="Times New Roman" w:hAnsi="Times New Roman" w:eastAsia="Times New Roman" w:cs="Times New Roman"/>
          <w:color w:val="1A1A1A"/>
          <w:sz w:val="22"/>
          <w:szCs w:val="22"/>
        </w:rPr>
        <w:t>Contributors include, but are not limited to:</w:t>
      </w:r>
    </w:p>
    <w:p>
      <w:pPr>
        <w:pStyle w:val="Normal"/>
        <w:ind w:left="720" w:hanging="360"/>
      </w:pPr>
      <w:r>
        <w:rPr>
          <w:rFonts w:ascii="Times New Roman" w:hAnsi="Times New Roman" w:eastAsia="Times New Roman" w:cs="Times New Roman"/>
          <w:color w:val="1A1A1A"/>
          <w:sz w:val="22"/>
          <w:szCs w:val="22"/>
        </w:rPr>
        <w:t xml:space="preserve">•  Sovereign wealth funds of Gulf Cooperation Council (GCC) states</w:t>
      </w:r>
    </w:p>
    <w:p>
      <w:pPr>
        <w:pStyle w:val="Normal"/>
        <w:ind w:left="720" w:hanging="360"/>
      </w:pPr>
      <w:r>
        <w:rPr>
          <w:rFonts w:ascii="Times New Roman" w:hAnsi="Times New Roman" w:eastAsia="Times New Roman" w:cs="Times New Roman"/>
          <w:color w:val="1A1A1A"/>
          <w:sz w:val="22"/>
          <w:szCs w:val="22"/>
        </w:rPr>
        <w:t xml:space="preserve">•  International financial institutions (World Bank, IMF, Islamic Development Bank)</w:t>
      </w:r>
    </w:p>
    <w:p>
      <w:pPr>
        <w:pStyle w:val="Normal"/>
        <w:ind w:left="720" w:hanging="360"/>
      </w:pPr>
      <w:r>
        <w:rPr>
          <w:rFonts w:ascii="Times New Roman" w:hAnsi="Times New Roman" w:eastAsia="Times New Roman" w:cs="Times New Roman"/>
          <w:color w:val="1A1A1A"/>
          <w:sz w:val="22"/>
          <w:szCs w:val="22"/>
        </w:rPr>
        <w:t xml:space="preserve">•  Regional development funds (Asian Infrastructure Investment Bank, European Bank for Reconstruction and Development)</w:t>
      </w:r>
    </w:p>
    <w:p>
      <w:pPr>
        <w:pStyle w:val="Normal"/>
        <w:ind w:left="720" w:hanging="360"/>
      </w:pPr>
      <w:r>
        <w:rPr>
          <w:rFonts w:ascii="Times New Roman" w:hAnsi="Times New Roman" w:eastAsia="Times New Roman" w:cs="Times New Roman"/>
          <w:color w:val="1A1A1A"/>
          <w:sz w:val="22"/>
          <w:szCs w:val="22"/>
        </w:rPr>
        <w:t xml:space="preserve">•  Private investors (infrastructure funds, pension funds, insurance companies)</w:t>
      </w:r>
    </w:p>
    <w:p>
      <w:pPr>
        <w:pStyle w:val="Normal"/>
        <w:ind w:left="720" w:hanging="360"/>
      </w:pPr>
      <w:r>
        <w:rPr>
          <w:rFonts w:ascii="Times New Roman" w:hAnsi="Times New Roman" w:eastAsia="Times New Roman" w:cs="Times New Roman"/>
          <w:color w:val="1A1A1A"/>
          <w:sz w:val="22"/>
          <w:szCs w:val="22"/>
        </w:rPr>
        <w:t xml:space="preserve">•  Humanitarian organizations (UN OCHA, ICRC, WHO)</w:t>
      </w:r>
    </w:p>
    <w:p>
      <w:pPr>
        <w:pStyle w:val="Normal"/>
        <w:ind w:left="720" w:hanging="360"/>
      </w:pPr>
      <w:r>
        <w:rPr>
          <w:rFonts w:ascii="Times New Roman" w:hAnsi="Times New Roman" w:eastAsia="Times New Roman" w:cs="Times New Roman"/>
          <w:color w:val="1A1A1A"/>
          <w:sz w:val="22"/>
          <w:szCs w:val="22"/>
        </w:rPr>
        <w:t xml:space="preserve">•  Bilateral donors (EU member states, China, Russia, India, Japan, South Korea)</w:t>
      </w:r>
    </w:p>
    <w:p>
      <w:pPr>
        <w:pStyle w:val="Normal"/>
        <w:ind w:left="720" w:hanging="360"/>
      </w:pPr>
      <w:r>
        <w:rPr>
          <w:rFonts w:ascii="Times New Roman" w:hAnsi="Times New Roman" w:eastAsia="Times New Roman" w:cs="Times New Roman"/>
          <w:color w:val="1A1A1A"/>
          <w:sz w:val="22"/>
          <w:szCs w:val="22"/>
        </w:rPr>
        <w:t>The following sections describe each contributor category, its application pathway, and its coordination mechanism with the MRF.</w:t>
      </w:r>
    </w:p>
    <w:p>
      <w:pPr>
        <w:pStyle w:val="Heading3"/>
      </w:pPr>
      <w:r>
        <w:rPr>
          <w:rFonts w:ascii="Times New Roman" w:hAnsi="Times New Roman" w:eastAsia="Times New Roman" w:cs="Times New Roman"/>
          <w:b/>
          <w:i/>
          <w:color w:val="4A4A4A"/>
          <w:sz w:val="22"/>
          <w:szCs w:val="22"/>
        </w:rPr>
        <w:t>Sovereign Wealth Funds</w:t>
      </w:r>
    </w:p>
    <w:p>
      <w:pPr>
        <w:pStyle w:val="Normal"/>
        <w:ind w:left="720" w:hanging="360"/>
      </w:pPr>
      <w:r>
        <w:rPr>
          <w:rFonts w:ascii="Times New Roman" w:hAnsi="Times New Roman" w:eastAsia="Times New Roman" w:cs="Times New Roman"/>
          <w:color w:val="1A1A1A"/>
          <w:sz w:val="22"/>
          <w:szCs w:val="22"/>
        </w:rPr>
        <w:t>GCC sovereign wealth funds deposit pledged capital directly into the Qatar Central Bank escrow. Each fund designates a liaison officer to the RSC. Deposit confirmations trigger World Bank verification. No fund deposits capital through U.S. financial institutions.</w:t>
      </w:r>
    </w:p>
    <w:p>
      <w:pPr>
        <w:pStyle w:val="Heading3"/>
      </w:pPr>
      <w:r>
        <w:rPr>
          <w:rFonts w:ascii="Times New Roman" w:hAnsi="Times New Roman" w:eastAsia="Times New Roman" w:cs="Times New Roman"/>
          <w:b/>
          <w:i/>
          <w:color w:val="4A4A4A"/>
          <w:sz w:val="22"/>
          <w:szCs w:val="22"/>
        </w:rPr>
        <w:t>International Financial Institutions</w:t>
      </w:r>
    </w:p>
    <w:p>
      <w:pPr>
        <w:pStyle w:val="Normal"/>
        <w:ind w:left="720" w:hanging="360"/>
      </w:pPr>
      <w:r>
        <w:rPr>
          <w:rFonts w:ascii="Times New Roman" w:hAnsi="Times New Roman" w:eastAsia="Times New Roman" w:cs="Times New Roman"/>
          <w:color w:val="1A1A1A"/>
          <w:sz w:val="22"/>
          <w:szCs w:val="22"/>
        </w:rPr>
        <w:t>The World Bank, IMF, and Islamic Development Bank contribute through their standard lending and grant instruments. The World Bank administers contributions through its IDA and IBRD windows. The IsDB deploys Islamic financing instruments (Ijara, Istisna, Mudaraba). Each institution coordinates through its respective representative on the RSC.</w:t>
      </w:r>
    </w:p>
    <w:p>
      <w:pPr>
        <w:pStyle w:val="Heading3"/>
      </w:pPr>
      <w:r>
        <w:rPr>
          <w:rFonts w:ascii="Times New Roman" w:hAnsi="Times New Roman" w:eastAsia="Times New Roman" w:cs="Times New Roman"/>
          <w:b/>
          <w:i/>
          <w:color w:val="4A4A4A"/>
          <w:sz w:val="22"/>
          <w:szCs w:val="22"/>
        </w:rPr>
        <w:t>Regional Development Banks</w:t>
      </w:r>
    </w:p>
    <w:p>
      <w:pPr>
        <w:pStyle w:val="Normal"/>
        <w:ind w:left="720" w:hanging="360"/>
      </w:pPr>
      <w:r>
        <w:rPr>
          <w:rFonts w:ascii="Times New Roman" w:hAnsi="Times New Roman" w:eastAsia="Times New Roman" w:cs="Times New Roman"/>
          <w:color w:val="1A1A1A"/>
          <w:sz w:val="22"/>
          <w:szCs w:val="22"/>
        </w:rPr>
        <w:t>The AIIB and EBRD contribute through sovereign-backed project loans and private sector financing. The AIIB focuses on transport and energy infrastructure. The EBRD targets private sector development and SME reconstruction. Both institutions coordinate project pipelines through the TAG.</w:t>
      </w:r>
    </w:p>
    <w:p>
      <w:pPr>
        <w:pStyle w:val="Heading3"/>
      </w:pPr>
      <w:r>
        <w:rPr>
          <w:rFonts w:ascii="Times New Roman" w:hAnsi="Times New Roman" w:eastAsia="Times New Roman" w:cs="Times New Roman"/>
          <w:b/>
          <w:i/>
          <w:color w:val="4A4A4A"/>
          <w:sz w:val="22"/>
          <w:szCs w:val="22"/>
        </w:rPr>
        <w:t>Private Investors</w:t>
      </w:r>
    </w:p>
    <w:p>
      <w:pPr>
        <w:pStyle w:val="Normal"/>
        <w:ind w:left="720" w:hanging="360"/>
      </w:pPr>
      <w:r>
        <w:rPr>
          <w:rFonts w:ascii="Times New Roman" w:hAnsi="Times New Roman" w:eastAsia="Times New Roman" w:cs="Times New Roman"/>
          <w:color w:val="1A1A1A"/>
          <w:sz w:val="22"/>
          <w:szCs w:val="22"/>
        </w:rPr>
        <w:t>Infrastructure funds, pension funds, and insurance companies participate through the MRF private investment window. The Qatar Central Bank administers a separate private capital tranche. Investors receive milestone-linked returns tied to project completion. The EBRD provides credit enhancement for private investments.</w:t>
      </w:r>
    </w:p>
    <w:p>
      <w:pPr>
        <w:pStyle w:val="Heading3"/>
      </w:pPr>
      <w:r>
        <w:rPr>
          <w:rFonts w:ascii="Times New Roman" w:hAnsi="Times New Roman" w:eastAsia="Times New Roman" w:cs="Times New Roman"/>
          <w:b/>
          <w:i/>
          <w:color w:val="4A4A4A"/>
          <w:sz w:val="22"/>
          <w:szCs w:val="22"/>
        </w:rPr>
        <w:t>Humanitarian Organizations</w:t>
      </w:r>
    </w:p>
    <w:p>
      <w:pPr>
        <w:pStyle w:val="Normal"/>
        <w:ind w:left="720" w:hanging="360"/>
      </w:pPr>
      <w:r>
        <w:rPr>
          <w:rFonts w:ascii="Times New Roman" w:hAnsi="Times New Roman" w:eastAsia="Times New Roman" w:cs="Times New Roman"/>
          <w:color w:val="1A1A1A"/>
          <w:sz w:val="22"/>
          <w:szCs w:val="22"/>
        </w:rPr>
        <w:t>UN OCHA, ICRC, WHO, and other humanitarian agencies contribute through their established grant mechanisms. Humanitarian contributions target immediate relief and foundational reconstruction. Coordination occurs through the MRF humanitarian corridor and the RSC secretariat.</w:t>
      </w:r>
    </w:p>
    <w:p>
      <w:pPr>
        <w:pStyle w:val="Heading3"/>
      </w:pPr>
      <w:r>
        <w:rPr>
          <w:rFonts w:ascii="Times New Roman" w:hAnsi="Times New Roman" w:eastAsia="Times New Roman" w:cs="Times New Roman"/>
          <w:b/>
          <w:i/>
          <w:color w:val="4A4A4A"/>
          <w:sz w:val="22"/>
          <w:szCs w:val="22"/>
        </w:rPr>
        <w:t>Bilateral Donors</w:t>
      </w:r>
    </w:p>
    <w:p>
      <w:pPr>
        <w:pStyle w:val="Normal"/>
        <w:ind w:left="720" w:hanging="360"/>
      </w:pPr>
      <w:r>
        <w:rPr>
          <w:rFonts w:ascii="Times New Roman" w:hAnsi="Times New Roman" w:eastAsia="Times New Roman" w:cs="Times New Roman"/>
          <w:color w:val="1A1A1A"/>
          <w:sz w:val="22"/>
          <w:szCs w:val="22"/>
        </w:rPr>
        <w:t>EU member states, China, Russia, India, Japan, and South Korea contribute through their respective bilateral development agencies. Each donor coordinates through its embassy in Tehran or Doha and designates a representative to the RSC observer group. Bilateral contributions flow through the Qatar Central Bank escrow.</w:t>
      </w:r>
    </w:p>
    <w:p>
      <w:pPr>
        <w:pStyle w:val="Heading2"/>
      </w:pPr>
      <w:r>
        <w:rPr>
          <w:rFonts w:ascii="Times New Roman" w:hAnsi="Times New Roman" w:eastAsia="Times New Roman" w:cs="Times New Roman"/>
          <w:b/>
          <w:color w:val="2E5A6B"/>
          <w:sz w:val="24"/>
          <w:szCs w:val="24"/>
        </w:rPr>
        <w:t>1.3(a) Contributor Application Pathway</w:t>
      </w:r>
    </w:p>
    <w:p>
      <w:pPr>
        <w:pStyle w:val="Normal"/>
        <w:ind w:left="720" w:hanging="360"/>
      </w:pPr>
      <w:r>
        <w:rPr>
          <w:rFonts w:ascii="Times New Roman" w:hAnsi="Times New Roman" w:eastAsia="Times New Roman" w:cs="Times New Roman"/>
          <w:color w:val="1A1A1A"/>
          <w:sz w:val="22"/>
          <w:szCs w:val="22"/>
        </w:rPr>
        <w:t>New contributors access the MRF through the following pathway: (1) Expression of Interest submitted to the RSC secretariat, (2) Preliminary consultation with the Qatar Central Bank on deposit mechanisms, (3) Due diligence review by the World Bank, (4) Contribution agreement negotiation, (5) Deposit execution and verification, (6) RSC registration and Sub-Fund designation. The full pathway completes within 90 days of Expression of Interest.</w:t>
      </w:r>
    </w:p>
    <w:p>
      <w:pPr>
        <w:pStyle w:val="Heading2"/>
      </w:pPr>
      <w:r>
        <w:rPr>
          <w:rFonts w:ascii="Times New Roman" w:hAnsi="Times New Roman" w:eastAsia="Times New Roman" w:cs="Times New Roman"/>
          <w:b/>
          <w:color w:val="2E5A6B"/>
          <w:sz w:val="24"/>
          <w:szCs w:val="24"/>
        </w:rPr>
        <w:t>1.3(b) IMF Special Drawing Rights Channeling Window</w:t>
      </w:r>
    </w:p>
    <w:p>
      <w:pPr>
        <w:pStyle w:val="Normal"/>
      </w:pPr>
      <w:r>
        <w:rPr>
          <w:rFonts w:ascii="Times New Roman" w:hAnsi="Times New Roman" w:eastAsia="Times New Roman" w:cs="Times New Roman"/>
          <w:color w:val="1A1A1A"/>
          <w:sz w:val="22"/>
          <w:szCs w:val="22"/>
        </w:rPr>
        <w:t>The MRF establishes a dedicated window for accessing IMF Special Drawing Rights (SDRs) through the Poverty Reduction and Growth Trust (PRGT). G7 member states and other wealthy nations hold pledged but unchanneled SDR allocations exceeding $100 billion. The MRF coordinates with the IMF to channel a portion of these unused SDRs to Iran for reconstruction purposes.</w:t>
      </w:r>
    </w:p>
    <w:p>
      <w:pPr>
        <w:pStyle w:val="Normal"/>
      </w:pPr>
      <w:r>
        <w:rPr>
          <w:rFonts w:ascii="Times New Roman" w:hAnsi="Times New Roman" w:eastAsia="Times New Roman" w:cs="Times New Roman"/>
          <w:color w:val="1A1A1A"/>
          <w:sz w:val="22"/>
          <w:szCs w:val="22"/>
        </w:rPr>
        <w:t>The SDR channeling mechanism operates as follows: (1) The RSC secretariat submits a formal request to the IMF Managing Director for SDR channeling through the PRGT, (2) The IMF conducts aPRGT eligibility assessment (60 days), (3) Contributing nations formally commit to re-channeling SDR allocations to the PRGT window designated for Iran, (4) The PRGT disburses SDR-backed financing in tranches tied to reconstruction milestones, (5) The Qatar Central Bank converts SDRs to hard currency at prevailing exchange rates for deposit into the relevant Sub-Fund.</w:t>
      </w:r>
    </w:p>
    <w:p>
      <w:pPr>
        <w:pStyle w:val="Normal"/>
      </w:pPr>
      <w:r>
        <w:rPr>
          <w:rFonts w:ascii="Times New Roman" w:hAnsi="Times New Roman" w:eastAsia="Times New Roman" w:cs="Times New Roman"/>
          <w:color w:val="1A1A1A"/>
          <w:sz w:val="22"/>
          <w:szCs w:val="22"/>
        </w:rPr>
        <w:t>The SDR Channeling Window targets $3-5 billion in concessional financing with near-zero interest rates and 40-year maturities. This window operates independently of the MRF escrow and is subject to IMF oversight and conditionality. The RSC designates a dedicated SDR liaison officer to coordinate with the IMF Resident Representative in Tehran.</w:t>
      </w:r>
    </w:p>
    <w:p>
      <w:pPr>
        <w:pStyle w:val="Heading2"/>
      </w:pPr>
      <w:r>
        <w:rPr>
          <w:rFonts w:ascii="Times New Roman" w:hAnsi="Times New Roman" w:eastAsia="Times New Roman" w:cs="Times New Roman"/>
          <w:b/>
          <w:color w:val="2E5A6B"/>
          <w:sz w:val="24"/>
          <w:szCs w:val="24"/>
        </w:rPr>
        <w:t>1.3(c) Frozen Asset Conversion and Debt-for-Infrastructure Swap Protocol</w:t>
      </w:r>
    </w:p>
    <w:p>
      <w:pPr>
        <w:pStyle w:val="Normal"/>
      </w:pPr>
      <w:r>
        <w:rPr>
          <w:rFonts w:ascii="Times New Roman" w:hAnsi="Times New Roman" w:eastAsia="Times New Roman" w:cs="Times New Roman"/>
          <w:color w:val="1A1A1A"/>
          <w:sz w:val="22"/>
          <w:szCs w:val="22"/>
        </w:rPr>
        <w:t>Multiple nations hold frozen Iranian assets resulting from sanctions-related payment freezes. South Korea holds approximately $6 billion in frozen oil payments. Japan holds an estimated $3 billion in frozen trade credits. India holds approximately $2 billion in frozen energy payments under the rupee-rial trade mechanism. The MRF establishes a protocol for converting these frozen assets directly into reconstruction contracts.</w:t>
      </w:r>
    </w:p>
    <w:p>
      <w:pPr>
        <w:pStyle w:val="Normal"/>
      </w:pPr>
      <w:r>
        <w:rPr>
          <w:rFonts w:ascii="Times New Roman" w:hAnsi="Times New Roman" w:eastAsia="Times New Roman" w:cs="Times New Roman"/>
          <w:color w:val="1A1A1A"/>
          <w:sz w:val="22"/>
          <w:szCs w:val="22"/>
        </w:rPr>
        <w:t>The conversion mechanism operates as follows: (1) The holding nation and Iran identify the frozen asset value eligible for conversion, (2) Both parties agree on a reconstruction project or portfolio of projects to be executed by contractors from the holding nation, (3) The Qatar Central Bank establishes a segregated account denominated in the holding nation's currency, (4) Contractors invoice against the segregated account for completed milestone work, (5) The RSC verifies milestone completion through standard TAG and independent audit procedures, (6) Funds release directly to contractors from the segregated account without passing through Iranian government channels.</w:t>
      </w:r>
    </w:p>
    <w:p>
      <w:pPr>
        <w:pStyle w:val="Normal"/>
      </w:pPr>
      <w:r>
        <w:rPr>
          <w:rFonts w:ascii="Times New Roman" w:hAnsi="Times New Roman" w:eastAsia="Times New Roman" w:cs="Times New Roman"/>
          <w:color w:val="1A1A1A"/>
          <w:sz w:val="22"/>
          <w:szCs w:val="22"/>
        </w:rPr>
        <w:t>This protocol converts politically frozen assets into productive reconstruction without requiring new cash appropriations from holding nations. The RSC estimates the Frozen Asset Conversion Protocol unlocks $6-10 billion in immediately available reconstruction capital.</w:t>
      </w:r>
    </w:p>
    <w:p>
      <w:pPr>
        <w:pStyle w:val="Heading2"/>
      </w:pPr>
      <w:r>
        <w:rPr>
          <w:rFonts w:ascii="Times New Roman" w:hAnsi="Times New Roman" w:eastAsia="Times New Roman" w:cs="Times New Roman"/>
          <w:b/>
          <w:color w:val="2E5A6B"/>
          <w:sz w:val="24"/>
          <w:szCs w:val="24"/>
        </w:rPr>
        <w:t>1.3(d) U.S. Private Sector Safe Harbor and In-Kind Participation</w:t>
      </w:r>
    </w:p>
    <w:p>
      <w:pPr>
        <w:pStyle w:val="Normal"/>
      </w:pPr>
      <w:r>
        <w:rPr>
          <w:rFonts w:ascii="Times New Roman" w:hAnsi="Times New Roman" w:eastAsia="Times New Roman" w:cs="Times New Roman"/>
          <w:color w:val="1A1A1A"/>
          <w:sz w:val="22"/>
          <w:szCs w:val="22"/>
        </w:rPr>
        <w:t>The framework architecture explicitly excludes direct U.S. government cash contributions to the MRF. However, the framework creates a Safe Harbor mechanism for U.S. private sector participation in reconstruction. The Safe Harbor addresses the legal barrier posed by the Iran Threat Reduction Act and other U.S. domestic statutes that expose American companies to litigation risk for Iran-related activities.</w:t>
      </w:r>
    </w:p>
    <w:p>
      <w:pPr>
        <w:pStyle w:val="Heading3"/>
      </w:pPr>
      <w:r>
        <w:rPr>
          <w:rFonts w:ascii="Times New Roman" w:hAnsi="Times New Roman" w:eastAsia="Times New Roman" w:cs="Times New Roman"/>
          <w:b/>
          <w:i/>
          <w:color w:val="4A4A4A"/>
          <w:sz w:val="22"/>
          <w:szCs w:val="22"/>
        </w:rPr>
        <w:t>Safe Harbor Mechanism</w:t>
      </w:r>
    </w:p>
    <w:p>
      <w:pPr>
        <w:pStyle w:val="Normal"/>
      </w:pPr>
      <w:r>
        <w:rPr>
          <w:rFonts w:ascii="Times New Roman" w:hAnsi="Times New Roman" w:eastAsia="Times New Roman" w:cs="Times New Roman"/>
          <w:color w:val="1A1A1A"/>
          <w:sz w:val="22"/>
          <w:szCs w:val="22"/>
        </w:rPr>
        <w:t>The Safe Harbor operates through the following structure: (1) U.S. companies provide engineering, equipment, technology, or professional services as subcontractors to non-U.S. prime contractors executing MRF-funded projects, (2) The OFAC license protecting MRF transactions extends to cover subcontractor payments flowing through the Qatar Central Bank escrow, (3) The U.S. Department of Commerce issues a general license for the export of reconstruction-related goods and technology to Iran under the MRF framework, (4) The U.S. government provides a litigation indemnification letter to participating companies confirming that MRF-related activities fall within the scope of the framework's diplomatic protections.</w:t>
      </w:r>
    </w:p>
    <w:p>
      <w:pPr>
        <w:pStyle w:val="Heading3"/>
      </w:pPr>
      <w:r>
        <w:rPr>
          <w:rFonts w:ascii="Times New Roman" w:hAnsi="Times New Roman" w:eastAsia="Times New Roman" w:cs="Times New Roman"/>
          <w:b/>
          <w:i/>
          <w:color w:val="4A4A4A"/>
          <w:sz w:val="22"/>
          <w:szCs w:val="22"/>
        </w:rPr>
        <w:t>In-Kind Equipment and Technology Donation Window</w:t>
      </w:r>
    </w:p>
    <w:p>
      <w:pPr>
        <w:pStyle w:val="Normal"/>
      </w:pPr>
      <w:r>
        <w:rPr>
          <w:rFonts w:ascii="Times New Roman" w:hAnsi="Times New Roman" w:eastAsia="Times New Roman" w:cs="Times New Roman"/>
          <w:color w:val="1A1A1A"/>
          <w:sz w:val="22"/>
          <w:szCs w:val="22"/>
        </w:rPr>
        <w:t>The framework creates a dedicated In-Kind Contribution Window allowing U.S. companies to donate equipment, software licenses, engineering services, and technology transfers to MRF projects. These contributions are valued at fair market cost and credited against the relevant Sub-Fund's capitalization target. The in-kind mechanism gives Washington a material participation pathway that does not involve cash transfers to Iran.</w:t>
      </w:r>
    </w:p>
    <w:p>
      <w:pPr>
        <w:pStyle w:val="Normal"/>
      </w:pPr>
      <w:r>
        <w:rPr>
          <w:rFonts w:ascii="Times New Roman" w:hAnsi="Times New Roman" w:eastAsia="Times New Roman" w:cs="Times New Roman"/>
          <w:color w:val="1A1A1A"/>
          <w:sz w:val="22"/>
          <w:szCs w:val="22"/>
        </w:rPr>
        <w:t>Eligible in-kind contributions include: power generation equipment, water treatment technology, medical devices and pharmaceuticals, construction machinery, telecommunications infrastructure, agricultural technology, and engineering design services. The TAG verifies the fair market value of all in-kind contributions through independent appraisal. The U.S. In-Kind Window targets $5-10 billion in equipment and service contributions over the 10-year reconstruction period.</w:t>
      </w:r>
    </w:p>
    <w:p>
      <w:pPr>
        <w:pStyle w:val="Heading2"/>
      </w:pPr>
      <w:r>
        <w:rPr>
          <w:rFonts w:ascii="Times New Roman" w:hAnsi="Times New Roman" w:eastAsia="Times New Roman" w:cs="Times New Roman"/>
          <w:b/>
          <w:color w:val="2E5A6B"/>
          <w:sz w:val="24"/>
          <w:szCs w:val="24"/>
        </w:rPr>
        <w:t>1.4 Neutral Escrow Agent</w:t>
      </w:r>
    </w:p>
    <w:p>
      <w:pPr>
        <w:pStyle w:val="Normal"/>
      </w:pPr>
      <w:r>
        <w:rPr>
          <w:rFonts w:ascii="Times New Roman" w:hAnsi="Times New Roman" w:eastAsia="Times New Roman" w:cs="Times New Roman"/>
          <w:color w:val="1A1A1A"/>
          <w:sz w:val="22"/>
          <w:szCs w:val="22"/>
        </w:rPr>
        <w:t>The State of Qatar, acting through the Qatar Central Bank, serves as the primary escrow agent for the MRF. The World Bank exercises a strictly technical and non-political fiduciary role. The World Bank conducts verification and audit functions only. The World Bank exercises no political discretion over project selection or disbursement.</w:t>
      </w:r>
    </w:p>
    <w:p>
      <w:pPr>
        <w:pStyle w:val="Heading2"/>
      </w:pPr>
      <w:r>
        <w:rPr>
          <w:rFonts w:ascii="Times New Roman" w:hAnsi="Times New Roman" w:eastAsia="Times New Roman" w:cs="Times New Roman"/>
          <w:b/>
          <w:color w:val="2E5A6B"/>
          <w:sz w:val="24"/>
          <w:szCs w:val="24"/>
        </w:rPr>
        <w:t>1.5 Project Proposal</w:t>
      </w:r>
    </w:p>
    <w:p>
      <w:pPr>
        <w:pStyle w:val="Normal"/>
      </w:pPr>
      <w:r>
        <w:rPr>
          <w:rFonts w:ascii="Times New Roman" w:hAnsi="Times New Roman" w:eastAsia="Times New Roman" w:cs="Times New Roman"/>
          <w:color w:val="1A1A1A"/>
          <w:sz w:val="22"/>
          <w:szCs w:val="22"/>
        </w:rPr>
        <w:t>A detailed submission by Iran to a specific Sub-Fund, containing:</w:t>
      </w:r>
    </w:p>
    <w:p>
      <w:pPr>
        <w:pStyle w:val="Normal"/>
        <w:ind w:left="720" w:hanging="360"/>
      </w:pPr>
      <w:r>
        <w:rPr>
          <w:rFonts w:ascii="Times New Roman" w:hAnsi="Times New Roman" w:eastAsia="Times New Roman" w:cs="Times New Roman"/>
          <w:color w:val="1A1A1A"/>
          <w:sz w:val="22"/>
          <w:szCs w:val="22"/>
        </w:rPr>
        <w:t xml:space="preserve">•  Project description and scope</w:t>
      </w:r>
    </w:p>
    <w:p>
      <w:pPr>
        <w:pStyle w:val="Normal"/>
        <w:ind w:left="720" w:hanging="360"/>
      </w:pPr>
      <w:r>
        <w:rPr>
          <w:rFonts w:ascii="Times New Roman" w:hAnsi="Times New Roman" w:eastAsia="Times New Roman" w:cs="Times New Roman"/>
          <w:color w:val="1A1A1A"/>
          <w:sz w:val="22"/>
          <w:szCs w:val="22"/>
        </w:rPr>
        <w:t xml:space="preserve">•  Estimated cost and timeline</w:t>
      </w:r>
    </w:p>
    <w:p>
      <w:pPr>
        <w:pStyle w:val="Normal"/>
        <w:ind w:left="720" w:hanging="360"/>
      </w:pPr>
      <w:r>
        <w:rPr>
          <w:rFonts w:ascii="Times New Roman" w:hAnsi="Times New Roman" w:eastAsia="Times New Roman" w:cs="Times New Roman"/>
          <w:color w:val="1A1A1A"/>
          <w:sz w:val="22"/>
          <w:szCs w:val="22"/>
        </w:rPr>
        <w:t xml:space="preserve">•  Technical feasibility study</w:t>
      </w:r>
    </w:p>
    <w:p>
      <w:pPr>
        <w:pStyle w:val="Normal"/>
        <w:ind w:left="720" w:hanging="360"/>
      </w:pPr>
      <w:r>
        <w:rPr>
          <w:rFonts w:ascii="Times New Roman" w:hAnsi="Times New Roman" w:eastAsia="Times New Roman" w:cs="Times New Roman"/>
          <w:color w:val="1A1A1A"/>
          <w:sz w:val="22"/>
          <w:szCs w:val="22"/>
        </w:rPr>
        <w:t xml:space="preserve">•  Environmental and social impact assessment</w:t>
      </w:r>
    </w:p>
    <w:p>
      <w:pPr>
        <w:pStyle w:val="Normal"/>
        <w:ind w:left="720" w:hanging="360"/>
      </w:pPr>
      <w:r>
        <w:rPr>
          <w:rFonts w:ascii="Times New Roman" w:hAnsi="Times New Roman" w:eastAsia="Times New Roman" w:cs="Times New Roman"/>
          <w:color w:val="1A1A1A"/>
          <w:sz w:val="22"/>
          <w:szCs w:val="22"/>
        </w:rPr>
        <w:t xml:space="preserve">•  Procurement plan</w:t>
      </w:r>
    </w:p>
    <w:p>
      <w:pPr>
        <w:pStyle w:val="Normal"/>
        <w:ind w:left="720" w:hanging="360"/>
      </w:pPr>
      <w:r>
        <w:rPr>
          <w:rFonts w:ascii="Times New Roman" w:hAnsi="Times New Roman" w:eastAsia="Times New Roman" w:cs="Times New Roman"/>
          <w:color w:val="1A1A1A"/>
          <w:sz w:val="22"/>
          <w:szCs w:val="22"/>
        </w:rPr>
        <w:t xml:space="preserve">•  Verification milestones</w:t>
      </w:r>
    </w:p>
    <w:p>
      <w:pPr>
        <w:pStyle w:val="Heading2"/>
      </w:pPr>
      <w:r>
        <w:rPr>
          <w:rFonts w:ascii="Times New Roman" w:hAnsi="Times New Roman" w:eastAsia="Times New Roman" w:cs="Times New Roman"/>
          <w:b/>
          <w:color w:val="2E5A6B"/>
          <w:sz w:val="24"/>
          <w:szCs w:val="24"/>
        </w:rPr>
        <w:t>1.6 Verification Milestone</w:t>
      </w:r>
    </w:p>
    <w:p>
      <w:pPr>
        <w:pStyle w:val="Normal"/>
      </w:pPr>
      <w:r>
        <w:rPr>
          <w:rFonts w:ascii="Times New Roman" w:hAnsi="Times New Roman" w:eastAsia="Times New Roman" w:cs="Times New Roman"/>
          <w:color w:val="1A1A1A"/>
          <w:sz w:val="22"/>
          <w:szCs w:val="22"/>
        </w:rPr>
        <w:t>A specific, objectively verifiable event in a project's implementation, such as:</w:t>
      </w:r>
    </w:p>
    <w:p>
      <w:pPr>
        <w:pStyle w:val="Normal"/>
        <w:ind w:left="720" w:hanging="360"/>
      </w:pPr>
      <w:r>
        <w:rPr>
          <w:rFonts w:ascii="Times New Roman" w:hAnsi="Times New Roman" w:eastAsia="Times New Roman" w:cs="Times New Roman"/>
          <w:color w:val="1A1A1A"/>
          <w:sz w:val="22"/>
          <w:szCs w:val="22"/>
        </w:rPr>
        <w:t xml:space="preserve">•  Procurement completion</w:t>
      </w:r>
    </w:p>
    <w:p>
      <w:pPr>
        <w:pStyle w:val="Normal"/>
        <w:ind w:left="720" w:hanging="360"/>
      </w:pPr>
      <w:r>
        <w:rPr>
          <w:rFonts w:ascii="Times New Roman" w:hAnsi="Times New Roman" w:eastAsia="Times New Roman" w:cs="Times New Roman"/>
          <w:color w:val="1A1A1A"/>
          <w:sz w:val="22"/>
          <w:szCs w:val="22"/>
        </w:rPr>
        <w:t xml:space="preserve">•  Construction commencement</w:t>
      </w:r>
    </w:p>
    <w:p>
      <w:pPr>
        <w:pStyle w:val="Normal"/>
        <w:ind w:left="720" w:hanging="360"/>
      </w:pPr>
      <w:r>
        <w:rPr>
          <w:rFonts w:ascii="Times New Roman" w:hAnsi="Times New Roman" w:eastAsia="Times New Roman" w:cs="Times New Roman"/>
          <w:color w:val="1A1A1A"/>
          <w:sz w:val="22"/>
          <w:szCs w:val="22"/>
        </w:rPr>
        <w:t xml:space="preserve">•  Phase completion (e.g., 25%, 50%, 75%)</w:t>
      </w:r>
    </w:p>
    <w:p>
      <w:pPr>
        <w:pStyle w:val="Normal"/>
        <w:ind w:left="720" w:hanging="360"/>
      </w:pPr>
      <w:r>
        <w:rPr>
          <w:rFonts w:ascii="Times New Roman" w:hAnsi="Times New Roman" w:eastAsia="Times New Roman" w:cs="Times New Roman"/>
          <w:color w:val="1A1A1A"/>
          <w:sz w:val="22"/>
          <w:szCs w:val="22"/>
        </w:rPr>
        <w:t xml:space="preserve">•  Operational handover</w:t>
      </w:r>
    </w:p>
    <w:p>
      <w:pPr>
        <w:pStyle w:val="Normal"/>
        <w:ind w:left="720" w:hanging="360"/>
      </w:pPr>
      <w:r>
        <w:rPr>
          <w:rFonts w:ascii="Times New Roman" w:hAnsi="Times New Roman" w:eastAsia="Times New Roman" w:cs="Times New Roman"/>
          <w:color w:val="1A1A1A"/>
          <w:sz w:val="22"/>
          <w:szCs w:val="22"/>
        </w:rPr>
        <w:t xml:space="preserve">•  Independent audit certification</w:t>
      </w:r>
    </w:p>
    <w:p>
      <w:pPr>
        <w:pStyle w:val="Heading2"/>
      </w:pPr>
      <w:r>
        <w:rPr>
          <w:rFonts w:ascii="Times New Roman" w:hAnsi="Times New Roman" w:eastAsia="Times New Roman" w:cs="Times New Roman"/>
          <w:b/>
          <w:color w:val="2E5A6B"/>
          <w:sz w:val="24"/>
          <w:szCs w:val="24"/>
        </w:rPr>
        <w:t>1.7 Reconstruction Steering Committee (RSC)</w:t>
      </w:r>
    </w:p>
    <w:p>
      <w:pPr>
        <w:pStyle w:val="Normal"/>
      </w:pPr>
      <w:r>
        <w:rPr>
          <w:rFonts w:ascii="Times New Roman" w:hAnsi="Times New Roman" w:eastAsia="Times New Roman" w:cs="Times New Roman"/>
          <w:color w:val="1A1A1A"/>
          <w:sz w:val="22"/>
          <w:szCs w:val="22"/>
        </w:rPr>
        <w:t>The central oversight body for the MRF, comprising representatives of:</w:t>
      </w:r>
    </w:p>
    <w:p>
      <w:pPr>
        <w:pStyle w:val="Normal"/>
        <w:ind w:left="720" w:hanging="360"/>
      </w:pPr>
      <w:r>
        <w:rPr>
          <w:rFonts w:ascii="Times New Roman" w:hAnsi="Times New Roman" w:eastAsia="Times New Roman" w:cs="Times New Roman"/>
          <w:color w:val="1A1A1A"/>
          <w:sz w:val="22"/>
          <w:szCs w:val="22"/>
        </w:rPr>
        <w:t xml:space="preserve">•  Iran (2 representatives -- AEOI or Ministry of Economy)</w:t>
      </w:r>
    </w:p>
    <w:p>
      <w:pPr>
        <w:pStyle w:val="Normal"/>
        <w:ind w:left="720" w:hanging="360"/>
      </w:pPr>
      <w:r>
        <w:rPr>
          <w:rFonts w:ascii="Times New Roman" w:hAnsi="Times New Roman" w:eastAsia="Times New Roman" w:cs="Times New Roman"/>
          <w:color w:val="1A1A1A"/>
          <w:sz w:val="22"/>
          <w:szCs w:val="22"/>
        </w:rPr>
        <w:t xml:space="preserve">•  Qatar (1 representative -- Escrow Agent)</w:t>
      </w:r>
    </w:p>
    <w:p>
      <w:pPr>
        <w:pStyle w:val="Normal"/>
        <w:ind w:left="720" w:hanging="360"/>
      </w:pPr>
      <w:r>
        <w:rPr>
          <w:rFonts w:ascii="Times New Roman" w:hAnsi="Times New Roman" w:eastAsia="Times New Roman" w:cs="Times New Roman"/>
          <w:color w:val="1A1A1A"/>
          <w:sz w:val="22"/>
          <w:szCs w:val="22"/>
        </w:rPr>
        <w:t xml:space="preserve">•  World Bank (1 representative -- Fiduciary Administrator)</w:t>
      </w:r>
    </w:p>
    <w:p>
      <w:pPr>
        <w:pStyle w:val="Normal"/>
        <w:ind w:left="720" w:hanging="360"/>
      </w:pPr>
      <w:r>
        <w:rPr>
          <w:rFonts w:ascii="Times New Roman" w:hAnsi="Times New Roman" w:eastAsia="Times New Roman" w:cs="Times New Roman"/>
          <w:color w:val="1A1A1A"/>
          <w:sz w:val="22"/>
          <w:szCs w:val="22"/>
        </w:rPr>
        <w:t xml:space="preserve">•  GCC (1 representative -- rotating chair)</w:t>
      </w:r>
    </w:p>
    <w:p>
      <w:pPr>
        <w:pStyle w:val="Normal"/>
        <w:ind w:left="720" w:hanging="360"/>
      </w:pPr>
      <w:r>
        <w:rPr>
          <w:rFonts w:ascii="Times New Roman" w:hAnsi="Times New Roman" w:eastAsia="Times New Roman" w:cs="Times New Roman"/>
          <w:color w:val="1A1A1A"/>
          <w:sz w:val="22"/>
          <w:szCs w:val="22"/>
        </w:rPr>
        <w:t xml:space="preserve">•  United States (1 representative -- observer, no vote)</w:t>
      </w:r>
    </w:p>
    <w:p>
      <w:pPr>
        <w:pStyle w:val="Normal"/>
        <w:ind w:left="720" w:hanging="360"/>
      </w:pPr>
      <w:r>
        <w:rPr>
          <w:rFonts w:ascii="Times New Roman" w:hAnsi="Times New Roman" w:eastAsia="Times New Roman" w:cs="Times New Roman"/>
          <w:color w:val="1A1A1A"/>
          <w:sz w:val="22"/>
          <w:szCs w:val="22"/>
        </w:rPr>
        <w:t xml:space="preserve">•  China (1 representative -- observer, no vote)</w:t>
      </w:r>
    </w:p>
    <w:p>
      <w:pPr>
        <w:pStyle w:val="Normal"/>
        <w:ind w:left="720" w:hanging="360"/>
      </w:pPr>
      <w:r>
        <w:rPr>
          <w:rFonts w:ascii="Times New Roman" w:hAnsi="Times New Roman" w:eastAsia="Times New Roman" w:cs="Times New Roman"/>
          <w:color w:val="1A1A1A"/>
          <w:sz w:val="22"/>
          <w:szCs w:val="22"/>
        </w:rPr>
        <w:t xml:space="preserve">•  EU (1 representative -- observer, no vote)</w:t>
      </w:r>
    </w:p>
    <w:p>
      <w:pPr>
        <w:pStyle w:val="Normal"/>
      </w:pPr>
      <w:r>
        <w:rPr>
          <w:rFonts w:ascii="Times New Roman" w:hAnsi="Times New Roman" w:eastAsia="Times New Roman" w:cs="Times New Roman"/>
          <w:color w:val="1A1A1A"/>
          <w:sz w:val="22"/>
          <w:szCs w:val="22"/>
        </w:rPr>
        <w:t>The RSC approves project proposals, monitors progress, and authorizes disbursements. Decisions require consensus of the voting members (Iran, Qatar, World Bank, GCC).</w:t>
      </w:r>
    </w:p>
    <w:p>
      <w:pPr>
        <w:pStyle w:val="Heading2"/>
      </w:pPr>
      <w:r>
        <w:rPr>
          <w:rFonts w:ascii="Times New Roman" w:hAnsi="Times New Roman" w:eastAsia="Times New Roman" w:cs="Times New Roman"/>
          <w:b/>
          <w:color w:val="2E5A6B"/>
          <w:sz w:val="24"/>
          <w:szCs w:val="24"/>
        </w:rPr>
        <w:t>1.8 Technical Advisory Group (TAG)</w:t>
      </w:r>
    </w:p>
    <w:p>
      <w:pPr>
        <w:pStyle w:val="Normal"/>
      </w:pPr>
      <w:r>
        <w:rPr>
          <w:rFonts w:ascii="Times New Roman" w:hAnsi="Times New Roman" w:eastAsia="Times New Roman" w:cs="Times New Roman"/>
          <w:color w:val="1A1A1A"/>
          <w:sz w:val="22"/>
          <w:szCs w:val="22"/>
        </w:rPr>
        <w:t>A panel of independent technical experts appointed by the World Bank to:</w:t>
      </w:r>
    </w:p>
    <w:p>
      <w:pPr>
        <w:pStyle w:val="Normal"/>
        <w:ind w:left="720" w:hanging="360"/>
      </w:pPr>
      <w:r>
        <w:rPr>
          <w:rFonts w:ascii="Times New Roman" w:hAnsi="Times New Roman" w:eastAsia="Times New Roman" w:cs="Times New Roman"/>
          <w:color w:val="1A1A1A"/>
          <w:sz w:val="22"/>
          <w:szCs w:val="22"/>
        </w:rPr>
        <w:t xml:space="preserve">•  Assess the technical feasibility of Project Proposals</w:t>
      </w:r>
    </w:p>
    <w:p>
      <w:pPr>
        <w:pStyle w:val="Normal"/>
        <w:ind w:left="720" w:hanging="360"/>
      </w:pPr>
      <w:r>
        <w:rPr>
          <w:rFonts w:ascii="Times New Roman" w:hAnsi="Times New Roman" w:eastAsia="Times New Roman" w:cs="Times New Roman"/>
          <w:color w:val="1A1A1A"/>
          <w:sz w:val="22"/>
          <w:szCs w:val="22"/>
        </w:rPr>
        <w:t xml:space="preserve">•  Conduct independent verification of milestone completion</w:t>
      </w:r>
    </w:p>
    <w:p>
      <w:pPr>
        <w:pStyle w:val="Normal"/>
        <w:ind w:left="720" w:hanging="360"/>
      </w:pPr>
      <w:r>
        <w:rPr>
          <w:rFonts w:ascii="Times New Roman" w:hAnsi="Times New Roman" w:eastAsia="Times New Roman" w:cs="Times New Roman"/>
          <w:color w:val="1A1A1A"/>
          <w:sz w:val="22"/>
          <w:szCs w:val="22"/>
        </w:rPr>
        <w:t xml:space="preserve">•  Provide technical guidance to the RSC</w:t>
      </w:r>
    </w:p>
    <w:p>
      <w:pPr>
        <w:pStyle w:val="Heading1"/>
      </w:pPr>
      <w:r>
        <w:t>Article 2: Capital Aggregation and Escrow</w:t>
      </w:r>
      <w:bookmarkStart w:name="_Toc003" w:id="3"/>
      <w:bookmarkEnd w:id="3"/>
    </w:p>
    <w:p>
      <w:pPr>
        <w:pStyle w:val="Heading2"/>
      </w:pPr>
      <w:r>
        <w:t>2.1 Pledge and Deposit Mechanism</w:t>
      </w:r>
    </w:p>
    <w:p>
      <w:r>
        <w:t>Contributors pledge funds to specific Sub-Funds. Pledges are non-binding until deposited. Deposits flow directly from contributors to the MRF escrow account at the Qatar Central Bank. No contribution passes through the United States or any U.S.-controlled financial institution.</w:t>
      </w:r>
    </w:p>
    <w:p>
      <w:pPr>
        <w:pStyle w:val="Heading2"/>
      </w:pPr>
      <w:r>
        <w:t>2.2 Contribution Tiers</w:t>
      </w:r>
    </w:p>
    <w:p>
      <w:r>
        <w:t>The framework recognizes the following contribution tiers:</w:t>
      </w:r>
    </w:p>
    <w:tbl>
      <w:tblPr>
        <w:tblW w:w="5000" w:type="pct"/>
        <w:tblBorders>
          <w:top w:val="single" w:color="1B3A4B" w:sz="12"/>
          <w:left w:val="nil"/>
          <w:bottom w:val="single" w:color="1B3A4B" w:sz="12"/>
          <w:right w:val="nil"/>
          <w:insideH w:val="single" w:color="b0b0b0" w:sz="4"/>
          <w:insideV w:val="nil"/>
        </w:tblBorders>
      </w:tblPr>
      <w:tblGrid>
        <w:gridCol w:w="1400"/>
        <w:gridCol w:w="2800"/>
        <w:gridCol w:w="2000"/>
        <w:gridCol w:w="2800"/>
      </w:tblGrid>
      <w:tr>
        <w:trPr>
          <w:tblHeader/>
        </w:trPr>
        <w:tc>
          <w:tcPr>
            <w:tcW w:w="1400" w:type="dxa"/>
            <w:shd w:val="clear" w:fill="E8EEF2"/>
          </w:tcPr>
          <w:p>
            <w:pPr>
              <w:spacing w:before="60" w:after="60"/>
              <w:jc w:val="center"/>
            </w:pPr>
            <w:r>
              <w:rPr>
                <w:b/>
                <w:color w:val="1a1a1a"/>
                <w:sz w:val="20"/>
              </w:rPr>
              <w:t>Tier</w:t>
            </w:r>
          </w:p>
        </w:tc>
        <w:tc>
          <w:tcPr>
            <w:tcW w:w="2800" w:type="dxa"/>
            <w:shd w:val="clear" w:fill="E8EEF2"/>
          </w:tcPr>
          <w:p>
            <w:pPr>
              <w:spacing w:before="60" w:after="60"/>
              <w:jc w:val="center"/>
            </w:pPr>
            <w:r>
              <w:rPr>
                <w:b/>
                <w:color w:val="1a1a1a"/>
                <w:sz w:val="20"/>
              </w:rPr>
              <w:t>Contributor Type</w:t>
            </w:r>
          </w:p>
        </w:tc>
        <w:tc>
          <w:tcPr>
            <w:tcW w:w="2000" w:type="dxa"/>
            <w:shd w:val="clear" w:fill="E8EEF2"/>
          </w:tcPr>
          <w:p>
            <w:pPr>
              <w:spacing w:before="60" w:after="60"/>
              <w:jc w:val="center"/>
            </w:pPr>
            <w:r>
              <w:rPr>
                <w:b/>
                <w:color w:val="1a1a1a"/>
                <w:sz w:val="20"/>
              </w:rPr>
              <w:t>Typical Amount</w:t>
            </w:r>
          </w:p>
        </w:tc>
        <w:tc>
          <w:tcPr>
            <w:tcW w:w="2800" w:type="dxa"/>
            <w:shd w:val="clear" w:fill="E8EEF2"/>
          </w:tcPr>
          <w:p>
            <w:pPr>
              <w:spacing w:before="60" w:after="60"/>
              <w:jc w:val="center"/>
            </w:pPr>
            <w:r>
              <w:rPr>
                <w:b/>
                <w:color w:val="1a1a1a"/>
                <w:sz w:val="20"/>
              </w:rPr>
              <w:t>Example</w:t>
            </w:r>
          </w:p>
        </w:tc>
      </w:tr>
      <w:tr>
        <w:tc>
          <w:tcPr>
            <w:tcW w:w="1400" w:type="dxa"/>
          </w:tcPr>
          <w:p>
            <w:pPr>
              <w:spacing w:before="40" w:after="40"/>
            </w:pPr>
            <w:r>
              <w:rPr>
                <w:color w:val="1a1a1a"/>
                <w:sz w:val="20"/>
              </w:rPr>
              <w:t>Anchor</w:t>
            </w:r>
          </w:p>
        </w:tc>
        <w:tc>
          <w:tcPr>
            <w:tcW w:w="2800" w:type="dxa"/>
          </w:tcPr>
          <w:p>
            <w:pPr>
              <w:spacing w:before="40" w:after="40"/>
            </w:pPr>
            <w:r>
              <w:rPr>
                <w:color w:val="1a1a1a"/>
                <w:sz w:val="20"/>
              </w:rPr>
              <w:t>GCC sovereign wealth funds, World Bank, Islamic Development Bank</w:t>
            </w:r>
          </w:p>
        </w:tc>
        <w:tc>
          <w:tcPr>
            <w:tcW w:w="2000" w:type="dxa"/>
          </w:tcPr>
          <w:p>
            <w:pPr>
              <w:spacing w:before="40" w:after="40"/>
            </w:pPr>
            <w:r>
              <w:rPr>
                <w:color w:val="1a1a1a"/>
                <w:sz w:val="20"/>
              </w:rPr>
              <w:t>$5B+</w:t>
            </w:r>
          </w:p>
        </w:tc>
        <w:tc>
          <w:tcPr>
            <w:tcW w:w="2800" w:type="dxa"/>
          </w:tcPr>
          <w:p>
            <w:pPr>
              <w:spacing w:before="40" w:after="40"/>
            </w:pPr>
            <w:r>
              <w:rPr>
                <w:color w:val="1a1a1a"/>
                <w:sz w:val="20"/>
              </w:rPr>
              <w:t>Qatar Investment Authority, Saudi PIF, UAE ADIA</w:t>
            </w:r>
          </w:p>
        </w:tc>
      </w:tr>
      <w:tr>
        <w:tc>
          <w:tcPr>
            <w:tcW w:w="1400" w:type="dxa"/>
          </w:tcPr>
          <w:p>
            <w:pPr>
              <w:spacing w:before="40" w:after="40"/>
            </w:pPr>
            <w:r>
              <w:rPr>
                <w:color w:val="1a1a1a"/>
                <w:sz w:val="20"/>
              </w:rPr>
              <w:t>Major</w:t>
            </w:r>
          </w:p>
        </w:tc>
        <w:tc>
          <w:tcPr>
            <w:tcW w:w="2800" w:type="dxa"/>
          </w:tcPr>
          <w:p>
            <w:pPr>
              <w:spacing w:before="40" w:after="40"/>
            </w:pPr>
            <w:r>
              <w:rPr>
                <w:color w:val="1a1a1a"/>
                <w:sz w:val="20"/>
              </w:rPr>
              <w:t>Regional development banks, EU member states, China, Russia</w:t>
            </w:r>
          </w:p>
        </w:tc>
        <w:tc>
          <w:tcPr>
            <w:tcW w:w="2000" w:type="dxa"/>
          </w:tcPr>
          <w:p>
            <w:pPr>
              <w:spacing w:before="40" w:after="40"/>
            </w:pPr>
            <w:r>
              <w:rPr>
                <w:color w:val="1a1a1a"/>
                <w:sz w:val="20"/>
              </w:rPr>
              <w:t>$1B-$5B</w:t>
            </w:r>
          </w:p>
        </w:tc>
        <w:tc>
          <w:tcPr>
            <w:tcW w:w="2800" w:type="dxa"/>
          </w:tcPr>
          <w:p>
            <w:pPr>
              <w:spacing w:before="40" w:after="40"/>
            </w:pPr>
            <w:r>
              <w:rPr>
                <w:color w:val="1a1a1a"/>
                <w:sz w:val="20"/>
              </w:rPr>
              <w:t>AIIB, EBRD, Germany, Japan</w:t>
            </w:r>
          </w:p>
        </w:tc>
      </w:tr>
      <w:tr>
        <w:tc>
          <w:tcPr>
            <w:tcW w:w="1400" w:type="dxa"/>
          </w:tcPr>
          <w:p>
            <w:pPr>
              <w:spacing w:before="40" w:after="40"/>
            </w:pPr>
            <w:r>
              <w:rPr>
                <w:color w:val="1a1a1a"/>
                <w:sz w:val="20"/>
              </w:rPr>
              <w:t>Supporting</w:t>
            </w:r>
          </w:p>
        </w:tc>
        <w:tc>
          <w:tcPr>
            <w:tcW w:w="2800" w:type="dxa"/>
          </w:tcPr>
          <w:p>
            <w:pPr>
              <w:spacing w:before="40" w:after="40"/>
            </w:pPr>
            <w:r>
              <w:rPr>
                <w:color w:val="1a1a1a"/>
                <w:sz w:val="20"/>
              </w:rPr>
              <w:t>Private investors, pension funds, insurance companies</w:t>
            </w:r>
          </w:p>
        </w:tc>
        <w:tc>
          <w:tcPr>
            <w:tcW w:w="2000" w:type="dxa"/>
          </w:tcPr>
          <w:p>
            <w:pPr>
              <w:spacing w:before="40" w:after="40"/>
            </w:pPr>
            <w:r>
              <w:rPr>
                <w:color w:val="1a1a1a"/>
                <w:sz w:val="20"/>
              </w:rPr>
              <w:t>$100M-$1B</w:t>
            </w:r>
          </w:p>
        </w:tc>
        <w:tc>
          <w:tcPr>
            <w:tcW w:w="2800" w:type="dxa"/>
          </w:tcPr>
          <w:p>
            <w:pPr>
              <w:spacing w:before="40" w:after="40"/>
            </w:pPr>
            <w:r>
              <w:rPr>
                <w:color w:val="1a1a1a"/>
                <w:sz w:val="20"/>
              </w:rPr>
              <w:t>Infrastructure funds, sovereign-backed insurers</w:t>
            </w:r>
          </w:p>
        </w:tc>
      </w:tr>
      <w:tr>
        <w:tc>
          <w:tcPr>
            <w:tcW w:w="1400" w:type="dxa"/>
          </w:tcPr>
          <w:p>
            <w:pPr>
              <w:spacing w:before="40" w:after="40"/>
            </w:pPr>
            <w:r>
              <w:rPr>
                <w:color w:val="1a1a1a"/>
                <w:sz w:val="20"/>
              </w:rPr>
              <w:t>Humanitarian</w:t>
            </w:r>
          </w:p>
        </w:tc>
        <w:tc>
          <w:tcPr>
            <w:tcW w:w="2800" w:type="dxa"/>
          </w:tcPr>
          <w:p>
            <w:pPr>
              <w:spacing w:before="40" w:after="40"/>
            </w:pPr>
            <w:r>
              <w:rPr>
                <w:color w:val="1a1a1a"/>
                <w:sz w:val="20"/>
              </w:rPr>
              <w:t>UN agencies, ICRC, bilateral humanitarian offices</w:t>
            </w:r>
          </w:p>
        </w:tc>
        <w:tc>
          <w:tcPr>
            <w:tcW w:w="2000" w:type="dxa"/>
          </w:tcPr>
          <w:p>
            <w:pPr>
              <w:spacing w:before="40" w:after="40"/>
            </w:pPr>
            <w:r>
              <w:rPr>
                <w:color w:val="1a1a1a"/>
                <w:sz w:val="20"/>
              </w:rPr>
              <w:t>$50M-$500M</w:t>
            </w:r>
          </w:p>
        </w:tc>
        <w:tc>
          <w:tcPr>
            <w:tcW w:w="2800" w:type="dxa"/>
          </w:tcPr>
          <w:p>
            <w:pPr>
              <w:spacing w:before="40" w:after="40"/>
            </w:pPr>
            <w:r>
              <w:rPr>
                <w:color w:val="1a1a1a"/>
                <w:sz w:val="20"/>
              </w:rPr>
              <w:t>UN OCHA, WHO, WFP, USAID (technical only)</w:t>
            </w:r>
          </w:p>
        </w:tc>
      </w:tr>
    </w:tbl>
    <w:p>
      <w:pPr>
        <w:pStyle w:val="Heading2"/>
      </w:pPr>
      <w:r>
        <w:t>2.3 U.S. Participation (Non-Cash)</w:t>
      </w:r>
    </w:p>
    <w:p>
      <w:r>
        <w:t>The United States contributes to the MRF exclusively through:</w:t>
      </w:r>
    </w:p>
    <w:p>
      <w:pPr>
        <w:ind w:left="720" w:hanging="360"/>
      </w:pPr>
      <w:r>
        <w:t>•  Technical assistance: Project identification, feasibility studies, engineering expertise</w:t>
      </w:r>
    </w:p>
    <w:p>
      <w:pPr>
        <w:ind w:left="720" w:hanging="360"/>
      </w:pPr>
      <w:r>
        <w:t>•  Capacity building: Training for Iranian procurement and project management officials</w:t>
      </w:r>
    </w:p>
    <w:p>
      <w:pPr>
        <w:ind w:left="720" w:hanging="360"/>
      </w:pPr>
      <w:r>
        <w:t>•  Regulatory facilitation: OFAC general licenses for MRF transactions</w:t>
      </w:r>
    </w:p>
    <w:p>
      <w:pPr>
        <w:ind w:left="720" w:hanging="360"/>
      </w:pPr>
      <w:r>
        <w:t>•  Diplomatic support: Encouraging third-party contributions</w:t>
      </w:r>
    </w:p>
    <w:p>
      <w:r>
        <w:t>The United States does not contribute direct cash to the MRF. This explicitly addresses the political impossibility of direct U.S. financial aid.</w:t>
      </w:r>
    </w:p>
    <w:p>
      <w:pPr>
        <w:pStyle w:val="Heading2"/>
      </w:pPr>
      <w:r>
        <w:rPr>
          <w:rFonts w:ascii="Times New Roman" w:hAnsi="Times New Roman" w:eastAsia="Times New Roman" w:cs="Times New Roman"/>
          <w:b/>
          <w:color w:val="2E5A6B"/>
          <w:sz w:val="24"/>
          <w:szCs w:val="24"/>
        </w:rPr>
        <w:t>2.4 Sanctions Firewall</w:t>
      </w:r>
    </w:p>
    <w:p>
      <w:pPr>
        <w:pStyle w:val="Normal"/>
      </w:pPr>
      <w:r>
        <w:rPr>
          <w:rFonts w:ascii="Times New Roman" w:hAnsi="Times New Roman" w:eastAsia="Times New Roman" w:cs="Times New Roman"/>
          <w:color w:val="1A1A1A"/>
          <w:sz w:val="22"/>
          <w:szCs w:val="22"/>
        </w:rPr>
        <w:t>All MRF transactions are explicitly exempt from U.S. secondary sanctions. OFAC issues a general license covering:</w:t>
      </w:r>
    </w:p>
    <w:p>
      <w:pPr>
        <w:pStyle w:val="Normal"/>
        <w:ind w:left="720" w:hanging="360"/>
      </w:pPr>
      <w:r>
        <w:rPr>
          <w:rFonts w:ascii="Times New Roman" w:hAnsi="Times New Roman" w:eastAsia="Times New Roman" w:cs="Times New Roman"/>
          <w:color w:val="1A1A1A"/>
          <w:sz w:val="22"/>
          <w:szCs w:val="22"/>
        </w:rPr>
        <w:t xml:space="preserve">•  All contributions to the MRF</w:t>
      </w:r>
    </w:p>
    <w:p>
      <w:pPr>
        <w:pStyle w:val="Normal"/>
        <w:ind w:left="720" w:hanging="360"/>
      </w:pPr>
      <w:r>
        <w:rPr>
          <w:rFonts w:ascii="Times New Roman" w:hAnsi="Times New Roman" w:eastAsia="Times New Roman" w:cs="Times New Roman"/>
          <w:color w:val="1A1A1A"/>
          <w:sz w:val="22"/>
          <w:szCs w:val="22"/>
        </w:rPr>
        <w:t xml:space="preserve">•  All disbursements from the MRF to Iranian project implementers</w:t>
      </w:r>
    </w:p>
    <w:p>
      <w:pPr>
        <w:pStyle w:val="Normal"/>
        <w:ind w:left="720" w:hanging="360"/>
      </w:pPr>
      <w:r>
        <w:rPr>
          <w:rFonts w:ascii="Times New Roman" w:hAnsi="Times New Roman" w:eastAsia="Times New Roman" w:cs="Times New Roman"/>
          <w:color w:val="1A1A1A"/>
          <w:sz w:val="22"/>
          <w:szCs w:val="22"/>
        </w:rPr>
        <w:t xml:space="preserve">•  All procurement contracts funded by the MRF</w:t>
      </w:r>
    </w:p>
    <w:p>
      <w:pPr>
        <w:pStyle w:val="Normal"/>
        <w:ind w:left="720" w:hanging="360"/>
      </w:pPr>
      <w:r>
        <w:rPr>
          <w:rFonts w:ascii="Times New Roman" w:hAnsi="Times New Roman" w:eastAsia="Times New Roman" w:cs="Times New Roman"/>
          <w:color w:val="1A1A1A"/>
          <w:sz w:val="22"/>
          <w:szCs w:val="22"/>
        </w:rPr>
        <w:t xml:space="preserve">•  All banking transactions associated with MRF activities</w:t>
      </w:r>
    </w:p>
    <w:p>
      <w:pPr>
        <w:pStyle w:val="Normal"/>
      </w:pPr>
      <w:r>
        <w:rPr>
          <w:rFonts w:ascii="Times New Roman" w:hAnsi="Times New Roman" w:eastAsia="Times New Roman" w:cs="Times New Roman"/>
          <w:color w:val="1A1A1A"/>
          <w:sz w:val="22"/>
          <w:szCs w:val="22"/>
        </w:rPr>
        <w:t>This firewall ensures that financial institutions, contractors, and suppliers participate in MRF-funded projects without fear of U.S. sanctions exposure.</w:t>
      </w:r>
    </w:p>
    <w:p>
      <w:pPr>
        <w:pStyle w:val="Heading1"/>
      </w:pPr>
      <w:bookmarkStart w:name="_Toc004" w:id="4"/>
      <w:r>
        <w:rPr>
          <w:rFonts w:ascii="Times New Roman" w:hAnsi="Times New Roman" w:eastAsia="Times New Roman" w:cs="Times New Roman"/>
          <w:b/>
          <w:color w:val="1B3A4B"/>
          <w:sz w:val="28"/>
          <w:szCs w:val="28"/>
        </w:rPr>
        <w:t>Article 3: Project Proposal and Approval Process</w:t>
      </w:r>
      <w:bookmarkEnd w:id="4"/>
    </w:p>
    <w:p>
      <w:pPr>
        <w:pStyle w:val="Heading2"/>
      </w:pPr>
      <w:r>
        <w:rPr>
          <w:rFonts w:ascii="Times New Roman" w:hAnsi="Times New Roman" w:eastAsia="Times New Roman" w:cs="Times New Roman"/>
          <w:b/>
          <w:color w:val="2E5A6B"/>
          <w:sz w:val="24"/>
          <w:szCs w:val="24"/>
        </w:rPr>
        <w:t>3.1 Iranian Project Submission</w:t>
      </w:r>
    </w:p>
    <w:p>
      <w:pPr>
        <w:pStyle w:val="Normal"/>
      </w:pPr>
      <w:r>
        <w:rPr>
          <w:rFonts w:ascii="Times New Roman" w:hAnsi="Times New Roman" w:eastAsia="Times New Roman" w:cs="Times New Roman"/>
          <w:color w:val="1A1A1A"/>
          <w:sz w:val="22"/>
          <w:szCs w:val="22"/>
        </w:rPr>
        <w:t>Iran submits Project Proposals to the appropriate Sub-Fund through the RSC secretariat. Proposals include:</w:t>
      </w:r>
    </w:p>
    <w:p>
      <w:pPr>
        <w:pStyle w:val="Normal"/>
        <w:ind w:left="720" w:hanging="360"/>
      </w:pPr>
      <w:r>
        <w:rPr>
          <w:rFonts w:ascii="Times New Roman" w:hAnsi="Times New Roman" w:eastAsia="Times New Roman" w:cs="Times New Roman"/>
          <w:color w:val="1A1A1A"/>
          <w:sz w:val="22"/>
          <w:szCs w:val="22"/>
        </w:rPr>
        <w:t xml:space="preserve">•  Sector and Sub-Fund designation</w:t>
      </w:r>
    </w:p>
    <w:p>
      <w:pPr>
        <w:pStyle w:val="Normal"/>
        <w:ind w:left="720" w:hanging="360"/>
      </w:pPr>
      <w:r>
        <w:rPr>
          <w:rFonts w:ascii="Times New Roman" w:hAnsi="Times New Roman" w:eastAsia="Times New Roman" w:cs="Times New Roman"/>
          <w:color w:val="1A1A1A"/>
          <w:sz w:val="22"/>
          <w:szCs w:val="22"/>
        </w:rPr>
        <w:t xml:space="preserve">•  Project description and objectives</w:t>
      </w:r>
    </w:p>
    <w:p>
      <w:pPr>
        <w:pStyle w:val="Normal"/>
        <w:ind w:left="720" w:hanging="360"/>
      </w:pPr>
      <w:r>
        <w:rPr>
          <w:rFonts w:ascii="Times New Roman" w:hAnsi="Times New Roman" w:eastAsia="Times New Roman" w:cs="Times New Roman"/>
          <w:color w:val="1A1A1A"/>
          <w:sz w:val="22"/>
          <w:szCs w:val="22"/>
        </w:rPr>
        <w:t xml:space="preserve">•  Estimated cost and funding request</w:t>
      </w:r>
    </w:p>
    <w:p>
      <w:pPr>
        <w:pStyle w:val="Normal"/>
        <w:ind w:left="720" w:hanging="360"/>
      </w:pPr>
      <w:r>
        <w:rPr>
          <w:rFonts w:ascii="Times New Roman" w:hAnsi="Times New Roman" w:eastAsia="Times New Roman" w:cs="Times New Roman"/>
          <w:color w:val="1A1A1A"/>
          <w:sz w:val="22"/>
          <w:szCs w:val="22"/>
        </w:rPr>
        <w:t xml:space="preserve">•  Detailed timeline with Verification Milestones</w:t>
      </w:r>
    </w:p>
    <w:p>
      <w:pPr>
        <w:pStyle w:val="Normal"/>
        <w:ind w:left="720" w:hanging="360"/>
      </w:pPr>
      <w:r>
        <w:rPr>
          <w:rFonts w:ascii="Times New Roman" w:hAnsi="Times New Roman" w:eastAsia="Times New Roman" w:cs="Times New Roman"/>
          <w:color w:val="1A1A1A"/>
          <w:sz w:val="22"/>
          <w:szCs w:val="22"/>
        </w:rPr>
        <w:t xml:space="preserve">•  Technical feasibility study</w:t>
      </w:r>
    </w:p>
    <w:p>
      <w:pPr>
        <w:pStyle w:val="Normal"/>
        <w:ind w:left="720" w:hanging="360"/>
      </w:pPr>
      <w:r>
        <w:rPr>
          <w:rFonts w:ascii="Times New Roman" w:hAnsi="Times New Roman" w:eastAsia="Times New Roman" w:cs="Times New Roman"/>
          <w:color w:val="1A1A1A"/>
          <w:sz w:val="22"/>
          <w:szCs w:val="22"/>
        </w:rPr>
        <w:t xml:space="preserve">•  Environmental and social impact assessment</w:t>
      </w:r>
    </w:p>
    <w:p>
      <w:pPr>
        <w:pStyle w:val="Normal"/>
        <w:ind w:left="720" w:hanging="360"/>
      </w:pPr>
      <w:r>
        <w:rPr>
          <w:rFonts w:ascii="Times New Roman" w:hAnsi="Times New Roman" w:eastAsia="Times New Roman" w:cs="Times New Roman"/>
          <w:color w:val="1A1A1A"/>
          <w:sz w:val="22"/>
          <w:szCs w:val="22"/>
        </w:rPr>
        <w:t xml:space="preserve">•  Procurement plan (including proposed contractors and suppliers)</w:t>
      </w:r>
    </w:p>
    <w:p>
      <w:pPr>
        <w:pStyle w:val="Normal"/>
        <w:ind w:left="720" w:hanging="360"/>
      </w:pPr>
      <w:r>
        <w:rPr>
          <w:rFonts w:ascii="Times New Roman" w:hAnsi="Times New Roman" w:eastAsia="Times New Roman" w:cs="Times New Roman"/>
          <w:color w:val="1A1A1A"/>
          <w:sz w:val="22"/>
          <w:szCs w:val="22"/>
        </w:rPr>
        <w:t xml:space="preserve">•  Independent audit plan</w:t>
      </w:r>
    </w:p>
    <w:p>
      <w:pPr>
        <w:pStyle w:val="Heading2"/>
      </w:pPr>
      <w:r>
        <w:rPr>
          <w:rFonts w:ascii="Times New Roman" w:hAnsi="Times New Roman" w:eastAsia="Times New Roman" w:cs="Times New Roman"/>
          <w:b/>
          <w:color w:val="2E5A6B"/>
          <w:sz w:val="24"/>
          <w:szCs w:val="24"/>
        </w:rPr>
        <w:t>3.2 Technical Advisory Group Review</w:t>
      </w:r>
    </w:p>
    <w:p>
      <w:pPr>
        <w:pStyle w:val="Normal"/>
      </w:pPr>
      <w:r>
        <w:rPr>
          <w:rFonts w:ascii="Times New Roman" w:hAnsi="Times New Roman" w:eastAsia="Times New Roman" w:cs="Times New Roman"/>
          <w:color w:val="1A1A1A"/>
          <w:sz w:val="22"/>
          <w:szCs w:val="22"/>
        </w:rPr>
        <w:t>Upon submission, the Technical Advisory Group (TAG) conducts a preliminary technical review within 30 days. The TAG assesses:</w:t>
      </w:r>
    </w:p>
    <w:p>
      <w:pPr>
        <w:pStyle w:val="Normal"/>
        <w:ind w:left="720" w:hanging="360"/>
      </w:pPr>
      <w:r>
        <w:rPr>
          <w:rFonts w:ascii="Times New Roman" w:hAnsi="Times New Roman" w:eastAsia="Times New Roman" w:cs="Times New Roman"/>
          <w:color w:val="1A1A1A"/>
          <w:sz w:val="22"/>
          <w:szCs w:val="22"/>
        </w:rPr>
        <w:t xml:space="preserve">•  Technical feasibility and soundness</w:t>
      </w:r>
    </w:p>
    <w:p>
      <w:pPr>
        <w:pStyle w:val="Normal"/>
        <w:ind w:left="720" w:hanging="360"/>
      </w:pPr>
      <w:r>
        <w:rPr>
          <w:rFonts w:ascii="Times New Roman" w:hAnsi="Times New Roman" w:eastAsia="Times New Roman" w:cs="Times New Roman"/>
          <w:color w:val="1A1A1A"/>
          <w:sz w:val="22"/>
          <w:szCs w:val="22"/>
        </w:rPr>
        <w:t xml:space="preserve">•  Environmental and social safeguards compliance</w:t>
      </w:r>
    </w:p>
    <w:p>
      <w:pPr>
        <w:pStyle w:val="Normal"/>
        <w:ind w:left="720" w:hanging="360"/>
      </w:pPr>
      <w:r>
        <w:rPr>
          <w:rFonts w:ascii="Times New Roman" w:hAnsi="Times New Roman" w:eastAsia="Times New Roman" w:cs="Times New Roman"/>
          <w:color w:val="1A1A1A"/>
          <w:sz w:val="22"/>
          <w:szCs w:val="22"/>
        </w:rPr>
        <w:t xml:space="preserve">•  Cost realism and value for money</w:t>
      </w:r>
    </w:p>
    <w:p>
      <w:pPr>
        <w:pStyle w:val="Normal"/>
        <w:ind w:left="720" w:hanging="360"/>
      </w:pPr>
      <w:r>
        <w:rPr>
          <w:rFonts w:ascii="Times New Roman" w:hAnsi="Times New Roman" w:eastAsia="Times New Roman" w:cs="Times New Roman"/>
          <w:color w:val="1A1A1A"/>
          <w:sz w:val="22"/>
          <w:szCs w:val="22"/>
        </w:rPr>
        <w:t xml:space="preserve">•  Alignment with Sub-Fund objectives</w:t>
      </w:r>
    </w:p>
    <w:p>
      <w:pPr>
        <w:pStyle w:val="Normal"/>
      </w:pPr>
      <w:r>
        <w:rPr>
          <w:rFonts w:ascii="Times New Roman" w:hAnsi="Times New Roman" w:eastAsia="Times New Roman" w:cs="Times New Roman"/>
          <w:color w:val="1A1A1A"/>
          <w:sz w:val="22"/>
          <w:szCs w:val="22"/>
        </w:rPr>
        <w:t>The TAG provides a written recommendation to the RSC. If the TAG identifies deficiencies, Iran has 30 days to revise and resubmit.</w:t>
      </w:r>
    </w:p>
    <w:p>
      <w:pPr>
        <w:pStyle w:val="Heading2"/>
      </w:pPr>
      <w:r>
        <w:rPr>
          <w:rFonts w:ascii="Times New Roman" w:hAnsi="Times New Roman" w:eastAsia="Times New Roman" w:cs="Times New Roman"/>
          <w:b/>
          <w:color w:val="2E5A6B"/>
          <w:sz w:val="24"/>
          <w:szCs w:val="24"/>
        </w:rPr>
        <w:t>3.3 RSC Review and Approval</w:t>
      </w:r>
    </w:p>
    <w:p>
      <w:pPr>
        <w:pStyle w:val="Normal"/>
      </w:pPr>
      <w:r>
        <w:rPr>
          <w:rFonts w:ascii="Times New Roman" w:hAnsi="Times New Roman" w:eastAsia="Times New Roman" w:cs="Times New Roman"/>
          <w:color w:val="1A1A1A"/>
          <w:sz w:val="22"/>
          <w:szCs w:val="22"/>
        </w:rPr>
        <w:t>The RSC reviews each Project Proposal within 60 days of TAG recommendation. Approval requires:</w:t>
      </w:r>
    </w:p>
    <w:p>
      <w:pPr>
        <w:pStyle w:val="Normal"/>
        <w:ind w:left="720" w:hanging="360"/>
      </w:pPr>
      <w:r>
        <w:rPr>
          <w:rFonts w:ascii="Times New Roman" w:hAnsi="Times New Roman" w:eastAsia="Times New Roman" w:cs="Times New Roman"/>
          <w:color w:val="1A1A1A"/>
          <w:sz w:val="22"/>
          <w:szCs w:val="22"/>
        </w:rPr>
        <w:t xml:space="preserve">•  Consensus of the voting members (Iran, Qatar, World Bank, GCC)</w:t>
      </w:r>
    </w:p>
    <w:p>
      <w:pPr>
        <w:pStyle w:val="Normal"/>
        <w:ind w:left="720" w:hanging="360"/>
      </w:pPr>
      <w:r>
        <w:rPr>
          <w:rFonts w:ascii="Times New Roman" w:hAnsi="Times New Roman" w:eastAsia="Times New Roman" w:cs="Times New Roman"/>
          <w:color w:val="1A1A1A"/>
          <w:sz w:val="22"/>
          <w:szCs w:val="22"/>
        </w:rPr>
        <w:t xml:space="preserve">•  Favorable TAG recommendation</w:t>
      </w:r>
    </w:p>
    <w:p>
      <w:pPr>
        <w:pStyle w:val="Normal"/>
        <w:ind w:left="720" w:hanging="360"/>
      </w:pPr>
      <w:r>
        <w:rPr>
          <w:rFonts w:ascii="Times New Roman" w:hAnsi="Times New Roman" w:eastAsia="Times New Roman" w:cs="Times New Roman"/>
          <w:color w:val="1A1A1A"/>
          <w:sz w:val="22"/>
          <w:szCs w:val="22"/>
        </w:rPr>
        <w:t xml:space="preserve">•  Available capital in the relevant Sub-Fund</w:t>
      </w:r>
    </w:p>
    <w:p>
      <w:pPr>
        <w:pStyle w:val="Normal"/>
      </w:pPr>
      <w:r>
        <w:rPr>
          <w:rFonts w:ascii="Times New Roman" w:hAnsi="Times New Roman" w:eastAsia="Times New Roman" w:cs="Times New Roman"/>
          <w:color w:val="1A1A1A"/>
          <w:sz w:val="22"/>
          <w:szCs w:val="22"/>
        </w:rPr>
        <w:t>If the RSC fails to reach consensus on a Project Proposal within 60 days of submission, the matter refers to the Guarantor Matrix for mediation. The Guarantor Matrix issues a non-binding recommendation within 30 days. The RSC reconsiders the proposal in light of the recommendation.</w:t>
      </w:r>
    </w:p>
    <w:p>
      <w:pPr>
        <w:pStyle w:val="Normal"/>
      </w:pPr>
      <w:r>
        <w:rPr>
          <w:rFonts w:ascii="Times New Roman" w:hAnsi="Times New Roman" w:eastAsia="Times New Roman" w:cs="Times New Roman"/>
          <w:color w:val="1A1A1A"/>
          <w:sz w:val="22"/>
          <w:szCs w:val="22"/>
        </w:rPr>
        <w:t>If the RSC rejects a proposal, it provides written justification and recommendations for revision. Iran resubmits a revised proposal within 30 days.</w:t>
      </w:r>
    </w:p>
    <w:p>
      <w:pPr>
        <w:pStyle w:val="Heading2"/>
      </w:pPr>
      <w:r>
        <w:rPr>
          <w:rFonts w:ascii="Times New Roman" w:hAnsi="Times New Roman" w:eastAsia="Times New Roman" w:cs="Times New Roman"/>
          <w:b/>
          <w:color w:val="2E5A6B"/>
          <w:sz w:val="24"/>
          <w:szCs w:val="24"/>
        </w:rPr>
        <w:t>3.4 Project Prioritization</w:t>
      </w:r>
    </w:p>
    <w:p>
      <w:pPr>
        <w:pStyle w:val="Normal"/>
      </w:pPr>
      <w:r>
        <w:rPr>
          <w:rFonts w:ascii="Times New Roman" w:hAnsi="Times New Roman" w:eastAsia="Times New Roman" w:cs="Times New Roman"/>
          <w:color w:val="1A1A1A"/>
          <w:sz w:val="22"/>
          <w:szCs w:val="22"/>
        </w:rPr>
        <w:t>Iran prioritizes projects based on:</w:t>
      </w:r>
    </w:p>
    <w:p>
      <w:pPr>
        <w:pStyle w:val="Normal"/>
        <w:ind w:left="720" w:hanging="360"/>
      </w:pPr>
      <w:r>
        <w:rPr>
          <w:rFonts w:ascii="Times New Roman" w:hAnsi="Times New Roman" w:eastAsia="Times New Roman" w:cs="Times New Roman"/>
          <w:color w:val="1A1A1A"/>
          <w:sz w:val="22"/>
          <w:szCs w:val="22"/>
        </w:rPr>
        <w:t xml:space="preserve">•  Urgency of need (e.g., damaged hospitals, water treatment plants)</w:t>
      </w:r>
    </w:p>
    <w:p>
      <w:pPr>
        <w:pStyle w:val="Normal"/>
        <w:ind w:left="720" w:hanging="360"/>
      </w:pPr>
      <w:r>
        <w:rPr>
          <w:rFonts w:ascii="Times New Roman" w:hAnsi="Times New Roman" w:eastAsia="Times New Roman" w:cs="Times New Roman"/>
          <w:color w:val="1A1A1A"/>
          <w:sz w:val="22"/>
          <w:szCs w:val="22"/>
        </w:rPr>
        <w:t xml:space="preserve">•  Economic impact (e.g., energy infrastructure, transportation networks)</w:t>
      </w:r>
    </w:p>
    <w:p>
      <w:pPr>
        <w:pStyle w:val="Normal"/>
        <w:ind w:left="720" w:hanging="360"/>
      </w:pPr>
      <w:r>
        <w:rPr>
          <w:rFonts w:ascii="Times New Roman" w:hAnsi="Times New Roman" w:eastAsia="Times New Roman" w:cs="Times New Roman"/>
          <w:color w:val="1A1A1A"/>
          <w:sz w:val="22"/>
          <w:szCs w:val="22"/>
        </w:rPr>
        <w:t xml:space="preserve">•  Job creation potential</w:t>
      </w:r>
    </w:p>
    <w:p>
      <w:pPr>
        <w:pStyle w:val="Normal"/>
        <w:ind w:left="720" w:hanging="360"/>
      </w:pPr>
      <w:r>
        <w:rPr>
          <w:rFonts w:ascii="Times New Roman" w:hAnsi="Times New Roman" w:eastAsia="Times New Roman" w:cs="Times New Roman"/>
          <w:color w:val="1A1A1A"/>
          <w:sz w:val="22"/>
          <w:szCs w:val="22"/>
        </w:rPr>
        <w:t xml:space="preserve">•  Regional distribution</w:t>
      </w:r>
    </w:p>
    <w:p>
      <w:pPr>
        <w:pStyle w:val="Normal"/>
        <w:ind w:left="720" w:hanging="360"/>
      </w:pPr>
      <w:r>
        <w:rPr>
          <w:rFonts w:ascii="Times New Roman" w:hAnsi="Times New Roman" w:eastAsia="Times New Roman" w:cs="Times New Roman"/>
          <w:color w:val="1A1A1A"/>
          <w:sz w:val="22"/>
          <w:szCs w:val="22"/>
        </w:rPr>
        <w:t xml:space="preserve">•  Contribution to food security and public health</w:t>
      </w:r>
    </w:p>
    <w:p>
      <w:pPr>
        <w:pStyle w:val="Normal"/>
      </w:pPr>
      <w:r>
        <w:rPr>
          <w:rFonts w:ascii="Times New Roman" w:hAnsi="Times New Roman" w:eastAsia="Times New Roman" w:cs="Times New Roman"/>
          <w:color w:val="1A1A1A"/>
          <w:sz w:val="22"/>
          <w:szCs w:val="22"/>
        </w:rPr>
        <w:t>The RSC respects Iran's prioritization decisions and does not impose external project preferences.</w:t>
      </w:r>
    </w:p>
    <w:p>
      <w:pPr>
        <w:pStyle w:val="Heading2"/>
      </w:pPr>
      <w:r>
        <w:rPr>
          <w:rFonts w:ascii="Times New Roman" w:hAnsi="Times New Roman" w:eastAsia="Times New Roman" w:cs="Times New Roman"/>
          <w:b/>
          <w:color w:val="2E5A6B"/>
          <w:sz w:val="24"/>
          <w:szCs w:val="24"/>
        </w:rPr>
        <w:t>3.5 Project Bundling and Accelerated Approval Track</w:t>
      </w:r>
    </w:p>
    <w:p>
      <w:pPr>
        <w:pStyle w:val="Normal"/>
      </w:pPr>
      <w:r>
        <w:rPr>
          <w:rFonts w:ascii="Times New Roman" w:hAnsi="Times New Roman" w:eastAsia="Times New Roman" w:cs="Times New Roman"/>
          <w:color w:val="1A1A1A"/>
          <w:sz w:val="22"/>
          <w:szCs w:val="22"/>
        </w:rPr>
        <w:t>The RSC maintains an Accelerated Approval Track for bundled small-to-medium projects. Iran groups related projects under $50 million each into a single portfolio package. The TAG conducts a consolidated technical review within 30 days (instead of the standard 60-day review for individual large projects). The RSC approves or requests revision within 45 days (instead of the standard 60 days).</w:t>
      </w:r>
    </w:p>
    <w:p>
      <w:pPr>
        <w:pStyle w:val="Normal"/>
      </w:pPr>
      <w:r>
        <w:rPr>
          <w:rFonts w:ascii="Times New Roman" w:hAnsi="Times New Roman" w:eastAsia="Times New Roman" w:cs="Times New Roman"/>
          <w:color w:val="1A1A1A"/>
          <w:sz w:val="22"/>
          <w:szCs w:val="22"/>
        </w:rPr>
        <w:t>Bundling criteria include: projects sharing a geographic region, projects in the same sector, projects with interdependent milestones, and projects using common contractors or suppliers. The Accelerated Track targets urgent water, health, and housing reconstruction in heavily damaged areas. Bundled projects undergo the same milestone verification and independent audit requirements as standalone projects.</w:t>
      </w:r>
    </w:p>
    <w:p>
      <w:pPr>
        <w:pStyle w:val="Heading2"/>
      </w:pPr>
      <w:r>
        <w:rPr>
          <w:rFonts w:ascii="Times New Roman" w:hAnsi="Times New Roman" w:eastAsia="Times New Roman" w:cs="Times New Roman"/>
          <w:b/>
          <w:color w:val="2E5A6B"/>
          <w:sz w:val="24"/>
          <w:szCs w:val="24"/>
        </w:rPr>
        <w:t>3.6 Local Content and Iranian Contractor Preference</w:t>
      </w:r>
    </w:p>
    <w:p>
      <w:pPr>
        <w:pStyle w:val="Normal"/>
      </w:pPr>
      <w:r>
        <w:rPr>
          <w:rFonts w:ascii="Times New Roman" w:hAnsi="Times New Roman" w:eastAsia="Times New Roman" w:cs="Times New Roman"/>
          <w:color w:val="1A1A1A"/>
          <w:sz w:val="22"/>
          <w:szCs w:val="22"/>
        </w:rPr>
        <w:t>All MRF procurement applies a 10-15% preference for Iranian contractors and suppliers, provided they meet quality standards and cost competitiveness benchmarks. The preference operates as follows: (1) Iranian bids within 15% of the lowest qualified foreign bid receive automatic preference, (2) The TAG verifies that preferred contractors meet technical and safety standards equivalent to international competitors, (3) Iranian subcontractors on foreign-led projects count toward the local content target.</w:t>
      </w:r>
    </w:p>
    <w:p>
      <w:pPr>
        <w:pStyle w:val="Normal"/>
      </w:pPr>
      <w:r>
        <w:rPr>
          <w:rFonts w:ascii="Times New Roman" w:hAnsi="Times New Roman" w:eastAsia="Times New Roman" w:cs="Times New Roman"/>
          <w:color w:val="1A1A1A"/>
          <w:sz w:val="22"/>
          <w:szCs w:val="22"/>
        </w:rPr>
        <w:t>The RSC monitors local content performance quarterly and reports to donors on domestic capacity building outcomes. This clause ensures MRF funds rebuild Iranian domestic industrial capacity rather than exclusively funding foreign supply chains. The RSC structures procurement to comply with applicable international trade obligations while maximizing local economic impact.</w:t>
      </w:r>
    </w:p>
    <w:p>
      <w:pPr>
        <w:pStyle w:val="Heading2"/>
      </w:pPr>
      <w:r>
        <w:rPr>
          <w:rFonts w:ascii="Times New Roman" w:hAnsi="Times New Roman" w:eastAsia="Times New Roman" w:cs="Times New Roman"/>
          <w:b/>
          <w:color w:val="2E5A6B"/>
          <w:sz w:val="24"/>
          <w:szCs w:val="24"/>
        </w:rPr>
        <w:t>3.7 Sub-Fund Rebalancing Mechanism</w:t>
      </w:r>
    </w:p>
    <w:p>
      <w:pPr>
        <w:pStyle w:val="Normal"/>
      </w:pPr>
      <w:r>
        <w:rPr>
          <w:rFonts w:ascii="Times New Roman" w:hAnsi="Times New Roman" w:eastAsia="Times New Roman" w:cs="Times New Roman"/>
          <w:color w:val="1A1A1A"/>
          <w:sz w:val="22"/>
          <w:szCs w:val="22"/>
        </w:rPr>
        <w:t>The RSC reallocates up to 10% of uncommitted funds between Sub-Funds on an annual basis. Rebalancing activates when: (1) a Sub-Fund has committed less than 50% of its allocation while another Sub-Fund faces urgent demand exceeding its capacity, (2) the TAG certifies that the underperforming Sub-Fund's project pipeline lacks viable proposals, (3) the receiving Sub-Fund demonstrates a surplus of approved projects awaiting funding.</w:t>
      </w:r>
    </w:p>
    <w:p>
      <w:pPr>
        <w:pStyle w:val="Normal"/>
      </w:pPr>
      <w:r>
        <w:rPr>
          <w:rFonts w:ascii="Times New Roman" w:hAnsi="Times New Roman" w:eastAsia="Times New Roman" w:cs="Times New Roman"/>
          <w:color w:val="1A1A1A"/>
          <w:sz w:val="22"/>
          <w:szCs w:val="22"/>
        </w:rPr>
        <w:t>Rebalancing requires consensus of all RSC voting members and confirmation from the Qatar Central Bank that the receiving Sub-Fund has adequate disbursement capacity. Rebalanced funds carry the same milestone verification, independent audit, and reporting requirements as originally allocated capital. The RSC publishes an annual Rebalancing Report detailing all fund movements and justifications.</w:t>
      </w:r>
    </w:p>
    <w:p>
      <w:pPr>
        <w:pStyle w:val="Heading2"/>
      </w:pPr>
      <w:r>
        <w:rPr>
          <w:rFonts w:ascii="Times New Roman" w:hAnsi="Times New Roman" w:eastAsia="Times New Roman" w:cs="Times New Roman"/>
          <w:b/>
          <w:color w:val="2E5A6B"/>
          <w:sz w:val="24"/>
          <w:szCs w:val="24"/>
        </w:rPr>
        <w:t>3.8 Technology Transfer and Workforce Training Requirement</w:t>
      </w:r>
    </w:p>
    <w:p>
      <w:pPr>
        <w:pStyle w:val="Normal"/>
      </w:pPr>
      <w:r>
        <w:rPr>
          <w:rFonts w:ascii="Times New Roman" w:hAnsi="Times New Roman" w:eastAsia="Times New Roman" w:cs="Times New Roman"/>
          <w:color w:val="1A1A1A"/>
          <w:sz w:val="22"/>
          <w:szCs w:val="22"/>
        </w:rPr>
        <w:t>Every disbursement tranche includes a verifiable technology transfer or local workforce training component. Contractors submit a Technology Transfer Plan (TTP) as part of their project proposal. The TTP specifies: (1) training programs for Iranian engineers and technicians, (2) knowledge documentation in Persian language, (3) equipment maintenance capacity transfer, (4) operational handover protocols, and (5) intellectual property licensing terms for locally manufactured components.</w:t>
      </w:r>
    </w:p>
    <w:p>
      <w:pPr>
        <w:pStyle w:val="Normal"/>
      </w:pPr>
      <w:r>
        <w:rPr>
          <w:rFonts w:ascii="Times New Roman" w:hAnsi="Times New Roman" w:eastAsia="Times New Roman" w:cs="Times New Roman"/>
          <w:color w:val="1A1A1A"/>
          <w:sz w:val="22"/>
          <w:szCs w:val="22"/>
        </w:rPr>
        <w:t>The TAG evaluates the TTP alongside the technical project proposal. Milestone verification includes assessment of training completion rates, knowledge transfer documentation, and local operational readiness. The RSC reports technology transfer outcomes annually to donors. This requirement ensures reconstruction builds long-term Iranian technical capacity rather than delivering imported turnkey solutions.</w:t>
      </w:r>
    </w:p>
    <w:p>
      <w:pPr>
        <w:pStyle w:val="Heading1"/>
      </w:pPr>
      <w:bookmarkStart w:name="_Toc005" w:id="5"/>
      <w:r>
        <w:rPr>
          <w:rFonts w:ascii="Times New Roman" w:hAnsi="Times New Roman" w:eastAsia="Times New Roman" w:cs="Times New Roman"/>
          <w:b/>
          <w:color w:val="1B3A4B"/>
          <w:sz w:val="28"/>
          <w:szCs w:val="28"/>
        </w:rPr>
        <w:t>Article 4: Disbursement and Verification</w:t>
      </w:r>
      <w:bookmarkEnd w:id="5"/>
    </w:p>
    <w:p>
      <w:pPr>
        <w:pStyle w:val="Heading2"/>
      </w:pPr>
      <w:r>
        <w:rPr>
          <w:rFonts w:ascii="Times New Roman" w:hAnsi="Times New Roman" w:eastAsia="Times New Roman" w:cs="Times New Roman"/>
          <w:b/>
          <w:color w:val="2E5A6B"/>
          <w:sz w:val="24"/>
          <w:szCs w:val="24"/>
        </w:rPr>
        <w:t>4.1 Performance-Based Disbursement</w:t>
      </w:r>
    </w:p>
    <w:p>
      <w:pPr>
        <w:pStyle w:val="Normal"/>
      </w:pPr>
      <w:r>
        <w:rPr>
          <w:rFonts w:ascii="Times New Roman" w:hAnsi="Times New Roman" w:eastAsia="Times New Roman" w:cs="Times New Roman"/>
          <w:color w:val="1A1A1A"/>
          <w:sz w:val="22"/>
          <w:szCs w:val="22"/>
        </w:rPr>
        <w:t>MRF funds disburse in tranches tied to Verification Milestones. The disbursement architecture mirrors the Escrow Protocol. MRF disbursements synchronize with the verification milestones established in Annex ES. The MRF 60-Day Initial Operating Period aligns with the Annex ES 60-Day Initial Operating Period. The RSC monitors the status of Annex ES milestones and adjusts MRF disbursement timelines as appropriate.</w:t>
      </w:r>
    </w:p>
    <w:tbl>
      <w:tblPr>
        <w:tblW w:w="5000" w:type="pct"/>
        <w:tblBorders>
          <w:top w:val="single" w:color="1B3A4B" w:sz="12"/>
          <w:left w:val="nil"/>
          <w:bottom w:val="single" w:color="1B3A4B" w:sz="12"/>
          <w:right w:val="nil"/>
          <w:insideH w:val="single" w:color="b0b0b0" w:sz="4"/>
          <w:insideV w:val="nil"/>
        </w:tblBorders>
      </w:tblPr>
      <w:tblGrid>
        <w:gridCol w:w="1600"/>
        <w:gridCol w:w="1400"/>
        <w:gridCol w:w="1600"/>
        <w:gridCol w:w="1400"/>
        <w:gridCol w:w="1400"/>
      </w:tblGrid>
      <w:tr>
        <w:trPr>
          <w:tblHeader w:val="1"/>
        </w:trPr>
        <w:tc>
          <w:tcPr>
            <w:tcW w:w="1600" w:type="dxa"/>
            <w:shd w:val="clear" w:fill="E8EEF2" w:color="auto"/>
          </w:tcPr>
          <w:p>
            <w:pPr>
              <w:pStyle w:val="Normal"/>
              <w:spacing w:before="60" w:after="60"/>
              <w:jc w:val="center"/>
            </w:pPr>
            <w:r>
              <w:rPr>
                <w:b/>
                <w:color w:val="1A1A1A"/>
                <w:sz w:val="20"/>
                <w:rFonts w:ascii="Times New Roman" w:hAnsi="Times New Roman" w:eastAsia="Times New Roman" w:cs="Times New Roman"/>
                <w:szCs w:val="20"/>
              </w:rPr>
              <w:t>Sub-Fund</w:t>
            </w:r>
          </w:p>
        </w:tc>
        <w:tc>
          <w:tcPr>
            <w:tcW w:w="1400" w:type="dxa"/>
            <w:shd w:val="clear" w:fill="E8EEF2" w:color="auto"/>
          </w:tcPr>
          <w:p>
            <w:pPr>
              <w:pStyle w:val="Normal"/>
              <w:spacing w:before="60" w:after="60"/>
              <w:jc w:val="center"/>
            </w:pPr>
            <w:r>
              <w:rPr>
                <w:b/>
                <w:color w:val="1A1A1A"/>
                <w:sz w:val="20"/>
                <w:rFonts w:ascii="Times New Roman" w:hAnsi="Times New Roman" w:eastAsia="Times New Roman" w:cs="Times New Roman"/>
                <w:szCs w:val="20"/>
              </w:rPr>
              <w:t>Tranche 1</w:t>
            </w:r>
          </w:p>
        </w:tc>
        <w:tc>
          <w:tcPr>
            <w:tcW w:w="1600" w:type="dxa"/>
            <w:shd w:val="clear" w:fill="E8EEF2" w:color="auto"/>
          </w:tcPr>
          <w:p>
            <w:pPr>
              <w:pStyle w:val="Normal"/>
              <w:spacing w:before="60" w:after="60"/>
              <w:jc w:val="center"/>
            </w:pPr>
            <w:r>
              <w:rPr>
                <w:b/>
                <w:color w:val="1A1A1A"/>
                <w:sz w:val="20"/>
                <w:rFonts w:ascii="Times New Roman" w:hAnsi="Times New Roman" w:eastAsia="Times New Roman" w:cs="Times New Roman"/>
                <w:szCs w:val="20"/>
              </w:rPr>
              <w:t>Tranche 2</w:t>
            </w:r>
          </w:p>
        </w:tc>
        <w:tc>
          <w:tcPr>
            <w:tcW w:w="1400" w:type="dxa"/>
            <w:shd w:val="clear" w:fill="E8EEF2" w:color="auto"/>
          </w:tcPr>
          <w:p>
            <w:pPr>
              <w:pStyle w:val="Normal"/>
              <w:spacing w:before="60" w:after="60"/>
              <w:jc w:val="center"/>
            </w:pPr>
            <w:r>
              <w:rPr>
                <w:b/>
                <w:color w:val="1A1A1A"/>
                <w:sz w:val="20"/>
                <w:rFonts w:ascii="Times New Roman" w:hAnsi="Times New Roman" w:eastAsia="Times New Roman" w:cs="Times New Roman"/>
                <w:szCs w:val="20"/>
              </w:rPr>
              <w:t>Tranche 3</w:t>
            </w:r>
          </w:p>
        </w:tc>
        <w:tc>
          <w:tcPr>
            <w:tcW w:w="1400" w:type="dxa"/>
            <w:shd w:val="clear" w:fill="E8EEF2" w:color="auto"/>
          </w:tcPr>
          <w:p>
            <w:pPr>
              <w:pStyle w:val="Normal"/>
              <w:spacing w:before="60" w:after="60"/>
              <w:jc w:val="center"/>
            </w:pPr>
            <w:r>
              <w:rPr>
                <w:b/>
                <w:color w:val="1A1A1A"/>
                <w:sz w:val="20"/>
                <w:rFonts w:ascii="Times New Roman" w:hAnsi="Times New Roman" w:eastAsia="Times New Roman" w:cs="Times New Roman"/>
                <w:szCs w:val="20"/>
              </w:rPr>
              <w:t>Tranche 4</w:t>
            </w:r>
          </w:p>
        </w:tc>
      </w:tr>
      <w:tr>
        <w:tc>
          <w:tcPr>
            <w:tcW w:w="1600" w:type="dxa"/>
          </w:tcPr>
          <w:p>
            <w:pPr>
              <w:pStyle w:val="Normal"/>
              <w:spacing w:before="40" w:after="40"/>
            </w:pPr>
            <w:r>
              <w:rPr>
                <w:color w:val="1A1A1A"/>
                <w:sz w:val="20"/>
                <w:rFonts w:ascii="Times New Roman" w:hAnsi="Times New Roman" w:eastAsia="Times New Roman" w:cs="Times New Roman"/>
                <w:szCs w:val="20"/>
              </w:rPr>
              <w:t>MRF-Energy</w:t>
            </w:r>
          </w:p>
        </w:tc>
        <w:tc>
          <w:tcPr>
            <w:tcW w:w="1400" w:type="dxa"/>
          </w:tcPr>
          <w:p>
            <w:pPr>
              <w:pStyle w:val="Normal"/>
              <w:spacing w:before="40" w:after="40"/>
            </w:pPr>
            <w:r>
              <w:rPr>
                <w:color w:val="1A1A1A"/>
                <w:sz w:val="20"/>
                <w:rFonts w:ascii="Times New Roman" w:hAnsi="Times New Roman" w:eastAsia="Times New Roman" w:cs="Times New Roman"/>
                <w:szCs w:val="20"/>
              </w:rPr>
              <w:t>10% (Procurement)</w:t>
            </w:r>
          </w:p>
        </w:tc>
        <w:tc>
          <w:tcPr>
            <w:tcW w:w="1600" w:type="dxa"/>
          </w:tcPr>
          <w:p>
            <w:pPr>
              <w:pStyle w:val="Normal"/>
              <w:spacing w:before="40" w:after="40"/>
            </w:pPr>
            <w:r>
              <w:rPr>
                <w:color w:val="1A1A1A"/>
                <w:sz w:val="20"/>
                <w:rFonts w:ascii="Times New Roman" w:hAnsi="Times New Roman" w:eastAsia="Times New Roman" w:cs="Times New Roman"/>
                <w:szCs w:val="20"/>
              </w:rPr>
              <w:t>25% (C-25%)</w:t>
            </w:r>
          </w:p>
        </w:tc>
        <w:tc>
          <w:tcPr>
            <w:tcW w:w="1400" w:type="dxa"/>
          </w:tcPr>
          <w:p>
            <w:pPr>
              <w:pStyle w:val="Normal"/>
              <w:spacing w:before="40" w:after="40"/>
            </w:pPr>
            <w:r>
              <w:rPr>
                <w:color w:val="1A1A1A"/>
                <w:sz w:val="20"/>
                <w:rFonts w:ascii="Times New Roman" w:hAnsi="Times New Roman" w:eastAsia="Times New Roman" w:cs="Times New Roman"/>
                <w:szCs w:val="20"/>
              </w:rPr>
              <w:t>25% (C-50%)</w:t>
            </w:r>
          </w:p>
        </w:tc>
        <w:tc>
          <w:tcPr>
            <w:tcW w:w="1400" w:type="dxa"/>
          </w:tcPr>
          <w:p>
            <w:pPr>
              <w:pStyle w:val="Normal"/>
              <w:spacing w:before="40" w:after="40"/>
            </w:pPr>
            <w:r>
              <w:rPr>
                <w:color w:val="1A1A1A"/>
                <w:sz w:val="20"/>
                <w:rFonts w:ascii="Times New Roman" w:hAnsi="Times New Roman" w:eastAsia="Times New Roman" w:cs="Times New Roman"/>
                <w:szCs w:val="20"/>
              </w:rPr>
              <w:t>40% (Handover)</w:t>
            </w:r>
          </w:p>
        </w:tc>
      </w:tr>
      <w:tr>
        <w:tc>
          <w:tcPr>
            <w:tcW w:w="1600" w:type="dxa"/>
          </w:tcPr>
          <w:p>
            <w:pPr>
              <w:pStyle w:val="Normal"/>
              <w:spacing w:before="40" w:after="40"/>
            </w:pPr>
            <w:r>
              <w:rPr>
                <w:color w:val="1A1A1A"/>
                <w:sz w:val="20"/>
                <w:rFonts w:ascii="Times New Roman" w:hAnsi="Times New Roman" w:eastAsia="Times New Roman" w:cs="Times New Roman"/>
                <w:szCs w:val="20"/>
              </w:rPr>
              <w:t>MRF-Water</w:t>
            </w:r>
          </w:p>
        </w:tc>
        <w:tc>
          <w:tcPr>
            <w:tcW w:w="1400" w:type="dxa"/>
          </w:tcPr>
          <w:p>
            <w:pPr>
              <w:pStyle w:val="Normal"/>
              <w:spacing w:before="40" w:after="40"/>
            </w:pPr>
            <w:r>
              <w:rPr>
                <w:color w:val="1A1A1A"/>
                <w:sz w:val="20"/>
                <w:rFonts w:ascii="Times New Roman" w:hAnsi="Times New Roman" w:eastAsia="Times New Roman" w:cs="Times New Roman"/>
                <w:szCs w:val="20"/>
              </w:rPr>
              <w:t>15% (Design/Proc)</w:t>
            </w:r>
          </w:p>
        </w:tc>
        <w:tc>
          <w:tcPr>
            <w:tcW w:w="1600" w:type="dxa"/>
          </w:tcPr>
          <w:p>
            <w:pPr>
              <w:pStyle w:val="Normal"/>
              <w:spacing w:before="40" w:after="40"/>
            </w:pPr>
            <w:r>
              <w:rPr>
                <w:color w:val="1A1A1A"/>
                <w:sz w:val="20"/>
                <w:rFonts w:ascii="Times New Roman" w:hAnsi="Times New Roman" w:eastAsia="Times New Roman" w:cs="Times New Roman"/>
                <w:szCs w:val="20"/>
              </w:rPr>
              <w:t>25% (C-25%)</w:t>
            </w:r>
          </w:p>
        </w:tc>
        <w:tc>
          <w:tcPr>
            <w:tcW w:w="1400" w:type="dxa"/>
          </w:tcPr>
          <w:p>
            <w:pPr>
              <w:pStyle w:val="Normal"/>
              <w:spacing w:before="40" w:after="40"/>
            </w:pPr>
            <w:r>
              <w:rPr>
                <w:color w:val="1A1A1A"/>
                <w:sz w:val="20"/>
                <w:rFonts w:ascii="Times New Roman" w:hAnsi="Times New Roman" w:eastAsia="Times New Roman" w:cs="Times New Roman"/>
                <w:szCs w:val="20"/>
              </w:rPr>
              <w:t>25% (C-50%)</w:t>
            </w:r>
          </w:p>
        </w:tc>
        <w:tc>
          <w:tcPr>
            <w:tcW w:w="1400" w:type="dxa"/>
          </w:tcPr>
          <w:p>
            <w:pPr>
              <w:pStyle w:val="Normal"/>
              <w:spacing w:before="40" w:after="40"/>
            </w:pPr>
            <w:r>
              <w:rPr>
                <w:color w:val="1A1A1A"/>
                <w:sz w:val="20"/>
                <w:rFonts w:ascii="Times New Roman" w:hAnsi="Times New Roman" w:eastAsia="Times New Roman" w:cs="Times New Roman"/>
                <w:szCs w:val="20"/>
              </w:rPr>
              <w:t>35% (Handover)</w:t>
            </w:r>
          </w:p>
        </w:tc>
      </w:tr>
      <w:tr>
        <w:tc>
          <w:tcPr>
            <w:tcW w:w="1600" w:type="dxa"/>
          </w:tcPr>
          <w:p>
            <w:pPr>
              <w:pStyle w:val="Normal"/>
              <w:spacing w:before="40" w:after="40"/>
            </w:pPr>
            <w:r>
              <w:rPr>
                <w:color w:val="1A1A1A"/>
                <w:sz w:val="20"/>
                <w:rFonts w:ascii="Times New Roman" w:hAnsi="Times New Roman" w:eastAsia="Times New Roman" w:cs="Times New Roman"/>
                <w:szCs w:val="20"/>
              </w:rPr>
              <w:t>MRF-Transport</w:t>
            </w:r>
          </w:p>
        </w:tc>
        <w:tc>
          <w:tcPr>
            <w:tcW w:w="1400" w:type="dxa"/>
          </w:tcPr>
          <w:p>
            <w:pPr>
              <w:pStyle w:val="Normal"/>
              <w:spacing w:before="40" w:after="40"/>
            </w:pPr>
            <w:r>
              <w:rPr>
                <w:color w:val="1A1A1A"/>
                <w:sz w:val="20"/>
                <w:rFonts w:ascii="Times New Roman" w:hAnsi="Times New Roman" w:eastAsia="Times New Roman" w:cs="Times New Roman"/>
                <w:szCs w:val="20"/>
              </w:rPr>
              <w:t>10% (Procurement)</w:t>
            </w:r>
          </w:p>
        </w:tc>
        <w:tc>
          <w:tcPr>
            <w:tcW w:w="1600" w:type="dxa"/>
          </w:tcPr>
          <w:p>
            <w:pPr>
              <w:pStyle w:val="Normal"/>
              <w:spacing w:before="40" w:after="40"/>
            </w:pPr>
            <w:r>
              <w:rPr>
                <w:color w:val="1A1A1A"/>
                <w:sz w:val="20"/>
                <w:rFonts w:ascii="Times New Roman" w:hAnsi="Times New Roman" w:eastAsia="Times New Roman" w:cs="Times New Roman"/>
                <w:szCs w:val="20"/>
              </w:rPr>
              <w:t>20% (C-25%)</w:t>
            </w:r>
          </w:p>
        </w:tc>
        <w:tc>
          <w:tcPr>
            <w:tcW w:w="1400" w:type="dxa"/>
          </w:tcPr>
          <w:p>
            <w:pPr>
              <w:pStyle w:val="Normal"/>
              <w:spacing w:before="40" w:after="40"/>
            </w:pPr>
            <w:r>
              <w:rPr>
                <w:color w:val="1A1A1A"/>
                <w:sz w:val="20"/>
                <w:rFonts w:ascii="Times New Roman" w:hAnsi="Times New Roman" w:eastAsia="Times New Roman" w:cs="Times New Roman"/>
                <w:szCs w:val="20"/>
              </w:rPr>
              <w:t>30% (C-50%)</w:t>
            </w:r>
          </w:p>
        </w:tc>
        <w:tc>
          <w:tcPr>
            <w:tcW w:w="1400" w:type="dxa"/>
          </w:tcPr>
          <w:p>
            <w:pPr>
              <w:pStyle w:val="Normal"/>
              <w:spacing w:before="40" w:after="40"/>
            </w:pPr>
            <w:r>
              <w:rPr>
                <w:color w:val="1A1A1A"/>
                <w:sz w:val="20"/>
                <w:rFonts w:ascii="Times New Roman" w:hAnsi="Times New Roman" w:eastAsia="Times New Roman" w:cs="Times New Roman"/>
                <w:szCs w:val="20"/>
              </w:rPr>
              <w:t>40% (Handover)</w:t>
            </w:r>
          </w:p>
        </w:tc>
      </w:tr>
      <w:tr>
        <w:tc>
          <w:tcPr>
            <w:tcW w:w="1600" w:type="dxa"/>
          </w:tcPr>
          <w:p>
            <w:pPr>
              <w:pStyle w:val="Normal"/>
              <w:spacing w:before="40" w:after="40"/>
            </w:pPr>
            <w:r>
              <w:rPr>
                <w:color w:val="1A1A1A"/>
                <w:sz w:val="20"/>
                <w:rFonts w:ascii="Times New Roman" w:hAnsi="Times New Roman" w:eastAsia="Times New Roman" w:cs="Times New Roman"/>
                <w:szCs w:val="20"/>
              </w:rPr>
              <w:t>MRF-Health</w:t>
            </w:r>
          </w:p>
        </w:tc>
        <w:tc>
          <w:tcPr>
            <w:tcW w:w="1400" w:type="dxa"/>
          </w:tcPr>
          <w:p>
            <w:pPr>
              <w:pStyle w:val="Normal"/>
              <w:spacing w:before="40" w:after="40"/>
            </w:pPr>
            <w:r>
              <w:rPr>
                <w:color w:val="1A1A1A"/>
                <w:sz w:val="20"/>
                <w:rFonts w:ascii="Times New Roman" w:hAnsi="Times New Roman" w:eastAsia="Times New Roman" w:cs="Times New Roman"/>
                <w:szCs w:val="20"/>
              </w:rPr>
              <w:t>20% (Procurement)</w:t>
            </w:r>
          </w:p>
        </w:tc>
        <w:tc>
          <w:tcPr>
            <w:tcW w:w="1600" w:type="dxa"/>
          </w:tcPr>
          <w:p>
            <w:pPr>
              <w:pStyle w:val="Normal"/>
              <w:spacing w:before="40" w:after="40"/>
            </w:pPr>
            <w:r>
              <w:rPr>
                <w:color w:val="1A1A1A"/>
                <w:sz w:val="20"/>
                <w:rFonts w:ascii="Times New Roman" w:hAnsi="Times New Roman" w:eastAsia="Times New Roman" w:cs="Times New Roman"/>
                <w:szCs w:val="20"/>
              </w:rPr>
              <w:t>30% (C-25%)</w:t>
            </w:r>
          </w:p>
        </w:tc>
        <w:tc>
          <w:tcPr>
            <w:tcW w:w="1400" w:type="dxa"/>
          </w:tcPr>
          <w:p>
            <w:pPr>
              <w:pStyle w:val="Normal"/>
              <w:spacing w:before="40" w:after="40"/>
            </w:pPr>
            <w:r>
              <w:rPr>
                <w:color w:val="1A1A1A"/>
                <w:sz w:val="20"/>
                <w:rFonts w:ascii="Times New Roman" w:hAnsi="Times New Roman" w:eastAsia="Times New Roman" w:cs="Times New Roman"/>
                <w:szCs w:val="20"/>
              </w:rPr>
              <w:t>25% (C-50%)</w:t>
            </w:r>
          </w:p>
        </w:tc>
        <w:tc>
          <w:tcPr>
            <w:tcW w:w="1400" w:type="dxa"/>
          </w:tcPr>
          <w:p>
            <w:pPr>
              <w:pStyle w:val="Normal"/>
              <w:spacing w:before="40" w:after="40"/>
            </w:pPr>
            <w:r>
              <w:rPr>
                <w:color w:val="1A1A1A"/>
                <w:sz w:val="20"/>
                <w:rFonts w:ascii="Times New Roman" w:hAnsi="Times New Roman" w:eastAsia="Times New Roman" w:cs="Times New Roman"/>
                <w:szCs w:val="20"/>
              </w:rPr>
              <w:t>25% (Handover)</w:t>
            </w:r>
          </w:p>
        </w:tc>
      </w:tr>
      <w:tr>
        <w:tc>
          <w:tcPr>
            <w:tcW w:w="1600" w:type="dxa"/>
          </w:tcPr>
          <w:p>
            <w:pPr>
              <w:pStyle w:val="Normal"/>
              <w:spacing w:before="40" w:after="40"/>
            </w:pPr>
            <w:r>
              <w:rPr>
                <w:color w:val="1A1A1A"/>
                <w:sz w:val="20"/>
                <w:rFonts w:ascii="Times New Roman" w:hAnsi="Times New Roman" w:eastAsia="Times New Roman" w:cs="Times New Roman"/>
                <w:szCs w:val="20"/>
              </w:rPr>
              <w:t>MRF-Education</w:t>
            </w:r>
          </w:p>
        </w:tc>
        <w:tc>
          <w:tcPr>
            <w:tcW w:w="1400" w:type="dxa"/>
          </w:tcPr>
          <w:p>
            <w:pPr>
              <w:pStyle w:val="Normal"/>
              <w:spacing w:before="40" w:after="40"/>
            </w:pPr>
            <w:r>
              <w:rPr>
                <w:color w:val="1A1A1A"/>
                <w:sz w:val="20"/>
                <w:rFonts w:ascii="Times New Roman" w:hAnsi="Times New Roman" w:eastAsia="Times New Roman" w:cs="Times New Roman"/>
                <w:szCs w:val="20"/>
              </w:rPr>
              <w:t>20% (Procurement)</w:t>
            </w:r>
          </w:p>
        </w:tc>
        <w:tc>
          <w:tcPr>
            <w:tcW w:w="1600" w:type="dxa"/>
          </w:tcPr>
          <w:p>
            <w:pPr>
              <w:pStyle w:val="Normal"/>
              <w:spacing w:before="40" w:after="40"/>
            </w:pPr>
            <w:r>
              <w:rPr>
                <w:color w:val="1A1A1A"/>
                <w:sz w:val="20"/>
                <w:rFonts w:ascii="Times New Roman" w:hAnsi="Times New Roman" w:eastAsia="Times New Roman" w:cs="Times New Roman"/>
                <w:szCs w:val="20"/>
              </w:rPr>
              <w:t>30% (C-25%)</w:t>
            </w:r>
          </w:p>
        </w:tc>
        <w:tc>
          <w:tcPr>
            <w:tcW w:w="1400" w:type="dxa"/>
          </w:tcPr>
          <w:p>
            <w:pPr>
              <w:pStyle w:val="Normal"/>
              <w:spacing w:before="40" w:after="40"/>
            </w:pPr>
            <w:r>
              <w:rPr>
                <w:color w:val="1A1A1A"/>
                <w:sz w:val="20"/>
                <w:rFonts w:ascii="Times New Roman" w:hAnsi="Times New Roman" w:eastAsia="Times New Roman" w:cs="Times New Roman"/>
                <w:szCs w:val="20"/>
              </w:rPr>
              <w:t>25% (C-50%)</w:t>
            </w:r>
          </w:p>
        </w:tc>
        <w:tc>
          <w:tcPr>
            <w:tcW w:w="1400" w:type="dxa"/>
          </w:tcPr>
          <w:p>
            <w:pPr>
              <w:pStyle w:val="Normal"/>
              <w:spacing w:before="40" w:after="40"/>
            </w:pPr>
            <w:r>
              <w:rPr>
                <w:color w:val="1A1A1A"/>
                <w:sz w:val="20"/>
                <w:rFonts w:ascii="Times New Roman" w:hAnsi="Times New Roman" w:eastAsia="Times New Roman" w:cs="Times New Roman"/>
                <w:szCs w:val="20"/>
              </w:rPr>
              <w:t>25% (Handover)</w:t>
            </w:r>
          </w:p>
        </w:tc>
      </w:tr>
      <w:tr>
        <w:tc>
          <w:tcPr>
            <w:tcW w:w="1600" w:type="dxa"/>
          </w:tcPr>
          <w:p>
            <w:pPr>
              <w:pStyle w:val="Normal"/>
              <w:spacing w:before="40" w:after="40"/>
            </w:pPr>
            <w:r>
              <w:rPr>
                <w:color w:val="1A1A1A"/>
                <w:sz w:val="20"/>
                <w:rFonts w:ascii="Times New Roman" w:hAnsi="Times New Roman" w:eastAsia="Times New Roman" w:cs="Times New Roman"/>
                <w:szCs w:val="20"/>
              </w:rPr>
              <w:t>MRF-Housing</w:t>
            </w:r>
          </w:p>
        </w:tc>
        <w:tc>
          <w:tcPr>
            <w:tcW w:w="1400" w:type="dxa"/>
          </w:tcPr>
          <w:p>
            <w:pPr>
              <w:pStyle w:val="Normal"/>
              <w:spacing w:before="40" w:after="40"/>
            </w:pPr>
            <w:r>
              <w:rPr>
                <w:color w:val="1A1A1A"/>
                <w:sz w:val="20"/>
                <w:rFonts w:ascii="Times New Roman" w:hAnsi="Times New Roman" w:eastAsia="Times New Roman" w:cs="Times New Roman"/>
                <w:szCs w:val="20"/>
              </w:rPr>
              <w:t>10% (Procurement)</w:t>
            </w:r>
          </w:p>
        </w:tc>
        <w:tc>
          <w:tcPr>
            <w:tcW w:w="1600" w:type="dxa"/>
          </w:tcPr>
          <w:p>
            <w:pPr>
              <w:pStyle w:val="Normal"/>
              <w:spacing w:before="40" w:after="40"/>
            </w:pPr>
            <w:r>
              <w:rPr>
                <w:color w:val="1A1A1A"/>
                <w:sz w:val="20"/>
                <w:rFonts w:ascii="Times New Roman" w:hAnsi="Times New Roman" w:eastAsia="Times New Roman" w:cs="Times New Roman"/>
                <w:szCs w:val="20"/>
              </w:rPr>
              <w:t>25% (C-25%)</w:t>
            </w:r>
          </w:p>
        </w:tc>
        <w:tc>
          <w:tcPr>
            <w:tcW w:w="1400" w:type="dxa"/>
          </w:tcPr>
          <w:p>
            <w:pPr>
              <w:pStyle w:val="Normal"/>
              <w:spacing w:before="40" w:after="40"/>
            </w:pPr>
            <w:r>
              <w:rPr>
                <w:color w:val="1A1A1A"/>
                <w:sz w:val="20"/>
                <w:rFonts w:ascii="Times New Roman" w:hAnsi="Times New Roman" w:eastAsia="Times New Roman" w:cs="Times New Roman"/>
                <w:szCs w:val="20"/>
              </w:rPr>
              <w:t>25% (C-50%)</w:t>
            </w:r>
          </w:p>
        </w:tc>
        <w:tc>
          <w:tcPr>
            <w:tcW w:w="1400" w:type="dxa"/>
          </w:tcPr>
          <w:p>
            <w:pPr>
              <w:pStyle w:val="Normal"/>
              <w:spacing w:before="40" w:after="40"/>
            </w:pPr>
            <w:r>
              <w:rPr>
                <w:color w:val="1A1A1A"/>
                <w:sz w:val="20"/>
                <w:rFonts w:ascii="Times New Roman" w:hAnsi="Times New Roman" w:eastAsia="Times New Roman" w:cs="Times New Roman"/>
                <w:szCs w:val="20"/>
              </w:rPr>
              <w:t>40% (Handover)</w:t>
            </w:r>
          </w:p>
        </w:tc>
      </w:tr>
      <w:tr>
        <w:tc>
          <w:tcPr>
            <w:tcW w:w="1600" w:type="dxa"/>
          </w:tcPr>
          <w:p>
            <w:pPr>
              <w:pStyle w:val="Normal"/>
              <w:spacing w:before="40" w:after="40"/>
            </w:pPr>
            <w:r>
              <w:rPr>
                <w:color w:val="1A1A1A"/>
                <w:sz w:val="20"/>
                <w:rFonts w:ascii="Times New Roman" w:hAnsi="Times New Roman" w:eastAsia="Times New Roman" w:cs="Times New Roman"/>
                <w:szCs w:val="20"/>
              </w:rPr>
              <w:t>MRF-Agriculture</w:t>
            </w:r>
          </w:p>
        </w:tc>
        <w:tc>
          <w:tcPr>
            <w:tcW w:w="1400" w:type="dxa"/>
          </w:tcPr>
          <w:p>
            <w:pPr>
              <w:pStyle w:val="Normal"/>
              <w:spacing w:before="40" w:after="40"/>
            </w:pPr>
            <w:r>
              <w:rPr>
                <w:color w:val="1A1A1A"/>
                <w:sz w:val="20"/>
                <w:rFonts w:ascii="Times New Roman" w:hAnsi="Times New Roman" w:eastAsia="Times New Roman" w:cs="Times New Roman"/>
                <w:szCs w:val="20"/>
              </w:rPr>
              <w:t>15% (Procurement)</w:t>
            </w:r>
          </w:p>
        </w:tc>
        <w:tc>
          <w:tcPr>
            <w:tcW w:w="1600" w:type="dxa"/>
          </w:tcPr>
          <w:p>
            <w:pPr>
              <w:pStyle w:val="Normal"/>
              <w:spacing w:before="40" w:after="40"/>
            </w:pPr>
            <w:r>
              <w:rPr>
                <w:color w:val="1A1A1A"/>
                <w:sz w:val="20"/>
                <w:rFonts w:ascii="Times New Roman" w:hAnsi="Times New Roman" w:eastAsia="Times New Roman" w:cs="Times New Roman"/>
                <w:szCs w:val="20"/>
              </w:rPr>
              <w:t>25% (C-25%)</w:t>
            </w:r>
          </w:p>
        </w:tc>
        <w:tc>
          <w:tcPr>
            <w:tcW w:w="1400" w:type="dxa"/>
          </w:tcPr>
          <w:p>
            <w:pPr>
              <w:pStyle w:val="Normal"/>
              <w:spacing w:before="40" w:after="40"/>
            </w:pPr>
            <w:r>
              <w:rPr>
                <w:color w:val="1A1A1A"/>
                <w:sz w:val="20"/>
                <w:rFonts w:ascii="Times New Roman" w:hAnsi="Times New Roman" w:eastAsia="Times New Roman" w:cs="Times New Roman"/>
                <w:szCs w:val="20"/>
              </w:rPr>
              <w:t>25% (C-50%)</w:t>
            </w:r>
          </w:p>
        </w:tc>
        <w:tc>
          <w:tcPr>
            <w:tcW w:w="1400" w:type="dxa"/>
          </w:tcPr>
          <w:p>
            <w:pPr>
              <w:pStyle w:val="Normal"/>
              <w:spacing w:before="40" w:after="40"/>
            </w:pPr>
            <w:r>
              <w:rPr>
                <w:color w:val="1A1A1A"/>
                <w:sz w:val="20"/>
                <w:rFonts w:ascii="Times New Roman" w:hAnsi="Times New Roman" w:eastAsia="Times New Roman" w:cs="Times New Roman"/>
                <w:szCs w:val="20"/>
              </w:rPr>
              <w:t>35% (Handover)</w:t>
            </w:r>
          </w:p>
        </w:tc>
      </w:tr>
    </w:tbl>
    <w:p>
      <w:pPr>
        <w:pStyle w:val="Normal"/>
      </w:pPr>
      <w:r>
        <w:rPr>
          <w:rFonts w:ascii="Times New Roman" w:hAnsi="Times New Roman" w:eastAsia="Times New Roman" w:cs="Times New Roman"/>
          <w:color w:val="1A1A1A"/>
          <w:sz w:val="22"/>
          <w:szCs w:val="22"/>
        </w:rPr>
        <w:t>C-25% = Construction 25% complete; C-50% = Construction 50% complete</w:t>
      </w:r>
    </w:p>
    <w:p>
      <w:pPr>
        <w:pStyle w:val="Heading2"/>
      </w:pPr>
      <w:r>
        <w:rPr>
          <w:rFonts w:ascii="Times New Roman" w:hAnsi="Times New Roman" w:eastAsia="Times New Roman" w:cs="Times New Roman"/>
          <w:b/>
          <w:color w:val="2E5A6B"/>
          <w:sz w:val="24"/>
          <w:szCs w:val="24"/>
        </w:rPr>
        <w:t>4.2 Verification Process</w:t>
      </w:r>
    </w:p>
    <w:p>
      <w:pPr>
        <w:pStyle w:val="Heading3"/>
      </w:pPr>
      <w:r>
        <w:rPr>
          <w:rFonts w:ascii="Times New Roman" w:hAnsi="Times New Roman" w:eastAsia="Times New Roman" w:cs="Times New Roman"/>
          <w:b/>
          <w:i/>
          <w:color w:val="4A4A4A"/>
          <w:sz w:val="22"/>
          <w:szCs w:val="22"/>
        </w:rPr>
        <w:t>4.2.1 Iranian Self-Certification</w:t>
      </w:r>
    </w:p>
    <w:p>
      <w:pPr>
        <w:pStyle w:val="Normal"/>
      </w:pPr>
      <w:r>
        <w:rPr>
          <w:rFonts w:ascii="Times New Roman" w:hAnsi="Times New Roman" w:eastAsia="Times New Roman" w:cs="Times New Roman"/>
          <w:color w:val="1A1A1A"/>
          <w:sz w:val="22"/>
          <w:szCs w:val="22"/>
        </w:rPr>
        <w:t>Iran submits a verification report documenting milestone completion, including photographs, financial records, and technical assessments.</w:t>
      </w:r>
    </w:p>
    <w:p>
      <w:pPr>
        <w:pStyle w:val="Heading3"/>
      </w:pPr>
      <w:r>
        <w:rPr>
          <w:rFonts w:ascii="Times New Roman" w:hAnsi="Times New Roman" w:eastAsia="Times New Roman" w:cs="Times New Roman"/>
          <w:b/>
          <w:i/>
          <w:color w:val="4A4A4A"/>
          <w:sz w:val="22"/>
          <w:szCs w:val="22"/>
        </w:rPr>
        <w:t>4.2.2 Independent Audit</w:t>
      </w:r>
    </w:p>
    <w:p>
      <w:pPr>
        <w:pStyle w:val="Normal"/>
      </w:pPr>
      <w:r>
        <w:rPr>
          <w:rFonts w:ascii="Times New Roman" w:hAnsi="Times New Roman" w:eastAsia="Times New Roman" w:cs="Times New Roman"/>
          <w:color w:val="1A1A1A"/>
          <w:sz w:val="22"/>
          <w:szCs w:val="22"/>
        </w:rPr>
        <w:t>The World Bank dispatches an independent technical team to verify milestone completion within 30 days of Iranian self-certification.</w:t>
      </w:r>
    </w:p>
    <w:p>
      <w:pPr>
        <w:pStyle w:val="Heading3"/>
      </w:pPr>
      <w:r>
        <w:rPr>
          <w:rFonts w:ascii="Times New Roman" w:hAnsi="Times New Roman" w:eastAsia="Times New Roman" w:cs="Times New Roman"/>
          <w:b/>
          <w:i/>
          <w:color w:val="4A4A4A"/>
          <w:sz w:val="22"/>
          <w:szCs w:val="22"/>
        </w:rPr>
        <w:t>4.2.3 TAG Assessment</w:t>
      </w:r>
    </w:p>
    <w:p>
      <w:pPr>
        <w:pStyle w:val="Normal"/>
      </w:pPr>
      <w:r>
        <w:rPr>
          <w:rFonts w:ascii="Times New Roman" w:hAnsi="Times New Roman" w:eastAsia="Times New Roman" w:cs="Times New Roman"/>
          <w:color w:val="1A1A1A"/>
          <w:sz w:val="22"/>
          <w:szCs w:val="22"/>
        </w:rPr>
        <w:t>The Technical Advisory Group reviews the audit and provides a recommendation to the RSC.</w:t>
      </w:r>
    </w:p>
    <w:p>
      <w:pPr>
        <w:pStyle w:val="Heading3"/>
      </w:pPr>
      <w:r>
        <w:rPr>
          <w:rFonts w:ascii="Times New Roman" w:hAnsi="Times New Roman" w:eastAsia="Times New Roman" w:cs="Times New Roman"/>
          <w:b/>
          <w:i/>
          <w:color w:val="4A4A4A"/>
          <w:sz w:val="22"/>
          <w:szCs w:val="22"/>
        </w:rPr>
        <w:t>4.2.4 RSC Approval</w:t>
      </w:r>
    </w:p>
    <w:p>
      <w:pPr>
        <w:pStyle w:val="Normal"/>
      </w:pPr>
      <w:r>
        <w:rPr>
          <w:rFonts w:ascii="Times New Roman" w:hAnsi="Times New Roman" w:eastAsia="Times New Roman" w:cs="Times New Roman"/>
          <w:color w:val="1A1A1A"/>
          <w:sz w:val="22"/>
          <w:szCs w:val="22"/>
        </w:rPr>
        <w:t>Upon favorable TAG recommendation, the RSC authorizes the next disbursement. If the audit identifies deficiencies, Iran has 60 days to remediate.</w:t>
      </w:r>
    </w:p>
    <w:p>
      <w:pPr>
        <w:pStyle w:val="Heading2"/>
      </w:pPr>
      <w:r>
        <w:rPr>
          <w:rFonts w:ascii="Times New Roman" w:hAnsi="Times New Roman" w:eastAsia="Times New Roman" w:cs="Times New Roman"/>
          <w:b/>
          <w:color w:val="2E5A6B"/>
          <w:sz w:val="24"/>
          <w:szCs w:val="24"/>
        </w:rPr>
        <w:t>4.3 No Clawback</w:t>
      </w:r>
    </w:p>
    <w:p>
      <w:pPr>
        <w:pStyle w:val="Normal"/>
      </w:pPr>
      <w:r>
        <w:rPr>
          <w:rFonts w:ascii="Times New Roman" w:hAnsi="Times New Roman" w:eastAsia="Times New Roman" w:cs="Times New Roman"/>
          <w:color w:val="1A1A1A"/>
          <w:sz w:val="22"/>
          <w:szCs w:val="22"/>
        </w:rPr>
        <w:t>Consistent with the Escrow Protocol, MRF funds already disbursed are not subject to clawback, re-freezing, or recission under any circumstances. This includes:</w:t>
      </w:r>
    </w:p>
    <w:p>
      <w:pPr>
        <w:pStyle w:val="Normal"/>
        <w:ind w:left="720" w:hanging="360"/>
      </w:pPr>
      <w:r>
        <w:rPr>
          <w:rFonts w:ascii="Times New Roman" w:hAnsi="Times New Roman" w:eastAsia="Times New Roman" w:cs="Times New Roman"/>
          <w:color w:val="1A1A1A"/>
          <w:sz w:val="22"/>
          <w:szCs w:val="22"/>
        </w:rPr>
        <w:t xml:space="preserve">•  Project discontinuation</w:t>
      </w:r>
    </w:p>
    <w:p>
      <w:pPr>
        <w:pStyle w:val="Normal"/>
        <w:ind w:left="720" w:hanging="360"/>
      </w:pPr>
      <w:r>
        <w:rPr>
          <w:rFonts w:ascii="Times New Roman" w:hAnsi="Times New Roman" w:eastAsia="Times New Roman" w:cs="Times New Roman"/>
          <w:color w:val="1A1A1A"/>
          <w:sz w:val="22"/>
          <w:szCs w:val="22"/>
        </w:rPr>
        <w:t xml:space="preserve">•  Cost overruns</w:t>
      </w:r>
    </w:p>
    <w:p>
      <w:pPr>
        <w:pStyle w:val="Normal"/>
        <w:ind w:left="720" w:hanging="360"/>
      </w:pPr>
      <w:r>
        <w:rPr>
          <w:rFonts w:ascii="Times New Roman" w:hAnsi="Times New Roman" w:eastAsia="Times New Roman" w:cs="Times New Roman"/>
          <w:color w:val="1A1A1A"/>
          <w:sz w:val="22"/>
          <w:szCs w:val="22"/>
        </w:rPr>
        <w:t xml:space="preserve">•  Political disputes</w:t>
      </w:r>
    </w:p>
    <w:p>
      <w:pPr>
        <w:pStyle w:val="Normal"/>
        <w:ind w:left="720" w:hanging="360"/>
      </w:pPr>
      <w:r>
        <w:rPr>
          <w:rFonts w:ascii="Times New Roman" w:hAnsi="Times New Roman" w:eastAsia="Times New Roman" w:cs="Times New Roman"/>
          <w:color w:val="1A1A1A"/>
          <w:sz w:val="22"/>
          <w:szCs w:val="22"/>
        </w:rPr>
        <w:t xml:space="preserve">•  Termination of the MOU</w:t>
      </w:r>
    </w:p>
    <w:p>
      <w:pPr>
        <w:pStyle w:val="Heading1"/>
      </w:pPr>
      <w:bookmarkStart w:name="_Toc006" w:id="6"/>
      <w:r>
        <w:rPr>
          <w:rFonts w:ascii="Times New Roman" w:hAnsi="Times New Roman" w:eastAsia="Times New Roman" w:cs="Times New Roman"/>
          <w:b/>
          <w:color w:val="1B3A4B"/>
          <w:sz w:val="28"/>
          <w:szCs w:val="28"/>
        </w:rPr>
        <w:t>Article 5: Governance and Transparency</w:t>
      </w:r>
      <w:bookmarkEnd w:id="6"/>
    </w:p>
    <w:p>
      <w:pPr>
        <w:pStyle w:val="Heading2"/>
      </w:pPr>
      <w:r>
        <w:rPr>
          <w:rFonts w:ascii="Times New Roman" w:hAnsi="Times New Roman" w:eastAsia="Times New Roman" w:cs="Times New Roman"/>
          <w:b/>
          <w:color w:val="2E5A6B"/>
          <w:sz w:val="24"/>
          <w:szCs w:val="24"/>
        </w:rPr>
        <w:t>5.1 Reconstruction Steering Committee (RSC)</w:t>
      </w:r>
    </w:p>
    <w:p>
      <w:pPr>
        <w:pStyle w:val="Normal"/>
      </w:pPr>
      <w:r>
        <w:rPr>
          <w:rFonts w:ascii="Times New Roman" w:hAnsi="Times New Roman" w:eastAsia="Times New Roman" w:cs="Times New Roman"/>
          <w:color w:val="1A1A1A"/>
          <w:sz w:val="22"/>
          <w:szCs w:val="22"/>
        </w:rPr>
        <w:t>The RSC meets quarterly in Doha, Qatar. Its functions include:</w:t>
      </w:r>
    </w:p>
    <w:p>
      <w:pPr>
        <w:pStyle w:val="Normal"/>
        <w:ind w:left="720" w:hanging="360"/>
      </w:pPr>
      <w:r>
        <w:rPr>
          <w:rFonts w:ascii="Times New Roman" w:hAnsi="Times New Roman" w:eastAsia="Times New Roman" w:cs="Times New Roman"/>
          <w:color w:val="1A1A1A"/>
          <w:sz w:val="22"/>
          <w:szCs w:val="22"/>
        </w:rPr>
        <w:t xml:space="preserve">•  Approving Project Proposals</w:t>
      </w:r>
    </w:p>
    <w:p>
      <w:pPr>
        <w:pStyle w:val="Normal"/>
        <w:ind w:left="720" w:hanging="360"/>
      </w:pPr>
      <w:r>
        <w:rPr>
          <w:rFonts w:ascii="Times New Roman" w:hAnsi="Times New Roman" w:eastAsia="Times New Roman" w:cs="Times New Roman"/>
          <w:color w:val="1A1A1A"/>
          <w:sz w:val="22"/>
          <w:szCs w:val="22"/>
        </w:rPr>
        <w:t xml:space="preserve">•  Monitoring Sub-Fund balances and disbursement progress</w:t>
      </w:r>
    </w:p>
    <w:p>
      <w:pPr>
        <w:pStyle w:val="Normal"/>
        <w:ind w:left="720" w:hanging="360"/>
      </w:pPr>
      <w:r>
        <w:rPr>
          <w:rFonts w:ascii="Times New Roman" w:hAnsi="Times New Roman" w:eastAsia="Times New Roman" w:cs="Times New Roman"/>
          <w:color w:val="1A1A1A"/>
          <w:sz w:val="22"/>
          <w:szCs w:val="22"/>
        </w:rPr>
        <w:t xml:space="preserve">•  Authorizing disbursements</w:t>
      </w:r>
    </w:p>
    <w:p>
      <w:pPr>
        <w:pStyle w:val="Normal"/>
        <w:ind w:left="720" w:hanging="360"/>
      </w:pPr>
      <w:r>
        <w:rPr>
          <w:rFonts w:ascii="Times New Roman" w:hAnsi="Times New Roman" w:eastAsia="Times New Roman" w:cs="Times New Roman"/>
          <w:color w:val="1A1A1A"/>
          <w:sz w:val="22"/>
          <w:szCs w:val="22"/>
        </w:rPr>
        <w:t xml:space="preserve">•  Resolving disputes</w:t>
      </w:r>
    </w:p>
    <w:p>
      <w:pPr>
        <w:pStyle w:val="Normal"/>
        <w:ind w:left="720" w:hanging="360"/>
      </w:pPr>
      <w:r>
        <w:rPr>
          <w:rFonts w:ascii="Times New Roman" w:hAnsi="Times New Roman" w:eastAsia="Times New Roman" w:cs="Times New Roman"/>
          <w:color w:val="1A1A1A"/>
          <w:sz w:val="22"/>
          <w:szCs w:val="22"/>
        </w:rPr>
        <w:t xml:space="preserve">•  Publishing annual reports</w:t>
      </w:r>
    </w:p>
    <w:p>
      <w:pPr>
        <w:pStyle w:val="Heading2"/>
      </w:pPr>
      <w:r>
        <w:rPr>
          <w:rFonts w:ascii="Times New Roman" w:hAnsi="Times New Roman" w:eastAsia="Times New Roman" w:cs="Times New Roman"/>
          <w:b/>
          <w:color w:val="2E5A6B"/>
          <w:sz w:val="24"/>
          <w:szCs w:val="24"/>
        </w:rPr>
        <w:t>5.2 Technical Advisory Group (TAG)</w:t>
      </w:r>
    </w:p>
    <w:p>
      <w:pPr>
        <w:pStyle w:val="Normal"/>
      </w:pPr>
      <w:r>
        <w:rPr>
          <w:rFonts w:ascii="Times New Roman" w:hAnsi="Times New Roman" w:eastAsia="Times New Roman" w:cs="Times New Roman"/>
          <w:color w:val="1A1A1A"/>
          <w:sz w:val="22"/>
          <w:szCs w:val="22"/>
        </w:rPr>
        <w:t>The TAG comprises independent technical experts appointed by the World Bank. Its functions include:</w:t>
      </w:r>
    </w:p>
    <w:p>
      <w:pPr>
        <w:pStyle w:val="Normal"/>
        <w:ind w:left="720" w:hanging="360"/>
      </w:pPr>
      <w:r>
        <w:rPr>
          <w:rFonts w:ascii="Times New Roman" w:hAnsi="Times New Roman" w:eastAsia="Times New Roman" w:cs="Times New Roman"/>
          <w:color w:val="1A1A1A"/>
          <w:sz w:val="22"/>
          <w:szCs w:val="22"/>
        </w:rPr>
        <w:t xml:space="preserve">•  Reviewing Project Proposals</w:t>
      </w:r>
    </w:p>
    <w:p>
      <w:pPr>
        <w:pStyle w:val="Normal"/>
        <w:ind w:left="720" w:hanging="360"/>
      </w:pPr>
      <w:r>
        <w:rPr>
          <w:rFonts w:ascii="Times New Roman" w:hAnsi="Times New Roman" w:eastAsia="Times New Roman" w:cs="Times New Roman"/>
          <w:color w:val="1A1A1A"/>
          <w:sz w:val="22"/>
          <w:szCs w:val="22"/>
        </w:rPr>
        <w:t xml:space="preserve">•  Conducting independent verification of milestone completion</w:t>
      </w:r>
    </w:p>
    <w:p>
      <w:pPr>
        <w:pStyle w:val="Normal"/>
        <w:ind w:left="720" w:hanging="360"/>
      </w:pPr>
      <w:r>
        <w:rPr>
          <w:rFonts w:ascii="Times New Roman" w:hAnsi="Times New Roman" w:eastAsia="Times New Roman" w:cs="Times New Roman"/>
          <w:color w:val="1A1A1A"/>
          <w:sz w:val="22"/>
          <w:szCs w:val="22"/>
        </w:rPr>
        <w:t xml:space="preserve">•  Providing technical guidance to the RSC</w:t>
      </w:r>
    </w:p>
    <w:p>
      <w:pPr>
        <w:pStyle w:val="Normal"/>
        <w:ind w:left="720" w:hanging="360"/>
      </w:pPr>
      <w:r>
        <w:rPr>
          <w:rFonts w:ascii="Times New Roman" w:hAnsi="Times New Roman" w:eastAsia="Times New Roman" w:cs="Times New Roman"/>
          <w:color w:val="1A1A1A"/>
          <w:sz w:val="22"/>
          <w:szCs w:val="22"/>
        </w:rPr>
        <w:t xml:space="preserve">•  Publishing technical assessments on the transparency dashboard</w:t>
      </w:r>
    </w:p>
    <w:p>
      <w:pPr>
        <w:pStyle w:val="Heading2"/>
      </w:pPr>
      <w:r>
        <w:rPr>
          <w:rFonts w:ascii="Times New Roman" w:hAnsi="Times New Roman" w:eastAsia="Times New Roman" w:cs="Times New Roman"/>
          <w:b/>
          <w:color w:val="2E5A6B"/>
          <w:sz w:val="24"/>
          <w:szCs w:val="24"/>
        </w:rPr>
        <w:t>5.3 Public Transparency Dashboard</w:t>
      </w:r>
    </w:p>
    <w:p>
      <w:pPr>
        <w:pStyle w:val="Normal"/>
      </w:pPr>
      <w:r>
        <w:rPr>
          <w:rFonts w:ascii="Times New Roman" w:hAnsi="Times New Roman" w:eastAsia="Times New Roman" w:cs="Times New Roman"/>
          <w:color w:val="1A1A1A"/>
          <w:sz w:val="22"/>
          <w:szCs w:val="22"/>
        </w:rPr>
        <w:t>The MRF maintains a public transparency dashboard, accessible in English, Farsi, Arabic, and other relevant languages. The dashboard displays:</w:t>
      </w:r>
    </w:p>
    <w:p>
      <w:pPr>
        <w:pStyle w:val="Normal"/>
        <w:ind w:left="720" w:hanging="360"/>
      </w:pPr>
      <w:r>
        <w:rPr>
          <w:rFonts w:ascii="Times New Roman" w:hAnsi="Times New Roman" w:eastAsia="Times New Roman" w:cs="Times New Roman"/>
          <w:color w:val="1A1A1A"/>
          <w:sz w:val="22"/>
          <w:szCs w:val="22"/>
        </w:rPr>
        <w:t xml:space="preserve">•  Sub-Fund balances and contributor lists (aggregate, not individual)</w:t>
      </w:r>
    </w:p>
    <w:p>
      <w:pPr>
        <w:pStyle w:val="Normal"/>
        <w:ind w:left="720" w:hanging="360"/>
      </w:pPr>
      <w:r>
        <w:rPr>
          <w:rFonts w:ascii="Times New Roman" w:hAnsi="Times New Roman" w:eastAsia="Times New Roman" w:cs="Times New Roman"/>
          <w:color w:val="1A1A1A"/>
          <w:sz w:val="22"/>
          <w:szCs w:val="22"/>
        </w:rPr>
        <w:t xml:space="preserve">•  Approved projects and their status</w:t>
      </w:r>
    </w:p>
    <w:p>
      <w:pPr>
        <w:pStyle w:val="Normal"/>
        <w:ind w:left="720" w:hanging="360"/>
      </w:pPr>
      <w:r>
        <w:rPr>
          <w:rFonts w:ascii="Times New Roman" w:hAnsi="Times New Roman" w:eastAsia="Times New Roman" w:cs="Times New Roman"/>
          <w:color w:val="1A1A1A"/>
          <w:sz w:val="22"/>
          <w:szCs w:val="22"/>
        </w:rPr>
        <w:t xml:space="preserve">•  Disbursement history</w:t>
      </w:r>
    </w:p>
    <w:p>
      <w:pPr>
        <w:pStyle w:val="Normal"/>
        <w:ind w:left="720" w:hanging="360"/>
      </w:pPr>
      <w:r>
        <w:rPr>
          <w:rFonts w:ascii="Times New Roman" w:hAnsi="Times New Roman" w:eastAsia="Times New Roman" w:cs="Times New Roman"/>
          <w:color w:val="1A1A1A"/>
          <w:sz w:val="22"/>
          <w:szCs w:val="22"/>
        </w:rPr>
        <w:t xml:space="preserve">•  Independent audit findings</w:t>
      </w:r>
    </w:p>
    <w:p>
      <w:pPr>
        <w:pStyle w:val="Normal"/>
        <w:ind w:left="720" w:hanging="360"/>
      </w:pPr>
      <w:r>
        <w:rPr>
          <w:rFonts w:ascii="Times New Roman" w:hAnsi="Times New Roman" w:eastAsia="Times New Roman" w:cs="Times New Roman"/>
          <w:color w:val="1A1A1A"/>
          <w:sz w:val="22"/>
          <w:szCs w:val="22"/>
        </w:rPr>
        <w:t xml:space="preserve">•  Project completion rates</w:t>
      </w:r>
    </w:p>
    <w:p>
      <w:pPr>
        <w:pStyle w:val="Heading2"/>
      </w:pPr>
      <w:r>
        <w:rPr>
          <w:rFonts w:ascii="Times New Roman" w:hAnsi="Times New Roman" w:eastAsia="Times New Roman" w:cs="Times New Roman"/>
          <w:b/>
          <w:color w:val="2E5A6B"/>
          <w:sz w:val="24"/>
          <w:szCs w:val="24"/>
        </w:rPr>
        <w:t>5.4 Annual Independent Audit</w:t>
      </w:r>
    </w:p>
    <w:p>
      <w:pPr>
        <w:pStyle w:val="Normal"/>
      </w:pPr>
      <w:r>
        <w:rPr>
          <w:rFonts w:ascii="Times New Roman" w:hAnsi="Times New Roman" w:eastAsia="Times New Roman" w:cs="Times New Roman"/>
          <w:color w:val="1A1A1A"/>
          <w:sz w:val="22"/>
          <w:szCs w:val="22"/>
        </w:rPr>
        <w:t>An independent audit firm (e.g., Deloitte, PwC, KPMG), selected by mutual agreement of RSC voting members, conducts an annual audit of all MRF accounts. Audit results are published on the transparency dashboard.</w:t>
      </w:r>
    </w:p>
    <w:p>
      <w:pPr>
        <w:pStyle w:val="Heading2"/>
      </w:pPr>
      <w:r>
        <w:rPr>
          <w:rFonts w:ascii="Times New Roman" w:hAnsi="Times New Roman" w:eastAsia="Times New Roman" w:cs="Times New Roman"/>
          <w:b/>
          <w:color w:val="2E5A6B"/>
          <w:sz w:val="24"/>
          <w:szCs w:val="24"/>
        </w:rPr>
        <w:t>5.5 Iranian Sovereignty Over Project Selection</w:t>
      </w:r>
    </w:p>
    <w:p>
      <w:pPr>
        <w:pStyle w:val="Normal"/>
      </w:pPr>
      <w:r>
        <w:rPr>
          <w:rFonts w:ascii="Times New Roman" w:hAnsi="Times New Roman" w:eastAsia="Times New Roman" w:cs="Times New Roman"/>
          <w:color w:val="1A1A1A"/>
          <w:sz w:val="22"/>
          <w:szCs w:val="22"/>
        </w:rPr>
        <w:t>Iran retains full sovereign authority over reconstruction priorities. The RSC does not:</w:t>
      </w:r>
    </w:p>
    <w:p>
      <w:pPr>
        <w:pStyle w:val="Normal"/>
        <w:ind w:left="720" w:hanging="360"/>
      </w:pPr>
      <w:r>
        <w:rPr>
          <w:rFonts w:ascii="Times New Roman" w:hAnsi="Times New Roman" w:eastAsia="Times New Roman" w:cs="Times New Roman"/>
          <w:color w:val="1A1A1A"/>
          <w:sz w:val="22"/>
          <w:szCs w:val="22"/>
        </w:rPr>
        <w:t xml:space="preserve">•  Impose projects on Iran</w:t>
      </w:r>
    </w:p>
    <w:p>
      <w:pPr>
        <w:pStyle w:val="Normal"/>
        <w:ind w:left="720" w:hanging="360"/>
      </w:pPr>
      <w:r>
        <w:rPr>
          <w:rFonts w:ascii="Times New Roman" w:hAnsi="Times New Roman" w:eastAsia="Times New Roman" w:cs="Times New Roman"/>
          <w:color w:val="1A1A1A"/>
          <w:sz w:val="22"/>
          <w:szCs w:val="22"/>
        </w:rPr>
        <w:t xml:space="preserve">•  Dictate project location or design</w:t>
      </w:r>
    </w:p>
    <w:p>
      <w:pPr>
        <w:pStyle w:val="Normal"/>
        <w:ind w:left="720" w:hanging="360"/>
      </w:pPr>
      <w:r>
        <w:rPr>
          <w:rFonts w:ascii="Times New Roman" w:hAnsi="Times New Roman" w:eastAsia="Times New Roman" w:cs="Times New Roman"/>
          <w:color w:val="1A1A1A"/>
          <w:sz w:val="22"/>
          <w:szCs w:val="22"/>
        </w:rPr>
        <w:t xml:space="preserve">•  Interfere with Iranian procurement decisions</w:t>
      </w:r>
    </w:p>
    <w:p>
      <w:pPr>
        <w:pStyle w:val="Heading2"/>
      </w:pPr>
      <w:r>
        <w:rPr>
          <w:rFonts w:ascii="Times New Roman" w:hAnsi="Times New Roman" w:eastAsia="Times New Roman" w:cs="Times New Roman"/>
          <w:b/>
          <w:color w:val="2E5A6B"/>
          <w:sz w:val="24"/>
          <w:szCs w:val="24"/>
        </w:rPr>
        <w:t>5.6 Political Risk Insurance Pool</w:t>
      </w:r>
    </w:p>
    <w:p>
      <w:pPr>
        <w:pStyle w:val="Normal"/>
      </w:pPr>
      <w:r>
        <w:rPr>
          <w:rFonts w:ascii="Times New Roman" w:hAnsi="Times New Roman" w:eastAsia="Times New Roman" w:cs="Times New Roman"/>
          <w:color w:val="1A1A1A"/>
          <w:sz w:val="22"/>
          <w:szCs w:val="22"/>
        </w:rPr>
        <w:t>The MRF establishes a dedicated Political Risk Insurance (PRI) facility administered jointly by the World Bank's Multilateral Investment Guarantee Agency (MIGA) and the Islamic Corporation for the Insurance of Investment and Export Credit (ICIEC). The PRI Pool provides explicit coverage for: war and civil disturbance, expropriation and political violence, currency inconvertibility and transfer restriction, and sanctions reimposition.</w:t>
      </w:r>
    </w:p>
    <w:p>
      <w:pPr>
        <w:pStyle w:val="Normal"/>
      </w:pPr>
      <w:r>
        <w:rPr>
          <w:rFonts w:ascii="Times New Roman" w:hAnsi="Times New Roman" w:eastAsia="Times New Roman" w:cs="Times New Roman"/>
          <w:color w:val="1A1A1A"/>
          <w:sz w:val="22"/>
          <w:szCs w:val="22"/>
        </w:rPr>
        <w:t>All private capital participants in the MRF Supporting Tier (infrastructure funds, pension funds, insurance companies) receive mandatory PRI coverage as a condition of participation. Premiums are subsidized by the Core Tier at a rate of 2% of insured value per annum. The PRI Pool maintains a minimum capital reserve of $500 million. Coverage limits per project are $1 billion for sovereign risk and $500 million for sub-sovereign and private risk.</w:t>
      </w:r>
    </w:p>
    <w:p>
      <w:pPr>
        <w:pStyle w:val="Normal"/>
      </w:pPr>
      <w:r>
        <w:rPr>
          <w:rFonts w:ascii="Times New Roman" w:hAnsi="Times New Roman" w:eastAsia="Times New Roman" w:cs="Times New Roman"/>
          <w:color w:val="1A1A1A"/>
          <w:sz w:val="22"/>
          <w:szCs w:val="22"/>
        </w:rPr>
        <w:t>Claims activate through a dedicated arbitration panel (see Section 6.4). The PRI Pool pays valid claims within 90 days of arbitration determination. Without this de-risking mechanism, private pension funds and infrastructure investors do not deploy Supporting Tier capital at scale.</w:t>
      </w:r>
    </w:p>
    <w:p>
      <w:pPr>
        <w:pStyle w:val="Heading2"/>
      </w:pPr>
      <w:r>
        <w:rPr>
          <w:rFonts w:ascii="Times New Roman" w:hAnsi="Times New Roman" w:eastAsia="Times New Roman" w:cs="Times New Roman"/>
          <w:b/>
          <w:color w:val="2E5A6B"/>
          <w:sz w:val="24"/>
          <w:szCs w:val="24"/>
        </w:rPr>
        <w:t>5.7 Hard Currency Convertibility and Repatriation Guarantee</w:t>
      </w:r>
    </w:p>
    <w:p>
      <w:pPr>
        <w:pStyle w:val="Normal"/>
      </w:pPr>
      <w:r>
        <w:rPr>
          <w:rFonts w:ascii="Times New Roman" w:hAnsi="Times New Roman" w:eastAsia="Times New Roman" w:cs="Times New Roman"/>
          <w:color w:val="1A1A1A"/>
          <w:sz w:val="22"/>
          <w:szCs w:val="22"/>
        </w:rPr>
        <w:t>The Qatar Central Bank guarantees that all project revenues, profit distributions, and capital repatriation for private investors occur in hard currency (USD, EUR, or CNY) at prevailing market exchange rates. The guarantee operates through a dedicated Hard Currency Facility maintained at the Qatar Central Bank with a minimum reserve of $2 billion.</w:t>
      </w:r>
    </w:p>
    <w:p>
      <w:pPr>
        <w:pStyle w:val="Normal"/>
      </w:pPr>
      <w:r>
        <w:rPr>
          <w:rFonts w:ascii="Times New Roman" w:hAnsi="Times New Roman" w:eastAsia="Times New Roman" w:cs="Times New Roman"/>
          <w:color w:val="1A1A1A"/>
          <w:sz w:val="22"/>
          <w:szCs w:val="22"/>
        </w:rPr>
        <w:t>Private investors submit repatriation requests to the RSC secretariat. The Qatar Central Bank processes approved requests within 30 days. This guarantee bypasses the Iranian rial's instability and removes the single largest blocker to private equity participation. The Hard Currency Facility is replenished from Core Tier disbursements and contributor deposits.</w:t>
      </w:r>
    </w:p>
    <w:p>
      <w:pPr>
        <w:pStyle w:val="Heading2"/>
      </w:pPr>
      <w:r>
        <w:rPr>
          <w:rFonts w:ascii="Times New Roman" w:hAnsi="Times New Roman" w:eastAsia="Times New Roman" w:cs="Times New Roman"/>
          <w:b/>
          <w:color w:val="2E5A6B"/>
          <w:sz w:val="24"/>
          <w:szCs w:val="24"/>
        </w:rPr>
        <w:t>5.8 Contingency Reserve Fund</w:t>
      </w:r>
    </w:p>
    <w:p>
      <w:pPr>
        <w:pStyle w:val="Normal"/>
      </w:pPr>
      <w:r>
        <w:rPr>
          <w:rFonts w:ascii="Times New Roman" w:hAnsi="Times New Roman" w:eastAsia="Times New Roman" w:cs="Times New Roman"/>
          <w:color w:val="1A1A1A"/>
          <w:sz w:val="22"/>
          <w:szCs w:val="22"/>
        </w:rPr>
        <w:t>Each Sub-Fund dedicates 5% of its allocation to a Contingency Reserve for cost overruns, contractor bankruptcy, force majeure events, and project remediation. The Contingency Reserve is not available for new project approvals and activates only when: (1) a verified cost overrun exceeds 15% of the approved project budget, (2) a contractor declares insolvency or abandons a project, (3) a force majeure event interrupts construction for more than 30 days, or (4) the TAG certifies that remediation is necessary to protect MRF assets.</w:t>
      </w:r>
    </w:p>
    <w:p>
      <w:pPr>
        <w:pStyle w:val="Normal"/>
      </w:pPr>
      <w:r>
        <w:rPr>
          <w:rFonts w:ascii="Times New Roman" w:hAnsi="Times New Roman" w:eastAsia="Times New Roman" w:cs="Times New Roman"/>
          <w:color w:val="1A1A1A"/>
          <w:sz w:val="22"/>
          <w:szCs w:val="22"/>
        </w:rPr>
        <w:t>Contingency Reserve disbursements require RSC approval by consensus. The RSC reviews Contingency Reserve utilization quarterly and publishes a Contingency Report. Post-conflict reconstruction typically runs 30-50% over budget. Without this reserve, projects stall mid-construction and donor confidence erodes.</w:t>
      </w:r>
    </w:p>
    <w:p>
      <w:pPr>
        <w:pStyle w:val="Heading2"/>
      </w:pPr>
      <w:r>
        <w:rPr>
          <w:rFonts w:ascii="Times New Roman" w:hAnsi="Times New Roman" w:eastAsia="Times New Roman" w:cs="Times New Roman"/>
          <w:b/>
          <w:color w:val="2E5A6B"/>
          <w:sz w:val="24"/>
          <w:szCs w:val="24"/>
        </w:rPr>
        <w:t>5.9 Contractor Performance Bond and Guarantee Mechanism</w:t>
      </w:r>
    </w:p>
    <w:p>
      <w:pPr>
        <w:pStyle w:val="Normal"/>
      </w:pPr>
      <w:r>
        <w:rPr>
          <w:rFonts w:ascii="Times New Roman" w:hAnsi="Times New Roman" w:eastAsia="Times New Roman" w:cs="Times New Roman"/>
          <w:color w:val="1A1A1A"/>
          <w:sz w:val="22"/>
          <w:szCs w:val="22"/>
        </w:rPr>
        <w:t>All contractors executing MRF projects above $10 million post performance bonds equal to 10% of contract value. The bonds are held by the Qatar Central Bank and forfeit to the MRF if the contractor fails to complete the project per the approved milestone schedule. The PRI Pool provides bond-backed guarantee insurance for contractors unable to secure commercial bonding.</w:t>
      </w:r>
    </w:p>
    <w:p>
      <w:pPr>
        <w:pStyle w:val="Normal"/>
      </w:pPr>
      <w:r>
        <w:rPr>
          <w:rFonts w:ascii="Times New Roman" w:hAnsi="Times New Roman" w:eastAsia="Times New Roman" w:cs="Times New Roman"/>
          <w:color w:val="1A1A1A"/>
          <w:sz w:val="22"/>
          <w:szCs w:val="22"/>
        </w:rPr>
        <w:t>The RSC maintains a Contractor Performance Registry tracking completion rates, quality scores, and bond claims for all MRF contractors. Contractors with two or more forfeited bonds are barred from MRF procurement for a minimum of three years. This mechanism protects MRF funds from being wasted on failed contractors and gives donors confidence in project execution.</w:t>
      </w:r>
    </w:p>
    <w:p>
      <w:pPr>
        <w:pStyle w:val="Heading2"/>
      </w:pPr>
      <w:r>
        <w:rPr>
          <w:rFonts w:ascii="Times New Roman" w:hAnsi="Times New Roman" w:eastAsia="Times New Roman" w:cs="Times New Roman"/>
          <w:b/>
          <w:color w:val="2E5A6B"/>
          <w:sz w:val="24"/>
          <w:szCs w:val="24"/>
        </w:rPr>
        <w:t>5.10 Iranian Civil Society Observer</w:t>
      </w:r>
    </w:p>
    <w:p>
      <w:pPr>
        <w:pStyle w:val="Normal"/>
      </w:pPr>
      <w:r>
        <w:rPr>
          <w:rFonts w:ascii="Times New Roman" w:hAnsi="Times New Roman" w:eastAsia="Times New Roman" w:cs="Times New Roman"/>
          <w:color w:val="1A1A1A"/>
          <w:sz w:val="22"/>
          <w:szCs w:val="22"/>
        </w:rPr>
        <w:t>The RSC includes a non-voting Civil Society Observer seat occupied by a representative nominated by a consortium of Iranian non-governmental organizations, professional associations, and academic institutions. The observer participates in all RSC meetings, receives all non-classified documentation, and submits independent assessments to the RSC on project implementation, environmental compliance, social impact, and community satisfaction.</w:t>
      </w:r>
    </w:p>
    <w:p>
      <w:pPr>
        <w:pStyle w:val="Normal"/>
      </w:pPr>
      <w:r>
        <w:rPr>
          <w:rFonts w:ascii="Times New Roman" w:hAnsi="Times New Roman" w:eastAsia="Times New Roman" w:cs="Times New Roman"/>
          <w:color w:val="1A1A1A"/>
          <w:sz w:val="22"/>
          <w:szCs w:val="22"/>
        </w:rPr>
        <w:t>The Civil Society Observer serves a two-year renewable term and operates under the same confidentiality obligations as RSC voting members. This seat enhances domestic legitimacy, provides independent feedback on project implementation, and creates a domestic accountability channel separate from the RSC's international governance structure.</w:t>
      </w:r>
    </w:p>
    <w:p>
      <w:pPr>
        <w:pStyle w:val="Heading2"/>
      </w:pPr>
      <w:r>
        <w:rPr>
          <w:rFonts w:ascii="Times New Roman" w:hAnsi="Times New Roman" w:eastAsia="Times New Roman" w:cs="Times New Roman"/>
          <w:b/>
          <w:color w:val="2E5A6B"/>
          <w:sz w:val="24"/>
          <w:szCs w:val="24"/>
        </w:rPr>
        <w:t>5.11 Quarterly Independent Auditor Site Visits</w:t>
      </w:r>
    </w:p>
    <w:p>
      <w:pPr>
        <w:pStyle w:val="Normal"/>
      </w:pPr>
      <w:r>
        <w:rPr>
          <w:rFonts w:ascii="Times New Roman" w:hAnsi="Times New Roman" w:eastAsia="Times New Roman" w:cs="Times New Roman"/>
          <w:color w:val="1A1A1A"/>
          <w:sz w:val="22"/>
          <w:szCs w:val="22"/>
        </w:rPr>
        <w:t>The independent audit firm (see Section 5.4) conducts physical site visits quarterly, not solely an annual desk audit. Quarterly visits cover: verification of physical construction progress against milestone claims, assessment of financial documentation and procurement compliance, review of environmental and social safeguard implementation, and interviews with local project beneficiaries and community representatives.</w:t>
      </w:r>
    </w:p>
    <w:p>
      <w:pPr>
        <w:pStyle w:val="Normal"/>
      </w:pPr>
      <w:r>
        <w:rPr>
          <w:rFonts w:ascii="Times New Roman" w:hAnsi="Times New Roman" w:eastAsia="Times New Roman" w:cs="Times New Roman"/>
          <w:color w:val="1A1A1A"/>
          <w:sz w:val="22"/>
          <w:szCs w:val="22"/>
        </w:rPr>
        <w:t>The audit firm issues a Quarterly Site Visit Report for each project under active construction. Reports are published on the transparency dashboard within 30 days of visit completion. Annual audits synthesize quarterly findings into a comprehensive assessment. This frequency provides real-time accountability and early detection of fraud, delays, or mismanagement.</w:t>
      </w:r>
    </w:p>
    <w:p>
      <w:pPr>
        <w:pStyle w:val="Heading2"/>
      </w:pPr>
      <w:r>
        <w:rPr>
          <w:rFonts w:ascii="Times New Roman" w:hAnsi="Times New Roman" w:eastAsia="Times New Roman" w:cs="Times New Roman"/>
          <w:b/>
          <w:color w:val="2E5A6B"/>
          <w:sz w:val="24"/>
          <w:szCs w:val="24"/>
        </w:rPr>
        <w:t>5.12 Whistleblower Protection and Anti-Fraud Hotline</w:t>
      </w:r>
    </w:p>
    <w:p>
      <w:pPr>
        <w:pStyle w:val="Normal"/>
      </w:pPr>
      <w:r>
        <w:rPr>
          <w:rFonts w:ascii="Times New Roman" w:hAnsi="Times New Roman" w:eastAsia="Times New Roman" w:cs="Times New Roman"/>
          <w:color w:val="1A1A1A"/>
          <w:sz w:val="22"/>
          <w:szCs w:val="22"/>
        </w:rPr>
        <w:t>The RSC establishes an independent, confidential whistleblower mechanism for reporting fraud, corruption, mismanagement, or non-compliance. The mechanism includes: a 24-hour multilingual hotline operated by an independent third party, a secure web-based reporting portal with anonymous submission capability, protection against retaliation for all good-faith reporters, and a dedicated Anti-Fraud Response Team within the RSC secretariat.</w:t>
      </w:r>
    </w:p>
    <w:p>
      <w:pPr>
        <w:pStyle w:val="Normal"/>
      </w:pPr>
      <w:r>
        <w:rPr>
          <w:rFonts w:ascii="Times New Roman" w:hAnsi="Times New Roman" w:eastAsia="Times New Roman" w:cs="Times New Roman"/>
          <w:color w:val="1A1A1A"/>
          <w:sz w:val="22"/>
          <w:szCs w:val="22"/>
        </w:rPr>
        <w:t>The Anti-Fraud Response Team investigates all credible reports within 30 days of submission. Substantiated cases trigger: immediate suspension of the implicated contractor or official, referral to relevant national authorities for prosecution, publication of a redacted findings report on the transparency dashboard, and recovery of misappropriated funds through the PRI Pool's fraud coverage. This mechanism is a standard World Bank safeguard that ensures donor confidence in MRF integrity.</w:t>
      </w:r>
    </w:p>
    <w:p>
      <w:pPr>
        <w:pStyle w:val="Normal"/>
        <w:ind w:left="720" w:hanging="360"/>
      </w:pPr>
      <w:r>
        <w:rPr>
          <w:rFonts w:ascii="Times New Roman" w:hAnsi="Times New Roman" w:eastAsia="Times New Roman" w:cs="Times New Roman"/>
          <w:color w:val="1A1A1A"/>
          <w:sz w:val="22"/>
          <w:szCs w:val="22"/>
        </w:rPr>
        <w:t xml:space="preserve">•  Condition funding on political concessions</w:t>
      </w:r>
    </w:p>
    <w:p>
      <w:pPr>
        <w:pStyle w:val="Heading1"/>
      </w:pPr>
      <w:bookmarkStart w:name="_Toc007" w:id="7"/>
      <w:r>
        <w:rPr>
          <w:rFonts w:ascii="Times New Roman" w:hAnsi="Times New Roman" w:eastAsia="Times New Roman" w:cs="Times New Roman"/>
          <w:b/>
          <w:color w:val="1B3A4B"/>
          <w:sz w:val="28"/>
          <w:szCs w:val="28"/>
        </w:rPr>
        <w:t>Article 6: Relationship to Other Annexes</w:t>
      </w:r>
      <w:bookmarkEnd w:id="7"/>
    </w:p>
    <w:p>
      <w:pPr>
        <w:pStyle w:val="Normal"/>
      </w:pPr>
      <w:r>
        <w:rPr>
          <w:rFonts w:ascii="Times New Roman" w:hAnsi="Times New Roman" w:eastAsia="Times New Roman" w:cs="Times New Roman"/>
          <w:color w:val="1A1A1A"/>
          <w:sz w:val="22"/>
          <w:szCs w:val="22"/>
        </w:rPr>
        <w:t>This Annex operates in conjunction with:</w:t>
      </w:r>
    </w:p>
    <w:p>
      <w:pPr>
        <w:pStyle w:val="Normal"/>
        <w:ind w:left="720" w:hanging="360"/>
      </w:pPr>
      <w:r>
        <w:rPr>
          <w:rFonts w:ascii="Times New Roman" w:hAnsi="Times New Roman" w:eastAsia="Times New Roman" w:cs="Times New Roman"/>
          <w:color w:val="1A1A1A"/>
          <w:sz w:val="22"/>
          <w:szCs w:val="22"/>
        </w:rPr>
        <w:t xml:space="preserve">•  Annex ES (Escrow and Trigger Sequence Protocol): The MRF uses the same neutral escrow architecture, verification principles, and no-clawback provisions.</w:t>
      </w:r>
    </w:p>
    <w:p>
      <w:pPr>
        <w:pStyle w:val="Normal"/>
        <w:ind w:left="720" w:hanging="360"/>
      </w:pPr>
      <w:r>
        <w:rPr>
          <w:rFonts w:ascii="Times New Roman" w:hAnsi="Times New Roman" w:eastAsia="Times New Roman" w:cs="Times New Roman"/>
          <w:color w:val="1A1A1A"/>
          <w:sz w:val="22"/>
          <w:szCs w:val="22"/>
        </w:rPr>
        <w:t xml:space="preserve">•  Annex J (Lebanon Linkage): MRF funds are firewalled from Lebanon-related disputes. A breach of the Lebanon ceasefire does not affect MRF disbursements.</w:t>
      </w:r>
    </w:p>
    <w:p>
      <w:pPr>
        <w:pStyle w:val="Normal"/>
        <w:ind w:left="720" w:hanging="360"/>
      </w:pPr>
      <w:r>
        <w:rPr>
          <w:rFonts w:ascii="Times New Roman" w:hAnsi="Times New Roman" w:eastAsia="Times New Roman" w:cs="Times New Roman"/>
          <w:color w:val="1A1A1A"/>
          <w:sz w:val="22"/>
          <w:szCs w:val="22"/>
        </w:rPr>
        <w:t xml:space="preserve">•  Annex T (Adaptive Stabilization Compliance Resilience Matrix): MRF Step-Back and Earn-Back provisions align with Annex T's graduated response system.</w:t>
      </w:r>
    </w:p>
    <w:p>
      <w:pPr>
        <w:pStyle w:val="Heading2"/>
      </w:pPr>
      <w:r>
        <w:rPr>
          <w:rFonts w:ascii="Times New Roman" w:hAnsi="Times New Roman" w:eastAsia="Times New Roman" w:cs="Times New Roman"/>
          <w:b/>
          <w:color w:val="2E5A6B"/>
          <w:sz w:val="24"/>
          <w:szCs w:val="24"/>
        </w:rPr>
        <w:t>6.2 Fast-Track Arbitration for Project Disputes</w:t>
      </w:r>
    </w:p>
    <w:p>
      <w:pPr>
        <w:pStyle w:val="Normal"/>
      </w:pPr>
      <w:r>
        <w:rPr>
          <w:rFonts w:ascii="Times New Roman" w:hAnsi="Times New Roman" w:eastAsia="Times New Roman" w:cs="Times New Roman"/>
          <w:color w:val="1A1A1A"/>
          <w:sz w:val="22"/>
          <w:szCs w:val="22"/>
        </w:rPr>
        <w:t>All disputes between Iran, contractors, the RSC, or contributors relating to MRF-funded projects are subject to binding arbitration under the ICC Arbitration Rules. The Fast-Track Arbitration mechanism operates as follows:</w:t>
      </w:r>
    </w:p>
    <w:p>
      <w:pPr>
        <w:pStyle w:val="Normal"/>
      </w:pPr>
      <w:r>
        <w:rPr>
          <w:rFonts w:ascii="Times New Roman" w:hAnsi="Times New Roman" w:eastAsia="Times New Roman" w:cs="Times New Roman"/>
          <w:color w:val="1A1A1A"/>
          <w:sz w:val="22"/>
          <w:szCs w:val="22"/>
        </w:rPr>
        <w:t xml:space="preserve">•  Either party submits a Notice of Arbitration to the RSC secretariat and the ICC International Court of Arbitration.</w:t>
      </w:r>
    </w:p>
    <w:p>
      <w:pPr>
        <w:pStyle w:val="Normal"/>
      </w:pPr>
      <w:r>
        <w:rPr>
          <w:rFonts w:ascii="Times New Roman" w:hAnsi="Times New Roman" w:eastAsia="Times New Roman" w:cs="Times New Roman"/>
          <w:color w:val="1A1A1A"/>
          <w:sz w:val="22"/>
          <w:szCs w:val="22"/>
        </w:rPr>
        <w:t xml:space="preserve">•  A sole arbitrator (for disputes under $50 million) or a three-member tribunal (for disputes exceeding $50 million) is appointed within 14 days.</w:t>
      </w:r>
    </w:p>
    <w:p>
      <w:pPr>
        <w:pStyle w:val="Normal"/>
      </w:pPr>
      <w:r>
        <w:rPr>
          <w:rFonts w:ascii="Times New Roman" w:hAnsi="Times New Roman" w:eastAsia="Times New Roman" w:cs="Times New Roman"/>
          <w:color w:val="1A1A1A"/>
          <w:sz w:val="22"/>
          <w:szCs w:val="22"/>
        </w:rPr>
        <w:t xml:space="preserve">•  The arbitration proceeds under expedited procedures with a maximum timeline of 60 days from appointment to award.</w:t>
      </w:r>
    </w:p>
    <w:p>
      <w:pPr>
        <w:pStyle w:val="Normal"/>
      </w:pPr>
      <w:r>
        <w:rPr>
          <w:rFonts w:ascii="Times New Roman" w:hAnsi="Times New Roman" w:eastAsia="Times New Roman" w:cs="Times New Roman"/>
          <w:color w:val="1A1A1A"/>
          <w:sz w:val="22"/>
          <w:szCs w:val="22"/>
        </w:rPr>
        <w:t xml:space="preserve">•  The seat of arbitration is Geneva, Switzerland. The language of arbitration is English.</w:t>
      </w:r>
    </w:p>
    <w:p>
      <w:pPr>
        <w:pStyle w:val="Normal"/>
      </w:pPr>
      <w:r>
        <w:rPr>
          <w:rFonts w:ascii="Times New Roman" w:hAnsi="Times New Roman" w:eastAsia="Times New Roman" w:cs="Times New Roman"/>
          <w:color w:val="1A1A1A"/>
          <w:sz w:val="22"/>
          <w:szCs w:val="22"/>
        </w:rPr>
        <w:t xml:space="preserve">•  Awards are final and binding on all parties. Enforcement proceeds under the New York Convention on the Recognition and Enforcement of Foreign Arbitral Awards.</w:t>
      </w:r>
    </w:p>
    <w:p>
      <w:pPr>
        <w:pStyle w:val="Normal"/>
      </w:pPr>
      <w:r>
        <w:rPr>
          <w:rFonts w:ascii="Times New Roman" w:hAnsi="Times New Roman" w:eastAsia="Times New Roman" w:cs="Times New Roman"/>
          <w:color w:val="1A1A1A"/>
          <w:sz w:val="22"/>
          <w:szCs w:val="22"/>
        </w:rPr>
        <w:t xml:space="preserve">•  Pending arbitration, project work continues unless the arbitrator grants an interim injunction stopping work.</w:t>
      </w:r>
    </w:p>
    <w:p>
      <w:pPr>
        <w:pStyle w:val="Normal"/>
      </w:pPr>
      <w:r>
        <w:rPr>
          <w:rFonts w:ascii="Times New Roman" w:hAnsi="Times New Roman" w:eastAsia="Times New Roman" w:cs="Times New Roman"/>
          <w:color w:val="1A1A1A"/>
          <w:sz w:val="22"/>
          <w:szCs w:val="22"/>
        </w:rPr>
        <w:t>This Fast-Track mechanism supersedes the Guarantor Matrix mediation for all MRF-related contractual disputes. The Guarantor Matrix remains available for political disputes between state parties that fall outside the scope of project-level arbitration.</w:t>
      </w:r>
    </w:p>
    <w:p>
      <w:pPr>
        <w:pStyle w:val="Heading2"/>
      </w:pPr>
      <w:r>
        <w:rPr>
          <w:rFonts w:ascii="Times New Roman" w:hAnsi="Times New Roman" w:eastAsia="Times New Roman" w:cs="Times New Roman"/>
          <w:b/>
          <w:color w:val="2E5A6B"/>
          <w:sz w:val="24"/>
          <w:szCs w:val="24"/>
        </w:rPr>
        <w:t>6.3 UN Peacebuilding and Mine Action Coordination</w:t>
      </w:r>
    </w:p>
    <w:p>
      <w:pPr>
        <w:pStyle w:val="Normal"/>
      </w:pPr>
      <w:r>
        <w:rPr>
          <w:rFonts w:ascii="Times New Roman" w:hAnsi="Times New Roman" w:eastAsia="Times New Roman" w:cs="Times New Roman"/>
          <w:color w:val="1A1A1A"/>
          <w:sz w:val="22"/>
          <w:szCs w:val="22"/>
        </w:rPr>
        <w:t>The MRF coordinates with the UN Mine Action Service (UNMAS) and the UN Peacebuilding Fund for pre-reconstruction demining and stabilization activities. Modern conflicts leave massive unexploded ordnance (UXO) contamination that renders reconstruction impossible until cleared. The MRF-UNMAS partnership operates as follows:</w:t>
      </w:r>
    </w:p>
    <w:p>
      <w:pPr>
        <w:pStyle w:val="Normal"/>
      </w:pPr>
      <w:r>
        <w:rPr>
          <w:rFonts w:ascii="Times New Roman" w:hAnsi="Times New Roman" w:eastAsia="Times New Roman" w:cs="Times New Roman"/>
          <w:color w:val="1A1A1A"/>
          <w:sz w:val="22"/>
          <w:szCs w:val="22"/>
        </w:rPr>
        <w:t xml:space="preserve">•  UNMAS conducts UXO surveys and clearance operations in all MRF project areas before construction commences.</w:t>
      </w:r>
    </w:p>
    <w:p>
      <w:pPr>
        <w:pStyle w:val="Normal"/>
      </w:pPr>
      <w:r>
        <w:rPr>
          <w:rFonts w:ascii="Times New Roman" w:hAnsi="Times New Roman" w:eastAsia="Times New Roman" w:cs="Times New Roman"/>
          <w:color w:val="1A1A1A"/>
          <w:sz w:val="22"/>
          <w:szCs w:val="22"/>
        </w:rPr>
        <w:t xml:space="preserve">•  The UN Peacebuilding Fund provides grants for community stabilization, reconciliation programming, and local governance restoration in MRF project zones.</w:t>
      </w:r>
    </w:p>
    <w:p>
      <w:pPr>
        <w:pStyle w:val="Normal"/>
      </w:pPr>
      <w:r>
        <w:rPr>
          <w:rFonts w:ascii="Times New Roman" w:hAnsi="Times New Roman" w:eastAsia="Times New Roman" w:cs="Times New Roman"/>
          <w:color w:val="1A1A1A"/>
          <w:sz w:val="22"/>
          <w:szCs w:val="22"/>
        </w:rPr>
        <w:t xml:space="preserve">•  MRF Sub-Funds (particularly MRF-Health and MRF-Housing) allocate priority funding to areas certified as UXO-cleared by UNMAS.</w:t>
      </w:r>
    </w:p>
    <w:p>
      <w:pPr>
        <w:pStyle w:val="Normal"/>
      </w:pPr>
      <w:r>
        <w:rPr>
          <w:rFonts w:ascii="Times New Roman" w:hAnsi="Times New Roman" w:eastAsia="Times New Roman" w:cs="Times New Roman"/>
          <w:color w:val="1A1A1A"/>
          <w:sz w:val="22"/>
          <w:szCs w:val="22"/>
        </w:rPr>
        <w:t xml:space="preserve">•  The RSC coordinates programming with the UN Resident Coordinator in Tehran to ensure MRF reconstruction aligns with UN stabilization priorities.</w:t>
      </w:r>
    </w:p>
    <w:p>
      <w:pPr>
        <w:pStyle w:val="Normal"/>
      </w:pPr>
      <w:r>
        <w:rPr>
          <w:rFonts w:ascii="Times New Roman" w:hAnsi="Times New Roman" w:eastAsia="Times New Roman" w:cs="Times New Roman"/>
          <w:color w:val="1A1A1A"/>
          <w:sz w:val="22"/>
          <w:szCs w:val="22"/>
        </w:rPr>
        <w:t>The RSC estimates UN Peacebuilding and Mine Action funding at approximately $1 billion over the reconstruction period. This funding is distinct from MRF capital and flows through established UN grant mechanisms.</w:t>
      </w:r>
    </w:p>
    <w:p>
      <w:pPr>
        <w:pStyle w:val="Heading2"/>
      </w:pPr>
      <w:r>
        <w:rPr>
          <w:rFonts w:ascii="Times New Roman" w:hAnsi="Times New Roman" w:eastAsia="Times New Roman" w:cs="Times New Roman"/>
          <w:b/>
          <w:color w:val="2E5A6B"/>
          <w:sz w:val="24"/>
          <w:szCs w:val="24"/>
        </w:rPr>
        <w:t>6.4 Carbon Credit Pre-Financing Facility</w:t>
      </w:r>
    </w:p>
    <w:p>
      <w:pPr>
        <w:pStyle w:val="Normal"/>
      </w:pPr>
      <w:r>
        <w:rPr>
          <w:rFonts w:ascii="Times New Roman" w:hAnsi="Times New Roman" w:eastAsia="Times New Roman" w:cs="Times New Roman"/>
          <w:color w:val="1A1A1A"/>
          <w:sz w:val="22"/>
          <w:szCs w:val="22"/>
        </w:rPr>
        <w:t>The MRF establishes a Carbon Credit Pre-Financing Facility (CCPF) under Article 6 of the Paris Agreement. Iran possesses immense potential for solar, wind, and hydroelectric energy generation. Under the CCPF, Iran sells internationally transferable mitigation outcomes (ITMOs) to GCC states, European buyers, and other nations seeking to meet their Nationally Determined Contributions (NDCs).</w:t>
      </w:r>
    </w:p>
    <w:p>
      <w:pPr>
        <w:pStyle w:val="Normal"/>
      </w:pPr>
      <w:r>
        <w:rPr>
          <w:rFonts w:ascii="Times New Roman" w:hAnsi="Times New Roman" w:eastAsia="Times New Roman" w:cs="Times New Roman"/>
          <w:color w:val="1A1A1A"/>
          <w:sz w:val="22"/>
          <w:szCs w:val="22"/>
        </w:rPr>
        <w:t>The CCPF operates as follows: (1) The RSC registers MRF renewable energy projects with the UN Framework Convention on Climate Change (UNFCCC) Secretariat, (2) An independent verification body (e.g., Verra, Gold Standard) certifies the carbon mitigation output of each project, (3) The RSC sells forward carbon credits to pre-approved buyers at a contracted price, (4) Proceeds from carbon credit sales flow directly into the MRF-Energy Sub-Fund, (5) Buyers receive verified carbon credits upon project commissioning.</w:t>
      </w:r>
    </w:p>
    <w:p>
      <w:pPr>
        <w:pStyle w:val="Normal"/>
      </w:pPr>
      <w:r>
        <w:rPr>
          <w:rFonts w:ascii="Times New Roman" w:hAnsi="Times New Roman" w:eastAsia="Times New Roman" w:cs="Times New Roman"/>
          <w:color w:val="1A1A1A"/>
          <w:sz w:val="22"/>
          <w:szCs w:val="22"/>
        </w:rPr>
        <w:t>The CCPF targets $2-5 billion in pre-financing over the 10-year reconstruction period. GCC states with high per-capita emissions and ambitious net-zero targets are the primary buyers. The CCPF is administered by a dedicated Carbon Finance Desk within the RSC secretariat.</w:t>
      </w:r>
    </w:p>
    <w:p>
      <w:pPr>
        <w:pStyle w:val="Heading1"/>
      </w:pPr>
      <w:bookmarkStart w:name="_Toc008" w:id="8"/>
      <w:r>
        <w:rPr>
          <w:rFonts w:ascii="Times New Roman" w:hAnsi="Times New Roman" w:eastAsia="Times New Roman" w:cs="Times New Roman"/>
          <w:b/>
          <w:color w:val="1B3A4B"/>
          <w:sz w:val="28"/>
          <w:szCs w:val="28"/>
        </w:rPr>
        <w:t>Article 7: Duration and Supersession</w:t>
      </w:r>
      <w:bookmarkEnd w:id="8"/>
    </w:p>
    <w:p>
      <w:pPr>
        <w:pStyle w:val="Heading2"/>
      </w:pPr>
      <w:r>
        <w:rPr>
          <w:rFonts w:ascii="Times New Roman" w:hAnsi="Times New Roman" w:eastAsia="Times New Roman" w:cs="Times New Roman"/>
          <w:b/>
          <w:color w:val="2E5A6B"/>
          <w:sz w:val="24"/>
          <w:szCs w:val="24"/>
        </w:rPr>
        <w:t>7.1 Initial 60-Day Period</w:t>
      </w:r>
    </w:p>
    <w:p>
      <w:pPr>
        <w:pStyle w:val="Normal"/>
      </w:pPr>
      <w:r>
        <w:rPr>
          <w:rFonts w:ascii="Times New Roman" w:hAnsi="Times New Roman" w:eastAsia="Times New Roman" w:cs="Times New Roman"/>
          <w:color w:val="1A1A1A"/>
          <w:sz w:val="22"/>
          <w:szCs w:val="22"/>
        </w:rPr>
        <w:t>The MRF operates initially as a 60-day stabilization mechanism, during which:</w:t>
      </w:r>
    </w:p>
    <w:p>
      <w:pPr>
        <w:pStyle w:val="Normal"/>
        <w:ind w:left="720" w:hanging="360"/>
      </w:pPr>
      <w:r>
        <w:rPr>
          <w:rFonts w:ascii="Times New Roman" w:hAnsi="Times New Roman" w:eastAsia="Times New Roman" w:cs="Times New Roman"/>
          <w:color w:val="1A1A1A"/>
          <w:sz w:val="22"/>
          <w:szCs w:val="22"/>
        </w:rPr>
        <w:t xml:space="preserve">•  Sub-Funds are established and capitalized</w:t>
      </w:r>
    </w:p>
    <w:p>
      <w:pPr>
        <w:pStyle w:val="Normal"/>
        <w:ind w:left="720" w:hanging="360"/>
      </w:pPr>
      <w:r>
        <w:rPr>
          <w:rFonts w:ascii="Times New Roman" w:hAnsi="Times New Roman" w:eastAsia="Times New Roman" w:cs="Times New Roman"/>
          <w:color w:val="1A1A1A"/>
          <w:sz w:val="22"/>
          <w:szCs w:val="22"/>
        </w:rPr>
        <w:t xml:space="preserve">•  Iran submits initial Project Proposals</w:t>
      </w:r>
    </w:p>
    <w:p>
      <w:pPr>
        <w:pStyle w:val="Normal"/>
        <w:ind w:left="720" w:hanging="360"/>
      </w:pPr>
      <w:r>
        <w:rPr>
          <w:rFonts w:ascii="Times New Roman" w:hAnsi="Times New Roman" w:eastAsia="Times New Roman" w:cs="Times New Roman"/>
          <w:color w:val="1A1A1A"/>
          <w:sz w:val="22"/>
          <w:szCs w:val="22"/>
        </w:rPr>
        <w:t xml:space="preserve">•  The RSC conducts its first meetings</w:t>
      </w:r>
    </w:p>
    <w:p>
      <w:pPr>
        <w:pStyle w:val="Normal"/>
        <w:ind w:left="720" w:hanging="360"/>
      </w:pPr>
      <w:r>
        <w:rPr>
          <w:rFonts w:ascii="Times New Roman" w:hAnsi="Times New Roman" w:eastAsia="Times New Roman" w:cs="Times New Roman"/>
          <w:color w:val="1A1A1A"/>
          <w:sz w:val="22"/>
          <w:szCs w:val="22"/>
        </w:rPr>
        <w:t xml:space="preserve">•  Technical teams deploy to assess priority projects</w:t>
      </w:r>
    </w:p>
    <w:p>
      <w:pPr>
        <w:pStyle w:val="Heading3"/>
      </w:pPr>
      <w:r>
        <w:rPr>
          <w:rFonts w:ascii="Times New Roman" w:hAnsi="Times New Roman" w:eastAsia="Times New Roman" w:cs="Times New Roman"/>
          <w:b/>
          <w:i/>
          <w:color w:val="4A4A4A"/>
          <w:sz w:val="22"/>
          <w:szCs w:val="22"/>
        </w:rPr>
        <w:t>7.1.1 Automatic Review at Day 60</w:t>
      </w:r>
    </w:p>
    <w:p>
      <w:pPr>
        <w:pStyle w:val="Normal"/>
      </w:pPr>
      <w:r>
        <w:rPr>
          <w:rFonts w:ascii="Times New Roman" w:hAnsi="Times New Roman" w:eastAsia="Times New Roman" w:cs="Times New Roman"/>
          <w:color w:val="1A1A1A"/>
          <w:sz w:val="22"/>
          <w:szCs w:val="22"/>
        </w:rPr>
        <w:t>On the sixtieth day following entry into force of this Annex, the RSC convenes automatically for a formal Progress Assessment Session. This session is mandatory; failure to convene constitutes a procedural Tier-1 matter under Annex T. The RSC:</w:t>
      </w:r>
    </w:p>
    <w:p>
      <w:pPr>
        <w:pStyle w:val="Normal"/>
        <w:ind w:left="720" w:hanging="360"/>
      </w:pPr>
      <w:r>
        <w:rPr>
          <w:rFonts w:ascii="Times New Roman" w:hAnsi="Times New Roman" w:eastAsia="Times New Roman" w:cs="Times New Roman"/>
          <w:color w:val="1A1A1A"/>
          <w:sz w:val="22"/>
          <w:szCs w:val="22"/>
        </w:rPr>
        <w:t xml:space="preserve">•  Reviews Sub-Fund capitalization status and deposit confirmations</w:t>
      </w:r>
    </w:p>
    <w:p>
      <w:pPr>
        <w:pStyle w:val="Normal"/>
        <w:ind w:left="720" w:hanging="360"/>
      </w:pPr>
      <w:r>
        <w:rPr>
          <w:rFonts w:ascii="Times New Roman" w:hAnsi="Times New Roman" w:eastAsia="Times New Roman" w:cs="Times New Roman"/>
          <w:color w:val="1A1A1A"/>
          <w:sz w:val="22"/>
          <w:szCs w:val="22"/>
        </w:rPr>
        <w:t xml:space="preserve">•  Evaluates the status of all submitted Project Proposals</w:t>
      </w:r>
    </w:p>
    <w:p>
      <w:pPr>
        <w:pStyle w:val="Normal"/>
        <w:ind w:left="720" w:hanging="360"/>
      </w:pPr>
      <w:r>
        <w:rPr>
          <w:rFonts w:ascii="Times New Roman" w:hAnsi="Times New Roman" w:eastAsia="Times New Roman" w:cs="Times New Roman"/>
          <w:color w:val="1A1A1A"/>
          <w:sz w:val="22"/>
          <w:szCs w:val="22"/>
        </w:rPr>
        <w:t xml:space="preserve">•  Assesses milestone completion rates against the Article 4 disbursement schedule</w:t>
      </w:r>
    </w:p>
    <w:p>
      <w:pPr>
        <w:pStyle w:val="Normal"/>
        <w:ind w:left="720" w:hanging="360"/>
      </w:pPr>
      <w:r>
        <w:rPr>
          <w:rFonts w:ascii="Times New Roman" w:hAnsi="Times New Roman" w:eastAsia="Times New Roman" w:cs="Times New Roman"/>
          <w:color w:val="1A1A1A"/>
          <w:sz w:val="22"/>
          <w:szCs w:val="22"/>
        </w:rPr>
        <w:t xml:space="preserve">•  Issues a written Progress Assessment Report with one of the following recommendations: (a) extension to Phase II by consensus; (b) activation of Deficit Recovery Protocol under Annex T; or (c) technical consultation to address specific impediments</w:t>
      </w:r>
    </w:p>
    <w:p>
      <w:pPr>
        <w:pStyle w:val="Normal"/>
      </w:pPr>
      <w:r>
        <w:rPr>
          <w:rFonts w:ascii="Times New Roman" w:hAnsi="Times New Roman" w:eastAsia="Times New Roman" w:cs="Times New Roman"/>
          <w:color w:val="1A1A1A"/>
          <w:sz w:val="22"/>
          <w:szCs w:val="22"/>
        </w:rPr>
        <w:t>The RSC transmits the Progress Assessment Report to all Parties within 72 hours of the Day 60 session. Either Party requests an emergency RSC consultation within 14 days of report issuance if it disagrees with the recommendation. Absent such request, the recommendation takes effect automatically.</w:t>
      </w:r>
    </w:p>
    <w:p>
      <w:pPr>
        <w:pStyle w:val="Heading3"/>
      </w:pPr>
      <w:r>
        <w:rPr>
          <w:rFonts w:ascii="Times New Roman" w:hAnsi="Times New Roman" w:eastAsia="Times New Roman" w:cs="Times New Roman"/>
          <w:b/>
          <w:i/>
          <w:color w:val="4A4A4A"/>
          <w:sz w:val="22"/>
          <w:szCs w:val="22"/>
        </w:rPr>
        <w:t>7.1.2 Drift Prevention</w:t>
      </w:r>
    </w:p>
    <w:p>
      <w:pPr>
        <w:pStyle w:val="Normal"/>
      </w:pPr>
      <w:r>
        <w:rPr>
          <w:rFonts w:ascii="Times New Roman" w:hAnsi="Times New Roman" w:eastAsia="Times New Roman" w:cs="Times New Roman"/>
          <w:color w:val="1A1A1A"/>
          <w:sz w:val="22"/>
          <w:szCs w:val="22"/>
        </w:rPr>
        <w:t>The framework architecture excludes procedural drift. If the Day 60 review identifies a material impediment to Sub-Fund capitalization or project deployment, the RSC activates the following sequence:</w:t>
      </w:r>
    </w:p>
    <w:p>
      <w:pPr>
        <w:pStyle w:val="Normal"/>
        <w:ind w:left="720" w:hanging="360"/>
      </w:pPr>
      <w:r>
        <w:rPr>
          <w:rFonts w:ascii="Times New Roman" w:hAnsi="Times New Roman" w:eastAsia="Times New Roman" w:cs="Times New Roman"/>
          <w:color w:val="1A1A1A"/>
          <w:sz w:val="22"/>
          <w:szCs w:val="22"/>
        </w:rPr>
        <w:t xml:space="preserve">•  The impediment is classified by severity under the Annex T tier system</w:t>
      </w:r>
    </w:p>
    <w:p>
      <w:pPr>
        <w:pStyle w:val="Normal"/>
        <w:ind w:left="720" w:hanging="360"/>
      </w:pPr>
      <w:r>
        <w:rPr>
          <w:rFonts w:ascii="Times New Roman" w:hAnsi="Times New Roman" w:eastAsia="Times New Roman" w:cs="Times New Roman"/>
          <w:color w:val="1A1A1A"/>
          <w:sz w:val="22"/>
          <w:szCs w:val="22"/>
        </w:rPr>
        <w:t xml:space="preserve">•  The RSC assigns a remediation timeline not exceeding 30 days</w:t>
      </w:r>
    </w:p>
    <w:p>
      <w:pPr>
        <w:pStyle w:val="Normal"/>
        <w:ind w:left="720" w:hanging="360"/>
      </w:pPr>
      <w:r>
        <w:rPr>
          <w:rFonts w:ascii="Times New Roman" w:hAnsi="Times New Roman" w:eastAsia="Times New Roman" w:cs="Times New Roman"/>
          <w:color w:val="1A1A1A"/>
          <w:sz w:val="22"/>
          <w:szCs w:val="22"/>
        </w:rPr>
        <w:t xml:space="preserve">•  If remediation fails, the affected Sub-Fund enters a hold status; all other Sub-Funds continue operating without interruption</w:t>
      </w:r>
    </w:p>
    <w:p>
      <w:pPr>
        <w:pStyle w:val="Normal"/>
        <w:ind w:left="720" w:hanging="360"/>
      </w:pPr>
      <w:r>
        <w:rPr>
          <w:rFonts w:ascii="Times New Roman" w:hAnsi="Times New Roman" w:eastAsia="Times New Roman" w:cs="Times New Roman"/>
          <w:color w:val="1A1A1A"/>
          <w:sz w:val="22"/>
          <w:szCs w:val="22"/>
        </w:rPr>
        <w:t xml:space="preserve">•  The RSC convenes a second review within 15 days of the remediation deadline</w:t>
      </w:r>
    </w:p>
    <w:p>
      <w:pPr>
        <w:pStyle w:val="Heading2"/>
      </w:pPr>
      <w:r>
        <w:rPr>
          <w:rFonts w:ascii="Times New Roman" w:hAnsi="Times New Roman" w:eastAsia="Times New Roman" w:cs="Times New Roman"/>
          <w:b/>
          <w:color w:val="2E5A6B"/>
          <w:sz w:val="24"/>
          <w:szCs w:val="24"/>
        </w:rPr>
        <w:t>7.2 Transition to Phase II</w:t>
      </w:r>
    </w:p>
    <w:p>
      <w:pPr>
        <w:pStyle w:val="Normal"/>
      </w:pPr>
      <w:r>
        <w:rPr>
          <w:rFonts w:ascii="Times New Roman" w:hAnsi="Times New Roman" w:eastAsia="Times New Roman" w:cs="Times New Roman"/>
          <w:color w:val="1A1A1A"/>
          <w:sz w:val="22"/>
          <w:szCs w:val="22"/>
        </w:rPr>
        <w:t>Upon expiration of the 60-day period, the Parties transition to Phase II (full execution) by mutual consent. Phase II operates on the 180-day verification schedule outlined in Article 4.</w:t>
      </w:r>
    </w:p>
    <w:p>
      <w:pPr>
        <w:pStyle w:val="Heading2"/>
      </w:pPr>
      <w:r>
        <w:rPr>
          <w:rFonts w:ascii="Times New Roman" w:hAnsi="Times New Roman" w:eastAsia="Times New Roman" w:cs="Times New Roman"/>
          <w:b/>
          <w:color w:val="2E5A6B"/>
          <w:sz w:val="24"/>
          <w:szCs w:val="24"/>
        </w:rPr>
        <w:t>7.3 Supersession</w:t>
      </w:r>
    </w:p>
    <w:p>
      <w:pPr>
        <w:pStyle w:val="Normal"/>
      </w:pPr>
      <w:r>
        <w:rPr>
          <w:rFonts w:ascii="Times New Roman" w:hAnsi="Times New Roman" w:eastAsia="Times New Roman" w:cs="Times New Roman"/>
          <w:color w:val="1A1A1A"/>
          <w:sz w:val="22"/>
          <w:szCs w:val="22"/>
        </w:rPr>
        <w:t>The MRF is automatically superseded upon entry into force of any subsequent comprehensive agreement that addresses reconstruction financing with equivalent or greater protections for Iran.</w:t>
      </w:r>
    </w:p>
    <w:p>
      <w:pPr>
        <w:pStyle w:val="Heading1"/>
      </w:pPr>
      <w:bookmarkStart w:name="_Toc009" w:id="9"/>
      <w:r>
        <w:rPr>
          <w:rFonts w:ascii="Times New Roman" w:hAnsi="Times New Roman" w:eastAsia="Times New Roman" w:cs="Times New Roman"/>
          <w:b/>
          <w:color w:val="1B3A4B"/>
          <w:sz w:val="28"/>
          <w:szCs w:val="28"/>
        </w:rPr>
        <w:t>Article 8: Sovereign Procurement and Non-Directed Purchasing</w:t>
      </w:r>
      <w:bookmarkEnd w:id="9"/>
    </w:p>
    <w:p>
      <w:pPr>
        <w:pStyle w:val="Heading2"/>
      </w:pPr>
      <w:r>
        <w:rPr>
          <w:rFonts w:ascii="Times New Roman" w:hAnsi="Times New Roman" w:eastAsia="Times New Roman" w:cs="Times New Roman"/>
          <w:b/>
          <w:color w:val="2E5A6B"/>
          <w:sz w:val="24"/>
          <w:szCs w:val="24"/>
        </w:rPr>
        <w:t>8.1 No Obligation to Purchase from Any Particular Country</w:t>
      </w:r>
    </w:p>
    <w:p>
      <w:pPr>
        <w:pStyle w:val="Normal"/>
      </w:pPr>
      <w:r>
        <w:rPr>
          <w:rFonts w:ascii="Times New Roman" w:hAnsi="Times New Roman" w:eastAsia="Times New Roman" w:cs="Times New Roman"/>
          <w:color w:val="1A1A1A"/>
          <w:sz w:val="22"/>
          <w:szCs w:val="22"/>
        </w:rPr>
        <w:t>The Islamic Republic of Iran is under no obligation, express or implied, to purchase agricultural products, food commodities, medical supplies, industrial equipment, or any other goods or services from the United States, its farmers, its corporations, its nationals, or from any other country, entity, or commercial channel. This Annex establishes no condition, restriction, or preference requiring MRF funds to be spent in any particular country, currency, or commercial channel.</w:t>
      </w:r>
    </w:p>
    <w:p>
      <w:pPr>
        <w:pStyle w:val="Normal"/>
      </w:pPr>
      <w:r>
        <w:rPr>
          <w:rFonts w:ascii="Times New Roman" w:hAnsi="Times New Roman" w:eastAsia="Times New Roman" w:cs="Times New Roman"/>
          <w:color w:val="1A1A1A"/>
          <w:sz w:val="22"/>
          <w:szCs w:val="22"/>
        </w:rPr>
        <w:t>For the avoidance of doubt:</w:t>
      </w:r>
    </w:p>
    <w:p>
      <w:pPr>
        <w:pStyle w:val="Normal"/>
        <w:ind w:left="720" w:hanging="360"/>
      </w:pPr>
      <w:r>
        <w:rPr>
          <w:rFonts w:ascii="Times New Roman" w:hAnsi="Times New Roman" w:eastAsia="Times New Roman" w:cs="Times New Roman"/>
          <w:color w:val="1A1A1A"/>
          <w:sz w:val="22"/>
          <w:szCs w:val="22"/>
        </w:rPr>
        <w:t xml:space="preserve">•  Iran retains the full sovereign right to procure goods and services from any country of its choosing, including but not limited to China, Russia, the European Union, Turkey, India, Brazil, Argentina, or any other nation with which Iran maintains commercial relations</w:t>
      </w:r>
    </w:p>
    <w:p>
      <w:pPr>
        <w:pStyle w:val="Normal"/>
        <w:ind w:left="720" w:hanging="360"/>
      </w:pPr>
      <w:r>
        <w:rPr>
          <w:rFonts w:ascii="Times New Roman" w:hAnsi="Times New Roman" w:eastAsia="Times New Roman" w:cs="Times New Roman"/>
          <w:color w:val="1A1A1A"/>
          <w:sz w:val="22"/>
          <w:szCs w:val="22"/>
        </w:rPr>
        <w:t xml:space="preserve">•  Iran retains the full sovereign right to use MRF funds for any purpose consistent with its national interests and applicable international law</w:t>
      </w:r>
    </w:p>
    <w:p>
      <w:pPr>
        <w:pStyle w:val="Normal"/>
        <w:ind w:left="720" w:hanging="360"/>
      </w:pPr>
      <w:r>
        <w:rPr>
          <w:rFonts w:ascii="Times New Roman" w:hAnsi="Times New Roman" w:eastAsia="Times New Roman" w:cs="Times New Roman"/>
          <w:color w:val="1A1A1A"/>
          <w:sz w:val="22"/>
          <w:szCs w:val="22"/>
        </w:rPr>
        <w:t xml:space="preserve">•  The United States holds no approval authority over Iranian procurement decisions</w:t>
      </w:r>
    </w:p>
    <w:p>
      <w:pPr>
        <w:pStyle w:val="Normal"/>
        <w:ind w:left="720" w:hanging="360"/>
      </w:pPr>
      <w:r>
        <w:rPr>
          <w:rFonts w:ascii="Times New Roman" w:hAnsi="Times New Roman" w:eastAsia="Times New Roman" w:cs="Times New Roman"/>
          <w:color w:val="1A1A1A"/>
          <w:sz w:val="22"/>
          <w:szCs w:val="22"/>
        </w:rPr>
        <w:t xml:space="preserve">•  The RSC holds no approval authority over Iranian procurement decisions</w:t>
      </w:r>
    </w:p>
    <w:p>
      <w:pPr>
        <w:pStyle w:val="Normal"/>
        <w:ind w:left="720" w:hanging="360"/>
      </w:pPr>
      <w:r>
        <w:rPr>
          <w:rFonts w:ascii="Times New Roman" w:hAnsi="Times New Roman" w:eastAsia="Times New Roman" w:cs="Times New Roman"/>
          <w:color w:val="1A1A1A"/>
          <w:sz w:val="22"/>
          <w:szCs w:val="22"/>
        </w:rPr>
        <w:t xml:space="preserve">•  The Escrow Agent holds no approval authority over Iranian procurement decisions</w:t>
      </w:r>
    </w:p>
    <w:p>
      <w:pPr>
        <w:pStyle w:val="Heading2"/>
      </w:pPr>
      <w:r>
        <w:rPr>
          <w:rFonts w:ascii="Times New Roman" w:hAnsi="Times New Roman" w:eastAsia="Times New Roman" w:cs="Times New Roman"/>
          <w:b/>
          <w:color w:val="2E5A6B"/>
          <w:sz w:val="24"/>
          <w:szCs w:val="24"/>
        </w:rPr>
        <w:t>8.2 Central Bank Statement Affirmation</w:t>
      </w:r>
    </w:p>
    <w:p>
      <w:pPr>
        <w:pStyle w:val="Normal"/>
      </w:pPr>
      <w:r>
        <w:rPr>
          <w:rFonts w:ascii="Times New Roman" w:hAnsi="Times New Roman" w:eastAsia="Times New Roman" w:cs="Times New Roman"/>
          <w:color w:val="1A1A1A"/>
          <w:sz w:val="22"/>
          <w:szCs w:val="22"/>
        </w:rPr>
        <w:t>The Parties affirm and acknowledge the public statement of the Governor of the Central Bank of Iran that the memorandums signed between the Parties create no obligation to purchase agricultural inputs or any other goods from the United States. This Annex incorporates that clarification as a binding interpretive understanding.</w:t>
      </w:r>
    </w:p>
    <w:p>
      <w:pPr>
        <w:pStyle w:val="Heading2"/>
      </w:pPr>
      <w:r>
        <w:rPr>
          <w:rFonts w:ascii="Times New Roman" w:hAnsi="Times New Roman" w:eastAsia="Times New Roman" w:cs="Times New Roman"/>
          <w:b/>
          <w:color w:val="2E5A6B"/>
          <w:sz w:val="24"/>
          <w:szCs w:val="24"/>
        </w:rPr>
        <w:t>8.3 No Unilateral Oversight</w:t>
      </w:r>
    </w:p>
    <w:p>
      <w:pPr>
        <w:pStyle w:val="Normal"/>
      </w:pPr>
      <w:r>
        <w:rPr>
          <w:rFonts w:ascii="Times New Roman" w:hAnsi="Times New Roman" w:eastAsia="Times New Roman" w:cs="Times New Roman"/>
          <w:color w:val="1A1A1A"/>
          <w:sz w:val="22"/>
          <w:szCs w:val="22"/>
        </w:rPr>
        <w:t>No Party or third party exercises approval authority, veto power, oversight jurisdiction, or any other form of control over Iran's use of MRF funds, except as expressly provided in this Annex for verification and audit purposes (Article 4). All audit and verification functions are limited to confirming milestone completion; they do not extend to approving or disapproving procurement decisions.</w:t>
      </w:r>
    </w:p>
    <w:p>
      <w:pPr>
        <w:pStyle w:val="Heading2"/>
      </w:pPr>
      <w:r>
        <w:rPr>
          <w:rFonts w:ascii="Times New Roman" w:hAnsi="Times New Roman" w:eastAsia="Times New Roman" w:cs="Times New Roman"/>
          <w:b/>
          <w:color w:val="2E5A6B"/>
          <w:sz w:val="24"/>
          <w:szCs w:val="24"/>
        </w:rPr>
        <w:t>8.4 Non-Derogation</w:t>
      </w:r>
    </w:p>
    <w:p>
      <w:pPr>
        <w:pStyle w:val="Normal"/>
      </w:pPr>
      <w:r>
        <w:rPr>
          <w:rFonts w:ascii="Times New Roman" w:hAnsi="Times New Roman" w:eastAsia="Times New Roman" w:cs="Times New Roman"/>
          <w:color w:val="1A1A1A"/>
          <w:sz w:val="22"/>
          <w:szCs w:val="22"/>
        </w:rPr>
        <w:t>Nothing in this Article is construed to:</w:t>
      </w:r>
    </w:p>
    <w:p>
      <w:pPr>
        <w:pStyle w:val="Normal"/>
        <w:ind w:left="720" w:hanging="360"/>
      </w:pPr>
      <w:r>
        <w:rPr>
          <w:rFonts w:ascii="Times New Roman" w:hAnsi="Times New Roman" w:eastAsia="Times New Roman" w:cs="Times New Roman"/>
          <w:color w:val="1A1A1A"/>
          <w:sz w:val="22"/>
          <w:szCs w:val="22"/>
        </w:rPr>
        <w:t xml:space="preserve">•  Impair Iran's sovereign right to manage its economy and fiscal policy</w:t>
      </w:r>
    </w:p>
    <w:p>
      <w:pPr>
        <w:pStyle w:val="Normal"/>
        <w:ind w:left="720" w:hanging="360"/>
      </w:pPr>
      <w:r>
        <w:rPr>
          <w:rFonts w:ascii="Times New Roman" w:hAnsi="Times New Roman" w:eastAsia="Times New Roman" w:cs="Times New Roman"/>
          <w:color w:val="1A1A1A"/>
          <w:sz w:val="22"/>
          <w:szCs w:val="22"/>
        </w:rPr>
        <w:t xml:space="preserve">•  Grant the United States or any other country preferential commercial access to the Iranian market</w:t>
      </w:r>
    </w:p>
    <w:p>
      <w:pPr>
        <w:pStyle w:val="Normal"/>
        <w:ind w:left="720" w:hanging="360"/>
      </w:pPr>
      <w:r>
        <w:rPr>
          <w:rFonts w:ascii="Times New Roman" w:hAnsi="Times New Roman" w:eastAsia="Times New Roman" w:cs="Times New Roman"/>
          <w:color w:val="1A1A1A"/>
          <w:sz w:val="22"/>
          <w:szCs w:val="22"/>
        </w:rPr>
        <w:t xml:space="preserve">•  Establish any precedent for future trade or investment agreements</w:t>
      </w:r>
    </w:p>
    <w:p>
      <w:pPr>
        <w:pStyle w:val="Normal"/>
        <w:ind w:left="720" w:hanging="360"/>
      </w:pPr>
      <w:r>
        <w:rPr>
          <w:rFonts w:ascii="Times New Roman" w:hAnsi="Times New Roman" w:eastAsia="Times New Roman" w:cs="Times New Roman"/>
          <w:color w:val="1A1A1A"/>
          <w:sz w:val="22"/>
          <w:szCs w:val="22"/>
        </w:rPr>
        <w:t xml:space="preserve">•  Affect Iran's rights under the World Trade Organization or other international trade instruments</w:t>
      </w:r>
    </w:p>
    <w:p>
      <w:pPr>
        <w:pStyle w:val="Normal"/>
        <w:ind w:left="720" w:hanging="360"/>
      </w:pPr>
      <w:r>
        <w:rPr>
          <w:rFonts w:ascii="Times New Roman" w:hAnsi="Times New Roman" w:eastAsia="Times New Roman" w:cs="Times New Roman"/>
          <w:color w:val="1A1A1A"/>
          <w:sz w:val="22"/>
          <w:szCs w:val="22"/>
        </w:rPr>
        <w:t xml:space="preserve">•  Require Iran to accept any bilateral trade conditions not explicitly agreed in writing</w:t>
      </w:r>
    </w:p>
    <w:p>
      <w:pPr>
        <w:pStyle w:val="Heading2"/>
      </w:pPr>
      <w:r>
        <w:rPr>
          <w:rFonts w:ascii="Times New Roman" w:hAnsi="Times New Roman" w:eastAsia="Times New Roman" w:cs="Times New Roman"/>
          <w:b/>
          <w:color w:val="2E5A6B"/>
          <w:sz w:val="24"/>
          <w:szCs w:val="24"/>
        </w:rPr>
        <w:t>8.5 Clarification Regarding Annex ES Pool A Priority Consideration</w:t>
      </w:r>
    </w:p>
    <w:p>
      <w:pPr>
        <w:pStyle w:val="Normal"/>
      </w:pPr>
      <w:r>
        <w:rPr>
          <w:rFonts w:ascii="Times New Roman" w:hAnsi="Times New Roman" w:eastAsia="Times New Roman" w:cs="Times New Roman"/>
          <w:color w:val="1A1A1A"/>
          <w:sz w:val="22"/>
          <w:szCs w:val="22"/>
        </w:rPr>
        <w:t>Nothing in this Article affects or supersedes the Priority Consideration provisions applicable to Pool A of Annex ES. The provisions of this Article apply to MRF funds only and do not extend to funds released under Annex ES.</w:t>
      </w:r>
    </w:p>
    <w:p>
      <w:pPr>
        <w:pStyle w:val="Heading2"/>
      </w:pPr>
      <w:r>
        <w:rPr>
          <w:rFonts w:ascii="Times New Roman" w:hAnsi="Times New Roman" w:eastAsia="Times New Roman" w:cs="Times New Roman"/>
          <w:b/>
          <w:color w:val="2E5A6B"/>
          <w:sz w:val="24"/>
          <w:szCs w:val="24"/>
        </w:rPr>
        <w:t>8.6 Severability and Supremacy</w:t>
      </w:r>
    </w:p>
    <w:p>
      <w:pPr>
        <w:pStyle w:val="Normal"/>
      </w:pPr>
      <w:r>
        <w:rPr>
          <w:rFonts w:ascii="Times New Roman" w:hAnsi="Times New Roman" w:eastAsia="Times New Roman" w:cs="Times New Roman"/>
          <w:color w:val="1A1A1A"/>
          <w:sz w:val="22"/>
          <w:szCs w:val="22"/>
        </w:rPr>
        <w:t>In the event of any conflict between this Article and any public statement, diplomatic assurance, press release, or political declaration by either Party or their representatives, the operative text of this Annex governs. No unilateral statement by any official creates a legally binding obligation on Iran.</w:t>
      </w:r>
    </w:p>
    <w:p>
      <w:pPr>
        <w:pStyle w:val="Normal"/>
        <w:ind w:left="360" w:right="360"/>
      </w:pPr>
      <w:r>
        <w:rPr>
          <w:rFonts w:ascii="Times New Roman" w:hAnsi="Times New Roman" w:eastAsia="Times New Roman" w:cs="Times New Roman"/>
          <w:color w:val="2E5A6B"/>
          <w:sz w:val="28"/>
          <w:szCs w:val="22"/>
          <w:b/>
        </w:rPr>
        <w:t>Status of Appendices: Unless expressly incorporated into an operative Article, the appendices are explanatory and administrative in nature. They support implementation and may be updated to reflect changes in contributors, institutions, financing mechanisms, or implementation arrangements without altering the legal obligations established by the Articles of this Protocol.</w:t>
      </w:r>
    </w:p>
    <w:p>
      <w:pPr>
        <w:pStyle w:val="Heading1"/>
      </w:pPr>
      <w:r>
        <w:rPr>
          <w:rFonts w:ascii="Times New Roman" w:hAnsi="Times New Roman" w:eastAsia="Times New Roman" w:cs="Times New Roman"/>
          <w:b/>
          <w:color w:val="1B3A4B"/>
          <w:sz w:val="28"/>
          <w:szCs w:val="28"/>
        </w:rPr>
        <w:t>Appendix A: Capital Contributor Registry</w:t>
      </w:r>
    </w:p>
    <w:p>
      <w:pPr>
        <w:pStyle w:val="Normal"/>
      </w:pPr>
      <w:r>
        <w:rPr>
          <w:rFonts w:ascii="Times New Roman" w:hAnsi="Times New Roman" w:eastAsia="Times New Roman" w:cs="Times New Roman"/>
          <w:color w:val="1A1A1A"/>
          <w:sz w:val="22"/>
          <w:szCs w:val="22"/>
        </w:rPr>
        <w:t>This Appendix catalogs confirmed and prospective contributors to the MRF, organized by tier and sector focus.</w:t>
      </w:r>
    </w:p>
    <w:p>
      <w:pPr>
        <w:pStyle w:val="Heading2"/>
      </w:pPr>
      <w:r>
        <w:rPr>
          <w:rFonts w:ascii="Times New Roman" w:hAnsi="Times New Roman" w:eastAsia="Times New Roman" w:cs="Times New Roman"/>
          <w:b/>
          <w:color w:val="2E5A6B"/>
          <w:sz w:val="24"/>
          <w:szCs w:val="24"/>
        </w:rPr>
        <w:t>A.1 Anchor Contributors</w:t>
      </w:r>
    </w:p>
    <w:p>
      <w:pPr>
        <w:pStyle w:val="Heading3"/>
      </w:pPr>
      <w:r>
        <w:rPr>
          <w:rFonts w:ascii="Times New Roman" w:hAnsi="Times New Roman" w:eastAsia="Times New Roman" w:cs="Times New Roman"/>
          <w:b/>
          <w:i/>
          <w:color w:val="4A4A4A"/>
          <w:sz w:val="22"/>
          <w:szCs w:val="22"/>
        </w:rPr>
        <w:t>A.1.1 Qatar Investment Authority (QIA)</w:t>
      </w:r>
    </w:p>
    <w:p>
      <w:pPr>
        <w:pStyle w:val="Normal"/>
      </w:pPr>
      <w:r>
        <w:rPr>
          <w:rFonts w:ascii="Times New Roman" w:hAnsi="Times New Roman" w:eastAsia="Times New Roman" w:cs="Times New Roman"/>
          <w:color w:val="1A1A1A"/>
          <w:sz w:val="22"/>
          <w:szCs w:val="22"/>
        </w:rPr>
        <w:t>Commitment: $15 billion across all Sub-Funds. Focus: Energy, Water, Healthcare. Mechanism: Direct deposit to Qatar Central Bank escrow. Timeline: $5B within 60 days; remainder over 24 months.</w:t>
      </w:r>
    </w:p>
    <w:p>
      <w:pPr>
        <w:pStyle w:val="Heading3"/>
      </w:pPr>
      <w:r>
        <w:rPr>
          <w:rFonts w:ascii="Times New Roman" w:hAnsi="Times New Roman" w:eastAsia="Times New Roman" w:cs="Times New Roman"/>
          <w:b/>
          <w:i/>
          <w:color w:val="4A4A4A"/>
          <w:sz w:val="22"/>
          <w:szCs w:val="22"/>
        </w:rPr>
        <w:t>A.1.2 Saudi Public Investment Fund (PIF)</w:t>
      </w:r>
    </w:p>
    <w:p>
      <w:pPr>
        <w:pStyle w:val="Normal"/>
      </w:pPr>
      <w:r>
        <w:rPr>
          <w:rFonts w:ascii="Times New Roman" w:hAnsi="Times New Roman" w:eastAsia="Times New Roman" w:cs="Times New Roman"/>
          <w:color w:val="1A1A1A"/>
          <w:sz w:val="22"/>
          <w:szCs w:val="22"/>
        </w:rPr>
        <w:t>Commitment: $10 billion. Focus: Energy, Transport, Housing. Mechanism: Structured through Saudi-Iranian bilateral reconstruction committee. Timeline: $3B within 90 days.</w:t>
      </w:r>
    </w:p>
    <w:p>
      <w:pPr>
        <w:pStyle w:val="Heading3"/>
      </w:pPr>
      <w:r>
        <w:rPr>
          <w:rFonts w:ascii="Times New Roman" w:hAnsi="Times New Roman" w:eastAsia="Times New Roman" w:cs="Times New Roman"/>
          <w:b/>
          <w:i/>
          <w:color w:val="4A4A4A"/>
          <w:sz w:val="22"/>
          <w:szCs w:val="22"/>
        </w:rPr>
        <w:t>A.1.3 UAE Abu Dhabi Investment Authority (ADIA)</w:t>
      </w:r>
    </w:p>
    <w:p>
      <w:pPr>
        <w:pStyle w:val="Normal"/>
      </w:pPr>
      <w:r>
        <w:rPr>
          <w:rFonts w:ascii="Times New Roman" w:hAnsi="Times New Roman" w:eastAsia="Times New Roman" w:cs="Times New Roman"/>
          <w:color w:val="1A1A1A"/>
          <w:sz w:val="22"/>
          <w:szCs w:val="22"/>
        </w:rPr>
        <w:t>Commitment: $8 billion. Focus: Transport, Energy. Mechanism: Direct deposit through UAE Central Bank coordination. Timeline: $2B within 60 days.</w:t>
      </w:r>
    </w:p>
    <w:p>
      <w:pPr>
        <w:pStyle w:val="Heading3"/>
      </w:pPr>
      <w:r>
        <w:rPr>
          <w:rFonts w:ascii="Times New Roman" w:hAnsi="Times New Roman" w:eastAsia="Times New Roman" w:cs="Times New Roman"/>
          <w:b/>
          <w:i/>
          <w:color w:val="4A4A4A"/>
          <w:sz w:val="22"/>
          <w:szCs w:val="22"/>
        </w:rPr>
        <w:t>A.1.4 World Bank</w:t>
      </w:r>
    </w:p>
    <w:p>
      <w:pPr>
        <w:pStyle w:val="Normal"/>
      </w:pPr>
      <w:r>
        <w:rPr>
          <w:rFonts w:ascii="Times New Roman" w:hAnsi="Times New Roman" w:eastAsia="Times New Roman" w:cs="Times New Roman"/>
          <w:color w:val="1A1A1A"/>
          <w:sz w:val="22"/>
          <w:szCs w:val="22"/>
        </w:rPr>
        <w:t>Commitment: $5 billion in concessional financing. Focus: Water, Education, Agriculture. Mechanism: IDA credits and IBRD loans. Timeline: $1B within 120 days.</w:t>
      </w:r>
    </w:p>
    <w:p>
      <w:pPr>
        <w:pStyle w:val="Heading3"/>
      </w:pPr>
      <w:r>
        <w:rPr>
          <w:rFonts w:ascii="Times New Roman" w:hAnsi="Times New Roman" w:eastAsia="Times New Roman" w:cs="Times New Roman"/>
          <w:b/>
          <w:i/>
          <w:color w:val="4A4A4A"/>
          <w:sz w:val="22"/>
          <w:szCs w:val="22"/>
        </w:rPr>
        <w:t>A.1.5 Islamic Development Bank (IsDB)</w:t>
      </w:r>
    </w:p>
    <w:p>
      <w:pPr>
        <w:pStyle w:val="Normal"/>
      </w:pPr>
      <w:r>
        <w:rPr>
          <w:rFonts w:ascii="Times New Roman" w:hAnsi="Times New Roman" w:eastAsia="Times New Roman" w:cs="Times New Roman"/>
          <w:color w:val="1A1A1A"/>
          <w:sz w:val="22"/>
          <w:szCs w:val="22"/>
        </w:rPr>
        <w:t>Commitment: $4 billion. Focus: Healthcare, Education, Housing. Mechanism: Islamic financing instruments (Ijara, Istisna, Mudaraba). Timeline: $1B within 90 days.</w:t>
      </w:r>
    </w:p>
    <w:p>
      <w:pPr>
        <w:pStyle w:val="Heading2"/>
      </w:pPr>
      <w:r>
        <w:rPr>
          <w:rFonts w:ascii="Times New Roman" w:hAnsi="Times New Roman" w:eastAsia="Times New Roman" w:cs="Times New Roman"/>
          <w:b/>
          <w:color w:val="2E5A6B"/>
          <w:sz w:val="24"/>
          <w:szCs w:val="24"/>
        </w:rPr>
        <w:t>A.2 Major Contributors</w:t>
      </w:r>
    </w:p>
    <w:p>
      <w:pPr>
        <w:pStyle w:val="Heading3"/>
      </w:pPr>
      <w:r>
        <w:rPr>
          <w:rFonts w:ascii="Times New Roman" w:hAnsi="Times New Roman" w:eastAsia="Times New Roman" w:cs="Times New Roman"/>
          <w:b/>
          <w:i/>
          <w:color w:val="4A4A4A"/>
          <w:sz w:val="22"/>
          <w:szCs w:val="22"/>
        </w:rPr>
        <w:t>A.2.1 Asian Infrastructure Investment Bank (AIIB)</w:t>
      </w:r>
    </w:p>
    <w:p>
      <w:pPr>
        <w:pStyle w:val="Normal"/>
      </w:pPr>
      <w:r>
        <w:rPr>
          <w:rFonts w:ascii="Times New Roman" w:hAnsi="Times New Roman" w:eastAsia="Times New Roman" w:cs="Times New Roman"/>
          <w:color w:val="1A1A1A"/>
          <w:sz w:val="22"/>
          <w:szCs w:val="22"/>
        </w:rPr>
        <w:t>Commitment: $3 billion. Focus: Transport, Energy infrastructure. Mechanism: Sovereign-backed project loans. Timeline: $1B within 180 days.</w:t>
      </w:r>
    </w:p>
    <w:p>
      <w:pPr>
        <w:pStyle w:val="Heading3"/>
      </w:pPr>
      <w:r>
        <w:rPr>
          <w:rFonts w:ascii="Times New Roman" w:hAnsi="Times New Roman" w:eastAsia="Times New Roman" w:cs="Times New Roman"/>
          <w:b/>
          <w:i/>
          <w:color w:val="4A4A4A"/>
          <w:sz w:val="22"/>
          <w:szCs w:val="22"/>
        </w:rPr>
        <w:t>A.2.2 European Bank for Reconstruction and Development (EBRD)</w:t>
      </w:r>
    </w:p>
    <w:p>
      <w:pPr>
        <w:pStyle w:val="Normal"/>
      </w:pPr>
      <w:r>
        <w:rPr>
          <w:rFonts w:ascii="Times New Roman" w:hAnsi="Times New Roman" w:eastAsia="Times New Roman" w:cs="Times New Roman"/>
          <w:color w:val="1A1A1A"/>
          <w:sz w:val="22"/>
          <w:szCs w:val="22"/>
        </w:rPr>
        <w:t>Commitment: $2 billion. Focus: Private sector development, SME reconstruction. Mechanism: Direct lending and equity participation. Timeline: $500M within 120 days.</w:t>
      </w:r>
    </w:p>
    <w:p>
      <w:pPr>
        <w:pStyle w:val="Heading3"/>
      </w:pPr>
      <w:r>
        <w:rPr>
          <w:rFonts w:ascii="Times New Roman" w:hAnsi="Times New Roman" w:eastAsia="Times New Roman" w:cs="Times New Roman"/>
          <w:b/>
          <w:i/>
          <w:color w:val="4A4A4A"/>
          <w:sz w:val="22"/>
          <w:szCs w:val="22"/>
        </w:rPr>
        <w:t>A.2.3 People's Republic of China (via AIIB and bilateral)</w:t>
      </w:r>
    </w:p>
    <w:p>
      <w:pPr>
        <w:pStyle w:val="Normal"/>
      </w:pPr>
      <w:r>
        <w:rPr>
          <w:rFonts w:ascii="Times New Roman" w:hAnsi="Times New Roman" w:eastAsia="Times New Roman" w:cs="Times New Roman"/>
          <w:color w:val="1A1A1A"/>
          <w:sz w:val="22"/>
          <w:szCs w:val="22"/>
        </w:rPr>
        <w:t>Commitment: $5 billion. Focus: Transport, Energy, Technology. Mechanism: Belt and Road Initiative coordination plus AIIB lending. Timeline: $2B within 180 days.</w:t>
      </w:r>
    </w:p>
    <w:p>
      <w:pPr>
        <w:pStyle w:val="Heading3"/>
      </w:pPr>
      <w:r>
        <w:rPr>
          <w:rFonts w:ascii="Times New Roman" w:hAnsi="Times New Roman" w:eastAsia="Times New Roman" w:cs="Times New Roman"/>
          <w:b/>
          <w:i/>
          <w:color w:val="4A4A4A"/>
          <w:sz w:val="22"/>
          <w:szCs w:val="22"/>
        </w:rPr>
        <w:t>A.2.4 European Union (through EFSD and bilateral)</w:t>
      </w:r>
    </w:p>
    <w:p>
      <w:pPr>
        <w:pStyle w:val="Normal"/>
      </w:pPr>
      <w:r>
        <w:rPr>
          <w:rFonts w:ascii="Times New Roman" w:hAnsi="Times New Roman" w:eastAsia="Times New Roman" w:cs="Times New Roman"/>
          <w:color w:val="1A1A1A"/>
          <w:sz w:val="22"/>
          <w:szCs w:val="22"/>
        </w:rPr>
        <w:t>Commitment: $2 billion. Focus: Water, Environment, Governance. Mechanism: European Fund for Sustainable Development plus member state bilateral contributions. Timeline: $500M within 180 days.</w:t>
      </w:r>
    </w:p>
    <w:p>
      <w:pPr>
        <w:pStyle w:val="Heading3"/>
      </w:pPr>
      <w:r>
        <w:rPr>
          <w:rFonts w:ascii="Times New Roman" w:hAnsi="Times New Roman" w:eastAsia="Times New Roman" w:cs="Times New Roman"/>
          <w:b/>
          <w:i/>
          <w:color w:val="4A4A4A"/>
          <w:sz w:val="22"/>
          <w:szCs w:val="22"/>
        </w:rPr>
        <w:t>A.2.5 Government of Japan (JICA)</w:t>
      </w:r>
    </w:p>
    <w:p>
      <w:pPr>
        <w:pStyle w:val="Normal"/>
      </w:pPr>
      <w:r>
        <w:rPr>
          <w:rFonts w:ascii="Times New Roman" w:hAnsi="Times New Roman" w:eastAsia="Times New Roman" w:cs="Times New Roman"/>
          <w:color w:val="1A1A1A"/>
          <w:sz w:val="22"/>
          <w:szCs w:val="22"/>
        </w:rPr>
        <w:t>Commitment: $1.5 billion. Focus: Water, Energy efficiency, Disaster resilience. Mechanism: JICA concessional loans and grants. Timeline: $400M within 180 days.</w:t>
      </w:r>
    </w:p>
    <w:p>
      <w:pPr>
        <w:pStyle w:val="Heading2"/>
      </w:pPr>
      <w:r>
        <w:rPr>
          <w:rFonts w:ascii="Times New Roman" w:hAnsi="Times New Roman" w:eastAsia="Times New Roman" w:cs="Times New Roman"/>
          <w:b/>
          <w:color w:val="2E5A6B"/>
          <w:sz w:val="24"/>
          <w:szCs w:val="24"/>
        </w:rPr>
        <w:t>A.3 Supporting Contributors</w:t>
      </w:r>
    </w:p>
    <w:p>
      <w:pPr>
        <w:pStyle w:val="Normal"/>
      </w:pPr>
      <w:r>
        <w:rPr>
          <w:rFonts w:ascii="Times New Roman" w:hAnsi="Times New Roman" w:eastAsia="Times New Roman" w:cs="Times New Roman"/>
          <w:color w:val="1A1A1A"/>
          <w:sz w:val="22"/>
          <w:szCs w:val="22"/>
        </w:rPr>
        <w:t>Supporting contributors include regional pension funds, sovereign-backed insurance entities, and international infrastructure investment funds. Representative participants:</w:t>
      </w:r>
    </w:p>
    <w:p>
      <w:pPr>
        <w:pStyle w:val="Normal"/>
        <w:ind w:left="720" w:hanging="360"/>
      </w:pPr>
      <w:r>
        <w:rPr>
          <w:rFonts w:ascii="Times New Roman" w:hAnsi="Times New Roman" w:eastAsia="Times New Roman" w:cs="Times New Roman"/>
          <w:color w:val="1A1A1A"/>
          <w:sz w:val="22"/>
          <w:szCs w:val="22"/>
        </w:rPr>
        <w:t xml:space="preserve">•  GCC Sovereign Pension Funds: Collective commitment of $3 billion across energy and housing sectors</w:t>
      </w:r>
    </w:p>
    <w:p>
      <w:pPr>
        <w:pStyle w:val="Normal"/>
        <w:ind w:left="720" w:hanging="360"/>
      </w:pPr>
      <w:r>
        <w:rPr>
          <w:rFonts w:ascii="Times New Roman" w:hAnsi="Times New Roman" w:eastAsia="Times New Roman" w:cs="Times New Roman"/>
          <w:color w:val="1A1A1A"/>
          <w:sz w:val="22"/>
          <w:szCs w:val="22"/>
        </w:rPr>
        <w:t xml:space="preserve">•  Regional Infrastructure Funds: $1.5 billion focused on transport and logistics</w:t>
      </w:r>
    </w:p>
    <w:p>
      <w:pPr>
        <w:pStyle w:val="Normal"/>
        <w:ind w:left="720" w:hanging="360"/>
      </w:pPr>
      <w:r>
        <w:rPr>
          <w:rFonts w:ascii="Times New Roman" w:hAnsi="Times New Roman" w:eastAsia="Times New Roman" w:cs="Times New Roman"/>
          <w:color w:val="1A1A1A"/>
          <w:sz w:val="22"/>
          <w:szCs w:val="22"/>
        </w:rPr>
        <w:t xml:space="preserve">•  International Pension Funds (Norway GPFG, Canadian CPP): $2 billion in green energy and water infrastructure</w:t>
      </w:r>
    </w:p>
    <w:p>
      <w:pPr>
        <w:pStyle w:val="Heading2"/>
      </w:pPr>
      <w:r>
        <w:rPr>
          <w:rFonts w:ascii="Times New Roman" w:hAnsi="Times New Roman" w:eastAsia="Times New Roman" w:cs="Times New Roman"/>
          <w:b/>
          <w:color w:val="2E5A6B"/>
          <w:sz w:val="24"/>
          <w:szCs w:val="24"/>
        </w:rPr>
        <w:t>A.4 Humanitarian Contributors</w:t>
      </w:r>
    </w:p>
    <w:p>
      <w:pPr>
        <w:pStyle w:val="Normal"/>
      </w:pPr>
      <w:r>
        <w:rPr>
          <w:rFonts w:ascii="Times New Roman" w:hAnsi="Times New Roman" w:eastAsia="Times New Roman" w:cs="Times New Roman"/>
          <w:color w:val="1A1A1A"/>
          <w:sz w:val="22"/>
          <w:szCs w:val="22"/>
        </w:rPr>
        <w:t>Humanitarian contributions target immediate relief and foundational reconstruction:</w:t>
      </w:r>
    </w:p>
    <w:p>
      <w:pPr>
        <w:pStyle w:val="Normal"/>
        <w:ind w:left="720" w:hanging="360"/>
      </w:pPr>
      <w:r>
        <w:rPr>
          <w:rFonts w:ascii="Times New Roman" w:hAnsi="Times New Roman" w:eastAsia="Times New Roman" w:cs="Times New Roman"/>
          <w:color w:val="1A1A1A"/>
          <w:sz w:val="22"/>
          <w:szCs w:val="22"/>
        </w:rPr>
        <w:t xml:space="preserve">•  UN OCHA: $200 million for emergency infrastructure repair</w:t>
      </w:r>
    </w:p>
    <w:p>
      <w:pPr>
        <w:pStyle w:val="Normal"/>
        <w:ind w:left="720" w:hanging="360"/>
      </w:pPr>
      <w:r>
        <w:rPr>
          <w:rFonts w:ascii="Times New Roman" w:hAnsi="Times New Roman" w:eastAsia="Times New Roman" w:cs="Times New Roman"/>
          <w:color w:val="1A1A1A"/>
          <w:sz w:val="22"/>
          <w:szCs w:val="22"/>
        </w:rPr>
        <w:t xml:space="preserve">•  WHO: $150 million for healthcare facility rehabilitation</w:t>
      </w:r>
    </w:p>
    <w:p>
      <w:pPr>
        <w:ind w:left="720" w:hanging="360"/>
      </w:pPr>
      <w:r>
        <w:t>•  UNICEF: $100 million for education infrastructure and child-protection facilities</w:t>
      </w:r>
    </w:p>
    <w:p>
      <w:pPr>
        <w:ind w:left="720" w:hanging="360"/>
      </w:pPr>
      <w:r>
        <w:t>•  International Committee of the Red Cross: $80 million for medical and water infrastructure</w:t>
      </w:r>
    </w:p>
    <w:p>
      <w:pPr>
        <w:ind w:left="720" w:hanging="360"/>
      </w:pPr>
      <w:r>
        <w:t>•  World Food Programme: $120 million for agricultural restoration and food security</w:t>
      </w:r>
    </w:p>
    <w:p>
      <w:pPr>
        <w:pStyle w:val="Heading1"/>
      </w:pPr>
      <w:r>
        <w:t>Appendix B: Regional Development Funds and Grant Programs</w:t>
      </w:r>
      <w:bookmarkStart w:name="_Toc011" w:id="11"/>
      <w:bookmarkEnd w:id="11"/>
    </w:p>
    <w:p>
      <w:r>
        <w:t>This Appendix identifies regional funds, grant programs, and charitable foundations available for Iranian reconstruction coordination. The MRF secretariat maintains active engagement with each listed entity.</w:t>
      </w:r>
    </w:p>
    <w:p>
      <w:pPr>
        <w:pStyle w:val="Heading2"/>
      </w:pPr>
      <w:r>
        <w:t>B.1 Middle East and North Africa Regional Funds</w:t>
      </w:r>
    </w:p>
    <w:p>
      <w:pPr>
        <w:pStyle w:val="Heading3"/>
      </w:pPr>
      <w:r>
        <w:t>B.1.1 Arab Fund for Economic and Social Development (AFESD)</w:t>
      </w:r>
    </w:p>
    <w:p>
      <w:r>
        <w:t>The AFESD maintains a mandate for reconstruction financing across Arab states. Iran qualifies through regional cooperation frameworks. Potential allocation: $500 million for transport and water infrastructure. Application process: Joint submission through the MRF-RSC with Arab League coordination.</w:t>
      </w:r>
    </w:p>
    <w:p>
      <w:pPr>
        <w:pStyle w:val="Heading3"/>
      </w:pPr>
      <w:r>
        <w:t>B.1.2 OPEC Fund for International Development (OFID)</w:t>
      </w:r>
    </w:p>
    <w:p>
      <w:r>
        <w:t>OFID provides concessional financing for energy infrastructure and poverty reduction. Iran, as a founding OPEC member, retains full access. Potential allocation: $400 million for energy grid modernization.</w:t>
      </w:r>
    </w:p>
    <w:p>
      <w:pPr>
        <w:pStyle w:val="Heading3"/>
      </w:pPr>
      <w:r>
        <w:t>B.1.3 Arab Monetary Fund (AMF)</w:t>
      </w:r>
    </w:p>
    <w:p>
      <w:r>
        <w:t>The AMF offers balance-of-payments support and structural adjustment financing. Coordination with MRF macroeconomic stabilization: $300 million in complementary financing.</w:t>
      </w:r>
    </w:p>
    <w:p>
      <w:pPr>
        <w:pStyle w:val="Heading2"/>
      </w:pPr>
      <w:r>
        <w:t>B.2 International Grant Programs</w:t>
      </w:r>
    </w:p>
    <w:p>
      <w:pPr>
        <w:pStyle w:val="Heading3"/>
      </w:pPr>
      <w:r>
        <w:t>B.2.1 UN Development Programme (UNDP) -- Iran Recovery Facility</w:t>
      </w:r>
    </w:p>
    <w:p>
      <w:r>
        <w:t>UNDP establishes a dedicated Iran Recovery Facility with $250 million in committed grant financing. Focus: Governance restoration, institutional capacity, rule-of-law infrastructure. Eligibility: Automatic for MRF-approved projects with governance components.</w:t>
      </w:r>
    </w:p>
    <w:p>
      <w:pPr>
        <w:pStyle w:val="Heading3"/>
      </w:pPr>
      <w:r>
        <w:t>B.2.2 Global Fund for Disaster Reduction (GFDRR)</w:t>
      </w:r>
    </w:p>
    <w:p>
      <w:r>
        <w:t>GFDRR provides technical assistance and grant financing for disaster-resilient reconstruction. Iran qualifies under post-conflict reconstruction protocols. Allocation: $50 million in technical grants for earthquake-resistant construction standards.</w:t>
      </w:r>
    </w:p>
    <w:p>
      <w:pPr>
        <w:pStyle w:val="Heading3"/>
      </w:pPr>
      <w:r>
        <w:t>B.2.3 Green Climate Fund (GCF)</w:t>
      </w:r>
    </w:p>
    <w:p>
      <w:r>
        <w:t>The GCF supports climate-resilient infrastructure in developing countries. Iran qualifies for $200 million in grant and concessional financing for green energy and water efficiency projects.</w:t>
      </w:r>
    </w:p>
    <w:p>
      <w:pPr>
        <w:pStyle w:val="Heading2"/>
      </w:pPr>
      <w:r>
        <w:t>B.3 Charitable and Foundation Sources</w:t>
      </w:r>
    </w:p>
    <w:p>
      <w:pPr>
        <w:pStyle w:val="Heading3"/>
      </w:pPr>
      <w:r>
        <w:t>B.3.1 Alwaleed Philanthropies</w:t>
      </w:r>
    </w:p>
    <w:p>
      <w:r>
        <w:t>Prince Alwaleed's foundation commits $100 million for healthcare and education reconstruction in Iran. Focus: Hospital construction, medical equipment, university rehabilitation.</w:t>
      </w:r>
    </w:p>
    <w:p>
      <w:pPr>
        <w:pStyle w:val="Heading3"/>
      </w:pPr>
      <w:r>
        <w:t>B.3.2 Mohammed bin Rashid Al Maktoum Foundation</w:t>
      </w:r>
    </w:p>
    <w:p>
      <w:r>
        <w:t>The Foundation provides $75 million for education and knowledge infrastructure. Focus: Schools, vocational training centers, digital education platforms.</w:t>
      </w:r>
    </w:p>
    <w:p>
      <w:pPr>
        <w:pStyle w:val="Heading3"/>
      </w:pPr>
      <w:r>
        <w:t>B.3.3 Sheikh Mohammed bin Zayed Conservation Fund</w:t>
      </w:r>
    </w:p>
    <w:p>
      <w:r>
        <w:t>Environmental restoration allocation: $40 million for ecosystem rehabilitation, protected area restoration, and biodiversity conservation in conflict-affected regions.</w:t>
      </w:r>
    </w:p>
    <w:p>
      <w:pPr>
        <w:pStyle w:val="Heading2"/>
      </w:pPr>
      <w:r>
        <w:t>B.4 Faith-Based and Diaspora Organizations</w:t>
      </w:r>
    </w:p>
    <w:p>
      <w:pPr>
        <w:pStyle w:val="Heading3"/>
      </w:pPr>
      <w:r>
        <w:t>B.4.1 Iranian Diaspora Reconstruction Network</w:t>
      </w:r>
    </w:p>
    <w:p>
      <w:r>
        <w:t>A coalition of Iranian diaspora professional associations, medical societies, and engineering organizations. Estimated capacity: $200 million in pro-bono professional services, medical equipment donations, and direct financial contributions.</w:t>
      </w:r>
    </w:p>
    <w:p>
      <w:pPr>
        <w:pStyle w:val="Heading3"/>
      </w:pPr>
      <w:r>
        <w:t>B.4.2 Islamic Development Bank Waqf Fund</w:t>
      </w:r>
    </w:p>
    <w:p>
      <w:r>
        <w:t>The Waqf Fund provides grant financing for social infrastructure (mosques, community centers, orphanages) in reconstruction contexts. Allocation: $60 million.</w:t>
      </w:r>
    </w:p>
    <w:p>
      <w:pPr>
        <w:pStyle w:val="Heading3"/>
      </w:pPr>
      <w:r>
        <w:t>B.4.3 Catholic Relief Services -- Middle East</w:t>
      </w:r>
    </w:p>
    <w:p>
      <w:r>
        <w:t>CRS provides $30 million for healthcare, education, and community infrastructure in Iran, coordinated through the MRF humanitarian corridor.</w:t>
      </w:r>
    </w:p>
    <w:p>
      <w:pPr>
        <w:pStyle w:val="Heading2"/>
      </w:pPr>
      <w:r>
        <w:t>B.5 Private Sector and Corporate Philanthropy</w:t>
      </w:r>
    </w:p>
    <w:p>
      <w:pPr>
        <w:pStyle w:val="Heading3"/>
      </w:pPr>
      <w:r>
        <w:t>B.5.1 Siemens Foundation (Stiftung) -- Iran Energy Partnership</w:t>
      </w:r>
    </w:p>
    <w:p>
      <w:r>
        <w:t>The Siemens Foundation provides $150 million in equipment, engineering services, and training for power grid modernization. In-kind contribution valued at cost.</w:t>
      </w:r>
    </w:p>
    <w:p>
      <w:pPr>
        <w:pStyle w:val="Heading3"/>
      </w:pPr>
      <w:r>
        <w:t>B.5.2 TotalEnergies Foundation -- Iran Renewable Energy</w:t>
      </w:r>
    </w:p>
    <w:p>
      <w:r>
        <w:t>TotalEnergies commits $100 million for solar and wind energy infrastructure development, including technology transfer and training programs.</w:t>
      </w:r>
    </w:p>
    <w:p>
      <w:pPr>
        <w:pStyle w:val="Heading3"/>
      </w:pPr>
      <w:r>
        <w:t>B.5.3 Huawei TECH4ALL Digital Iran</w:t>
      </w:r>
    </w:p>
    <w:p>
      <w:r>
        <w:t>Huawei provides $80 million in telecommunications infrastructure, digital education platforms, and smart-city technology for urban reconstruction.</w:t>
      </w:r>
    </w:p>
    <w:p>
      <w:pPr>
        <w:pStyle w:val="Heading3"/>
      </w:pPr>
      <w:r>
        <w:t>B.5.4 Samsung Engineering Reconstruction Fund</w:t>
      </w:r>
    </w:p>
    <w:p>
      <w:r>
        <w:t>Samsung commits $60 million for construction equipment, engineering expertise, and technology transfer for housing and industrial reconstruction.</w:t>
      </w:r>
    </w:p>
    <w:p>
      <w:pPr>
        <w:pStyle w:val="Heading1"/>
      </w:pPr>
      <w:r>
        <w:t>Appendix C: The Multilateral Architecture</w:t>
      </w:r>
      <w:bookmarkStart w:name="_Toc012" w:id="12"/>
      <w:bookmarkEnd w:id="12"/>
    </w:p>
    <w:p>
      <w:r>
        <w:t>This Appendix describes the operational architecture of the MRF's capital aggregation model. The architecture distributes responsibility across multiple contributor categories, ensuring no single source bears disproportionate burden while maintaining political viability for all participants.</w:t>
      </w:r>
    </w:p>
    <w:p>
      <w:pPr>
        <w:pStyle w:val="Heading2"/>
      </w:pPr>
      <w:r>
        <w:t>C.1 Architecture Overview</w:t>
      </w:r>
    </w:p>
    <w:tbl>
      <w:tblPr>
        <w:tblW w:w="5000" w:type="pct"/>
        <w:tblBorders>
          <w:top w:val="single" w:color="1B3A4B" w:sz="12"/>
          <w:left w:val="nil"/>
          <w:bottom w:val="single" w:color="1B3A4B" w:sz="12"/>
          <w:right w:val="nil"/>
          <w:insideH w:val="single" w:color="b0b0b0" w:sz="4"/>
          <w:insideV w:val="nil"/>
        </w:tblBorders>
      </w:tblPr>
      <w:tblGrid>
        <w:gridCol w:w="2400"/>
        <w:gridCol w:w="5600"/>
      </w:tblGrid>
      <w:tr>
        <w:trPr>
          <w:tblHeader/>
        </w:trPr>
        <w:tc>
          <w:tcPr>
            <w:tcW w:w="2400" w:type="dxa"/>
            <w:shd w:val="clear" w:fill="E8EEF2"/>
          </w:tcPr>
          <w:p>
            <w:pPr>
              <w:spacing w:before="60" w:after="60"/>
              <w:jc w:val="center"/>
            </w:pPr>
            <w:r>
              <w:rPr>
                <w:b/>
                <w:color w:val="1a1a1a"/>
                <w:sz w:val="20"/>
              </w:rPr>
              <w:t>Element</w:t>
            </w:r>
          </w:p>
        </w:tc>
        <w:tc>
          <w:tcPr>
            <w:tcW w:w="5600" w:type="dxa"/>
            <w:shd w:val="clear" w:fill="E8EEF2"/>
          </w:tcPr>
          <w:p>
            <w:pPr>
              <w:spacing w:before="60" w:after="60"/>
              <w:jc w:val="center"/>
            </w:pPr>
            <w:r>
              <w:rPr>
                <w:b/>
                <w:color w:val="1a1a1a"/>
                <w:sz w:val="20"/>
              </w:rPr>
              <w:t>Function</w:t>
            </w:r>
          </w:p>
        </w:tc>
      </w:tr>
      <w:tr>
        <w:tc>
          <w:tcPr>
            <w:tcW w:w="2400" w:type="dxa"/>
          </w:tcPr>
          <w:p>
            <w:pPr>
              <w:spacing w:before="40" w:after="40"/>
            </w:pPr>
            <w:r>
              <w:rPr>
                <w:color w:val="1a1a1a"/>
                <w:sz w:val="20"/>
              </w:rPr>
              <w:t>Multiple Contributors</w:t>
            </w:r>
          </w:p>
        </w:tc>
        <w:tc>
          <w:tcPr>
            <w:tcW w:w="5600" w:type="dxa"/>
          </w:tcPr>
          <w:p>
            <w:pPr>
              <w:spacing w:before="40" w:after="40"/>
            </w:pPr>
            <w:r>
              <w:rPr>
                <w:color w:val="1a1a1a"/>
                <w:sz w:val="20"/>
              </w:rPr>
              <w:t>GCC states, international banks, private investors, and humanitarian organizations all contribute. No single source bears the full burden.</w:t>
            </w:r>
          </w:p>
        </w:tc>
      </w:tr>
      <w:tr>
        <w:tc>
          <w:tcPr>
            <w:tcW w:w="2400" w:type="dxa"/>
          </w:tcPr>
          <w:p>
            <w:pPr>
              <w:spacing w:before="40" w:after="40"/>
            </w:pPr>
            <w:r>
              <w:rPr>
                <w:color w:val="1a1a1a"/>
                <w:sz w:val="20"/>
              </w:rPr>
              <w:t>Neutral Channeling</w:t>
            </w:r>
          </w:p>
        </w:tc>
        <w:tc>
          <w:tcPr>
            <w:tcW w:w="5600" w:type="dxa"/>
          </w:tcPr>
          <w:p>
            <w:pPr>
              <w:spacing w:before="40" w:after="40"/>
            </w:pPr>
            <w:r>
              <w:rPr>
                <w:color w:val="1a1a1a"/>
                <w:sz w:val="20"/>
              </w:rPr>
              <w:t>All funds flow through Qatar Central Bank and the World Bank. The US provides technical assistance only -- no direct cash.</w:t>
            </w:r>
          </w:p>
        </w:tc>
      </w:tr>
      <w:tr>
        <w:tc>
          <w:tcPr>
            <w:tcW w:w="2400" w:type="dxa"/>
          </w:tcPr>
          <w:p>
            <w:pPr>
              <w:spacing w:before="40" w:after="40"/>
            </w:pPr>
            <w:r>
              <w:rPr>
                <w:color w:val="1a1a1a"/>
                <w:sz w:val="20"/>
              </w:rPr>
              <w:t>Iranian Sovereignty</w:t>
            </w:r>
          </w:p>
        </w:tc>
        <w:tc>
          <w:tcPr>
            <w:tcW w:w="5600" w:type="dxa"/>
          </w:tcPr>
          <w:p>
            <w:pPr>
              <w:spacing w:before="40" w:after="40"/>
            </w:pPr>
            <w:r>
              <w:rPr>
                <w:color w:val="1a1a1a"/>
                <w:sz w:val="20"/>
              </w:rPr>
              <w:t>Iran proposes and prioritizes projects. The RSC does not impose external preferences.</w:t>
            </w:r>
          </w:p>
        </w:tc>
      </w:tr>
      <w:tr>
        <w:tc>
          <w:tcPr>
            <w:tcW w:w="2400" w:type="dxa"/>
          </w:tcPr>
          <w:p>
            <w:pPr>
              <w:spacing w:before="40" w:after="40"/>
            </w:pPr>
            <w:r>
              <w:rPr>
                <w:color w:val="1a1a1a"/>
                <w:sz w:val="20"/>
              </w:rPr>
              <w:t>Technical Advisory Group</w:t>
            </w:r>
          </w:p>
        </w:tc>
        <w:tc>
          <w:tcPr>
            <w:tcW w:w="5600" w:type="dxa"/>
          </w:tcPr>
          <w:p>
            <w:pPr>
              <w:spacing w:before="40" w:after="40"/>
            </w:pPr>
            <w:r>
              <w:rPr>
                <w:color w:val="1a1a1a"/>
                <w:sz w:val="20"/>
              </w:rPr>
              <w:t>Independent experts verify feasibility and milestone completion, ensuring transparency and credibility.</w:t>
            </w:r>
          </w:p>
        </w:tc>
      </w:tr>
      <w:tr>
        <w:tc>
          <w:tcPr>
            <w:tcW w:w="2400" w:type="dxa"/>
          </w:tcPr>
          <w:p>
            <w:pPr>
              <w:spacing w:before="40" w:after="40"/>
            </w:pPr>
            <w:r>
              <w:rPr>
                <w:color w:val="1a1a1a"/>
                <w:sz w:val="20"/>
              </w:rPr>
              <w:t>Sanctions Firewall</w:t>
            </w:r>
          </w:p>
        </w:tc>
        <w:tc>
          <w:tcPr>
            <w:tcW w:w="5600" w:type="dxa"/>
          </w:tcPr>
          <w:p>
            <w:pPr>
              <w:spacing w:before="40" w:after="40"/>
            </w:pPr>
            <w:r>
              <w:rPr>
                <w:color w:val="1a1a1a"/>
                <w:sz w:val="20"/>
              </w:rPr>
              <w:t>OFAC general license protects all MRF transactions from secondary sanctions.</w:t>
            </w:r>
          </w:p>
        </w:tc>
      </w:tr>
      <w:tr>
        <w:tc>
          <w:tcPr>
            <w:tcW w:w="2400" w:type="dxa"/>
          </w:tcPr>
          <w:p>
            <w:pPr>
              <w:spacing w:before="40" w:after="40"/>
            </w:pPr>
            <w:r>
              <w:rPr>
                <w:color w:val="1a1a1a"/>
                <w:sz w:val="20"/>
              </w:rPr>
              <w:t>Performance-Based Disbursement</w:t>
            </w:r>
          </w:p>
        </w:tc>
        <w:tc>
          <w:tcPr>
            <w:tcW w:w="5600" w:type="dxa"/>
          </w:tcPr>
          <w:p>
            <w:pPr>
              <w:spacing w:before="40" w:after="40"/>
            </w:pPr>
            <w:r>
              <w:rPr>
                <w:color w:val="1a1a1a"/>
                <w:sz w:val="20"/>
              </w:rPr>
              <w:t>Funds release only upon verified milestone completion. No cash up front.</w:t>
            </w:r>
          </w:p>
        </w:tc>
      </w:tr>
      <w:tr>
        <w:tc>
          <w:tcPr>
            <w:tcW w:w="2400" w:type="dxa"/>
          </w:tcPr>
          <w:p>
            <w:pPr>
              <w:spacing w:before="40" w:after="40"/>
            </w:pPr>
            <w:r>
              <w:rPr>
                <w:color w:val="1a1a1a"/>
                <w:sz w:val="20"/>
              </w:rPr>
              <w:t>No Clawback</w:t>
            </w:r>
          </w:p>
        </w:tc>
        <w:tc>
          <w:tcPr>
            <w:tcW w:w="5600" w:type="dxa"/>
          </w:tcPr>
          <w:p>
            <w:pPr>
              <w:spacing w:before="40" w:after="40"/>
            </w:pPr>
            <w:r>
              <w:rPr>
                <w:color w:val="1a1a1a"/>
                <w:sz w:val="20"/>
              </w:rPr>
              <w:t>Already-disbursed funds are irrevocable. This gives Iran confidence to invest in long-term projects.</w:t>
            </w:r>
          </w:p>
        </w:tc>
      </w:tr>
      <w:tr>
        <w:tc>
          <w:tcPr>
            <w:tcW w:w="2400" w:type="dxa"/>
          </w:tcPr>
          <w:p>
            <w:pPr>
              <w:spacing w:before="40" w:after="40"/>
            </w:pPr>
            <w:r>
              <w:rPr>
                <w:color w:val="1a1a1a"/>
                <w:sz w:val="20"/>
              </w:rPr>
              <w:t>Sovereign Procurement Protection</w:t>
            </w:r>
          </w:p>
        </w:tc>
        <w:tc>
          <w:tcPr>
            <w:tcW w:w="5600" w:type="dxa"/>
          </w:tcPr>
          <w:p>
            <w:pPr>
              <w:spacing w:before="40" w:after="40"/>
            </w:pPr>
            <w:r>
              <w:rPr>
                <w:color w:val="1a1a1a"/>
                <w:sz w:val="20"/>
              </w:rPr>
              <w:t>Iran holds no obligation to purchase goods or services from any particular country. The framework architecture excludes directed purchasing.</w:t>
            </w:r>
          </w:p>
        </w:tc>
      </w:tr>
      <w:tr>
        <w:tc>
          <w:tcPr>
            <w:tcW w:w="2400" w:type="dxa"/>
          </w:tcPr>
          <w:p>
            <w:pPr>
              <w:spacing w:before="40" w:after="40"/>
            </w:pPr>
            <w:r>
              <w:rPr>
                <w:color w:val="1a1a1a"/>
                <w:sz w:val="20"/>
              </w:rPr>
              <w:t>60-Day Automatic Review</w:t>
            </w:r>
          </w:p>
        </w:tc>
        <w:tc>
          <w:tcPr>
            <w:tcW w:w="5600" w:type="dxa"/>
          </w:tcPr>
          <w:p>
            <w:pPr>
              <w:spacing w:before="40" w:after="40"/>
            </w:pPr>
            <w:r>
              <w:rPr>
                <w:color w:val="1a1a1a"/>
                <w:sz w:val="20"/>
              </w:rPr>
              <w:t>The RSC convenes a mandatory Progress Assessment Session at Day 60 with formal recommendations. The framework architecture excludes procedural drift.</w:t>
            </w:r>
          </w:p>
        </w:tc>
      </w:tr>
      <w:tr>
        <w:tc>
          <w:tcPr>
            <w:tcW w:w="2400" w:type="dxa"/>
          </w:tcPr>
          <w:p>
            <w:pPr>
              <w:spacing w:before="40" w:after="40"/>
            </w:pPr>
            <w:r>
              <w:rPr>
                <w:color w:val="1a1a1a"/>
                <w:sz w:val="20"/>
              </w:rPr>
              <w:t>Modularity</w:t>
            </w:r>
          </w:p>
        </w:tc>
        <w:tc>
          <w:tcPr>
            <w:tcW w:w="5600" w:type="dxa"/>
          </w:tcPr>
          <w:p>
            <w:pPr>
              <w:spacing w:before="40" w:after="40"/>
            </w:pPr>
            <w:r>
              <w:rPr>
                <w:color w:val="1a1a1a"/>
                <w:sz w:val="20"/>
              </w:rPr>
              <w:t>Eight independent sub-funds prevent a single sector failure from collapsing the entire reconstruction effort.</w:t>
            </w:r>
          </w:p>
        </w:tc>
      </w:tr>
      <w:tr>
        <w:tc>
          <w:tcPr>
            <w:tcW w:w="2400" w:type="dxa"/>
          </w:tcPr>
          <w:p>
            <w:pPr>
              <w:spacing w:before="40" w:after="40"/>
            </w:pPr>
            <w:r>
              <w:rPr>
                <w:color w:val="1a1a1a"/>
                <w:sz w:val="20"/>
              </w:rPr>
              <w:t>60-Day Emergency Frame</w:t>
            </w:r>
          </w:p>
        </w:tc>
        <w:tc>
          <w:tcPr>
            <w:tcW w:w="5600" w:type="dxa"/>
          </w:tcPr>
          <w:p>
            <w:pPr>
              <w:spacing w:before="40" w:after="40"/>
            </w:pPr>
            <w:r>
              <w:rPr>
                <w:color w:val="1a1a1a"/>
                <w:sz w:val="20"/>
              </w:rPr>
              <w:t>The MRF begins as a 60-day stabilization mechanism before transitioning to full execution.</w:t>
            </w:r>
          </w:p>
        </w:tc>
      </w:tr>
    </w:tbl>
    <w:p>
      <w:pPr>
        <w:pStyle w:val="Heading2"/>
      </w:pPr>
      <w:r>
        <w:t>C.2 Political Architecture</w:t>
      </w:r>
    </w:p>
    <w:p>
      <w:r>
        <w:t>The MRF's political viability rests on simultaneous satisfaction of constraints in multiple capitals:</w:t>
      </w:r>
    </w:p>
    <w:p>
      <w:pPr>
        <w:ind w:left="720" w:hanging="360"/>
      </w:pPr>
      <w:r>
        <w:t>•  Washington: No direct U.S. cash to Iran. U.S. contributions are technical and diplomatic only.</w:t>
      </w:r>
    </w:p>
    <w:p>
      <w:pPr>
        <w:ind w:left="720" w:hanging="360"/>
      </w:pPr>
      <w:r>
        <w:t>•  Tehran: Iran controls project selection and retains sovereign authority over reconstruction priorities.</w:t>
      </w:r>
    </w:p>
    <w:p>
      <w:pPr>
        <w:ind w:left="720" w:hanging="360"/>
      </w:pPr>
      <w:r>
        <w:t>•  Riyadh/Abu Dhabi/Doha: GCC states lead the funding architecture, reinforcing regional leadership.</w:t>
      </w:r>
    </w:p>
    <w:p>
      <w:pPr>
        <w:ind w:left="720" w:hanging="360"/>
      </w:pPr>
      <w:r>
        <w:t>•  Beijing/Moscow: Major bilateral contributors gain project access and regional influence.</w:t>
      </w:r>
    </w:p>
    <w:p>
      <w:pPr>
        <w:ind w:left="720" w:hanging="360"/>
      </w:pPr>
      <w:r>
        <w:t>•  Brussels: EU contributions align with European development objectives and climate commitments.</w:t>
      </w:r>
    </w:p>
    <w:p>
      <w:pPr>
        <w:pStyle w:val="Heading2"/>
      </w:pPr>
      <w:r>
        <w:t>C.3 Financial Flow Architecture</w:t>
      </w:r>
    </w:p>
    <w:p>
      <w:r>
        <w:t>Capital flows through the following pathway:</w:t>
      </w:r>
    </w:p>
    <w:p>
      <w:pPr>
        <w:ind w:left="720" w:hanging="360"/>
      </w:pPr>
      <w:r>
        <w:t>•  Step 1: Contributors deposit funds into designated accounts at the Qatar Central Bank</w:t>
      </w:r>
    </w:p>
    <w:p>
      <w:pPr>
        <w:ind w:left="720" w:hanging="360"/>
      </w:pPr>
      <w:r>
        <w:t>•  Step 2: The World Bank verifies deposit and matches to Sub-Fund allocations</w:t>
      </w:r>
    </w:p>
    <w:p>
      <w:pPr>
        <w:ind w:left="720" w:hanging="360"/>
      </w:pPr>
      <w:r>
        <w:t>•  Step 3: Upon RSC approval and TAG verification, the Qatar Central Bank releases tranches to Iranian project accounts</w:t>
      </w:r>
    </w:p>
    <w:p>
      <w:pPr>
        <w:ind w:left="720" w:hanging="360"/>
      </w:pPr>
      <w:r>
        <w:t>•  Step 4: Iranian implementing agencies disburse to contractors and suppliers</w:t>
      </w:r>
    </w:p>
    <w:p>
      <w:pPr>
        <w:ind w:left="720" w:hanging="360"/>
      </w:pPr>
      <w:r>
        <w:t>•  Step 5: Independent auditors verify expenditure and milestone achievement</w:t>
      </w:r>
    </w:p>
    <w:p>
      <w:pPr>
        <w:ind w:left="720" w:hanging="360"/>
      </w:pPr>
      <w:r>
        <w:t>•  Step 6: TAG confirms verification; RSC authorizes next tranche</w:t>
      </w:r>
    </w:p>
    <w:p>
      <w:pPr>
        <w:pStyle w:val="Heading1"/>
      </w:pPr>
      <w:r>
        <w:t>Appendix D: Supplementary Regional Programs</w:t>
      </w:r>
      <w:bookmarkStart w:name="_Toc013" w:id="13"/>
      <w:bookmarkEnd w:id="13"/>
    </w:p>
    <w:p>
      <w:r>
        <w:t>This Appendix catalogs additional regional programs, bilateral frameworks, and specialized facilities that complement MRF operations. The RSC secretariat coordinates with these programs to prevent duplication and maximize leverage.</w:t>
      </w:r>
    </w:p>
    <w:p>
      <w:pPr>
        <w:pStyle w:val="Heading2"/>
      </w:pPr>
      <w:r>
        <w:t>D.1 Bilateral Reconstruction Programs</w:t>
      </w:r>
    </w:p>
    <w:p>
      <w:pPr>
        <w:pStyle w:val="Heading3"/>
      </w:pPr>
      <w:r>
        <w:t>D.1.1 China-Iran 25-Year Cooperation Program -- Reconstruction Window</w:t>
      </w:r>
    </w:p>
    <w:p>
      <w:r>
        <w:t>The Comprehensive Strategic Partnership between China and Iran includes a dedicated reconstruction window of $10 billion over 10 years. This financing operates outside MRF structures but coordinates through the RSC to avoid duplication. Focus: Energy, transport, technology, industrial zones.</w:t>
      </w:r>
    </w:p>
    <w:p>
      <w:pPr>
        <w:pStyle w:val="Heading3"/>
      </w:pPr>
      <w:r>
        <w:t>D.1.2 Russia-Iran Infrastructure Cooperation</w:t>
      </w:r>
    </w:p>
    <w:p>
      <w:r>
        <w:t>Russia provides $3 billion in infrastructure financing through VEB.RF and bilateral arrangements. Focus: Nuclear energy (Bushehr expansion), rail corridors, port modernization. Coordination: Through MRF-Energy and MRF-Transport Sub-Funds.</w:t>
      </w:r>
    </w:p>
    <w:p>
      <w:pPr>
        <w:pStyle w:val="Heading3"/>
      </w:pPr>
      <w:r>
        <w:t>D.1.3 India-Iran Chabahar Corridor Development</w:t>
      </w:r>
    </w:p>
    <w:p>
      <w:r>
        <w:t>India commits $1.5 billion for Chabahar port and associated rail/road infrastructure. This bilateral program coordinates with MRF-Transport for seamless integration.</w:t>
      </w:r>
    </w:p>
    <w:p>
      <w:pPr>
        <w:pStyle w:val="Heading2"/>
      </w:pPr>
      <w:r>
        <w:t>D.2 Specialized International Facilities</w:t>
      </w:r>
    </w:p>
    <w:p>
      <w:pPr>
        <w:pStyle w:val="Heading3"/>
      </w:pPr>
      <w:r>
        <w:t>D.2.1 IMF Post-Conflict Reconstruction Facility</w:t>
      </w:r>
    </w:p>
    <w:p>
      <w:r>
        <w:t>The IMF establishes a dedicated facility for Iran with $5 billion in standby financing for macroeconomic stabilization and balance-of-payments support. This operates in parallel with MRF project financing.</w:t>
      </w:r>
    </w:p>
    <w:p>
      <w:pPr>
        <w:pStyle w:val="Heading3"/>
      </w:pPr>
      <w:r>
        <w:t>D.2.2 World Bank Iran Reconstruction Trust Fund</w:t>
      </w:r>
    </w:p>
    <w:p>
      <w:r>
        <w:t>The World Bank administers a multi-donor trust fund of $3 billion for technical assistance, capacity building, and project preparation. This fund supports MRF operations by financing feasibility studies, environmental assessments, and procurement preparation.</w:t>
      </w:r>
    </w:p>
    <w:p>
      <w:pPr>
        <w:pStyle w:val="Heading3"/>
      </w:pPr>
      <w:r>
        <w:t>D.2.3 EBRD Iran Private Sector Window</w:t>
      </w:r>
    </w:p>
    <w:p>
      <w:r>
        <w:t>The EBRD opens a private sector window of $1 billion for SME reconstruction, industrial rehabilitation, and private infrastructure development. Eligibility: Private sector entities with MRF-approved project linkages.</w:t>
      </w:r>
    </w:p>
    <w:p>
      <w:pPr>
        <w:pStyle w:val="Heading2"/>
      </w:pPr>
      <w:r>
        <w:t>D.3 Humanitarian and Emergency Programs</w:t>
      </w:r>
    </w:p>
    <w:p>
      <w:pPr>
        <w:pStyle w:val="Heading3"/>
      </w:pPr>
      <w:r>
        <w:t>D.3.1 UN Central Emergency Response Fund (CERF)</w:t>
      </w:r>
    </w:p>
    <w:p>
      <w:r>
        <w:t>CERF provides rapid-response grants for urgent humanitarian infrastructure repair. Allocation for Iran: $100 million in initial tranches for water, health, and shelter.</w:t>
      </w:r>
    </w:p>
    <w:p>
      <w:pPr>
        <w:pStyle w:val="Heading3"/>
      </w:pPr>
      <w:r>
        <w:t>D.3.2 International Federation of Red Cross and Red Crescent Societies</w:t>
      </w:r>
    </w:p>
    <w:p>
      <w:r>
        <w:t>The IFRC launches an appeal for $200 million for immediate relief and early recovery operations in Iran. Coordination with MRF through shared assessment frameworks and joint implementation where applicable.</w:t>
      </w:r>
    </w:p>
    <w:p>
      <w:pPr>
        <w:pStyle w:val="Heading3"/>
      </w:pPr>
      <w:r>
        <w:t>D.3.3 Doctors Without Borders (MSF) -- Iran Medical Infrastructure</w:t>
      </w:r>
    </w:p>
    <w:p>
      <w:r>
        <w:t>MSF commits $40 million for hospital rehabilitation, medical supply chains, and trauma care capacity building in conflict-affected regions.</w:t>
      </w:r>
    </w:p>
    <w:p>
      <w:pPr>
        <w:pStyle w:val="Heading2"/>
      </w:pPr>
      <w:r>
        <w:t>D.4 Climate and Environmental Programs</w:t>
      </w:r>
    </w:p>
    <w:p>
      <w:pPr>
        <w:pStyle w:val="Heading3"/>
      </w:pPr>
      <w:r>
        <w:t>D.4.1 Global Environment Facility (GEF) -- Iran</w:t>
      </w:r>
    </w:p>
    <w:p>
      <w:r>
        <w:t>The GEF provides $80 million for environmental restoration, renewable energy, and climate adaptation in reconstruction projects. Coordination: Through MRF-Energy and MRF-Water Sub-Funds with green technology components.</w:t>
      </w:r>
    </w:p>
    <w:p>
      <w:pPr>
        <w:pStyle w:val="Heading3"/>
      </w:pPr>
      <w:r>
        <w:t>D.4.2 Adaptation Fund</w:t>
      </w:r>
    </w:p>
    <w:p>
      <w:r>
        <w:t>The Adaptation Fund supports climate-resilient reconstruction with $30 million for water management, drought adaptation, and coastal protection infrastructure.</w:t>
      </w:r>
    </w:p>
    <w:p>
      <w:pPr>
        <w:pStyle w:val="Heading2"/>
      </w:pPr>
      <w:r>
        <w:t>D.5 Education and Knowledge Programs</w:t>
      </w:r>
    </w:p>
    <w:p>
      <w:pPr>
        <w:pStyle w:val="Heading3"/>
      </w:pPr>
      <w:r>
        <w:t>D.5.1 UNESCO Iran Education Recovery Program</w:t>
      </w:r>
    </w:p>
    <w:p>
      <w:r>
        <w:t>UNESCO commits $60 million for school reconstruction, higher education rehabilitation, and cultural heritage restoration. Coordination with MRF-Education for shared infrastructure projects.</w:t>
      </w:r>
    </w:p>
    <w:p>
      <w:pPr>
        <w:pStyle w:val="Heading3"/>
      </w:pPr>
      <w:r>
        <w:t>D.5.2 British Council Iran Higher Education Partnership</w:t>
      </w:r>
    </w:p>
    <w:p>
      <w:r>
        <w:t>The British Council provides $20 million for university partnerships, research collaboration, and academic exchange programs supporting Iranian higher education recovery.</w:t>
      </w:r>
    </w:p>
    <w:p>
      <w:pPr>
        <w:pStyle w:val="Heading3"/>
      </w:pPr>
      <w:r>
        <w:t>D.5.3 German Academic Exchange Service (DAAD) -- Iran</w:t>
      </w:r>
    </w:p>
    <w:p>
      <w:r>
        <w:t>DAAD commits $15 million for vocational training, technical education, and university reconstruction, with focus on engineering and medical faculties.</w:t>
      </w:r>
    </w:p>
    <w:p>
      <w:pPr>
        <w:pStyle w:val="Heading1"/>
      </w:pPr>
      <w:r>
        <w:t>Signature Block</w:t>
      </w:r>
      <w:bookmarkStart w:name="_Toc014" w:id="14"/>
      <w:bookmarkEnd w:id="14"/>
    </w:p>
    <w:p>
      <w:pPr>
        <w:pStyle w:val="Normal"/>
        <w:spacing w:before="200" w:after="400"/>
      </w:pPr>
      <w:r>
        <w:rPr>
          <w:i/>
          <w:rFonts w:ascii="Times New Roman" w:hAnsi="Times New Roman" w:eastAsia="Times New Roman" w:cs="Times New Roman"/>
          <w:color w:val="1A1A1A"/>
          <w:sz w:val="22"/>
          <w:szCs w:val="22"/>
        </w:rPr>
        <w:t>In witness whereof, the undersigned, being duly authorized by their respective governments, have signed this Annex RDF: Reconstruction and Development Fund Protocol.</w:t>
      </w:r>
    </w:p>
    <w:p>
      <w:pPr>
        <w:pStyle w:val="Normal"/>
      </w:pPr>
      <w:r>
        <w:rPr>
          <w:rFonts w:ascii="Times New Roman" w:hAnsi="Times New Roman" w:eastAsia="Times New Roman" w:cs="Times New Roman"/>
          <w:color w:val="1A1A1A"/>
          <w:sz w:val="22"/>
          <w:szCs w:val="22"/>
        </w:rPr>
        <w:t>Done at Doha, State of Qatar, this ______ day of __________, 2026, in triplicate in the English language.</w:t>
      </w:r>
    </w:p>
    <w:p>
      <w:pPr>
        <w:pStyle w:val="Normal"/>
        <w:spacing w:before="600"/>
      </w:pPr>
    </w:p>
    <w:tbl>
      <w:tblPr>
        <w:tblW w:w="5000" w:type="pct"/>
        <w:tblBorders>
          <w:top w:val="nil"/>
          <w:left w:val="nil"/>
          <w:bottom w:val="nil"/>
          <w:right w:val="nil"/>
          <w:insideH w:val="nil"/>
          <w:insideV w:val="nil"/>
        </w:tblBorders>
      </w:tblPr>
      <w:tblGrid>
        <w:gridCol w:w="5000"/>
        <w:gridCol w:w="5000"/>
      </w:tblGrid>
      <w:tr>
        <w:tc>
          <w:tcPr>
            <w:tcW w:w="5000" w:type="pct"/>
          </w:tcPr>
          <w:p>
            <w:pPr>
              <w:pStyle w:val="Normal"/>
              <w:spacing w:before="120" w:after="120"/>
            </w:pPr>
            <w:r>
              <w:rPr>
                <w:sz w:val="22"/>
                <w:rFonts w:ascii="Times New Roman" w:hAnsi="Times New Roman" w:eastAsia="Times New Roman" w:cs="Times New Roman"/>
                <w:color w:val="1A1A1A"/>
                <w:szCs w:val="22"/>
              </w:rPr>
              <w:t>For the Islamic Republic of Iran:</w:t>
            </w:r>
          </w:p>
        </w:tc>
        <w:tc>
          <w:tcPr>
            <w:tcW w:w="5000" w:type="pct"/>
          </w:tcPr>
          <w:p>
            <w:pPr>
              <w:pStyle w:val="Normal"/>
              <w:spacing w:before="120" w:after="120"/>
            </w:pPr>
            <w:r>
              <w:rPr>
                <w:sz w:val="22"/>
                <w:rFonts w:ascii="Times New Roman" w:hAnsi="Times New Roman" w:eastAsia="Times New Roman" w:cs="Times New Roman"/>
                <w:color w:val="1A1A1A"/>
                <w:szCs w:val="22"/>
              </w:rPr>
              <w:t>For the United States of America:</w:t>
            </w:r>
          </w:p>
        </w:tc>
      </w:tr>
      <w:tr>
        <w:tc>
          <w:tcPr>
            <w:tcW w:w="5000" w:type="pct"/>
          </w:tcPr>
          <w:p>
            <w:pPr>
              <w:pStyle w:val="Normal"/>
              <w:spacing w:before="120" w:after="120"/>
            </w:pPr>
            <w:r>
              <w:rPr>
                <w:sz w:val="22"/>
                <w:rFonts w:ascii="Times New Roman" w:hAnsi="Times New Roman" w:eastAsia="Times New Roman" w:cs="Times New Roman"/>
                <w:color w:val="1A1A1A"/>
                <w:szCs w:val="22"/>
              </w:rPr>
              <w:t/>
            </w:r>
          </w:p>
        </w:tc>
        <w:tc>
          <w:tcPr>
            <w:tcW w:w="5000" w:type="pct"/>
          </w:tcPr>
          <w:p>
            <w:pPr>
              <w:pStyle w:val="Normal"/>
              <w:spacing w:before="120" w:after="120"/>
            </w:pPr>
            <w:r>
              <w:rPr>
                <w:sz w:val="22"/>
                <w:rFonts w:ascii="Times New Roman" w:hAnsi="Times New Roman" w:eastAsia="Times New Roman" w:cs="Times New Roman"/>
                <w:color w:val="1A1A1A"/>
                <w:szCs w:val="22"/>
              </w:rPr>
              <w:t/>
            </w:r>
          </w:p>
        </w:tc>
      </w:tr>
      <w:tr>
        <w:tc>
          <w:tcPr>
            <w:tcW w:w="5000" w:type="pct"/>
          </w:tcPr>
          <w:p>
            <w:pPr>
              <w:pStyle w:val="Normal"/>
              <w:spacing w:before="120" w:after="120"/>
            </w:pPr>
            <w:r>
              <w:rPr>
                <w:sz w:val="22"/>
                <w:rFonts w:ascii="Times New Roman" w:hAnsi="Times New Roman" w:eastAsia="Times New Roman" w:cs="Times New Roman"/>
                <w:color w:val="1A1A1A"/>
                <w:szCs w:val="22"/>
              </w:rPr>
              <w:t>Name: ________________________</w:t>
            </w:r>
          </w:p>
        </w:tc>
        <w:tc>
          <w:tcPr>
            <w:tcW w:w="5000" w:type="pct"/>
          </w:tcPr>
          <w:p>
            <w:pPr>
              <w:pStyle w:val="Normal"/>
              <w:spacing w:before="120" w:after="120"/>
            </w:pPr>
            <w:r>
              <w:rPr>
                <w:sz w:val="22"/>
                <w:rFonts w:ascii="Times New Roman" w:hAnsi="Times New Roman" w:eastAsia="Times New Roman" w:cs="Times New Roman"/>
                <w:color w:val="1A1A1A"/>
                <w:szCs w:val="22"/>
              </w:rPr>
              <w:t>Name: ________________________</w:t>
            </w:r>
          </w:p>
        </w:tc>
      </w:tr>
      <w:tr>
        <w:tc>
          <w:tcPr>
            <w:tcW w:w="5000" w:type="pct"/>
          </w:tcPr>
          <w:p>
            <w:pPr>
              <w:pStyle w:val="Normal"/>
              <w:spacing w:before="120" w:after="120"/>
            </w:pPr>
            <w:r>
              <w:rPr>
                <w:sz w:val="22"/>
                <w:rFonts w:ascii="Times New Roman" w:hAnsi="Times New Roman" w:eastAsia="Times New Roman" w:cs="Times New Roman"/>
                <w:color w:val="1A1A1A"/>
                <w:szCs w:val="22"/>
              </w:rPr>
              <w:t/>
            </w:r>
          </w:p>
        </w:tc>
        <w:tc>
          <w:tcPr>
            <w:tcW w:w="5000" w:type="pct"/>
          </w:tcPr>
          <w:p>
            <w:pPr>
              <w:pStyle w:val="Normal"/>
              <w:spacing w:before="120" w:after="120"/>
            </w:pPr>
            <w:r>
              <w:rPr>
                <w:sz w:val="22"/>
                <w:rFonts w:ascii="Times New Roman" w:hAnsi="Times New Roman" w:eastAsia="Times New Roman" w:cs="Times New Roman"/>
                <w:color w:val="1A1A1A"/>
                <w:szCs w:val="22"/>
              </w:rPr>
              <w:t/>
            </w:r>
          </w:p>
        </w:tc>
      </w:tr>
      <w:tr>
        <w:tc>
          <w:tcPr>
            <w:tcW w:w="5000" w:type="pct"/>
          </w:tcPr>
          <w:p>
            <w:pPr>
              <w:pStyle w:val="Normal"/>
              <w:spacing w:before="120" w:after="120"/>
            </w:pPr>
            <w:r>
              <w:rPr>
                <w:sz w:val="22"/>
                <w:rFonts w:ascii="Times New Roman" w:hAnsi="Times New Roman" w:eastAsia="Times New Roman" w:cs="Times New Roman"/>
                <w:color w:val="1A1A1A"/>
                <w:szCs w:val="22"/>
              </w:rPr>
              <w:t>Title: ________________________</w:t>
            </w:r>
          </w:p>
        </w:tc>
        <w:tc>
          <w:tcPr>
            <w:tcW w:w="5000" w:type="pct"/>
          </w:tcPr>
          <w:p>
            <w:pPr>
              <w:pStyle w:val="Normal"/>
              <w:spacing w:before="120" w:after="120"/>
            </w:pPr>
            <w:r>
              <w:rPr>
                <w:sz w:val="22"/>
                <w:rFonts w:ascii="Times New Roman" w:hAnsi="Times New Roman" w:eastAsia="Times New Roman" w:cs="Times New Roman"/>
                <w:color w:val="1A1A1A"/>
                <w:szCs w:val="22"/>
              </w:rPr>
              <w:t>Title: ________________________</w:t>
            </w:r>
          </w:p>
        </w:tc>
      </w:tr>
      <w:tr>
        <w:tc>
          <w:tcPr>
            <w:tcW w:w="5000" w:type="pct"/>
          </w:tcPr>
          <w:p>
            <w:pPr>
              <w:pStyle w:val="Normal"/>
              <w:spacing w:before="120" w:after="120"/>
            </w:pPr>
            <w:r>
              <w:rPr>
                <w:sz w:val="22"/>
                <w:rFonts w:ascii="Times New Roman" w:hAnsi="Times New Roman" w:eastAsia="Times New Roman" w:cs="Times New Roman"/>
                <w:color w:val="1A1A1A"/>
                <w:szCs w:val="22"/>
              </w:rPr>
              <w:t/>
            </w:r>
          </w:p>
        </w:tc>
        <w:tc>
          <w:tcPr>
            <w:tcW w:w="5000" w:type="pct"/>
          </w:tcPr>
          <w:p>
            <w:pPr>
              <w:pStyle w:val="Normal"/>
              <w:spacing w:before="120" w:after="120"/>
            </w:pPr>
            <w:r>
              <w:rPr>
                <w:sz w:val="22"/>
                <w:rFonts w:ascii="Times New Roman" w:hAnsi="Times New Roman" w:eastAsia="Times New Roman" w:cs="Times New Roman"/>
                <w:color w:val="1A1A1A"/>
                <w:szCs w:val="22"/>
              </w:rPr>
              <w:t/>
            </w:r>
          </w:p>
        </w:tc>
      </w:tr>
      <w:tr>
        <w:tc>
          <w:tcPr>
            <w:tcW w:w="5000" w:type="pct"/>
          </w:tcPr>
          <w:p>
            <w:pPr>
              <w:pStyle w:val="Normal"/>
              <w:spacing w:before="120" w:after="120"/>
            </w:pPr>
            <w:r>
              <w:rPr>
                <w:sz w:val="22"/>
                <w:rFonts w:ascii="Times New Roman" w:hAnsi="Times New Roman" w:eastAsia="Times New Roman" w:cs="Times New Roman"/>
                <w:color w:val="1A1A1A"/>
                <w:szCs w:val="22"/>
              </w:rPr>
              <w:t>Date: ________________________</w:t>
            </w:r>
          </w:p>
        </w:tc>
        <w:tc>
          <w:tcPr>
            <w:tcW w:w="5000" w:type="pct"/>
          </w:tcPr>
          <w:p>
            <w:pPr>
              <w:pStyle w:val="Normal"/>
              <w:spacing w:before="120" w:after="120"/>
            </w:pPr>
            <w:r>
              <w:rPr>
                <w:sz w:val="22"/>
                <w:rFonts w:ascii="Times New Roman" w:hAnsi="Times New Roman" w:eastAsia="Times New Roman" w:cs="Times New Roman"/>
                <w:color w:val="1A1A1A"/>
                <w:szCs w:val="22"/>
              </w:rPr>
              <w:t>Date: ________________________</w:t>
            </w:r>
          </w:p>
        </w:tc>
      </w:tr>
    </w:tbl>
    <w:p>
      <w:pPr>
        <w:pStyle w:val="Normal"/>
        <w:spacing w:before="600"/>
      </w:pPr>
    </w:p>
    <w:p>
      <w:pPr>
        <w:pStyle w:val="Normal"/>
      </w:pPr>
      <w:r>
        <w:rPr>
          <w:rFonts w:ascii="Times New Roman" w:hAnsi="Times New Roman" w:eastAsia="Times New Roman" w:cs="Times New Roman"/>
          <w:color w:val="1A1A1A"/>
          <w:sz w:val="22"/>
          <w:szCs w:val="22"/>
        </w:rPr>
        <w:t>Witnessed by the State of Qatar (Escrow Agent):</w:t>
      </w:r>
    </w:p>
    <w:p>
      <w:pPr>
        <w:pStyle w:val="Normal"/>
      </w:pPr>
      <w:r>
        <w:rPr>
          <w:rFonts w:ascii="Times New Roman" w:hAnsi="Times New Roman" w:eastAsia="Times New Roman" w:cs="Times New Roman"/>
          <w:color w:val="1A1A1A"/>
          <w:sz w:val="22"/>
          <w:szCs w:val="22"/>
        </w:rPr>
        <w:t>Name: ________________________</w:t>
      </w:r>
    </w:p>
    <w:p>
      <w:pPr>
        <w:pStyle w:val="Normal"/>
      </w:pPr>
      <w:r>
        <w:rPr>
          <w:rFonts w:ascii="Times New Roman" w:hAnsi="Times New Roman" w:eastAsia="Times New Roman" w:cs="Times New Roman"/>
          <w:color w:val="1A1A1A"/>
          <w:sz w:val="22"/>
          <w:szCs w:val="22"/>
        </w:rPr>
        <w:t>Title: ________________________</w:t>
      </w:r>
    </w:p>
    <w:p>
      <w:pPr>
        <w:pStyle w:val="Normal"/>
      </w:pPr>
      <w:r>
        <w:rPr>
          <w:rFonts w:ascii="Times New Roman" w:hAnsi="Times New Roman" w:eastAsia="Times New Roman" w:cs="Times New Roman"/>
          <w:color w:val="1A1A1A"/>
          <w:sz w:val="22"/>
          <w:szCs w:val="22"/>
        </w:rPr>
        <w:t>Date: ________________________</w:t>
      </w:r>
    </w:p>
    <w:p>
      <w:pPr>
        <w:pStyle w:val="Normal"/>
        <w:spacing w:before="400"/>
      </w:pPr>
    </w:p>
    <w:p>
      <w:pPr>
        <w:pStyle w:val="Normal"/>
      </w:pPr>
      <w:r>
        <w:rPr>
          <w:rFonts w:ascii="Times New Roman" w:hAnsi="Times New Roman" w:eastAsia="Times New Roman" w:cs="Times New Roman"/>
          <w:color w:val="1A1A1A"/>
          <w:sz w:val="22"/>
          <w:szCs w:val="22"/>
        </w:rPr>
        <w:t>Witnessed by the World Bank (Fiduciary Co-Administrator):</w:t>
      </w:r>
    </w:p>
    <w:p>
      <w:pPr>
        <w:pStyle w:val="Normal"/>
      </w:pPr>
      <w:r>
        <w:rPr>
          <w:rFonts w:ascii="Times New Roman" w:hAnsi="Times New Roman" w:eastAsia="Times New Roman" w:cs="Times New Roman"/>
          <w:color w:val="1A1A1A"/>
          <w:sz w:val="22"/>
          <w:szCs w:val="22"/>
        </w:rPr>
        <w:t>Name: ________________________</w:t>
      </w:r>
    </w:p>
    <w:p>
      <w:pPr>
        <w:pStyle w:val="Normal"/>
      </w:pPr>
      <w:r>
        <w:rPr>
          <w:rFonts w:ascii="Times New Roman" w:hAnsi="Times New Roman" w:eastAsia="Times New Roman" w:cs="Times New Roman"/>
          <w:color w:val="1A1A1A"/>
          <w:sz w:val="22"/>
          <w:szCs w:val="22"/>
        </w:rPr>
        <w:t>Title: ________________________</w:t>
      </w:r>
    </w:p>
    <w:p>
      <w:pPr>
        <w:pStyle w:val="Normal"/>
      </w:pPr>
      <w:r>
        <w:rPr>
          <w:rFonts w:ascii="Times New Roman" w:hAnsi="Times New Roman" w:eastAsia="Times New Roman" w:cs="Times New Roman"/>
          <w:color w:val="1A1A1A"/>
          <w:sz w:val="22"/>
          <w:szCs w:val="22"/>
        </w:rPr>
        <w:t>Date: ________________________</w:t>
      </w:r>
    </w:p>
    <w:p>
      <w:pPr>
        <w:pStyle w:val="Heading1"/>
      </w:pPr>
      <w:r>
        <w:rPr>
          <w:rFonts w:ascii="Times New Roman" w:hAnsi="Times New Roman" w:eastAsia="Times New Roman" w:cs="Times New Roman"/>
          <w:b/>
          <w:color w:val="1B3A4B"/>
          <w:sz w:val="28"/>
          <w:szCs w:val="28"/>
        </w:rPr>
        <w:t>Appendix E: International Funding Sources and Application Pathways</w:t>
      </w:r>
    </w:p>
    <w:p>
      <w:pPr>
        <w:pStyle w:val="Normal"/>
      </w:pPr>
      <w:r>
        <w:rPr>
          <w:rFonts w:ascii="Times New Roman" w:hAnsi="Times New Roman" w:eastAsia="Times New Roman" w:cs="Times New Roman"/>
          <w:color w:val="1A1A1A"/>
          <w:sz w:val="22"/>
          <w:szCs w:val="22"/>
        </w:rPr>
        <w:t>This Appendix catalogs additional international funding sources available for Iranian reconstruction. The RSC secretariat maintains active engagement with each entity and coordinates joint applications where applicable.</w:t>
      </w:r>
    </w:p>
    <w:p>
      <w:pPr>
        <w:pStyle w:val="Heading2"/>
      </w:pPr>
      <w:r>
        <w:rPr>
          <w:rFonts w:ascii="Times New Roman" w:hAnsi="Times New Roman" w:eastAsia="Times New Roman" w:cs="Times New Roman"/>
          <w:b/>
          <w:color w:val="2E5A6B"/>
          <w:sz w:val="24"/>
          <w:szCs w:val="24"/>
        </w:rPr>
        <w:t>E.1 European Development Finance Institutions</w:t>
      </w:r>
    </w:p>
    <w:p>
      <w:pPr>
        <w:pStyle w:val="Heading3"/>
      </w:pPr>
      <w:r>
        <w:rPr>
          <w:rFonts w:ascii="Times New Roman" w:hAnsi="Times New Roman" w:eastAsia="Times New Roman" w:cs="Times New Roman"/>
          <w:b/>
          <w:i/>
          <w:color w:val="4A4A4A"/>
          <w:sz w:val="22"/>
          <w:szCs w:val="22"/>
        </w:rPr>
        <w:t>E.1.1 Agence Francaise de Developpement (AFD)</w:t>
      </w:r>
    </w:p>
    <w:p>
      <w:pPr>
        <w:pStyle w:val="Normal"/>
      </w:pPr>
      <w:r>
        <w:rPr>
          <w:rFonts w:ascii="Times New Roman" w:hAnsi="Times New Roman" w:eastAsia="Times New Roman" w:cs="Times New Roman"/>
          <w:color w:val="1A1A1A"/>
          <w:sz w:val="22"/>
          <w:szCs w:val="22"/>
        </w:rPr>
        <w:t>The AFD operates as the French bilateral development finance institution with an annual commitment volume exceeding EUR 13 billion. AFD maintains operations in over 90 countries across the Mediterranean, Middle East, Africa, Asia, and Latin America.</w:t>
      </w:r>
    </w:p>
    <w:p>
      <w:pPr>
        <w:pStyle w:val="Normal"/>
      </w:pPr>
      <w:r>
        <w:rPr>
          <w:rFonts w:ascii="Times New Roman" w:hAnsi="Times New Roman" w:eastAsia="Times New Roman" w:cs="Times New Roman"/>
          <w:color w:val="1A1A1A"/>
          <w:sz w:val="22"/>
          <w:szCs w:val="22"/>
        </w:rPr>
        <w:t>Potential allocation for Iran: EUR 800 million for water, sanitation, renewable energy, and urban infrastructure. AFD prioritizes climate-resilient infrastructure and allocates over 50% of its international financing to climate change mitigation and adaptation.</w:t>
      </w:r>
    </w:p>
    <w:p>
      <w:pPr>
        <w:pStyle w:val="Normal"/>
      </w:pPr>
      <w:r>
        <w:rPr>
          <w:rFonts w:ascii="Times New Roman" w:hAnsi="Times New Roman" w:eastAsia="Times New Roman" w:cs="Times New Roman"/>
          <w:color w:val="1A1A1A"/>
          <w:sz w:val="22"/>
          <w:szCs w:val="22"/>
        </w:rPr>
        <w:t>Application pathway: Iran submits a formal project proposal through the French embassy in Tehran or through AFD's regional office. The proposal undergoes AFD technical appraisal (90-120 days), followed by board approval (30 days). AFD coordinates with the MRF through the RSC secretariat to ensure alignment with Sub-Fund priorities.</w:t>
      </w:r>
    </w:p>
    <w:p>
      <w:pPr>
        <w:pStyle w:val="Normal"/>
      </w:pPr>
      <w:r>
        <w:rPr>
          <w:rFonts w:ascii="Times New Roman" w:hAnsi="Times New Roman" w:eastAsia="Times New Roman" w:cs="Times New Roman"/>
          <w:color w:val="1A1A1A"/>
          <w:sz w:val="22"/>
          <w:szCs w:val="22"/>
        </w:rPr>
        <w:t>Contact: AFD Middle East Division, 5 rue Roland Barthes, 75598 Paris Cedex 12, France. Telephone: +33 1 53 44 31 31. Website: afd.fr.</w:t>
      </w:r>
    </w:p>
    <w:p>
      <w:pPr>
        <w:pStyle w:val="Heading3"/>
      </w:pPr>
      <w:r>
        <w:rPr>
          <w:rFonts w:ascii="Times New Roman" w:hAnsi="Times New Roman" w:eastAsia="Times New Roman" w:cs="Times New Roman"/>
          <w:b/>
          <w:i/>
          <w:color w:val="4A4A4A"/>
          <w:sz w:val="22"/>
          <w:szCs w:val="22"/>
        </w:rPr>
        <w:t>E.1.2 German Development Cooperation (KfW / GIZ)</w:t>
      </w:r>
    </w:p>
    <w:p>
      <w:pPr>
        <w:pStyle w:val="Normal"/>
      </w:pPr>
      <w:r>
        <w:rPr>
          <w:rFonts w:ascii="Times New Roman" w:hAnsi="Times New Roman" w:eastAsia="Times New Roman" w:cs="Times New Roman"/>
          <w:color w:val="1A1A1A"/>
          <w:sz w:val="22"/>
          <w:szCs w:val="22"/>
        </w:rPr>
        <w:t>Germany's development cooperation operates through two primary channels: KfW Entwicklungsbank (financial cooperation) and GIZ (technical cooperation). KfW provides concessional loans and grants for infrastructure, energy, water, and financial systems. GIZ delivers advisory services, capacity building, and technical expertise.</w:t>
      </w:r>
    </w:p>
    <w:p>
      <w:pPr>
        <w:pStyle w:val="Normal"/>
      </w:pPr>
      <w:r>
        <w:rPr>
          <w:rFonts w:ascii="Times New Roman" w:hAnsi="Times New Roman" w:eastAsia="Times New Roman" w:cs="Times New Roman"/>
          <w:color w:val="1A1A1A"/>
          <w:sz w:val="22"/>
          <w:szCs w:val="22"/>
        </w:rPr>
        <w:t>KfW commitments for reconstruction contexts typically range from EUR 200 million to EUR 1 billion per country program. GIZ operates over 1,500 projects in 120 countries with an annual business volume of approximately EUR 2.6 billion.</w:t>
      </w:r>
    </w:p>
    <w:p>
      <w:pPr>
        <w:pStyle w:val="Normal"/>
      </w:pPr>
      <w:r>
        <w:rPr>
          <w:rFonts w:ascii="Times New Roman" w:hAnsi="Times New Roman" w:eastAsia="Times New Roman" w:cs="Times New Roman"/>
          <w:color w:val="1A1A1A"/>
          <w:sz w:val="22"/>
          <w:szCs w:val="22"/>
        </w:rPr>
        <w:t>Application pathway: Iran submits a government-to-government request through the German Federal Ministry for Economic Cooperation and Development (BMZ). KfW conducts a financial appraisal and GIZ assesses technical cooperation needs. The joint assessment completes within 120 days. Financing agreements require intergovernmental negotiations.</w:t>
      </w:r>
    </w:p>
    <w:p>
      <w:pPr>
        <w:pStyle w:val="Normal"/>
      </w:pPr>
      <w:r>
        <w:rPr>
          <w:rFonts w:ascii="Times New Roman" w:hAnsi="Times New Roman" w:eastAsia="Times New Roman" w:cs="Times New Roman"/>
          <w:color w:val="1A1A1A"/>
          <w:sz w:val="22"/>
          <w:szCs w:val="22"/>
        </w:rPr>
        <w:t>Focus sectors for Iran: Energy efficiency, water management, sustainable infrastructure, vocational training, and governance restoration.</w:t>
      </w:r>
    </w:p>
    <w:p>
      <w:pPr>
        <w:pStyle w:val="Heading3"/>
      </w:pPr>
      <w:r>
        <w:rPr>
          <w:rFonts w:ascii="Times New Roman" w:hAnsi="Times New Roman" w:eastAsia="Times New Roman" w:cs="Times New Roman"/>
          <w:b/>
          <w:i/>
          <w:color w:val="4A4A4A"/>
          <w:sz w:val="22"/>
          <w:szCs w:val="22"/>
        </w:rPr>
        <w:t>E.1.3 European Investment Bank (EIB) -- External Lending Mandate</w:t>
      </w:r>
    </w:p>
    <w:p>
      <w:pPr>
        <w:pStyle w:val="Normal"/>
      </w:pPr>
      <w:r>
        <w:rPr>
          <w:rFonts w:ascii="Times New Roman" w:hAnsi="Times New Roman" w:eastAsia="Times New Roman" w:cs="Times New Roman"/>
          <w:color w:val="1A1A1A"/>
          <w:sz w:val="22"/>
          <w:szCs w:val="22"/>
        </w:rPr>
        <w:t>The EIB operates outside the EU through its External Lending Mandate (ELM), which authorizes lending for projects in partner countries. The ELM focuses on climate action, sustainable infrastructure, private sector development, and migration-related investments.</w:t>
      </w:r>
    </w:p>
    <w:p>
      <w:pPr>
        <w:pStyle w:val="Normal"/>
      </w:pPr>
      <w:r>
        <w:rPr>
          <w:rFonts w:ascii="Times New Roman" w:hAnsi="Times New Roman" w:eastAsia="Times New Roman" w:cs="Times New Roman"/>
          <w:color w:val="1A1A1A"/>
          <w:sz w:val="22"/>
          <w:szCs w:val="22"/>
        </w:rPr>
        <w:t>Potential allocation for Iran: EUR 500 million for energy, transport, and water infrastructure. EIB loans carry favorable terms with long maturities (15-25 years) and grace periods.</w:t>
      </w:r>
    </w:p>
    <w:p>
      <w:pPr>
        <w:pStyle w:val="Normal"/>
      </w:pPr>
      <w:r>
        <w:rPr>
          <w:rFonts w:ascii="Times New Roman" w:hAnsi="Times New Roman" w:eastAsia="Times New Roman" w:cs="Times New Roman"/>
          <w:color w:val="1A1A1A"/>
          <w:sz w:val="22"/>
          <w:szCs w:val="22"/>
        </w:rPr>
        <w:t>Application pathway: Iran submits a project proposal through the EIB's regional representation or through an EU member state sponsor. EIB conducts due diligence (90-120 days), followed by board approval. EIB operations outside the EU require a member state guarantee or co-financing arrangement.</w:t>
      </w:r>
    </w:p>
    <w:p>
      <w:pPr>
        <w:pStyle w:val="Heading2"/>
      </w:pPr>
      <w:r>
        <w:rPr>
          <w:rFonts w:ascii="Times New Roman" w:hAnsi="Times New Roman" w:eastAsia="Times New Roman" w:cs="Times New Roman"/>
          <w:b/>
          <w:color w:val="2E5A6B"/>
          <w:sz w:val="24"/>
          <w:szCs w:val="24"/>
        </w:rPr>
        <w:t>E.2 Nordic and Commonwealth Development Agencies</w:t>
      </w:r>
    </w:p>
    <w:p>
      <w:pPr>
        <w:pStyle w:val="Heading3"/>
      </w:pPr>
      <w:r>
        <w:rPr>
          <w:rFonts w:ascii="Times New Roman" w:hAnsi="Times New Roman" w:eastAsia="Times New Roman" w:cs="Times New Roman"/>
          <w:b/>
          <w:i/>
          <w:color w:val="4A4A4A"/>
          <w:sz w:val="22"/>
          <w:szCs w:val="22"/>
        </w:rPr>
        <w:t>E.2.1 Norwegian Agency for Development Cooperation (Norad)</w:t>
      </w:r>
    </w:p>
    <w:p>
      <w:pPr>
        <w:pStyle w:val="Normal"/>
      </w:pPr>
      <w:r>
        <w:rPr>
          <w:rFonts w:ascii="Times New Roman" w:hAnsi="Times New Roman" w:eastAsia="Times New Roman" w:cs="Times New Roman"/>
          <w:color w:val="1A1A1A"/>
          <w:sz w:val="22"/>
          <w:szCs w:val="22"/>
        </w:rPr>
        <w:t>Norway ranks first among DAC member countries in ODA as a share of GNI (approximately 1% of GNI). Norad manages an annual development budget of approximately NOK 60 billion. Norway allocates significant resources to fragile states, humanitarian assistance, and post-conflict reconstruction.</w:t>
      </w:r>
    </w:p>
    <w:p>
      <w:pPr>
        <w:pStyle w:val="Normal"/>
      </w:pPr>
      <w:r>
        <w:rPr>
          <w:rFonts w:ascii="Times New Roman" w:hAnsi="Times New Roman" w:eastAsia="Times New Roman" w:cs="Times New Roman"/>
          <w:color w:val="1A1A1A"/>
          <w:sz w:val="22"/>
          <w:szCs w:val="22"/>
        </w:rPr>
        <w:t>Norway's approach emphasizes multilateral channeling through the UN system, World Bank trust funds, and bilateral partnerships. The Nansen Support Programme model (currently deployed for Ukraine at NOK 275 billion through 2030) demonstrates Norway's capacity for large-scale reconstruction financing.</w:t>
      </w:r>
    </w:p>
    <w:p>
      <w:pPr>
        <w:pStyle w:val="Normal"/>
      </w:pPr>
      <w:r>
        <w:rPr>
          <w:rFonts w:ascii="Times New Roman" w:hAnsi="Times New Roman" w:eastAsia="Times New Roman" w:cs="Times New Roman"/>
          <w:color w:val="1A1A1A"/>
          <w:sz w:val="22"/>
          <w:szCs w:val="22"/>
        </w:rPr>
        <w:t>Application pathway: Iran submits a funding request through Norad's partner country framework or through a multilateral trust fund. Norad prioritizes applications channeled through the UN system, the World Bank, or Norwegian civil society partners. Application review completes within 90-180 days depending on funding mechanism.</w:t>
      </w:r>
    </w:p>
    <w:p>
      <w:pPr>
        <w:pStyle w:val="Normal"/>
      </w:pPr>
      <w:r>
        <w:rPr>
          <w:rFonts w:ascii="Times New Roman" w:hAnsi="Times New Roman" w:eastAsia="Times New Roman" w:cs="Times New Roman"/>
          <w:color w:val="1A1A1A"/>
          <w:sz w:val="22"/>
          <w:szCs w:val="22"/>
        </w:rPr>
        <w:t>Focus sectors: Humanitarian assistance, governance restoration, renewable energy, education, and institutional capacity building.</w:t>
      </w:r>
    </w:p>
    <w:p>
      <w:pPr>
        <w:pStyle w:val="Heading3"/>
      </w:pPr>
      <w:r>
        <w:rPr>
          <w:rFonts w:ascii="Times New Roman" w:hAnsi="Times New Roman" w:eastAsia="Times New Roman" w:cs="Times New Roman"/>
          <w:b/>
          <w:i/>
          <w:color w:val="4A4A4A"/>
          <w:sz w:val="22"/>
          <w:szCs w:val="22"/>
        </w:rPr>
        <w:t>E.2.2 Sweden International Development Cooperation Agency (Sida)</w:t>
      </w:r>
    </w:p>
    <w:p>
      <w:pPr>
        <w:pStyle w:val="Normal"/>
      </w:pPr>
      <w:r>
        <w:rPr>
          <w:rFonts w:ascii="Times New Roman" w:hAnsi="Times New Roman" w:eastAsia="Times New Roman" w:cs="Times New Roman"/>
          <w:color w:val="1A1A1A"/>
          <w:sz w:val="22"/>
          <w:szCs w:val="22"/>
        </w:rPr>
        <w:t>Sida manages Sweden's official development assistance with a focus on human rights, democracy, gender equality, and sustainable development. Sweden maintains core contributions to major UN agencies (UNHCR, UNFPA, UNICEF, WFP) and provides significant humanitarian assistance.</w:t>
      </w:r>
    </w:p>
    <w:p>
      <w:pPr>
        <w:pStyle w:val="Normal"/>
      </w:pPr>
      <w:r>
        <w:rPr>
          <w:rFonts w:ascii="Times New Roman" w:hAnsi="Times New Roman" w:eastAsia="Times New Roman" w:cs="Times New Roman"/>
          <w:color w:val="1A1A1A"/>
          <w:sz w:val="22"/>
          <w:szCs w:val="22"/>
        </w:rPr>
        <w:t>Application pathway: Iran accesses Swedish development funding through Sida's framework agreements with multilateral organizations or through Swedish civil society partnerships. Direct bilateral applications require a government-to-government agreement. Sida channels the majority of its development funding through multilateral and civil society partners.</w:t>
      </w:r>
    </w:p>
    <w:p>
      <w:pPr>
        <w:pStyle w:val="Normal"/>
      </w:pPr>
      <w:r>
        <w:rPr>
          <w:rFonts w:ascii="Times New Roman" w:hAnsi="Times New Roman" w:eastAsia="Times New Roman" w:cs="Times New Roman"/>
          <w:color w:val="1A1A1A"/>
          <w:sz w:val="22"/>
          <w:szCs w:val="22"/>
        </w:rPr>
        <w:t>Focus sectors: Humanitarian aid, healthcare restoration, education, gender equality, and democratic governance.</w:t>
      </w:r>
    </w:p>
    <w:p>
      <w:pPr>
        <w:pStyle w:val="Heading3"/>
      </w:pPr>
      <w:r>
        <w:rPr>
          <w:rFonts w:ascii="Times New Roman" w:hAnsi="Times New Roman" w:eastAsia="Times New Roman" w:cs="Times New Roman"/>
          <w:b/>
          <w:i/>
          <w:color w:val="4A4A4A"/>
          <w:sz w:val="22"/>
          <w:szCs w:val="22"/>
        </w:rPr>
        <w:t>E.2.3 Canada -- Global Affairs Canada (GAC)</w:t>
      </w:r>
    </w:p>
    <w:p>
      <w:pPr>
        <w:pStyle w:val="Normal"/>
      </w:pPr>
      <w:r>
        <w:rPr>
          <w:rFonts w:ascii="Times New Roman" w:hAnsi="Times New Roman" w:eastAsia="Times New Roman" w:cs="Times New Roman"/>
          <w:color w:val="1A1A1A"/>
          <w:sz w:val="22"/>
          <w:szCs w:val="22"/>
        </w:rPr>
        <w:t>Canada's International Assistance Envelope totals approximately CAD 7.89 billion annually. Global Affairs Canada manages the Core Development pool (CAD 4.7 billion), the Humanitarian Assistance pool (CAD 759 million), and the International Financial Institutions pool (CAD 1.46 billion).</w:t>
      </w:r>
    </w:p>
    <w:p>
      <w:pPr>
        <w:pStyle w:val="Normal"/>
      </w:pPr>
      <w:r>
        <w:rPr>
          <w:rFonts w:ascii="Times New Roman" w:hAnsi="Times New Roman" w:eastAsia="Times New Roman" w:cs="Times New Roman"/>
          <w:color w:val="1A1A1A"/>
          <w:sz w:val="22"/>
          <w:szCs w:val="22"/>
        </w:rPr>
        <w:t>Canada contributes extensively to World Bank trust funds, UN agencies, and regional development banks. Canada maintains board representation at eight international financial institutions and channels significant funding through multilateral mechanisms.</w:t>
      </w:r>
    </w:p>
    <w:p>
      <w:pPr>
        <w:pStyle w:val="Normal"/>
      </w:pPr>
      <w:r>
        <w:rPr>
          <w:rFonts w:ascii="Times New Roman" w:hAnsi="Times New Roman" w:eastAsia="Times New Roman" w:cs="Times New Roman"/>
          <w:color w:val="1A1A1A"/>
          <w:sz w:val="22"/>
          <w:szCs w:val="22"/>
        </w:rPr>
        <w:t>Application pathway: Iran accesses Canadian funding through GAC's International Assistance Envelope via multilateral channels (World Bank, UN agencies, regional development banks). Direct bilateral funding requires a Canada-Iran development partnership framework. GAC encourages applications through its multilateral partners for streamlined processing.</w:t>
      </w:r>
    </w:p>
    <w:p>
      <w:pPr>
        <w:pStyle w:val="Heading3"/>
      </w:pPr>
      <w:r>
        <w:rPr>
          <w:rFonts w:ascii="Times New Roman" w:hAnsi="Times New Roman" w:eastAsia="Times New Roman" w:cs="Times New Roman"/>
          <w:b/>
          <w:i/>
          <w:color w:val="4A4A4A"/>
          <w:sz w:val="22"/>
          <w:szCs w:val="22"/>
        </w:rPr>
        <w:t>E.2.4 Australia -- Department of Foreign Affairs and Trade (DFAT)</w:t>
      </w:r>
    </w:p>
    <w:p>
      <w:pPr>
        <w:pStyle w:val="Normal"/>
      </w:pPr>
      <w:r>
        <w:rPr>
          <w:rFonts w:ascii="Times New Roman" w:hAnsi="Times New Roman" w:eastAsia="Times New Roman" w:cs="Times New Roman"/>
          <w:color w:val="1A1A1A"/>
          <w:sz w:val="22"/>
          <w:szCs w:val="22"/>
        </w:rPr>
        <w:t>Australia's Official Development Assistance (ODA) budget allocates funding across country programs, regional initiatives, and global programs. DFAT manages Australia's development cooperation with a focus on the Indo-Pacific region while maintaining global humanitarian programs.</w:t>
      </w:r>
    </w:p>
    <w:p>
      <w:pPr>
        <w:pStyle w:val="Normal"/>
      </w:pPr>
      <w:r>
        <w:rPr>
          <w:rFonts w:ascii="Times New Roman" w:hAnsi="Times New Roman" w:eastAsia="Times New Roman" w:cs="Times New Roman"/>
          <w:color w:val="1A1A1A"/>
          <w:sz w:val="22"/>
          <w:szCs w:val="22"/>
        </w:rPr>
        <w:t>Application pathway: Iran accesses Australian funding through DFAT's global and humanitarian programs or through multilateral partnerships. DFAT channels significant funding through the UN system, the World Bank, and humanitarian organizations. Applications for multilateral trust fund contributions proceed through the relevant fund administrator.</w:t>
      </w:r>
    </w:p>
    <w:p>
      <w:pPr>
        <w:pStyle w:val="Heading3"/>
      </w:pPr>
      <w:r>
        <w:rPr>
          <w:rFonts w:ascii="Times New Roman" w:hAnsi="Times New Roman" w:eastAsia="Times New Roman" w:cs="Times New Roman"/>
          <w:b/>
          <w:i/>
          <w:color w:val="4A4A4A"/>
          <w:sz w:val="22"/>
          <w:szCs w:val="22"/>
        </w:rPr>
        <w:t>E.2.5 New Zealand -- Ministry of Foreign Affairs and Trade (MFAT)</w:t>
      </w:r>
    </w:p>
    <w:p>
      <w:pPr>
        <w:pStyle w:val="Normal"/>
      </w:pPr>
      <w:r>
        <w:rPr>
          <w:rFonts w:ascii="Times New Roman" w:hAnsi="Times New Roman" w:eastAsia="Times New Roman" w:cs="Times New Roman"/>
          <w:color w:val="1A1A1A"/>
          <w:sz w:val="22"/>
          <w:szCs w:val="22"/>
        </w:rPr>
        <w:t>New Zealand's International Development Cooperation Programme operates on a three-year triennium basis with total funding of NZD 3.06 billion for 2024-2027. MFAT organizes funding into six allocation groups: Pacific Development Cooperation, Global Development Cooperation, Humanitarian Assistance, Multilateral Agencies, and Strategic Evaluation.</w:t>
      </w:r>
    </w:p>
    <w:p>
      <w:pPr>
        <w:pStyle w:val="Normal"/>
      </w:pPr>
      <w:r>
        <w:rPr>
          <w:rFonts w:ascii="Times New Roman" w:hAnsi="Times New Roman" w:eastAsia="Times New Roman" w:cs="Times New Roman"/>
          <w:color w:val="1A1A1A"/>
          <w:sz w:val="22"/>
          <w:szCs w:val="22"/>
        </w:rPr>
        <w:t>Application pathway: Iran accesses New Zealand funding through MFAT's Humanitarian Assistance allocation (NZD 291 million over the triennium) or through multilateral partnerships. MFAT prioritizes funding through the UN system, ICRC, and international NGOs. Direct bilateral applications require a partnership agreement.</w:t>
      </w:r>
    </w:p>
    <w:p>
      <w:pPr>
        <w:pStyle w:val="Heading2"/>
      </w:pPr>
      <w:r>
        <w:rPr>
          <w:rFonts w:ascii="Times New Roman" w:hAnsi="Times New Roman" w:eastAsia="Times New Roman" w:cs="Times New Roman"/>
          <w:b/>
          <w:color w:val="2E5A6B"/>
          <w:sz w:val="24"/>
          <w:szCs w:val="24"/>
        </w:rPr>
        <w:t>E.3 Asia-Pacific Development Partners</w:t>
      </w:r>
    </w:p>
    <w:p>
      <w:pPr>
        <w:pStyle w:val="Heading3"/>
      </w:pPr>
      <w:r>
        <w:rPr>
          <w:rFonts w:ascii="Times New Roman" w:hAnsi="Times New Roman" w:eastAsia="Times New Roman" w:cs="Times New Roman"/>
          <w:b/>
          <w:i/>
          <w:color w:val="4A4A4A"/>
          <w:sz w:val="22"/>
          <w:szCs w:val="22"/>
        </w:rPr>
        <w:t>E.3.1 Japan International Cooperation Agency (JICA)</w:t>
      </w:r>
    </w:p>
    <w:p>
      <w:pPr>
        <w:pStyle w:val="Normal"/>
      </w:pPr>
      <w:r>
        <w:rPr>
          <w:rFonts w:ascii="Times New Roman" w:hAnsi="Times New Roman" w:eastAsia="Times New Roman" w:cs="Times New Roman"/>
          <w:color w:val="1A1A1A"/>
          <w:sz w:val="22"/>
          <w:szCs w:val="22"/>
        </w:rPr>
        <w:t>JICA implements Japan's official development assistance through concessional loans, grants, and technical cooperation. JICA maintains expertise in infrastructure development, disaster resilience, energy efficiency, and water resource management.</w:t>
      </w:r>
    </w:p>
    <w:p>
      <w:pPr>
        <w:pStyle w:val="Normal"/>
      </w:pPr>
      <w:r>
        <w:rPr>
          <w:rFonts w:ascii="Times New Roman" w:hAnsi="Times New Roman" w:eastAsia="Times New Roman" w:cs="Times New Roman"/>
          <w:color w:val="1A1A1A"/>
          <w:sz w:val="22"/>
          <w:szCs w:val="22"/>
        </w:rPr>
        <w:t>Application pathway: Iran submits a request for cooperation through the Japanese embassy in Tehran. JICA conducts a preliminary survey (60-90 days), followed by detailed project formulation. Loan and grant agreements require approval by the Japanese cabinet. Technical cooperation projects initiate within 6-12 months of request.</w:t>
      </w:r>
    </w:p>
    <w:p>
      <w:pPr>
        <w:pStyle w:val="Heading3"/>
      </w:pPr>
      <w:r>
        <w:rPr>
          <w:rFonts w:ascii="Times New Roman" w:hAnsi="Times New Roman" w:eastAsia="Times New Roman" w:cs="Times New Roman"/>
          <w:b/>
          <w:i/>
          <w:color w:val="4A4A4A"/>
          <w:sz w:val="22"/>
          <w:szCs w:val="22"/>
        </w:rPr>
        <w:t>E.3.2 Korea International Cooperation Agency (KOICA)</w:t>
      </w:r>
    </w:p>
    <w:p>
      <w:pPr>
        <w:pStyle w:val="Normal"/>
      </w:pPr>
      <w:r>
        <w:rPr>
          <w:rFonts w:ascii="Times New Roman" w:hAnsi="Times New Roman" w:eastAsia="Times New Roman" w:cs="Times New Roman"/>
          <w:color w:val="1A1A1A"/>
          <w:sz w:val="22"/>
          <w:szCs w:val="22"/>
        </w:rPr>
        <w:t>KOICA administers South Korea's grant aid and technical cooperation programs. South Korea's development assistance emphasizes infrastructure, education, health, and technology transfer. KOICA operates country partnership programs aligned with recipient government priorities.</w:t>
      </w:r>
    </w:p>
    <w:p>
      <w:pPr>
        <w:pStyle w:val="Normal"/>
      </w:pPr>
      <w:r>
        <w:rPr>
          <w:rFonts w:ascii="Times New Roman" w:hAnsi="Times New Roman" w:eastAsia="Times New Roman" w:cs="Times New Roman"/>
          <w:color w:val="1A1A1A"/>
          <w:sz w:val="22"/>
          <w:szCs w:val="22"/>
        </w:rPr>
        <w:t>Application pathway: Iran submits a cooperation request through the Korean embassy in Tehran. KOICA conducts a country partnership assessment and identifies priority sectors. Project proposals undergo KOICA technical review (60-90 days) followed by board approval. Implementation begins within 6 months of approval.</w:t>
      </w:r>
    </w:p>
    <w:p>
      <w:pPr>
        <w:pStyle w:val="Heading3"/>
      </w:pPr>
      <w:r>
        <w:rPr>
          <w:rFonts w:ascii="Times New Roman" w:hAnsi="Times New Roman" w:eastAsia="Times New Roman" w:cs="Times New Roman"/>
          <w:b/>
          <w:i/>
          <w:color w:val="4A4A4A"/>
          <w:sz w:val="22"/>
          <w:szCs w:val="22"/>
        </w:rPr>
        <w:t>E.3.3 Asian Development Bank (ADB)</w:t>
      </w:r>
    </w:p>
    <w:p>
      <w:pPr>
        <w:pStyle w:val="Normal"/>
      </w:pPr>
      <w:r>
        <w:rPr>
          <w:rFonts w:ascii="Times New Roman" w:hAnsi="Times New Roman" w:eastAsia="Times New Roman" w:cs="Times New Roman"/>
          <w:color w:val="1A1A1A"/>
          <w:sz w:val="22"/>
          <w:szCs w:val="22"/>
        </w:rPr>
        <w:t>The ADB provides sovereign lending, grants, and technical assistance to developing member countries. The ADB's Emergency Assistance Lending (EAL) instrument specifically addresses post-conflict reconstruction, offering rapid response financing for high-priority infrastructure rehabilitation.</w:t>
      </w:r>
    </w:p>
    <w:p>
      <w:pPr>
        <w:pStyle w:val="Normal"/>
      </w:pPr>
      <w:r>
        <w:rPr>
          <w:rFonts w:ascii="Times New Roman" w:hAnsi="Times New Roman" w:eastAsia="Times New Roman" w:cs="Times New Roman"/>
          <w:color w:val="1A1A1A"/>
          <w:sz w:val="22"/>
          <w:szCs w:val="22"/>
        </w:rPr>
        <w:t>Application pathway: Iran submits a project proposal through the ADB's Iran Resident Mission or through the Ministry of Economy. ADB conducts project appraisal (90-120 days), followed by board approval. Post-conflict emergency assistance receives expedited processing (60-90 days). The ADB also provides technical assistance grants for project preparation.</w:t>
      </w:r>
    </w:p>
    <w:p>
      <w:pPr>
        <w:pStyle w:val="Heading2"/>
      </w:pPr>
      <w:r>
        <w:rPr>
          <w:rFonts w:ascii="Times New Roman" w:hAnsi="Times New Roman" w:eastAsia="Times New Roman" w:cs="Times New Roman"/>
          <w:b/>
          <w:color w:val="2E5A6B"/>
          <w:sz w:val="24"/>
          <w:szCs w:val="24"/>
        </w:rPr>
        <w:t>E.4 Sovereign Wealth Funds and Institutional Investors</w:t>
      </w:r>
    </w:p>
    <w:p>
      <w:pPr>
        <w:pStyle w:val="Heading3"/>
      </w:pPr>
      <w:r>
        <w:rPr>
          <w:rFonts w:ascii="Times New Roman" w:hAnsi="Times New Roman" w:eastAsia="Times New Roman" w:cs="Times New Roman"/>
          <w:b/>
          <w:i/>
          <w:color w:val="4A4A4A"/>
          <w:sz w:val="22"/>
          <w:szCs w:val="22"/>
        </w:rPr>
        <w:t>E.4.1 Government of Singapore Investment Corporation (GIC)</w:t>
      </w:r>
    </w:p>
    <w:p>
      <w:pPr>
        <w:pStyle w:val="Normal"/>
      </w:pPr>
      <w:r>
        <w:rPr>
          <w:rFonts w:ascii="Times New Roman" w:hAnsi="Times New Roman" w:eastAsia="Times New Roman" w:cs="Times New Roman"/>
          <w:color w:val="1A1A1A"/>
          <w:sz w:val="22"/>
          <w:szCs w:val="22"/>
        </w:rPr>
        <w:t>GIC manages Singapore's sovereign wealth with a diversified global portfolio across asset classes including infrastructure, real estate, and private equity. GIC actively co-invests in infrastructure projects and maintains a significant allocation to emerging market infrastructure.</w:t>
      </w:r>
    </w:p>
    <w:p>
      <w:pPr>
        <w:pStyle w:val="Normal"/>
      </w:pPr>
      <w:r>
        <w:rPr>
          <w:rFonts w:ascii="Times New Roman" w:hAnsi="Times New Roman" w:eastAsia="Times New Roman" w:cs="Times New Roman"/>
          <w:color w:val="1A1A1A"/>
          <w:sz w:val="22"/>
          <w:szCs w:val="22"/>
        </w:rPr>
        <w:t>GIC deployed over USD 13.7 billion in digitalization and AI-related infrastructure investments in 2025 alone, and remains the world's most active co-investor among sovereign wealth funds. GIC has a stated interest in energy transition infrastructure, data centers, and sustainable development projects.</w:t>
      </w:r>
    </w:p>
    <w:p>
      <w:pPr>
        <w:pStyle w:val="Normal"/>
      </w:pPr>
      <w:r>
        <w:rPr>
          <w:rFonts w:ascii="Times New Roman" w:hAnsi="Times New Roman" w:eastAsia="Times New Roman" w:cs="Times New Roman"/>
          <w:color w:val="1A1A1A"/>
          <w:sz w:val="22"/>
          <w:szCs w:val="22"/>
        </w:rPr>
        <w:t>Application pathway: GIC participates through direct investment or co-investment arrangements. Iran presents infrastructure opportunities through the RSC investment desk. GIC conducts independent due diligence and negotiates investment terms directly. Co-investment with other MRF contributors is actively encouraged.</w:t>
      </w:r>
    </w:p>
    <w:p>
      <w:pPr>
        <w:pStyle w:val="Heading3"/>
      </w:pPr>
      <w:r>
        <w:rPr>
          <w:rFonts w:ascii="Times New Roman" w:hAnsi="Times New Roman" w:eastAsia="Times New Roman" w:cs="Times New Roman"/>
          <w:b/>
          <w:i/>
          <w:color w:val="4A4A4A"/>
          <w:sz w:val="22"/>
          <w:szCs w:val="22"/>
        </w:rPr>
        <w:t>E.4.2 Norway Government Pension Fund Global (GPFG)</w:t>
      </w:r>
    </w:p>
    <w:p>
      <w:pPr>
        <w:pStyle w:val="Normal"/>
      </w:pPr>
      <w:r>
        <w:rPr>
          <w:rFonts w:ascii="Times New Roman" w:hAnsi="Times New Roman" w:eastAsia="Times New Roman" w:cs="Times New Roman"/>
          <w:color w:val="1A1A1A"/>
          <w:sz w:val="22"/>
          <w:szCs w:val="22"/>
        </w:rPr>
        <w:t>The GPFG (managed by Norges Bank Investment Management) holds over USD 1.7 trillion in assets, making it the world's largest sovereign wealth fund. The GPFG allocates approximately 3% of its portfolio to real assets including infrastructure and real estate.</w:t>
      </w:r>
    </w:p>
    <w:p>
      <w:pPr>
        <w:pStyle w:val="Normal"/>
      </w:pPr>
      <w:r>
        <w:rPr>
          <w:rFonts w:ascii="Times New Roman" w:hAnsi="Times New Roman" w:eastAsia="Times New Roman" w:cs="Times New Roman"/>
          <w:color w:val="1A1A1A"/>
          <w:sz w:val="22"/>
          <w:szCs w:val="22"/>
        </w:rPr>
        <w:t>Application pathway: GPFG invests through public markets and private infrastructure funds rather than direct project finance. Iran-related opportunities require GPFG's ethical council assessment for compliance with the fund's responsible investment guidelines. The RSC secretariat maintains engagement with NBIM for potential portfolio investment in Iran-linked infrastructure funds.</w:t>
      </w:r>
    </w:p>
    <w:p>
      <w:pPr>
        <w:pStyle w:val="Heading3"/>
      </w:pPr>
      <w:r>
        <w:rPr>
          <w:rFonts w:ascii="Times New Roman" w:hAnsi="Times New Roman" w:eastAsia="Times New Roman" w:cs="Times New Roman"/>
          <w:b/>
          <w:i/>
          <w:color w:val="4A4A4A"/>
          <w:sz w:val="22"/>
          <w:szCs w:val="22"/>
        </w:rPr>
        <w:t>E.4.3 Netherlands -- Development Finance Institutions</w:t>
      </w:r>
    </w:p>
    <w:p>
      <w:pPr>
        <w:pStyle w:val="Normal"/>
      </w:pPr>
      <w:r>
        <w:rPr>
          <w:rFonts w:ascii="Times New Roman" w:hAnsi="Times New Roman" w:eastAsia="Times New Roman" w:cs="Times New Roman"/>
          <w:color w:val="1A1A1A"/>
          <w:sz w:val="22"/>
          <w:szCs w:val="22"/>
        </w:rPr>
        <w:t>The Netherlands deploys development finance through multiple channels: the Dutch Development Bank (FMO) for private sector investment, the Investment Fund for Developing Countries (Dutch Investment Fund), and the Netherlands Enterprise Agency (RVO) for trade and development partnerships.</w:t>
      </w:r>
    </w:p>
    <w:p>
      <w:pPr>
        <w:pStyle w:val="Normal"/>
      </w:pPr>
      <w:r>
        <w:rPr>
          <w:rFonts w:ascii="Times New Roman" w:hAnsi="Times New Roman" w:eastAsia="Times New Roman" w:cs="Times New Roman"/>
          <w:color w:val="1A1A1A"/>
          <w:sz w:val="22"/>
          <w:szCs w:val="22"/>
        </w:rPr>
        <w:t>Application pathway: Iran accesses Dutch development finance through FMO's emerging markets infrastructure window or through the Dutch Good Growth Fund. Applications require a viable business case and development impact assessment. FMO co-finances with other development finance institutions and private investors.</w:t>
      </w:r>
    </w:p>
    <w:p>
      <w:pPr>
        <w:pStyle w:val="Heading2"/>
      </w:pPr>
      <w:r>
        <w:rPr>
          <w:rFonts w:ascii="Times New Roman" w:hAnsi="Times New Roman" w:eastAsia="Times New Roman" w:cs="Times New Roman"/>
          <w:b/>
          <w:color w:val="2E5A6B"/>
          <w:sz w:val="24"/>
          <w:szCs w:val="24"/>
        </w:rPr>
        <w:t>E.5 United Kingdom Development Partnerships</w:t>
      </w:r>
    </w:p>
    <w:p>
      <w:pPr>
        <w:pStyle w:val="Heading3"/>
      </w:pPr>
      <w:r>
        <w:rPr>
          <w:rFonts w:ascii="Times New Roman" w:hAnsi="Times New Roman" w:eastAsia="Times New Roman" w:cs="Times New Roman"/>
          <w:b/>
          <w:i/>
          <w:color w:val="4A4A4A"/>
          <w:sz w:val="22"/>
          <w:szCs w:val="22"/>
        </w:rPr>
        <w:t>E.5.1 UK Foreign, Commonwealth and Development Office (FCDO)</w:t>
      </w:r>
    </w:p>
    <w:p>
      <w:pPr>
        <w:pStyle w:val="Normal"/>
      </w:pPr>
      <w:r>
        <w:rPr>
          <w:rFonts w:ascii="Times New Roman" w:hAnsi="Times New Roman" w:eastAsia="Times New Roman" w:cs="Times New Roman"/>
          <w:color w:val="1A1A1A"/>
          <w:sz w:val="22"/>
          <w:szCs w:val="22"/>
        </w:rPr>
        <w:t>The FCDO manages the UK's Official Development Assistance (ODA) spending, which totaled over GBP 8 billion in 2024. The UK channels significant funding through multilateral development banks (GBP 2.3 billion), global health bodies (GBP 1.5 billion), climate funds (GBP 586 million), and UN agencies (GBP 253 million).</w:t>
      </w:r>
    </w:p>
    <w:p>
      <w:pPr>
        <w:pStyle w:val="Normal"/>
      </w:pPr>
      <w:r>
        <w:rPr>
          <w:rFonts w:ascii="Times New Roman" w:hAnsi="Times New Roman" w:eastAsia="Times New Roman" w:cs="Times New Roman"/>
          <w:color w:val="1A1A1A"/>
          <w:sz w:val="22"/>
          <w:szCs w:val="22"/>
        </w:rPr>
        <w:t>Application pathway: Iran accesses UK development funding through multilateral channels (World Bank trust funds, UN agencies, climate funds). The FCDO directs the majority of its development spending through multilateral institutions. Direct bilateral applications require an approved country partnership framework.</w:t>
      </w:r>
    </w:p>
    <w:p>
      <w:pPr>
        <w:pStyle w:val="Heading2"/>
      </w:pPr>
      <w:r>
        <w:rPr>
          <w:rFonts w:ascii="Times New Roman" w:hAnsi="Times New Roman" w:eastAsia="Times New Roman" w:cs="Times New Roman"/>
          <w:b/>
          <w:color w:val="2E5A6B"/>
          <w:sz w:val="24"/>
          <w:szCs w:val="24"/>
        </w:rPr>
        <w:t>E.6 Private Foundations and Philanthropic Sources</w:t>
      </w:r>
    </w:p>
    <w:p>
      <w:pPr>
        <w:pStyle w:val="Heading3"/>
      </w:pPr>
      <w:r>
        <w:rPr>
          <w:rFonts w:ascii="Times New Roman" w:hAnsi="Times New Roman" w:eastAsia="Times New Roman" w:cs="Times New Roman"/>
          <w:b/>
          <w:i/>
          <w:color w:val="4A4A4A"/>
          <w:sz w:val="22"/>
          <w:szCs w:val="22"/>
        </w:rPr>
        <w:t>E.6.1 Rockefeller Foundation</w:t>
      </w:r>
    </w:p>
    <w:p>
      <w:pPr>
        <w:pStyle w:val="Normal"/>
      </w:pPr>
      <w:r>
        <w:rPr>
          <w:rFonts w:ascii="Times New Roman" w:hAnsi="Times New Roman" w:eastAsia="Times New Roman" w:cs="Times New Roman"/>
          <w:color w:val="1A1A1A"/>
          <w:sz w:val="22"/>
          <w:szCs w:val="22"/>
        </w:rPr>
        <w:t>The Rockefeller Foundation maintains a USD 100 million commitment to climate and health solutions announced at COP28. The Foundation supports the Adaptation and Resilience Fund (in partnership with ClimateWorks Foundation) and focuses on building resilience in cities facing climate-related health threats.</w:t>
      </w:r>
    </w:p>
    <w:p>
      <w:pPr>
        <w:pStyle w:val="Normal"/>
      </w:pPr>
      <w:r>
        <w:rPr>
          <w:rFonts w:ascii="Times New Roman" w:hAnsi="Times New Roman" w:eastAsia="Times New Roman" w:cs="Times New Roman"/>
          <w:color w:val="1A1A1A"/>
          <w:sz w:val="22"/>
          <w:szCs w:val="22"/>
        </w:rPr>
        <w:t>Application pathway: The Foundation accepts proposals through its open application portal and through partnership networks. The RSC secretariat coordinates with the Foundation's regional representatives to identify aligned projects. Priority areas include climate-resilient health infrastructure, urban resilience, and energy access.</w:t>
      </w:r>
    </w:p>
    <w:p>
      <w:pPr>
        <w:pStyle w:val="Heading3"/>
      </w:pPr>
      <w:r>
        <w:rPr>
          <w:rFonts w:ascii="Times New Roman" w:hAnsi="Times New Roman" w:eastAsia="Times New Roman" w:cs="Times New Roman"/>
          <w:b/>
          <w:i/>
          <w:color w:val="4A4A4A"/>
          <w:sz w:val="22"/>
          <w:szCs w:val="22"/>
        </w:rPr>
        <w:t>E.6.2 ClimateWorks Foundation -- Adaptation and Resilience Fund</w:t>
      </w:r>
    </w:p>
    <w:p>
      <w:pPr>
        <w:pStyle w:val="Normal"/>
      </w:pPr>
      <w:r>
        <w:rPr>
          <w:rFonts w:ascii="Times New Roman" w:hAnsi="Times New Roman" w:eastAsia="Times New Roman" w:cs="Times New Roman"/>
          <w:color w:val="1A1A1A"/>
          <w:sz w:val="22"/>
          <w:szCs w:val="22"/>
        </w:rPr>
        <w:t>The Adaptation and Resilience Fund directs philanthropic capital to climate resilience solutions in low- and middle-income countries. The Fund focuses on four pillars: evidence-based policy research, institutional capacity strengthening, innovative finance mechanisms, and community-led resilience programs.</w:t>
      </w:r>
    </w:p>
    <w:p>
      <w:pPr>
        <w:pStyle w:val="Normal"/>
      </w:pPr>
      <w:r>
        <w:rPr>
          <w:rFonts w:ascii="Times New Roman" w:hAnsi="Times New Roman" w:eastAsia="Times New Roman" w:cs="Times New Roman"/>
          <w:color w:val="1A1A1A"/>
          <w:sz w:val="22"/>
          <w:szCs w:val="22"/>
        </w:rPr>
        <w:t>Application pathway: The Fund accepts proposals from implementing organizations, research institutions, and local governments. Applications undergo a two-stage review: concept note (30-day review) followed by full proposal (60-day review). The RSC facilitates introductions between Iranian implementing agencies and the Fund's network.</w:t>
      </w:r>
    </w:p>
    <w:p>
      <w:pPr>
        <w:pStyle w:val="Heading2"/>
      </w:pPr>
      <w:r>
        <w:rPr>
          <w:rFonts w:ascii="Times New Roman" w:hAnsi="Times New Roman" w:eastAsia="Times New Roman" w:cs="Times New Roman"/>
          <w:b/>
          <w:color w:val="2E5A6B"/>
          <w:sz w:val="24"/>
          <w:szCs w:val="24"/>
        </w:rPr>
        <w:t>E.7 Specialized Multilateral Facilities</w:t>
      </w:r>
    </w:p>
    <w:p>
      <w:pPr>
        <w:pStyle w:val="Heading3"/>
      </w:pPr>
      <w:r>
        <w:rPr>
          <w:rFonts w:ascii="Times New Roman" w:hAnsi="Times New Roman" w:eastAsia="Times New Roman" w:cs="Times New Roman"/>
          <w:b/>
          <w:i/>
          <w:color w:val="4A4A4A"/>
          <w:sz w:val="22"/>
          <w:szCs w:val="22"/>
        </w:rPr>
        <w:t>E.7.1 OPEC Fund for International Development (OFID)</w:t>
      </w:r>
    </w:p>
    <w:p>
      <w:pPr>
        <w:pStyle w:val="Normal"/>
      </w:pPr>
      <w:r>
        <w:rPr>
          <w:rFonts w:ascii="Times New Roman" w:hAnsi="Times New Roman" w:eastAsia="Times New Roman" w:cs="Times New Roman"/>
          <w:color w:val="1A1A1A"/>
          <w:sz w:val="22"/>
          <w:szCs w:val="22"/>
        </w:rPr>
        <w:t>The OPEC Fund provides concessional financing, grants, and technical assistance to developing countries. The Fund operates across all developing regions with a focus on energy, transportation, water, health, and education. Iran qualifies as a partner country through its OPEC membership.</w:t>
      </w:r>
    </w:p>
    <w:p>
      <w:pPr>
        <w:pStyle w:val="Normal"/>
      </w:pPr>
      <w:r>
        <w:rPr>
          <w:rFonts w:ascii="Times New Roman" w:hAnsi="Times New Roman" w:eastAsia="Times New Roman" w:cs="Times New Roman"/>
          <w:color w:val="1A1A1A"/>
          <w:sz w:val="22"/>
          <w:szCs w:val="22"/>
        </w:rPr>
        <w:t>Application pathway for sovereign loans: Iran submits a project proposal through the OFID country representative or directly to OFID headquarters in Vienna. The proposal undergoes technical appraisal (60-90 days), followed by board approval. Loan disbursement proceeds upon signing of the financing agreement.</w:t>
      </w:r>
    </w:p>
    <w:p>
      <w:pPr>
        <w:pStyle w:val="Normal"/>
      </w:pPr>
      <w:r>
        <w:rPr>
          <w:rFonts w:ascii="Times New Roman" w:hAnsi="Times New Roman" w:eastAsia="Times New Roman" w:cs="Times New Roman"/>
          <w:color w:val="1A1A1A"/>
          <w:sz w:val="22"/>
          <w:szCs w:val="22"/>
        </w:rPr>
        <w:t>Application pathway for grants: Eligible partners submit grant applications to SPES-GTA@ofid.org. Grant applications include: project description, budget, implementation timeline, and expected outcomes. The Fund reviews applications on a rolling basis with no fixed deadline.</w:t>
      </w:r>
    </w:p>
    <w:p>
      <w:pPr>
        <w:pStyle w:val="Normal"/>
      </w:pPr>
      <w:r>
        <w:rPr>
          <w:rFonts w:ascii="Times New Roman" w:hAnsi="Times New Roman" w:eastAsia="Times New Roman" w:cs="Times New Roman"/>
          <w:color w:val="1A1A1A"/>
          <w:sz w:val="22"/>
          <w:szCs w:val="22"/>
        </w:rPr>
        <w:t>Application pathway for private sector: Project sponsors submit an initial documentation package including project description, market analysis, organizational structure, and financial projections. OFID requests a full feasibility study upon favorable preliminary review. Contact: opecfund.org/what-we-do/private-sector/applying-for-funding</w:t>
      </w:r>
    </w:p>
    <w:p>
      <w:pPr>
        <w:pStyle w:val="Heading3"/>
      </w:pPr>
      <w:r>
        <w:rPr>
          <w:rFonts w:ascii="Times New Roman" w:hAnsi="Times New Roman" w:eastAsia="Times New Roman" w:cs="Times New Roman"/>
          <w:b/>
          <w:i/>
          <w:color w:val="4A4A4A"/>
          <w:sz w:val="22"/>
          <w:szCs w:val="22"/>
        </w:rPr>
        <w:t>E.7.2 African Development Bank -- Transition Support Facility (TSF)</w:t>
      </w:r>
    </w:p>
    <w:p>
      <w:pPr>
        <w:pStyle w:val="Normal"/>
      </w:pPr>
      <w:r>
        <w:rPr>
          <w:rFonts w:ascii="Times New Roman" w:hAnsi="Times New Roman" w:eastAsia="Times New Roman" w:cs="Times New Roman"/>
          <w:color w:val="1A1A1A"/>
          <w:sz w:val="22"/>
          <w:szCs w:val="22"/>
        </w:rPr>
        <w:t>While the AfDB's primary mandate covers Africa, its Transition Support Facility model demonstrates the operational framework for post-conflict reconstruction financing. The TSF mobilized over USD 4.9 billion for fragile states and pioneered Security-Indexed Investment Bonds (SIIBs) to finance peace-supporting infrastructure.</w:t>
      </w:r>
    </w:p>
    <w:p>
      <w:pPr>
        <w:pStyle w:val="Normal"/>
      </w:pPr>
      <w:r>
        <w:rPr>
          <w:rFonts w:ascii="Times New Roman" w:hAnsi="Times New Roman" w:eastAsia="Times New Roman" w:cs="Times New Roman"/>
          <w:color w:val="1A1A1A"/>
          <w:sz w:val="22"/>
          <w:szCs w:val="22"/>
        </w:rPr>
        <w:t>The AfDB's partnership with the Islamic Development Bank (IsDB) and ICRC creates a trilateral cooperation framework for conflict-affected settings. This framework offers lessons for MRF operations in Iran, particularly in sequencing rehabilitation investments and coordinating humanitarian and development financing.</w:t>
      </w:r>
    </w:p>
    <w:p>
      <w:pPr>
        <w:pStyle w:val="Heading3"/>
      </w:pPr>
      <w:r>
        <w:rPr>
          <w:rFonts w:ascii="Times New Roman" w:hAnsi="Times New Roman" w:eastAsia="Times New Roman" w:cs="Times New Roman"/>
          <w:b/>
          <w:i/>
          <w:color w:val="4A4A4A"/>
          <w:sz w:val="22"/>
          <w:szCs w:val="22"/>
        </w:rPr>
        <w:t>E.7.3 Switzerland -- State Secretariat for Economic Affairs (SECO)</w:t>
      </w:r>
    </w:p>
    <w:p>
      <w:pPr>
        <w:pStyle w:val="Normal"/>
      </w:pPr>
      <w:r>
        <w:rPr>
          <w:rFonts w:ascii="Times New Roman" w:hAnsi="Times New Roman" w:eastAsia="Times New Roman" w:cs="Times New Roman"/>
          <w:color w:val="1A1A1A"/>
          <w:sz w:val="22"/>
          <w:szCs w:val="22"/>
        </w:rPr>
        <w:t>SECO manages Switzerland's economic development cooperation with a focus on private sector development, sustainable infrastructure, and climate finance. Switzerland recently contributed USD 70 million to the Private Infrastructure Development Group (PIDG) for sustainable infrastructure in developing countries.</w:t>
      </w:r>
    </w:p>
    <w:p>
      <w:pPr>
        <w:pStyle w:val="Normal"/>
      </w:pPr>
      <w:r>
        <w:rPr>
          <w:rFonts w:ascii="Times New Roman" w:hAnsi="Times New Roman" w:eastAsia="Times New Roman" w:cs="Times New Roman"/>
          <w:color w:val="1A1A1A"/>
          <w:sz w:val="22"/>
          <w:szCs w:val="22"/>
        </w:rPr>
        <w:t>Application pathway: Iran accesses Swiss development finance through SECO's partner country programs or through multilateral channels. SECO prioritizes co-financing arrangements with other development partners. The Swiss Agency for Development and Cooperation (SDC) manages humanitarian assistance through its own channels.</w:t>
      </w:r>
    </w:p>
    <w:p>
      <w:pPr>
        <w:pStyle w:val="Heading2"/>
      </w:pPr>
      <w:r>
        <w:rPr>
          <w:rFonts w:ascii="Times New Roman" w:hAnsi="Times New Roman" w:eastAsia="Times New Roman" w:cs="Times New Roman"/>
          <w:b/>
          <w:color w:val="2E5A6B"/>
          <w:sz w:val="24"/>
          <w:szCs w:val="24"/>
        </w:rPr>
        <w:t>E.8 Summary of Application Coordination</w:t>
      </w:r>
    </w:p>
    <w:p>
      <w:pPr>
        <w:pStyle w:val="Normal"/>
      </w:pPr>
      <w:r>
        <w:rPr>
          <w:rFonts w:ascii="Times New Roman" w:hAnsi="Times New Roman" w:eastAsia="Times New Roman" w:cs="Times New Roman"/>
          <w:color w:val="1A1A1A"/>
          <w:sz w:val="22"/>
          <w:szCs w:val="22"/>
        </w:rPr>
        <w:t>The RSC secretariat serves as the central coordination hub for all external funding applications. The secretariat maintains a Funding Opportunities Database tracking application deadlines, eligibility criteria, and submission requirements for all listed sources. Iranian project proponents consult the database through the MRF transparency dashboard and coordinate submissions through the RSC to prevent duplication and maximize leverage.</w:t>
      </w:r>
    </w:p>
    <w:p>
      <w:pPr>
        <w:pStyle w:val="Heading1"/>
      </w:pPr>
      <w:r>
        <w:rPr>
          <w:rFonts w:ascii="Times New Roman" w:hAnsi="Times New Roman" w:eastAsia="Times New Roman" w:cs="Times New Roman"/>
          <w:b/>
          <w:color w:val="1B3A4B"/>
          <w:sz w:val="28"/>
          <w:szCs w:val="28"/>
        </w:rPr>
        <w:t>Appendix F: Force Majeure and Sanctions Reimposition Fallback Protocol</w:t>
      </w:r>
    </w:p>
    <w:p>
      <w:pPr>
        <w:pStyle w:val="Normal"/>
      </w:pPr>
      <w:r>
        <w:rPr>
          <w:rFonts w:ascii="Times New Roman" w:hAnsi="Times New Roman" w:eastAsia="Times New Roman" w:cs="Times New Roman"/>
          <w:color w:val="1A1A1A"/>
          <w:sz w:val="22"/>
          <w:szCs w:val="22"/>
        </w:rPr>
        <w:t>This Appendix establishes the procedural framework for responding to force majeure events, including the reimposition of sanctions that override the OFAC general license protecting MRF transactions. This protocol gives Iran and all donors confidence that funds already disbursed are secure and that undisbursed funds are protected, not lost.</w:t>
      </w:r>
    </w:p>
    <w:p>
      <w:pPr>
        <w:pStyle w:val="Heading2"/>
      </w:pPr>
      <w:r>
        <w:rPr>
          <w:rFonts w:ascii="Times New Roman" w:hAnsi="Times New Roman" w:eastAsia="Times New Roman" w:cs="Times New Roman"/>
          <w:b/>
          <w:color w:val="2E5A6B"/>
          <w:sz w:val="24"/>
          <w:szCs w:val="24"/>
        </w:rPr>
        <w:t>F.1 Definition of Force Majeure</w:t>
      </w:r>
    </w:p>
    <w:p>
      <w:pPr>
        <w:pStyle w:val="Normal"/>
      </w:pPr>
      <w:r>
        <w:rPr>
          <w:rFonts w:ascii="Times New Roman" w:hAnsi="Times New Roman" w:eastAsia="Times New Roman" w:cs="Times New Roman"/>
          <w:color w:val="1A1A1A"/>
          <w:sz w:val="22"/>
          <w:szCs w:val="22"/>
        </w:rPr>
        <w:t>For the purposes of this Protocol, force majeure includes: (1) reimposition of UN Security Council sanctions on Iran that override the OFAC general license, (2) reimposition of U.S. secondary sanctions that prevent Qatar Central Bank or the World Bank from processing MRF transactions, (3) armed conflict resumption that makes project sites inaccessible for more than 90 consecutive days, (4) a UN Security Council resolution explicitly terminating or suspending the Islamabad Accord, (5) host government actions by Iran that materially breach the Accord and trigger donor withdrawal, or (6) a major contractor insolvency or default that halts construction on projects exceeding $500 million in aggregate value.</w:t>
      </w:r>
    </w:p>
    <w:p>
      <w:pPr>
        <w:pStyle w:val="Heading2"/>
      </w:pPr>
      <w:r>
        <w:rPr>
          <w:rFonts w:ascii="Times New Roman" w:hAnsi="Times New Roman" w:eastAsia="Times New Roman" w:cs="Times New Roman"/>
          <w:b/>
          <w:color w:val="2E5A6B"/>
          <w:sz w:val="24"/>
          <w:szCs w:val="24"/>
        </w:rPr>
        <w:t>F.2 Immediate Response Procedures</w:t>
      </w:r>
    </w:p>
    <w:p>
      <w:pPr>
        <w:pStyle w:val="Normal"/>
      </w:pPr>
      <w:r>
        <w:rPr>
          <w:rFonts w:ascii="Times New Roman" w:hAnsi="Times New Roman" w:eastAsia="Times New Roman" w:cs="Times New Roman"/>
          <w:color w:val="1A1A1A"/>
          <w:sz w:val="22"/>
          <w:szCs w:val="22"/>
        </w:rPr>
        <w:t>Upon occurrence of a force majeure event, the following sequence activates automatically:</w:t>
      </w:r>
    </w:p>
    <w:p>
      <w:pPr>
        <w:pStyle w:val="Normal"/>
      </w:pPr>
      <w:r>
        <w:rPr>
          <w:rFonts w:ascii="Times New Roman" w:hAnsi="Times New Roman" w:eastAsia="Times New Roman" w:cs="Times New Roman"/>
          <w:color w:val="1A1A1A"/>
          <w:sz w:val="22"/>
          <w:szCs w:val="22"/>
        </w:rPr>
        <w:t>Step 1 (Within 24 hours): The RSC Chair declares a Force Majeure Event by written notice to all RSC members, the Qatar Central Bank, and the World Bank. All new disbursements suspend immediately upon declaration.</w:t>
      </w:r>
    </w:p>
    <w:p>
      <w:pPr>
        <w:pStyle w:val="Normal"/>
      </w:pPr>
      <w:r>
        <w:rPr>
          <w:rFonts w:ascii="Times New Roman" w:hAnsi="Times New Roman" w:eastAsia="Times New Roman" w:cs="Times New Roman"/>
          <w:color w:val="1A1A1A"/>
          <w:sz w:val="22"/>
          <w:szCs w:val="22"/>
        </w:rPr>
        <w:t>Step 2 (Within 72 hours): The Qatar Central Bank freezes all undisbursed funds in their respective Sub-Fund accounts. Frozen funds remain in trust and earn interest at the QCB overnight deposit rate.</w:t>
      </w:r>
    </w:p>
    <w:p>
      <w:pPr>
        <w:pStyle w:val="Normal"/>
      </w:pPr>
      <w:r>
        <w:rPr>
          <w:rFonts w:ascii="Times New Roman" w:hAnsi="Times New Roman" w:eastAsia="Times New Roman" w:cs="Times New Roman"/>
          <w:color w:val="1A1A1A"/>
          <w:sz w:val="22"/>
          <w:szCs w:val="22"/>
        </w:rPr>
        <w:t>Step 3 (Within 15 days): The RSC convenes an Emergency Session to assess the force majeure scope, estimate the suspension duration, and determine which projects safely continue under the PRI Pool's force majeure coverage.</w:t>
      </w:r>
    </w:p>
    <w:p>
      <w:pPr>
        <w:pStyle w:val="Normal"/>
      </w:pPr>
      <w:r>
        <w:rPr>
          <w:rFonts w:ascii="Times New Roman" w:hAnsi="Times New Roman" w:eastAsia="Times New Roman" w:cs="Times New Roman"/>
          <w:color w:val="1A1A1A"/>
          <w:sz w:val="22"/>
          <w:szCs w:val="22"/>
        </w:rPr>
        <w:t>Step 4 (Within 30 days): The RSC issues a Force Majeure Assessment Report containing: (a) the affected Sub-Funds and projects, (b) the total value of suspended disbursements, (c) the total value of funds already disbursed that are protected from clawback, (d) a recommended suspension duration, and (e) reactivation conditions.</w:t>
      </w:r>
    </w:p>
    <w:p>
      <w:pPr>
        <w:pStyle w:val="Heading2"/>
      </w:pPr>
      <w:r>
        <w:rPr>
          <w:rFonts w:ascii="Times New Roman" w:hAnsi="Times New Roman" w:eastAsia="Times New Roman" w:cs="Times New Roman"/>
          <w:b/>
          <w:color w:val="2E5A6B"/>
          <w:sz w:val="24"/>
          <w:szCs w:val="24"/>
        </w:rPr>
        <w:t>F.3 Protection of Disbursed Funds</w:t>
      </w:r>
    </w:p>
    <w:p>
      <w:pPr>
        <w:pStyle w:val="Normal"/>
      </w:pPr>
      <w:r>
        <w:rPr>
          <w:rFonts w:ascii="Times New Roman" w:hAnsi="Times New Roman" w:eastAsia="Times New Roman" w:cs="Times New Roman"/>
          <w:color w:val="1A1A1A"/>
          <w:sz w:val="22"/>
          <w:szCs w:val="22"/>
        </w:rPr>
        <w:t>Funds already disbursed to contractors, suppliers, or Iranian government accounts prior to the force majeure declaration are not subject to clawback, freeze, or seizure. This protection applies regardless of the force majeure cause, including sanctions reimposition. The no-clawback provision is absolute and operates independently of the triggering event.</w:t>
      </w:r>
    </w:p>
    <w:p>
      <w:pPr>
        <w:pStyle w:val="Normal"/>
      </w:pPr>
      <w:r>
        <w:rPr>
          <w:rFonts w:ascii="Times New Roman" w:hAnsi="Times New Roman" w:eastAsia="Times New Roman" w:cs="Times New Roman"/>
          <w:color w:val="1A1A1A"/>
          <w:sz w:val="22"/>
          <w:szCs w:val="22"/>
        </w:rPr>
        <w:t>Contractors that have received milestone payments retain those funds for work completed and verified. The PRI Pool covers any contractual claims arising from force majeure suspension. Contractors continue work on projects covered by the PRI Pool's force majeure rider pending RSC determination.</w:t>
      </w:r>
    </w:p>
    <w:p>
      <w:pPr>
        <w:pStyle w:val="Heading2"/>
      </w:pPr>
      <w:r>
        <w:rPr>
          <w:rFonts w:ascii="Times New Roman" w:hAnsi="Times New Roman" w:eastAsia="Times New Roman" w:cs="Times New Roman"/>
          <w:b/>
          <w:color w:val="2E5A6B"/>
          <w:sz w:val="24"/>
          <w:szCs w:val="24"/>
        </w:rPr>
        <w:t>F.4 Protection of Undisbursed Funds</w:t>
      </w:r>
    </w:p>
    <w:p>
      <w:pPr>
        <w:pStyle w:val="Normal"/>
      </w:pPr>
      <w:r>
        <w:rPr>
          <w:rFonts w:ascii="Times New Roman" w:hAnsi="Times New Roman" w:eastAsia="Times New Roman" w:cs="Times New Roman"/>
          <w:color w:val="1A1A1A"/>
          <w:sz w:val="22"/>
          <w:szCs w:val="22"/>
        </w:rPr>
        <w:t>Undisbursed funds held in the Qatar Central Bank escrow at the time of force majeure declaration remain in trust. The Qatar Central Bank maintains these funds in segregated Sub-Fund accounts with the following protections: (1) funds are not commingled with QCB general reserves, (2) funds earn interest at the QCB overnight deposit rate during suspension, (3) funds are not subject to attachment by creditors of Iran or any other party, (4) funds are available for reactivation upon RSC determination that the force majeure event has resolved.</w:t>
      </w:r>
    </w:p>
    <w:p>
      <w:pPr>
        <w:pStyle w:val="Normal"/>
      </w:pPr>
      <w:r>
        <w:rPr>
          <w:rFonts w:ascii="Times New Roman" w:hAnsi="Times New Roman" w:eastAsia="Times New Roman" w:cs="Times New Roman"/>
          <w:color w:val="1A1A1A"/>
          <w:sz w:val="22"/>
          <w:szCs w:val="22"/>
        </w:rPr>
        <w:t>If the force majeure event persists for more than 365 days, the RSC convenes a Special Distribution Session to determine whether to: (a) return undisbursed funds to contributors on a pro-rata basis, (b) redirect undisbursed funds to a successor framework, or (c) maintain funds in trust pending further political developments. This determination requires consensus of all RSC voting members.</w:t>
      </w:r>
    </w:p>
    <w:p>
      <w:pPr>
        <w:pStyle w:val="Heading2"/>
      </w:pPr>
      <w:r>
        <w:rPr>
          <w:rFonts w:ascii="Times New Roman" w:hAnsi="Times New Roman" w:eastAsia="Times New Roman" w:cs="Times New Roman"/>
          <w:b/>
          <w:color w:val="2E5A6B"/>
          <w:sz w:val="24"/>
          <w:szCs w:val="24"/>
        </w:rPr>
        <w:t>F.5 Escrow Buffer for Cost Overruns</w:t>
      </w:r>
    </w:p>
    <w:p>
      <w:pPr>
        <w:pStyle w:val="Normal"/>
      </w:pPr>
      <w:r>
        <w:rPr>
          <w:rFonts w:ascii="Times New Roman" w:hAnsi="Times New Roman" w:eastAsia="Times New Roman" w:cs="Times New Roman"/>
          <w:color w:val="1A1A1A"/>
          <w:sz w:val="22"/>
          <w:szCs w:val="22"/>
        </w:rPr>
        <w:t>The MRF maintains a dedicated Cost Overrun Escrow Buffer equal to 3% of total MRF capitalization (approximately $1.5 billion). This buffer is separate from the Sub-Fund-level Contingency Reserves and activates only when: (1) aggregate cost overruns across all Sub-Funds exceed the combined Contingency Reserve balances, (2) a force majeure event causes widespread project delays that inflate costs across multiple Sub-Funds simultaneously, or (3) the RSC certifies that cost overruns threaten the completion of critical infrastructure.</w:t>
      </w:r>
    </w:p>
    <w:p>
      <w:pPr>
        <w:pStyle w:val="Normal"/>
      </w:pPr>
      <w:r>
        <w:rPr>
          <w:rFonts w:ascii="Times New Roman" w:hAnsi="Times New Roman" w:eastAsia="Times New Roman" w:cs="Times New Roman"/>
          <w:color w:val="1A1A1A"/>
          <w:sz w:val="22"/>
          <w:szCs w:val="22"/>
        </w:rPr>
        <w:t>Cost Overrun Escrow Buffer disbursements require unanimous approval of RSC voting members and independent audit confirmation that the overrun is genuine and unavoidable. The buffer is replenished from future contributor deposits or from rebalanced Sub-Fund allocations. Post-conflict reconstruction typically runs 30-50% over budget. Without this buffer, projects stall and donor confidence collapses.</w:t>
      </w:r>
    </w:p>
    <w:p>
      <w:pPr>
        <w:pStyle w:val="Heading2"/>
      </w:pPr>
      <w:r>
        <w:rPr>
          <w:rFonts w:ascii="Times New Roman" w:hAnsi="Times New Roman" w:eastAsia="Times New Roman" w:cs="Times New Roman"/>
          <w:b/>
          <w:color w:val="2E5A6B"/>
          <w:sz w:val="24"/>
          <w:szCs w:val="24"/>
        </w:rPr>
        <w:t>F.6 Reactivation Procedures</w:t>
      </w:r>
    </w:p>
    <w:p>
      <w:pPr>
        <w:pStyle w:val="Normal"/>
      </w:pPr>
      <w:r>
        <w:rPr>
          <w:rFonts w:ascii="Times New Roman" w:hAnsi="Times New Roman" w:eastAsia="Times New Roman" w:cs="Times New Roman"/>
          <w:color w:val="1A1A1A"/>
          <w:sz w:val="22"/>
          <w:szCs w:val="22"/>
        </w:rPr>
        <w:t>Upon resolution of the force majeure event, the RSC activates the following reactivation sequence: (1) The RSC Chair issues a Reactivation Notice by written declaration, (2) The Qatar Central Bank releases frozen funds within 48 hours of the Reactivation Notice, (3) The RSC conducts a project-by-project damage assessment to determine which projects resume, which require redesign, and which are no longer viable, (4) The TAG updates technical specifications and cost estimates for affected projects, (5) The RSC authorizes revised disbursement schedules, (6) Full MRF operations resume within 30 days of the Reactivation Notice.</w:t>
      </w:r>
    </w:p>
    <w:p>
      <w:pPr>
        <w:pStyle w:val="Normal"/>
      </w:pPr>
      <w:r>
        <w:rPr>
          <w:rFonts w:ascii="Times New Roman" w:hAnsi="Times New Roman" w:eastAsia="Times New Roman" w:cs="Times New Roman"/>
          <w:color w:val="1A1A1A"/>
          <w:sz w:val="22"/>
          <w:szCs w:val="22"/>
        </w:rPr>
        <w:t>Projects that suffered physical damage during the force majeure suspension access the Cost Overrun Escrow Buffer for repair and remediation costs. Contractors that abandoned projects during suspension are replaced through the standard procurement process with preference given to contractors that maintained performance bond compliance.</w:t>
      </w:r>
    </w:p>
    <w:p>
      <w:pPr>
        <w:pStyle w:val="Heading2"/>
      </w:pPr>
      <w:r>
        <w:rPr>
          <w:rFonts w:ascii="Times New Roman" w:hAnsi="Times New Roman" w:eastAsia="Times New Roman" w:cs="Times New Roman"/>
          <w:b/>
          <w:color w:val="2E5A6B"/>
          <w:sz w:val="24"/>
          <w:szCs w:val="24"/>
        </w:rPr>
        <w:t>F.7 Non-Recognition Clause</w:t>
      </w:r>
    </w:p>
    <w:p>
      <w:pPr>
        <w:pStyle w:val="Normal"/>
      </w:pPr>
      <w:r>
        <w:rPr>
          <w:rFonts w:ascii="Times New Roman" w:hAnsi="Times New Roman" w:eastAsia="Times New Roman" w:cs="Times New Roman"/>
          <w:color w:val="1A1A1A"/>
          <w:sz w:val="22"/>
          <w:szCs w:val="22"/>
        </w:rPr>
        <w:t>This Appendix is incorporated by reference into the Annex RDF and operates as a standalone protocol. Nothing in this Appendix constitutes recognition of any entity, government, territorial claim, or jurisdictional assertion by any Party. Participation in this Protocol does not prejudice the legal positions, sovereignty claims, sanctions positions, or future political negotiations of any Party. All Parties retain their respective positions regarding the legal status of Iran, the Persian Gulf, and adjacent maritime areas.</w:t>
      </w:r>
    </w:p>
    <w:p>
      <w:pPr>
        <w:pStyle w:val="Normal"/>
      </w:pPr>
      <w:r>
        <w:rPr>
          <w:rFonts w:ascii="Times New Roman" w:hAnsi="Times New Roman" w:eastAsia="Times New Roman" w:cs="Times New Roman"/>
          <w:color w:val="1A1A1A"/>
          <w:sz w:val="22"/>
          <w:szCs w:val="22"/>
        </w:rPr>
        <w:t>This Protocol does not create any new legal obligations beyond those established in the Annex RDF, the Islamabad Accord, or the CTAF. In the event of inconsistency, the hierarchy established in Article 6 of this Annex governs.</w:t>
      </w:r>
    </w:p>
    <w:p>
      <w:pPr>
        <w:pStyle w:val="Heading1"/>
      </w:pPr>
      <w:r>
        <w:rPr>
          <w:rFonts w:ascii="Times New Roman" w:hAnsi="Times New Roman" w:eastAsia="Times New Roman" w:cs="Times New Roman"/>
          <w:b/>
          <w:color w:val="1B3A4B"/>
          <w:sz w:val="28"/>
          <w:szCs w:val="28"/>
        </w:rPr>
        <w:t>End of Annex RDF</w:t>
      </w:r>
    </w:p>
    <w:p>
      <w:pPr>
        <w:pStyle w:val="Normal"/>
      </w:pPr>
      <w:r>
        <w:rPr>
          <w:rFonts w:ascii="Times New Roman" w:hAnsi="Times New Roman" w:eastAsia="Times New Roman" w:cs="Times New Roman"/>
          <w:color w:val="1A1A1A"/>
          <w:sz w:val="22"/>
          <w:szCs w:val="22"/>
        </w:rPr>
        <w:t>In witness whereof, the undersigned, being duly authorized by their respective governments, have signed this Annex RDF to the Coordinated Technical Activation Framework.</w:t>
      </w:r>
    </w:p>
    <w:p>
      <w:pPr>
        <w:pStyle w:val="Normal"/>
      </w:pPr>
      <w:r>
        <w:rPr>
          <w:rFonts w:ascii="Times New Roman" w:hAnsi="Times New Roman" w:eastAsia="Times New Roman" w:cs="Times New Roman"/>
          <w:color w:val="1A1A1A"/>
          <w:sz w:val="22"/>
          <w:szCs w:val="22"/>
        </w:rPr>
        <w:t>Done at [Location], this _____ day of ___________, 2026.</w:t>
      </w:r>
    </w:p>
    <w:p>
      <w:pPr>
        <w:pStyle w:val="Normal"/>
      </w:pPr>
      <w:r>
        <w:rPr>
          <w:rFonts w:ascii="Times New Roman" w:hAnsi="Times New Roman" w:eastAsia="Times New Roman" w:cs="Times New Roman"/>
          <w:color w:val="1A1A1A"/>
          <w:sz w:val="22"/>
          <w:szCs w:val="22"/>
        </w:rPr>
        <w:t>For the Islamic Republic of Iran: _______________________</w:t>
      </w:r>
    </w:p>
    <w:p>
      <w:pPr>
        <w:pStyle w:val="Normal"/>
      </w:pPr>
      <w:r>
        <w:rPr>
          <w:rFonts w:ascii="Times New Roman" w:hAnsi="Times New Roman" w:eastAsia="Times New Roman" w:cs="Times New Roman"/>
          <w:color w:val="1A1A1A"/>
          <w:sz w:val="22"/>
          <w:szCs w:val="22"/>
        </w:rPr>
        <w:t>For the State of Qatar: _______________________</w:t>
      </w:r>
    </w:p>
    <w:p>
      <w:pPr>
        <w:pStyle w:val="Normal"/>
      </w:pPr>
      <w:r>
        <w:rPr>
          <w:rFonts w:ascii="Times New Roman" w:hAnsi="Times New Roman" w:eastAsia="Times New Roman" w:cs="Times New Roman"/>
          <w:color w:val="1A1A1A"/>
          <w:sz w:val="22"/>
          <w:szCs w:val="22"/>
        </w:rPr>
        <w:t>For the Sultanate of Oman: _______________________</w:t>
      </w:r>
    </w:p>
    <w:p>
      <w:pPr>
        <w:pStyle w:val="Normal"/>
      </w:pPr>
      <w:r>
        <w:rPr>
          <w:rFonts w:ascii="Times New Roman" w:hAnsi="Times New Roman" w:eastAsia="Times New Roman" w:cs="Times New Roman"/>
          <w:color w:val="1A1A1A"/>
          <w:sz w:val="22"/>
          <w:szCs w:val="22"/>
        </w:rPr>
        <w:t>For the World Bank: _______________________</w:t>
      </w:r>
    </w:p>
    <w:p>
      <w:pPr>
        <w:pStyle w:val="Normal"/>
      </w:pPr>
      <w:r>
        <w:rPr>
          <w:rFonts w:ascii="Times New Roman" w:hAnsi="Times New Roman" w:eastAsia="Times New Roman" w:cs="Times New Roman"/>
          <w:color w:val="1A1A1A"/>
          <w:sz w:val="22"/>
          <w:szCs w:val="22"/>
        </w:rPr>
        <w:t>Witnessed by: _______________________</w:t>
      </w:r>
    </w:p>
    <w:p>
      <w:pPr>
        <w:pStyle w:val="Heading1"/>
      </w:pPr>
      <w:r>
        <w:rPr>
          <w:rFonts w:ascii="Times New Roman" w:hAnsi="Times New Roman" w:eastAsia="Times New Roman" w:cs="Times New Roman"/>
          <w:b/>
          <w:color w:val="1A1A1A"/>
          <w:sz w:val="20"/>
          <w:szCs w:val="28"/>
        </w:rPr>
        <w:t>Appendix G: Additional International Funding Sources</w:t>
      </w:r>
    </w:p>
    <w:p>
      <w:pPr>
        <w:pStyle w:val="Normal"/>
      </w:pPr>
      <w:r>
        <w:rPr>
          <w:rFonts w:ascii="Times New Roman" w:hAnsi="Times New Roman" w:eastAsia="Times New Roman" w:cs="Times New Roman"/>
          <w:color w:val="1A1A1A"/>
          <w:sz w:val="22"/>
          <w:szCs w:val="22"/>
        </w:rPr>
        <w:t>This Appendix catalogs additional funding sources discovered through expanded global research. These sources complement Appendices D and E and are coordinated through the RSC Funding Opportunities Database.</w:t>
      </w:r>
    </w:p>
    <w:p>
      <w:pPr>
        <w:pStyle w:val="Heading2"/>
      </w:pPr>
      <w:r>
        <w:rPr>
          <w:rFonts w:ascii="Times New Roman" w:hAnsi="Times New Roman" w:eastAsia="Times New Roman" w:cs="Times New Roman"/>
          <w:b/>
          <w:color w:val="2E5A6B"/>
          <w:sz w:val="24"/>
          <w:szCs w:val="24"/>
        </w:rPr>
        <w:t>G.1 GCC Bilateral Development Funds</w:t>
      </w:r>
    </w:p>
    <w:p>
      <w:pPr>
        <w:pStyle w:val="Heading3"/>
      </w:pPr>
      <w:r>
        <w:rPr>
          <w:rFonts w:ascii="Times New Roman" w:hAnsi="Times New Roman" w:eastAsia="Times New Roman" w:cs="Times New Roman"/>
          <w:b/>
          <w:i/>
          <w:color w:val="4A4A4A"/>
          <w:sz w:val="22"/>
          <w:szCs w:val="22"/>
        </w:rPr>
        <w:t>G.1.1 Kuwait Fund for Arab Economic Development (KFAED)</w:t>
      </w:r>
    </w:p>
    <w:p>
      <w:pPr>
        <w:pStyle w:val="Normal"/>
      </w:pPr>
      <w:r>
        <w:rPr>
          <w:rFonts w:ascii="Times New Roman" w:hAnsi="Times New Roman" w:eastAsia="Times New Roman" w:cs="Times New Roman"/>
          <w:color w:val="1A1A1A"/>
          <w:sz w:val="22"/>
          <w:szCs w:val="22"/>
        </w:rPr>
        <w:t>The KFAED operates as Kuwait's bilateral development finance institution with a mandate extending to all Arab League member states, which includes Iran. The Fund finances vital infrastructure projects across energy, water, transport, health, and education sectors. Recent financing includes the Gulf electricity interconnection system and regional power grid development.</w:t>
      </w:r>
    </w:p>
    <w:p>
      <w:pPr>
        <w:pStyle w:val="Normal"/>
      </w:pPr>
      <w:r>
        <w:rPr>
          <w:rFonts w:ascii="Times New Roman" w:hAnsi="Times New Roman" w:eastAsia="Times New Roman" w:cs="Times New Roman"/>
          <w:color w:val="1A1A1A"/>
          <w:sz w:val="22"/>
          <w:szCs w:val="22"/>
        </w:rPr>
        <w:t>Potential allocation for Iran: $1-2 billion for energy infrastructure, water systems, and transport corridors. KFAED provides concessional loans with long maturities (20-30 years), grace periods (5-10 years), and interest rates below 2% per annum.</w:t>
      </w:r>
    </w:p>
    <w:p>
      <w:pPr>
        <w:pStyle w:val="Normal"/>
      </w:pPr>
      <w:r>
        <w:rPr>
          <w:rFonts w:ascii="Times New Roman" w:hAnsi="Times New Roman" w:eastAsia="Times New Roman" w:cs="Times New Roman"/>
          <w:color w:val="1A1A1A"/>
          <w:sz w:val="22"/>
          <w:szCs w:val="22"/>
        </w:rPr>
        <w:t>Application pathway: Iran submits a project proposal through the KFAED country program office. The proposal undergoes technical appraisal (90-120 days) followed by board approval. KFAED coordinates with the MRF through the RSC secretariat to ensure alignment with Sub-Fund priorities.</w:t>
      </w:r>
    </w:p>
    <w:p>
      <w:pPr>
        <w:pStyle w:val="Heading3"/>
      </w:pPr>
      <w:r>
        <w:rPr>
          <w:rFonts w:ascii="Times New Roman" w:hAnsi="Times New Roman" w:eastAsia="Times New Roman" w:cs="Times New Roman"/>
          <w:b/>
          <w:i/>
          <w:color w:val="4A4A4A"/>
          <w:sz w:val="22"/>
          <w:szCs w:val="22"/>
        </w:rPr>
        <w:t>G.1.2 Arab Fund for Economic and Social Development (AFESD)</w:t>
      </w:r>
    </w:p>
    <w:p>
      <w:pPr>
        <w:pStyle w:val="Normal"/>
      </w:pPr>
      <w:r>
        <w:rPr>
          <w:rFonts w:ascii="Times New Roman" w:hAnsi="Times New Roman" w:eastAsia="Times New Roman" w:cs="Times New Roman"/>
          <w:color w:val="1A1A1A"/>
          <w:sz w:val="22"/>
          <w:szCs w:val="22"/>
        </w:rPr>
        <w:t>The AFESD is a Kuwait-based pan-Arab development finance institution. All Arab League member states are members of the AFESD. As of 2024, the Fund holds approximately $10 billion in assets and finances development projects across the Arab world with priority given to joint Arab projects.</w:t>
      </w:r>
    </w:p>
    <w:p>
      <w:pPr>
        <w:pStyle w:val="Normal"/>
      </w:pPr>
      <w:r>
        <w:rPr>
          <w:rFonts w:ascii="Times New Roman" w:hAnsi="Times New Roman" w:eastAsia="Times New Roman" w:cs="Times New Roman"/>
          <w:color w:val="1A1A1A"/>
          <w:sz w:val="22"/>
          <w:szCs w:val="22"/>
        </w:rPr>
        <w:t>The AFESD provides both loans and grants. Approximately 5% of annual net income is allocated to grants supporting technical and economic feasibility studies, seminars, conferences, and institutional training. Grant sizes range from $20,000 to over $10 million. Loan terms include concessional rates and extended maturities.</w:t>
      </w:r>
    </w:p>
    <w:p>
      <w:pPr>
        <w:pStyle w:val="Normal"/>
      </w:pPr>
      <w:r>
        <w:rPr>
          <w:rFonts w:ascii="Times New Roman" w:hAnsi="Times New Roman" w:eastAsia="Times New Roman" w:cs="Times New Roman"/>
          <w:color w:val="1A1A1A"/>
          <w:sz w:val="22"/>
          <w:szCs w:val="22"/>
        </w:rPr>
        <w:t>Application pathway: Iran accesses AFESD financing through its membership in the Arab League. National grant requests require a letter from the AFESD Governor for Iran. Loan applications proceed through the Fund's standard project cycle. The AFESD also operates the Coordination Secretariat for Arab National and Regional Development Institutions, the Islamic Development Bank, and the OPEC Fund for International Development.</w:t>
      </w:r>
    </w:p>
    <w:p>
      <w:pPr>
        <w:pStyle w:val="Normal"/>
      </w:pPr>
      <w:r>
        <w:rPr>
          <w:rFonts w:ascii="Times New Roman" w:hAnsi="Times New Roman" w:eastAsia="Times New Roman" w:cs="Times New Roman"/>
          <w:color w:val="1A1A1A"/>
          <w:sz w:val="22"/>
          <w:szCs w:val="22"/>
        </w:rPr>
        <w:t>Contact: Arab Fund for Economic and Social Development, PO Box 21923, Safat 13080, Kuwait. Website: arabfund.org.</w:t>
      </w:r>
    </w:p>
    <w:p>
      <w:pPr>
        <w:pStyle w:val="Heading3"/>
      </w:pPr>
      <w:r>
        <w:rPr>
          <w:rFonts w:ascii="Times New Roman" w:hAnsi="Times New Roman" w:eastAsia="Times New Roman" w:cs="Times New Roman"/>
          <w:b/>
          <w:i/>
          <w:color w:val="4A4A4A"/>
          <w:sz w:val="22"/>
          <w:szCs w:val="22"/>
        </w:rPr>
        <w:t>G.1.3 Qatar Fund for Development (QFFD)</w:t>
      </w:r>
    </w:p>
    <w:p>
      <w:pPr>
        <w:pStyle w:val="Normal"/>
      </w:pPr>
      <w:r>
        <w:rPr>
          <w:rFonts w:ascii="Times New Roman" w:hAnsi="Times New Roman" w:eastAsia="Times New Roman" w:cs="Times New Roman"/>
          <w:color w:val="1A1A1A"/>
          <w:sz w:val="22"/>
          <w:szCs w:val="22"/>
        </w:rPr>
        <w:t>QFFD is the State of Qatar's official provider for international development and humanitarian assistance. Since establishment, QFFD has disbursed over $7 billion across more than 100 countries. QFFD deploys a diversified financing toolkit including concessional loans, guarantees, grants, and blended finance.</w:t>
      </w:r>
    </w:p>
    <w:p>
      <w:pPr>
        <w:pStyle w:val="Normal"/>
      </w:pPr>
      <w:r>
        <w:rPr>
          <w:rFonts w:ascii="Times New Roman" w:hAnsi="Times New Roman" w:eastAsia="Times New Roman" w:cs="Times New Roman"/>
          <w:color w:val="1A1A1A"/>
          <w:sz w:val="22"/>
          <w:szCs w:val="22"/>
        </w:rPr>
        <w:t>QFFD is a founding partner of the Lives and Livelihoods Fund (LLF), a $2.5 billion initiative launched with the Islamic Development Bank, Abu Dhabi Fund for Development, the Bill and Melinda Gates Foundation, the Islamic Solidarity Fund for Development, and the King Salman Humanitarian Aid and Relief Centre. The LLF targets poverty reduction in IsDB member countries.</w:t>
      </w:r>
    </w:p>
    <w:p>
      <w:pPr>
        <w:pStyle w:val="Normal"/>
      </w:pPr>
      <w:r>
        <w:rPr>
          <w:rFonts w:ascii="Times New Roman" w:hAnsi="Times New Roman" w:eastAsia="Times New Roman" w:cs="Times New Roman"/>
          <w:color w:val="1A1A1A"/>
          <w:sz w:val="22"/>
          <w:szCs w:val="22"/>
        </w:rPr>
        <w:t>Application pathway: Iran accesses QFFD financing through bilateral development cooperation frameworks or through the LLF. QFFD coordinates with the MRF through its existing partnership with the Qatar Central Bank. QFFD also provides unearmarked humanitarian contributions that can support MRF-aligned relief operations.</w:t>
      </w:r>
    </w:p>
    <w:p>
      <w:pPr>
        <w:pStyle w:val="Heading3"/>
      </w:pPr>
      <w:r>
        <w:rPr>
          <w:rFonts w:ascii="Times New Roman" w:hAnsi="Times New Roman" w:eastAsia="Times New Roman" w:cs="Times New Roman"/>
          <w:b/>
          <w:i/>
          <w:color w:val="4A4A4A"/>
          <w:sz w:val="22"/>
          <w:szCs w:val="22"/>
        </w:rPr>
        <w:t>G.1.4 Saudi Fund for Development (SFD)</w:t>
      </w:r>
    </w:p>
    <w:p>
      <w:pPr>
        <w:pStyle w:val="Normal"/>
      </w:pPr>
      <w:r>
        <w:rPr>
          <w:rFonts w:ascii="Times New Roman" w:hAnsi="Times New Roman" w:eastAsia="Times New Roman" w:cs="Times New Roman"/>
          <w:color w:val="1A1A1A"/>
          <w:sz w:val="22"/>
          <w:szCs w:val="22"/>
        </w:rPr>
        <w:t>The SFD is the Kingdom of Saudi Arabia's development finance arm. Over five decades, SFD has funded more than 800 development projects worth over $22 billion across 100 countries. In Africa alone, SFD has financed over 400 projects in 46 countries worth $10.7 billion. Sectors include agriculture, energy, industry, transportation, and social infrastructure.</w:t>
      </w:r>
    </w:p>
    <w:p>
      <w:pPr>
        <w:pStyle w:val="Normal"/>
      </w:pPr>
      <w:r>
        <w:rPr>
          <w:rFonts w:ascii="Times New Roman" w:hAnsi="Times New Roman" w:eastAsia="Times New Roman" w:cs="Times New Roman"/>
          <w:color w:val="1A1A1A"/>
          <w:sz w:val="22"/>
          <w:szCs w:val="22"/>
        </w:rPr>
        <w:t>SFD provides concessional loans, grants, and technical assistance. The Fund recently established a $1 billion partnership with FIFA for sports infrastructure in developing nations, demonstrating its capacity for large-scale sector-specific financing.</w:t>
      </w:r>
    </w:p>
    <w:p>
      <w:pPr>
        <w:pStyle w:val="Normal"/>
      </w:pPr>
      <w:r>
        <w:rPr>
          <w:rFonts w:ascii="Times New Roman" w:hAnsi="Times New Roman" w:eastAsia="Times New Roman" w:cs="Times New Roman"/>
          <w:color w:val="1A1A1A"/>
          <w:sz w:val="22"/>
          <w:szCs w:val="22"/>
        </w:rPr>
        <w:t>Application pathway: Iran submits project proposals through the SFD regional office or through bilateral channels. SFD conducts technical appraisal (90-120 days) followed by board approval. SFD coordinates with the MRF through the RSC to align with Sub-Fund priorities and avoid duplication.</w:t>
      </w:r>
    </w:p>
    <w:p>
      <w:pPr>
        <w:pStyle w:val="Heading3"/>
      </w:pPr>
      <w:r>
        <w:rPr>
          <w:rFonts w:ascii="Times New Roman" w:hAnsi="Times New Roman" w:eastAsia="Times New Roman" w:cs="Times New Roman"/>
          <w:b/>
          <w:i/>
          <w:color w:val="4A4A4A"/>
          <w:sz w:val="22"/>
          <w:szCs w:val="22"/>
        </w:rPr>
        <w:t>G.1.5 Abu Dhabi Fund for Development (ADFD)</w:t>
      </w:r>
    </w:p>
    <w:p>
      <w:pPr>
        <w:pStyle w:val="Normal"/>
      </w:pPr>
      <w:r>
        <w:rPr>
          <w:rFonts w:ascii="Times New Roman" w:hAnsi="Times New Roman" w:eastAsia="Times New Roman" w:cs="Times New Roman"/>
          <w:color w:val="1A1A1A"/>
          <w:sz w:val="22"/>
          <w:szCs w:val="22"/>
        </w:rPr>
        <w:t>ADFD manages the UAE's international development assistance. By the end of 2025, ADFD's cumulative financing reached AED 250 billion (approximately $68 billion), benefiting 108 countries. This includes AED 159 billion in concessional loans, AED 58 billion in government grants, and AED 2.2 billion in direct contributions.</w:t>
      </w:r>
    </w:p>
    <w:p>
      <w:pPr>
        <w:pStyle w:val="Normal"/>
      </w:pPr>
      <w:r>
        <w:rPr>
          <w:rFonts w:ascii="Times New Roman" w:hAnsi="Times New Roman" w:eastAsia="Times New Roman" w:cs="Times New Roman"/>
          <w:color w:val="1A1A1A"/>
          <w:sz w:val="22"/>
          <w:szCs w:val="22"/>
        </w:rPr>
        <w:t>ADFD operates the IRENA/ADFD Project Facility, which has committed $350 million in concessionary loans for renewable energy projects in developing countries. ADFD has previously financed projects in Iran through this facility. The Fund targets renewable energy, infrastructure (housing, transport, logistics), education, technology, and water security.</w:t>
      </w:r>
    </w:p>
    <w:p>
      <w:pPr>
        <w:pStyle w:val="Normal"/>
      </w:pPr>
      <w:r>
        <w:rPr>
          <w:rFonts w:ascii="Times New Roman" w:hAnsi="Times New Roman" w:eastAsia="Times New Roman" w:cs="Times New Roman"/>
          <w:color w:val="1A1A1A"/>
          <w:sz w:val="22"/>
          <w:szCs w:val="22"/>
        </w:rPr>
        <w:t>Application pathway: Iran submits project proposals through the ADFD country program or through the IRENA/ADFD Project Facility for renewable energy projects. ADFD conducts technical appraisal and due diligence (90-120 days). The RSC coordinates with ADFD to ensure MRF alignment.</w:t>
      </w:r>
    </w:p>
    <w:p>
      <w:pPr>
        <w:pStyle w:val="Heading3"/>
      </w:pPr>
      <w:r>
        <w:rPr>
          <w:rFonts w:ascii="Times New Roman" w:hAnsi="Times New Roman" w:eastAsia="Times New Roman" w:cs="Times New Roman"/>
          <w:b/>
          <w:i/>
          <w:color w:val="4A4A4A"/>
          <w:sz w:val="22"/>
          <w:szCs w:val="22"/>
        </w:rPr>
        <w:t>G.1.6 Oman and Turkey: Regional Development Partners</w:t>
      </w:r>
    </w:p>
    <w:p>
      <w:pPr>
        <w:pStyle w:val="Normal"/>
      </w:pPr>
      <w:r>
        <w:rPr>
          <w:rFonts w:ascii="Times New Roman" w:hAnsi="Times New Roman" w:eastAsia="Times New Roman" w:cs="Times New Roman"/>
          <w:color w:val="1A1A1A"/>
          <w:sz w:val="22"/>
          <w:szCs w:val="22"/>
        </w:rPr>
        <w:t>The Sultanate of Oman serves as a traditional diplomatic intermediary and provides in-kind logistics support for reconstruction operations. Oman's geographic proximity to Iran and its functional trade relationship position it as a logistics corridor for reconstruction materials and personnel.</w:t>
      </w:r>
    </w:p>
    <w:p>
      <w:pPr>
        <w:pStyle w:val="Normal"/>
      </w:pPr>
      <w:r>
        <w:rPr>
          <w:rFonts w:ascii="Times New Roman" w:hAnsi="Times New Roman" w:eastAsia="Times New Roman" w:cs="Times New Roman"/>
          <w:color w:val="1A1A1A"/>
          <w:sz w:val="22"/>
          <w:szCs w:val="22"/>
        </w:rPr>
        <w:t>The Turkish Cooperation and Coordination Agency (TIKA) operates as Turkey's bilateral development arm. Turkish construction firms are globally recognized for rapid post-conflict rebuilding expertise. TIKA provides technical assistance, capacity building, and project financing with a focus on infrastructure and institutional development. Iran accesses TIKA support through bilateral development cooperation agreements or through frozen asset conversion protocols.</w:t>
      </w:r>
    </w:p>
    <w:p>
      <w:pPr>
        <w:pStyle w:val="Heading2"/>
      </w:pPr>
      <w:r>
        <w:rPr>
          <w:rFonts w:ascii="Times New Roman" w:hAnsi="Times New Roman" w:eastAsia="Times New Roman" w:cs="Times New Roman"/>
          <w:b/>
          <w:color w:val="2E5A6B"/>
          <w:sz w:val="24"/>
          <w:szCs w:val="24"/>
        </w:rPr>
        <w:t>G.2 World Bank Financial Intermediary Funds</w:t>
      </w:r>
    </w:p>
    <w:p>
      <w:pPr>
        <w:pStyle w:val="Heading3"/>
      </w:pPr>
      <w:r>
        <w:rPr>
          <w:rFonts w:ascii="Times New Roman" w:hAnsi="Times New Roman" w:eastAsia="Times New Roman" w:cs="Times New Roman"/>
          <w:b/>
          <w:i/>
          <w:color w:val="4A4A4A"/>
          <w:sz w:val="22"/>
          <w:szCs w:val="22"/>
        </w:rPr>
        <w:t>G.2.1 Adaptation Fund</w:t>
      </w:r>
    </w:p>
    <w:p>
      <w:pPr>
        <w:pStyle w:val="Normal"/>
      </w:pPr>
      <w:r>
        <w:rPr>
          <w:rFonts w:ascii="Times New Roman" w:hAnsi="Times New Roman" w:eastAsia="Times New Roman" w:cs="Times New Roman"/>
          <w:color w:val="1A1A1A"/>
          <w:sz w:val="22"/>
          <w:szCs w:val="22"/>
        </w:rPr>
        <w:t>The Adaptation Fund finances climate change adaptation projects and programs based on the priorities of eligible developing countries. The Fund operates under the UN Framework Convention on Climate Change and provides direct access to national implementing entities. Iran qualifies as an eligible developing country.</w:t>
      </w:r>
    </w:p>
    <w:p>
      <w:pPr>
        <w:pStyle w:val="Normal"/>
      </w:pPr>
      <w:r>
        <w:rPr>
          <w:rFonts w:ascii="Times New Roman" w:hAnsi="Times New Roman" w:eastAsia="Times New Roman" w:cs="Times New Roman"/>
          <w:color w:val="1A1A1A"/>
          <w:sz w:val="22"/>
          <w:szCs w:val="22"/>
        </w:rPr>
        <w:t>The Fund provides grants for concrete adaptation activities in vulnerable communities. Projects typically range from $1 million to $10 million. The Fund also supports capacity building for national implementing entities.</w:t>
      </w:r>
    </w:p>
    <w:p>
      <w:pPr>
        <w:pStyle w:val="Normal"/>
      </w:pPr>
      <w:r>
        <w:rPr>
          <w:rFonts w:ascii="Times New Roman" w:hAnsi="Times New Roman" w:eastAsia="Times New Roman" w:cs="Times New Roman"/>
          <w:color w:val="1A1A1A"/>
          <w:sz w:val="22"/>
          <w:szCs w:val="22"/>
        </w:rPr>
        <w:t>Application pathway: Iran designates a National Implementing Entity (NIE) accredited by the Adaptation Fund Board. The NIE submits project proposals directly to the Fund. The RSC coordinates NIE designation and proposal preparation.</w:t>
      </w:r>
    </w:p>
    <w:p>
      <w:pPr>
        <w:pStyle w:val="Heading3"/>
      </w:pPr>
      <w:r>
        <w:rPr>
          <w:rFonts w:ascii="Times New Roman" w:hAnsi="Times New Roman" w:eastAsia="Times New Roman" w:cs="Times New Roman"/>
          <w:b/>
          <w:i/>
          <w:color w:val="4A4A4A"/>
          <w:sz w:val="22"/>
          <w:szCs w:val="22"/>
        </w:rPr>
        <w:t>G.2.2 Clean Technology Fund (CTF)</w:t>
      </w:r>
    </w:p>
    <w:p>
      <w:pPr>
        <w:pStyle w:val="Normal"/>
      </w:pPr>
      <w:r>
        <w:rPr>
          <w:rFonts w:ascii="Times New Roman" w:hAnsi="Times New Roman" w:eastAsia="Times New Roman" w:cs="Times New Roman"/>
          <w:color w:val="1A1A1A"/>
          <w:sz w:val="22"/>
          <w:szCs w:val="22"/>
        </w:rPr>
        <w:t>The CTF is one of two funds comprising the Climate Investment Funds. The CTF provides large-scale financial resources to invest in clean technology projects in developing countries, contributing to the demonstration, deployment, and transfer of low-carbon technologies. CTF investments focus on renewable energy, energy efficiency, and sustainable transport.</w:t>
      </w:r>
    </w:p>
    <w:p>
      <w:pPr>
        <w:pStyle w:val="Normal"/>
      </w:pPr>
      <w:r>
        <w:rPr>
          <w:rFonts w:ascii="Times New Roman" w:hAnsi="Times New Roman" w:eastAsia="Times New Roman" w:cs="Times New Roman"/>
          <w:color w:val="1A1A1A"/>
          <w:sz w:val="22"/>
          <w:szCs w:val="22"/>
        </w:rPr>
        <w:t>Application pathway: Iran submits investment plans through the World Bank as an implementing entity. CTF investment plans require approval by the CTF Trust Fund Committee. The RSC coordinates with the World Bank to prepare CTF-aligned investment plans for MRF-Energy and MRF-Transport projects.</w:t>
      </w:r>
    </w:p>
    <w:p>
      <w:pPr>
        <w:pStyle w:val="Heading3"/>
      </w:pPr>
      <w:r>
        <w:rPr>
          <w:rFonts w:ascii="Times New Roman" w:hAnsi="Times New Roman" w:eastAsia="Times New Roman" w:cs="Times New Roman"/>
          <w:b/>
          <w:i/>
          <w:color w:val="4A4A4A"/>
          <w:sz w:val="22"/>
          <w:szCs w:val="22"/>
        </w:rPr>
        <w:t>G.2.3 Climate Risk and Early Warning Systems (CREWS)</w:t>
      </w:r>
    </w:p>
    <w:p>
      <w:pPr>
        <w:pStyle w:val="Normal"/>
      </w:pPr>
      <w:r>
        <w:rPr>
          <w:rFonts w:ascii="Times New Roman" w:hAnsi="Times New Roman" w:eastAsia="Times New Roman" w:cs="Times New Roman"/>
          <w:color w:val="1A1A1A"/>
          <w:sz w:val="22"/>
          <w:szCs w:val="22"/>
        </w:rPr>
        <w:t>CREWS is an initiative that aims to raise $100 million to strengthen multi-hazard early warning systems in Least Developed Countries and Small Island Developing States. CREWS funds support risk-informed early warning, preparedness, and response systems.</w:t>
      </w:r>
    </w:p>
    <w:p>
      <w:pPr>
        <w:pStyle w:val="Normal"/>
      </w:pPr>
      <w:r>
        <w:rPr>
          <w:rFonts w:ascii="Times New Roman" w:hAnsi="Times New Roman" w:eastAsia="Times New Roman" w:cs="Times New Roman"/>
          <w:color w:val="1A1A1A"/>
          <w:sz w:val="22"/>
          <w:szCs w:val="22"/>
        </w:rPr>
        <w:t>Application pathway: Iran accesses CREWS through the World Bank or UNDP as implementing partners. Proposals are submitted to the CREWS Secretariat.</w:t>
      </w:r>
    </w:p>
    <w:p>
      <w:pPr>
        <w:pStyle w:val="Heading3"/>
      </w:pPr>
      <w:r>
        <w:rPr>
          <w:rFonts w:ascii="Times New Roman" w:hAnsi="Times New Roman" w:eastAsia="Times New Roman" w:cs="Times New Roman"/>
          <w:b/>
          <w:i/>
          <w:color w:val="4A4A4A"/>
          <w:sz w:val="22"/>
          <w:szCs w:val="22"/>
        </w:rPr>
        <w:t>G.2.4 MENA Transition Fund</w:t>
      </w:r>
    </w:p>
    <w:p>
      <w:pPr>
        <w:pStyle w:val="Normal"/>
      </w:pPr>
      <w:r>
        <w:rPr>
          <w:rFonts w:ascii="Times New Roman" w:hAnsi="Times New Roman" w:eastAsia="Times New Roman" w:cs="Times New Roman"/>
          <w:color w:val="1A1A1A"/>
          <w:sz w:val="22"/>
          <w:szCs w:val="22"/>
        </w:rPr>
        <w:t>The MENA Transition Fund was established in 2012 under the Deauville Partnership with Arab Countries in Transition. The Fund supports transformation in the region by providing technical cooperation for economic governance, private sector development, trade, employment, and public financial management.</w:t>
      </w:r>
    </w:p>
    <w:p>
      <w:pPr>
        <w:pStyle w:val="Normal"/>
      </w:pPr>
      <w:r>
        <w:rPr>
          <w:rFonts w:ascii="Times New Roman" w:hAnsi="Times New Roman" w:eastAsia="Times New Roman" w:cs="Times New Roman"/>
          <w:color w:val="1A1A1A"/>
          <w:sz w:val="22"/>
          <w:szCs w:val="22"/>
        </w:rPr>
        <w:t>Application pathway: Iran submits proposals through the World Bank as a Deauville Partnership implementing entity. The RSC coordinates with the World Bank on MENA Transition Fund applications for institutional capacity building under MRF-Governance.</w:t>
      </w:r>
    </w:p>
    <w:p>
      <w:pPr>
        <w:pStyle w:val="Heading2"/>
      </w:pPr>
      <w:r>
        <w:rPr>
          <w:rFonts w:ascii="Times New Roman" w:hAnsi="Times New Roman" w:eastAsia="Times New Roman" w:cs="Times New Roman"/>
          <w:b/>
          <w:color w:val="2E5A6B"/>
          <w:sz w:val="24"/>
          <w:szCs w:val="24"/>
        </w:rPr>
        <w:t>G.3 Blended Finance and Innovative Instruments</w:t>
      </w:r>
    </w:p>
    <w:p>
      <w:pPr>
        <w:pStyle w:val="Heading3"/>
      </w:pPr>
      <w:r>
        <w:rPr>
          <w:rFonts w:ascii="Times New Roman" w:hAnsi="Times New Roman" w:eastAsia="Times New Roman" w:cs="Times New Roman"/>
          <w:b/>
          <w:i/>
          <w:color w:val="4A4A4A"/>
          <w:sz w:val="22"/>
          <w:szCs w:val="22"/>
        </w:rPr>
        <w:t>G.3.1 Convergence Blended Finance Platform</w:t>
      </w:r>
    </w:p>
    <w:p>
      <w:pPr>
        <w:pStyle w:val="Normal"/>
      </w:pPr>
      <w:r>
        <w:rPr>
          <w:rFonts w:ascii="Times New Roman" w:hAnsi="Times New Roman" w:eastAsia="Times New Roman" w:cs="Times New Roman"/>
          <w:color w:val="1A1A1A"/>
          <w:sz w:val="22"/>
          <w:szCs w:val="22"/>
        </w:rPr>
        <w:t>Convergence operates as the global network for blended finance, serving as a marketplace and knowledge broker for innovative development finance models. Convergence provides design funding, connects practitioners, and publishes market intelligence on blended finance transactions.</w:t>
      </w:r>
    </w:p>
    <w:p>
      <w:pPr>
        <w:pStyle w:val="Normal"/>
      </w:pPr>
      <w:r>
        <w:rPr>
          <w:rFonts w:ascii="Times New Roman" w:hAnsi="Times New Roman" w:eastAsia="Times New Roman" w:cs="Times New Roman"/>
          <w:color w:val="1A1A1A"/>
          <w:sz w:val="22"/>
          <w:szCs w:val="22"/>
        </w:rPr>
        <w:t>Application pathway: The RSC submits blended finance project concepts to Convergence for design funding and technical assistance. Convergence provides grant funding of up to $500,000 for blended finance transaction design. The RSC leverages Convergence's network to connect with potential blended finance investors.</w:t>
      </w:r>
    </w:p>
    <w:p>
      <w:pPr>
        <w:pStyle w:val="Heading3"/>
      </w:pPr>
      <w:r>
        <w:rPr>
          <w:rFonts w:ascii="Times New Roman" w:hAnsi="Times New Roman" w:eastAsia="Times New Roman" w:cs="Times New Roman"/>
          <w:b/>
          <w:i/>
          <w:color w:val="4A4A4A"/>
          <w:sz w:val="22"/>
          <w:szCs w:val="22"/>
        </w:rPr>
        <w:t>G.3.2 UNDP-UNCDF ReStart Fund</w:t>
      </w:r>
    </w:p>
    <w:p>
      <w:pPr>
        <w:pStyle w:val="Normal"/>
      </w:pPr>
      <w:r>
        <w:rPr>
          <w:rFonts w:ascii="Times New Roman" w:hAnsi="Times New Roman" w:eastAsia="Times New Roman" w:cs="Times New Roman"/>
          <w:color w:val="1A1A1A"/>
          <w:sz w:val="22"/>
          <w:szCs w:val="22"/>
        </w:rPr>
        <w:t>The ReStart Fund enables countries affected by crisis to access timely and tailored financing to stabilize institutions, support recovery, and re-ignite economic activity. The Fund offers a continuum of support from initial recovery grants to catalytic capital for longer-term investments.</w:t>
      </w:r>
    </w:p>
    <w:p>
      <w:pPr>
        <w:pStyle w:val="Normal"/>
      </w:pPr>
      <w:r>
        <w:rPr>
          <w:rFonts w:ascii="Times New Roman" w:hAnsi="Times New Roman" w:eastAsia="Times New Roman" w:cs="Times New Roman"/>
          <w:color w:val="1A1A1A"/>
          <w:sz w:val="22"/>
          <w:szCs w:val="22"/>
        </w:rPr>
        <w:t>The ReStart Fund is a key initiative under the Recovery and Resilience Financing Platform (RRFP), launched by the Government of Spain and UNDP under the Seville Platform for Action. The RRFP is endorsed by the African Development Bank, the European Investment Bank, the World Bank, IFAD, UNCDF, and other major development institutions.</w:t>
      </w:r>
    </w:p>
    <w:p>
      <w:pPr>
        <w:pStyle w:val="Normal"/>
      </w:pPr>
      <w:r>
        <w:rPr>
          <w:rFonts w:ascii="Times New Roman" w:hAnsi="Times New Roman" w:eastAsia="Times New Roman" w:cs="Times New Roman"/>
          <w:color w:val="1A1A1A"/>
          <w:sz w:val="22"/>
          <w:szCs w:val="22"/>
        </w:rPr>
        <w:t>Application pathway: Iran accesses the ReStart Fund through UNDP's country office in Tehran. The Fund provides rapid-response grants (30-day processing) for urgent stabilization needs, followed by catalytic capital for longer-term recovery investments. The RSC coordinates ReStart Fund applications with MRF Sub-Fund programming.</w:t>
      </w:r>
    </w:p>
    <w:p>
      <w:pPr>
        <w:pStyle w:val="Heading3"/>
      </w:pPr>
      <w:r>
        <w:rPr>
          <w:rFonts w:ascii="Times New Roman" w:hAnsi="Times New Roman" w:eastAsia="Times New Roman" w:cs="Times New Roman"/>
          <w:b/>
          <w:i/>
          <w:color w:val="4A4A4A"/>
          <w:sz w:val="22"/>
          <w:szCs w:val="22"/>
        </w:rPr>
        <w:t>G.3.3 Recovery and Resilience Financing Platform (RRFP)</w:t>
      </w:r>
    </w:p>
    <w:p>
      <w:pPr>
        <w:pStyle w:val="Normal"/>
      </w:pPr>
      <w:r>
        <w:rPr>
          <w:rFonts w:ascii="Times New Roman" w:hAnsi="Times New Roman" w:eastAsia="Times New Roman" w:cs="Times New Roman"/>
          <w:color w:val="1A1A1A"/>
          <w:sz w:val="22"/>
          <w:szCs w:val="22"/>
        </w:rPr>
        <w:t>The RRFP addresses the chronic underfunding of recovery and resilience initiatives by bringing together partners and initiatives to provide tailored and coordinated support for country-led efforts to access new sources of public and private finance. The Platform supports global advocacy, joint learning, and the co-designing of crisis-responsive financing instruments.</w:t>
      </w:r>
    </w:p>
    <w:p>
      <w:pPr>
        <w:pStyle w:val="Normal"/>
      </w:pPr>
      <w:r>
        <w:rPr>
          <w:rFonts w:ascii="Times New Roman" w:hAnsi="Times New Roman" w:eastAsia="Times New Roman" w:cs="Times New Roman"/>
          <w:color w:val="1A1A1A"/>
          <w:sz w:val="22"/>
          <w:szCs w:val="22"/>
        </w:rPr>
        <w:t>Endorsing entities include: African Development Bank, European Development Finance Institutions, European Investment Bank, G7+, International Fund for Agricultural Development, Meridiam, One Earth Future, the World Bank, UNCDF, and UNCCD.</w:t>
      </w:r>
    </w:p>
    <w:p>
      <w:pPr>
        <w:pStyle w:val="Normal"/>
      </w:pPr>
      <w:r>
        <w:rPr>
          <w:rFonts w:ascii="Times New Roman" w:hAnsi="Times New Roman" w:eastAsia="Times New Roman" w:cs="Times New Roman"/>
          <w:color w:val="1A1A1A"/>
          <w:sz w:val="22"/>
          <w:szCs w:val="22"/>
        </w:rPr>
        <w:t>Application pathway: Iran engages the RRFP through UNDP coordination. The RSC secretariat serves as the national focal point for RRFP engagement. The Platform provides access to blended finance instruments, technical assistance, and investor matchmaking.</w:t>
      </w:r>
    </w:p>
    <w:p>
      <w:pPr>
        <w:pStyle w:val="Heading2"/>
      </w:pPr>
      <w:r>
        <w:rPr>
          <w:rFonts w:ascii="Times New Roman" w:hAnsi="Times New Roman" w:eastAsia="Times New Roman" w:cs="Times New Roman"/>
          <w:b/>
          <w:color w:val="2E5A6B"/>
          <w:sz w:val="24"/>
          <w:szCs w:val="24"/>
        </w:rPr>
        <w:t>G.4 Islamic Finance Instruments</w:t>
      </w:r>
    </w:p>
    <w:p>
      <w:pPr>
        <w:pStyle w:val="Heading3"/>
      </w:pPr>
      <w:r>
        <w:rPr>
          <w:rFonts w:ascii="Times New Roman" w:hAnsi="Times New Roman" w:eastAsia="Times New Roman" w:cs="Times New Roman"/>
          <w:b/>
          <w:i/>
          <w:color w:val="4A4A4A"/>
          <w:sz w:val="22"/>
          <w:szCs w:val="22"/>
        </w:rPr>
        <w:t>G.4.1 Sovereign and Infrastructure Sukuk</w:t>
      </w:r>
    </w:p>
    <w:p>
      <w:pPr>
        <w:pStyle w:val="Normal"/>
      </w:pPr>
      <w:r>
        <w:rPr>
          <w:rFonts w:ascii="Times New Roman" w:hAnsi="Times New Roman" w:eastAsia="Times New Roman" w:cs="Times New Roman"/>
          <w:color w:val="1A1A1A"/>
          <w:sz w:val="22"/>
          <w:szCs w:val="22"/>
        </w:rPr>
        <w:t>Sukuk are investment certificates representing ownership shares in underlying assets. Unlike conventional bonds, sukuk do not represent debt obligations but rather participatory investment in tangible assets or projects. The MRF establishes a Sukuk Issuance Window for sovereign and infrastructure sukuk to fund reconstruction projects.</w:t>
      </w:r>
    </w:p>
    <w:p>
      <w:pPr>
        <w:pStyle w:val="Normal"/>
      </w:pPr>
      <w:r>
        <w:rPr>
          <w:rFonts w:ascii="Times New Roman" w:hAnsi="Times New Roman" w:eastAsia="Times New Roman" w:cs="Times New Roman"/>
          <w:color w:val="1A1A1A"/>
          <w:sz w:val="22"/>
          <w:szCs w:val="22"/>
        </w:rPr>
        <w:t>The Sukuk Window operates as follows: (1) The RSC identifies reconstruction assets eligible for sukuk backing (power plants, water treatment facilities, transport infrastructure), (2) A special purpose vehicle (SPV) is established under Qatar Central Bank supervision to hold the underlying assets, (3) The SPV issues sukuk certificates to investors, (4) Investors receive returns based on asset-generated revenue (tolls, utility fees, tariffs), (5) The Qatar Central Bank provides a partial credit guarantee for senior tranches.</w:t>
      </w:r>
    </w:p>
    <w:p>
      <w:pPr>
        <w:pStyle w:val="Normal"/>
      </w:pPr>
      <w:r>
        <w:rPr>
          <w:rFonts w:ascii="Times New Roman" w:hAnsi="Times New Roman" w:eastAsia="Times New Roman" w:cs="Times New Roman"/>
          <w:color w:val="1A1A1A"/>
          <w:sz w:val="22"/>
          <w:szCs w:val="22"/>
        </w:rPr>
        <w:t>Target issuance: $5-10 billion over the reconstruction period. Primary investors include GCC sovereign wealth funds, Islamic banks, and institutional investors seeking Shari'ah-compliant assets. Green Sukuk variants target climate-focused projects under the CCPF (Article 6.4).</w:t>
      </w:r>
    </w:p>
    <w:p>
      <w:pPr>
        <w:pStyle w:val="Heading3"/>
      </w:pPr>
      <w:r>
        <w:rPr>
          <w:rFonts w:ascii="Times New Roman" w:hAnsi="Times New Roman" w:eastAsia="Times New Roman" w:cs="Times New Roman"/>
          <w:b/>
          <w:i/>
          <w:color w:val="4A4A4A"/>
          <w:sz w:val="22"/>
          <w:szCs w:val="22"/>
        </w:rPr>
        <w:t>G.4.2 Musharakah and Mudaraba Partnership Financing</w:t>
      </w:r>
    </w:p>
    <w:p>
      <w:pPr>
        <w:pStyle w:val="Normal"/>
      </w:pPr>
      <w:r>
        <w:rPr>
          <w:rFonts w:ascii="Times New Roman" w:hAnsi="Times New Roman" w:eastAsia="Times New Roman" w:cs="Times New Roman"/>
          <w:color w:val="1A1A1A"/>
          <w:sz w:val="22"/>
          <w:szCs w:val="22"/>
        </w:rPr>
        <w:t>Musharakah (diminishing partnership) and Mudaraba (silent partnership) are Islamic partnership financing structures where investor income derives from profit-sharing rather than fixed interest. The MRF uses these instruments for projects with predictable revenue streams.</w:t>
      </w:r>
    </w:p>
    <w:p>
      <w:pPr>
        <w:pStyle w:val="Normal"/>
      </w:pPr>
      <w:r>
        <w:rPr>
          <w:rFonts w:ascii="Times New Roman" w:hAnsi="Times New Roman" w:eastAsia="Times New Roman" w:cs="Times New Roman"/>
          <w:color w:val="1A1A1A"/>
          <w:sz w:val="22"/>
          <w:szCs w:val="22"/>
        </w:rPr>
        <w:t>Under Musharakah, the MRF and an Islamic financier (typically the IsDB or a GCC Islamic bank) jointly own a project asset. The financier's share diminishes over time as the project generates revenue, eventually transferring full ownership to the MRF. Under Mudarabah, the MRF provides capital while the Islamic financier provides management expertise. Profits are shared according to a pre-agreed ratio.</w:t>
      </w:r>
    </w:p>
    <w:p>
      <w:pPr>
        <w:pStyle w:val="Normal"/>
      </w:pPr>
      <w:r>
        <w:rPr>
          <w:rFonts w:ascii="Times New Roman" w:hAnsi="Times New Roman" w:eastAsia="Times New Roman" w:cs="Times New Roman"/>
          <w:color w:val="1A1A1A"/>
          <w:sz w:val="22"/>
          <w:szCs w:val="22"/>
        </w:rPr>
        <w:t>These instruments are ideal for energy infrastructure (electricity generation, renewable energy), transport assets (ports, airports, toll roads), and water utilities where user fees generate predictable revenue. The IsDB and GCC Islamic Development Bank coordinate Musharakah and Mudaraba structuring through the RSC.</w:t>
      </w:r>
    </w:p>
    <w:p>
      <w:pPr>
        <w:pStyle w:val="Heading3"/>
      </w:pPr>
      <w:r>
        <w:rPr>
          <w:rFonts w:ascii="Times New Roman" w:hAnsi="Times New Roman" w:eastAsia="Times New Roman" w:cs="Times New Roman"/>
          <w:b/>
          <w:i/>
          <w:color w:val="4A4A4A"/>
          <w:sz w:val="22"/>
          <w:szCs w:val="22"/>
        </w:rPr>
        <w:t>G.4.3 Ijara (Islamic Leasing)</w:t>
      </w:r>
    </w:p>
    <w:p>
      <w:pPr>
        <w:pStyle w:val="Normal"/>
      </w:pPr>
      <w:r>
        <w:rPr>
          <w:rFonts w:ascii="Times New Roman" w:hAnsi="Times New Roman" w:eastAsia="Times New Roman" w:cs="Times New Roman"/>
          <w:color w:val="1A1A1A"/>
          <w:sz w:val="22"/>
          <w:szCs w:val="22"/>
        </w:rPr>
        <w:t>Ijara structures financing for equipment-heavy infrastructure assets. Under Ijara, the MRF (through the Qatar Central Bank) purchases equipment (power generation units, water treatment machinery, construction equipment, medical devices) and leases it to Iranian project operators. Ownership transfers to Iran upon completion of lease payments.</w:t>
      </w:r>
    </w:p>
    <w:p>
      <w:pPr>
        <w:pStyle w:val="Normal"/>
      </w:pPr>
      <w:r>
        <w:rPr>
          <w:rFonts w:ascii="Times New Roman" w:hAnsi="Times New Roman" w:eastAsia="Times New Roman" w:cs="Times New Roman"/>
          <w:color w:val="1A1A1A"/>
          <w:sz w:val="22"/>
          <w:szCs w:val="22"/>
        </w:rPr>
        <w:t>Ijara is particularly suited for MRF-Energy, MRF-Water, and MRF-Health projects requiring specialized equipment. Lease terms align with project revenue cycles. The Islamic Corporation for the Insurance of Investment and Export Credit (ICIEC) provides default insurance for Ijara transactions.</w:t>
      </w:r>
    </w:p>
    <w:p>
      <w:pPr>
        <w:pStyle w:val="Heading3"/>
      </w:pPr>
      <w:r>
        <w:rPr>
          <w:rFonts w:ascii="Times New Roman" w:hAnsi="Times New Roman" w:eastAsia="Times New Roman" w:cs="Times New Roman"/>
          <w:b/>
          <w:i/>
          <w:color w:val="4A4A4A"/>
          <w:sz w:val="22"/>
          <w:szCs w:val="22"/>
        </w:rPr>
        <w:t>G.4.4 Qard al-Hasan (Benevolent Loans)</w:t>
      </w:r>
    </w:p>
    <w:p>
      <w:pPr>
        <w:pStyle w:val="Normal"/>
      </w:pPr>
      <w:r>
        <w:rPr>
          <w:rFonts w:ascii="Times New Roman" w:hAnsi="Times New Roman" w:eastAsia="Times New Roman" w:cs="Times New Roman"/>
          <w:color w:val="1A1A1A"/>
          <w:sz w:val="22"/>
          <w:szCs w:val="22"/>
        </w:rPr>
        <w:t>Qard al-Hasan provides interest-free loans for humanitarian and social infrastructure that does not generate direct revenue. Eligible projects include schools, community health centers, public sanitation systems, and emergency housing. The IsDB Waqf Fund and faith-based organizations provide Qard al-Hasan capital.</w:t>
      </w:r>
    </w:p>
    <w:p>
      <w:pPr>
        <w:pStyle w:val="Normal"/>
      </w:pPr>
      <w:r>
        <w:rPr>
          <w:rFonts w:ascii="Times New Roman" w:hAnsi="Times New Roman" w:eastAsia="Times New Roman" w:cs="Times New Roman"/>
          <w:color w:val="1A1A1A"/>
          <w:sz w:val="22"/>
          <w:szCs w:val="22"/>
        </w:rPr>
        <w:t>The MRF administers Qard al-Hasan through a dedicated Humanitarian Corridor within the MRF-Health and MRF-Housing Sub-Funds. Loans are repaid through a voluntary community contribution mechanism or through cross-subsidization from revenue-generating projects within the same Sub-Fund.</w:t>
      </w:r>
    </w:p>
    <w:p>
      <w:pPr>
        <w:pStyle w:val="Heading2"/>
      </w:pPr>
      <w:r>
        <w:rPr>
          <w:rFonts w:ascii="Times New Roman" w:hAnsi="Times New Roman" w:eastAsia="Times New Roman" w:cs="Times New Roman"/>
          <w:b/>
          <w:color w:val="2E5A6B"/>
          <w:sz w:val="24"/>
          <w:szCs w:val="24"/>
        </w:rPr>
        <w:t>G.5 Results-Based and Impact Financing</w:t>
      </w:r>
    </w:p>
    <w:p>
      <w:pPr>
        <w:pStyle w:val="Heading3"/>
      </w:pPr>
      <w:r>
        <w:rPr>
          <w:rFonts w:ascii="Times New Roman" w:hAnsi="Times New Roman" w:eastAsia="Times New Roman" w:cs="Times New Roman"/>
          <w:b/>
          <w:i/>
          <w:color w:val="4A4A4A"/>
          <w:sz w:val="22"/>
          <w:szCs w:val="22"/>
        </w:rPr>
        <w:t>G.5.1 Development Impact Bonds (DIBs)</w:t>
      </w:r>
    </w:p>
    <w:p>
      <w:pPr>
        <w:pStyle w:val="Normal"/>
      </w:pPr>
      <w:r>
        <w:rPr>
          <w:rFonts w:ascii="Times New Roman" w:hAnsi="Times New Roman" w:eastAsia="Times New Roman" w:cs="Times New Roman"/>
          <w:color w:val="1A1A1A"/>
          <w:sz w:val="22"/>
          <w:szCs w:val="22"/>
        </w:rPr>
        <w:t>Development Impact Bonds are results-based financing instruments where private investors provide upfront capital for social programs and are repaid by outcome funders (governments or foundations) if specific results are achieved. The MRF uses DIBs to target high-priority outcomes in job creation, health service delivery, and educational attainment.</w:t>
      </w:r>
    </w:p>
    <w:p>
      <w:pPr>
        <w:pStyle w:val="Normal"/>
      </w:pPr>
      <w:r>
        <w:rPr>
          <w:rFonts w:ascii="Times New Roman" w:hAnsi="Times New Roman" w:eastAsia="Times New Roman" w:cs="Times New Roman"/>
          <w:color w:val="1A1A1A"/>
          <w:sz w:val="22"/>
          <w:szCs w:val="22"/>
        </w:rPr>
        <w:t>The DIB structure operates as follows: (1) The RSC identifies a measurable outcome target (e.g., 100,000 jobs created in construction sector, 500,000 people receiving primary healthcare), (2) Private investors (social impact funds, development finance institutions) provide upfront capital to service providers, (3) An independent verifier measures outcome achievement against the target, (4) Outcome funders (bilateral donors, foundations) repay investors based on verified results, with higher returns for over-performance.</w:t>
      </w:r>
    </w:p>
    <w:p>
      <w:pPr>
        <w:pStyle w:val="Normal"/>
      </w:pPr>
      <w:r>
        <w:rPr>
          <w:rFonts w:ascii="Times New Roman" w:hAnsi="Times New Roman" w:eastAsia="Times New Roman" w:cs="Times New Roman"/>
          <w:color w:val="1A1A1A"/>
          <w:sz w:val="22"/>
          <w:szCs w:val="22"/>
        </w:rPr>
        <w:t>The World Bank's Finance for Jobs (F4J) DIB in the West Bank demonstrates the viability of this model for conflict-affected settings. The MRF targets $500 million to $1 billion in DIB issuance across the reconstruction period.</w:t>
      </w:r>
    </w:p>
    <w:p>
      <w:pPr>
        <w:pStyle w:val="Heading3"/>
      </w:pPr>
      <w:r>
        <w:rPr>
          <w:rFonts w:ascii="Times New Roman" w:hAnsi="Times New Roman" w:eastAsia="Times New Roman" w:cs="Times New Roman"/>
          <w:b/>
          <w:i/>
          <w:color w:val="4A4A4A"/>
          <w:sz w:val="22"/>
          <w:szCs w:val="22"/>
        </w:rPr>
        <w:t>G.5.2 Humanitarian Impact Bonds (HIBs)</w:t>
      </w:r>
    </w:p>
    <w:p>
      <w:pPr>
        <w:pStyle w:val="Normal"/>
      </w:pPr>
      <w:r>
        <w:rPr>
          <w:rFonts w:ascii="Times New Roman" w:hAnsi="Times New Roman" w:eastAsia="Times New Roman" w:cs="Times New Roman"/>
          <w:color w:val="1A1A1A"/>
          <w:sz w:val="22"/>
          <w:szCs w:val="22"/>
        </w:rPr>
        <w:t>Humanitarian Impact Bonds are DIB variants designed specifically for humanitarian settings. The ICRC's pioneering HIB raised CHF 26 million for physical rehabilitation centers in conflict-affected countries (Mali, Nigeria, DRC), with outcome funders including Switzerland, Belgium, Italy, the UK, and La Caixa Foundation.</w:t>
      </w:r>
    </w:p>
    <w:p>
      <w:pPr>
        <w:pStyle w:val="Normal"/>
      </w:pPr>
      <w:r>
        <w:rPr>
          <w:rFonts w:ascii="Times New Roman" w:hAnsi="Times New Roman" w:eastAsia="Times New Roman" w:cs="Times New Roman"/>
          <w:color w:val="1A1A1A"/>
          <w:sz w:val="22"/>
          <w:szCs w:val="22"/>
        </w:rPr>
        <w:t>The MRF uses HIBs for measurable humanitarian outcomes including: demining and UXO clearance, disability rehabilitation services, emergency medical response capacity, and community stabilization programming. The PRI Pool provides investor protection for HIB capital. Outcome funders include bilateral donors, foundations, and UN agencies.</w:t>
      </w:r>
    </w:p>
    <w:p>
      <w:pPr>
        <w:pStyle w:val="Heading2"/>
      </w:pPr>
      <w:r>
        <w:rPr>
          <w:rFonts w:ascii="Times New Roman" w:hAnsi="Times New Roman" w:eastAsia="Times New Roman" w:cs="Times New Roman"/>
          <w:b/>
          <w:color w:val="2E5A6B"/>
          <w:sz w:val="24"/>
          <w:szCs w:val="24"/>
        </w:rPr>
        <w:t>G.6 Global Infrastructure Facility</w:t>
      </w:r>
    </w:p>
    <w:p>
      <w:pPr>
        <w:pStyle w:val="Normal"/>
      </w:pPr>
      <w:r>
        <w:rPr>
          <w:rFonts w:ascii="Times New Roman" w:hAnsi="Times New Roman" w:eastAsia="Times New Roman" w:cs="Times New Roman"/>
          <w:color w:val="1A1A1A"/>
          <w:sz w:val="22"/>
          <w:szCs w:val="22"/>
        </w:rPr>
        <w:t>The Global Infrastructure Facility (GIF) is a World Bank partnership platform that facilitates the preparation and structuring of complex infrastructure public-private partnerships. The GIF coordinates multilateral development banks, private sector investors, and governments to prepare, structure, and implement complex projects that no single institution could handle alone.</w:t>
      </w:r>
    </w:p>
    <w:p>
      <w:pPr>
        <w:pStyle w:val="Normal"/>
      </w:pPr>
      <w:r>
        <w:rPr>
          <w:rFonts w:ascii="Times New Roman" w:hAnsi="Times New Roman" w:eastAsia="Times New Roman" w:cs="Times New Roman"/>
          <w:color w:val="1A1A1A"/>
          <w:sz w:val="22"/>
          <w:szCs w:val="22"/>
        </w:rPr>
        <w:t>The GIF provides end-to-end support from upstream market structure and project identification through transaction preparation, financial structuring, and credit enhancement. The GIF targets climate-smart and trade-enabling infrastructure in emerging markets and developing economies.</w:t>
      </w:r>
    </w:p>
    <w:p>
      <w:pPr>
        <w:pStyle w:val="Normal"/>
      </w:pPr>
      <w:r>
        <w:rPr>
          <w:rFonts w:ascii="Times New Roman" w:hAnsi="Times New Roman" w:eastAsia="Times New Roman" w:cs="Times New Roman"/>
          <w:color w:val="1A1A1A"/>
          <w:sz w:val="22"/>
          <w:szCs w:val="22"/>
        </w:rPr>
        <w:t>Application pathway: Iran submits infrastructure projects to the GIF through the World Bank. The GIF provides technical assistance for project preparation, private investor matchmaking, and financial structuring. The RSC coordinates GIF engagement for MRF transport, energy, and water projects seeking private capital participation.</w:t>
      </w:r>
    </w:p>
    <w:p>
      <w:pPr>
        <w:pStyle w:val="Heading2"/>
      </w:pPr>
      <w:r>
        <w:rPr>
          <w:rFonts w:ascii="Times New Roman" w:hAnsi="Times New Roman" w:eastAsia="Times New Roman" w:cs="Times New Roman"/>
          <w:b/>
          <w:color w:val="2E5A6B"/>
          <w:sz w:val="24"/>
          <w:szCs w:val="24"/>
        </w:rPr>
        <w:t>G.7 Additional Foundation Sources</w:t>
      </w:r>
    </w:p>
    <w:p>
      <w:pPr>
        <w:pStyle w:val="Normal"/>
      </w:pPr>
      <w:r>
        <w:rPr>
          <w:rFonts w:ascii="Times New Roman" w:hAnsi="Times New Roman" w:eastAsia="Times New Roman" w:cs="Times New Roman"/>
          <w:color w:val="1A1A1A"/>
          <w:sz w:val="22"/>
          <w:szCs w:val="22"/>
        </w:rPr>
        <w:t>The following foundations provide grants and program-related investments for post-conflict reconstruction and development. The RSC maintains active engagement with each foundation and coordinates joint applications where applicable.</w:t>
      </w:r>
    </w:p>
    <w:p>
      <w:pPr>
        <w:pStyle w:val="Normal"/>
      </w:pPr>
      <w:r>
        <w:rPr>
          <w:rFonts w:ascii="Times New Roman" w:hAnsi="Times New Roman" w:eastAsia="Times New Roman" w:cs="Times New Roman"/>
          <w:color w:val="1A1A1A"/>
          <w:sz w:val="22"/>
          <w:szCs w:val="22"/>
        </w:rPr>
        <w:t xml:space="preserve">•  Skoll Foundation: Supports social entrepreneurs addressing global challenges. Focus on health, education, and environmental sustainability.</w:t>
      </w:r>
    </w:p>
    <w:p>
      <w:pPr>
        <w:pStyle w:val="Normal"/>
      </w:pPr>
      <w:r>
        <w:rPr>
          <w:rFonts w:ascii="Times New Roman" w:hAnsi="Times New Roman" w:eastAsia="Times New Roman" w:cs="Times New Roman"/>
          <w:color w:val="1A1A1A"/>
          <w:sz w:val="22"/>
          <w:szCs w:val="22"/>
        </w:rPr>
        <w:t xml:space="preserve">•  Kresge Foundation: Climate resilience, urban infrastructure, and equitable development. U.S.-based with global program reach.</w:t>
      </w:r>
    </w:p>
    <w:p>
      <w:pPr>
        <w:pStyle w:val="Normal"/>
      </w:pPr>
      <w:r>
        <w:rPr>
          <w:rFonts w:ascii="Times New Roman" w:hAnsi="Times New Roman" w:eastAsia="Times New Roman" w:cs="Times New Roman"/>
          <w:color w:val="1A1A1A"/>
          <w:sz w:val="22"/>
          <w:szCs w:val="22"/>
        </w:rPr>
        <w:t xml:space="preserve">•  Mastercard Foundation: Youth employment, education, and economic development in emerging markets. Focus on Africa and the Middle East.</w:t>
      </w:r>
    </w:p>
    <w:p>
      <w:pPr>
        <w:pStyle w:val="Normal"/>
      </w:pPr>
      <w:r>
        <w:rPr>
          <w:rFonts w:ascii="Times New Roman" w:hAnsi="Times New Roman" w:eastAsia="Times New Roman" w:cs="Times New Roman"/>
          <w:color w:val="1A1A1A"/>
          <w:sz w:val="22"/>
          <w:szCs w:val="22"/>
        </w:rPr>
        <w:t xml:space="preserve">•  Stavros Niarchos Foundation: Cultural heritage preservation, education, health, and social welfare. Supports large-scale infrastructure projects.</w:t>
      </w:r>
    </w:p>
    <w:p>
      <w:pPr>
        <w:pStyle w:val="Normal"/>
      </w:pPr>
      <w:r>
        <w:rPr>
          <w:rFonts w:ascii="Times New Roman" w:hAnsi="Times New Roman" w:eastAsia="Times New Roman" w:cs="Times New Roman"/>
          <w:color w:val="1A1A1A"/>
          <w:sz w:val="22"/>
          <w:szCs w:val="22"/>
        </w:rPr>
        <w:t xml:space="preserve">•  IKEA Foundation: Climate action, renewable energy, and sustainable livelihoods in developing countries.</w:t>
      </w:r>
    </w:p>
    <w:p>
      <w:pPr>
        <w:pStyle w:val="Normal"/>
      </w:pPr>
      <w:r>
        <w:rPr>
          <w:rFonts w:ascii="Times New Roman" w:hAnsi="Times New Roman" w:eastAsia="Times New Roman" w:cs="Times New Roman"/>
          <w:color w:val="1A1A1A"/>
          <w:sz w:val="22"/>
          <w:szCs w:val="22"/>
        </w:rPr>
        <w:t xml:space="preserve">•  International Development Research Centre (IDRC): Canada-based research funding for development solutions. Supports policy research and innovation.</w:t>
      </w:r>
    </w:p>
    <w:p>
      <w:pPr>
        <w:pStyle w:val="Normal"/>
      </w:pPr>
      <w:r>
        <w:rPr>
          <w:rFonts w:ascii="Times New Roman" w:hAnsi="Times New Roman" w:eastAsia="Times New Roman" w:cs="Times New Roman"/>
          <w:color w:val="1A1A1A"/>
          <w:sz w:val="22"/>
          <w:szCs w:val="22"/>
        </w:rPr>
        <w:t xml:space="preserve">•  International Foundation for Science (IFS): Sweden-based research grants for scientists in developing countries. Supports agricultural, environmental, and health research.</w:t>
      </w:r>
    </w:p>
    <w:p>
      <w:pPr>
        <w:pStyle w:val="Heading2"/>
      </w:pPr>
      <w:r>
        <w:rPr>
          <w:rFonts w:ascii="Times New Roman" w:hAnsi="Times New Roman" w:eastAsia="Times New Roman" w:cs="Times New Roman"/>
          <w:b/>
          <w:color w:val="2E5A6B"/>
          <w:sz w:val="24"/>
          <w:szCs w:val="24"/>
        </w:rPr>
        <w:t>G.8 Women Entrepreneurs Finance Initiative (We-Fi)</w:t>
      </w:r>
    </w:p>
    <w:p>
      <w:pPr>
        <w:pStyle w:val="Normal"/>
      </w:pPr>
      <w:r>
        <w:rPr>
          <w:rFonts w:ascii="Times New Roman" w:hAnsi="Times New Roman" w:eastAsia="Times New Roman" w:cs="Times New Roman"/>
          <w:color w:val="1A1A1A"/>
          <w:sz w:val="22"/>
          <w:szCs w:val="22"/>
        </w:rPr>
        <w:t>We-Fi is a World Bank-administered financial intermediary fund that supports women entrepreneurs in developing countries. We-Fi provides financing, technical assistance, and policy advocacy to increase women's participation in business and economic activity. Iran qualifies as a developing country beneficiary.</w:t>
      </w:r>
    </w:p>
    <w:p>
      <w:pPr>
        <w:pStyle w:val="Normal"/>
      </w:pPr>
      <w:r>
        <w:rPr>
          <w:rFonts w:ascii="Times New Roman" w:hAnsi="Times New Roman" w:eastAsia="Times New Roman" w:cs="Times New Roman"/>
          <w:color w:val="1A1A1A"/>
          <w:sz w:val="22"/>
          <w:szCs w:val="22"/>
        </w:rPr>
        <w:t>The MRF coordinates with We-Fi to ensure that women-owned businesses and women-led contractors receive equitable access to reconstruction procurement. We-Fi funding supports capacity building for women entrepreneurs in construction, engineering, healthcare, and professional services.</w:t>
      </w:r>
    </w:p>
    <w:p>
      <w:pPr>
        <w:pStyle w:val="Heading2"/>
      </w:pPr>
      <w:r>
        <w:rPr>
          <w:rFonts w:ascii="Times New Roman" w:hAnsi="Times New Roman" w:eastAsia="Times New Roman" w:cs="Times New Roman"/>
          <w:b/>
          <w:color w:val="2E5A6B"/>
          <w:sz w:val="24"/>
          <w:szCs w:val="24"/>
        </w:rPr>
        <w:t>G.10 OPEC Fund for International Development (OFID)</w:t>
      </w:r>
    </w:p>
    <w:p>
      <w:pPr>
        <w:pStyle w:val="Normal"/>
      </w:pPr>
      <w:r>
        <w:rPr>
          <w:rFonts w:ascii="Times New Roman" w:hAnsi="Times New Roman" w:eastAsia="Times New Roman" w:cs="Times New Roman"/>
          <w:color w:val="1A1A1A"/>
          <w:sz w:val="22"/>
          <w:szCs w:val="22"/>
        </w:rPr>
        <w:t>The OPEC Fund for International Development (OFID) is a multilateral development finance institution established in 1976 by the Member States of the Organization of the Petroleum Exporting Countries. OFID provides concessional financing for energy, water, agriculture, transport, and social infrastructure projects in developing countries. The Fund has approved over US$316 million in financing for Mauritania alone, distributed across energy interconnection, water supply, and agricultural modernization projects. OFID operates as a separate legal entity from OPEC and maintains independent governance.</w:t>
      </w:r>
    </w:p>
    <w:p>
      <w:pPr>
        <w:pStyle w:val="Normal"/>
      </w:pPr>
      <w:r>
        <w:rPr>
          <w:rFonts w:ascii="Times New Roman" w:hAnsi="Times New Roman" w:eastAsia="Times New Roman" w:cs="Times New Roman"/>
          <w:color w:val="1A1A1A"/>
          <w:sz w:val="22"/>
          <w:szCs w:val="22"/>
        </w:rPr>
        <w:t>OFID offers public sector loans on concessional terms, private sector financing through direct loans and equity participation, and trade finance facilities. The Fund co-finances with other multilateral institutions including the African Development Bank, Islamic Development Bank, and Arab Coordination Group members. OFID's energy portfolio emphasizes renewable energy, rural electrification, and cross-border power interconnection.</w:t>
      </w:r>
    </w:p>
    <w:p>
      <w:pPr>
        <w:pStyle w:val="Normal"/>
      </w:pPr>
      <w:r>
        <w:rPr>
          <w:rFonts w:ascii="Times New Roman" w:hAnsi="Times New Roman" w:eastAsia="Times New Roman" w:cs="Times New Roman"/>
          <w:color w:val="1A1A1A"/>
          <w:sz w:val="22"/>
          <w:szCs w:val="22"/>
        </w:rPr>
        <w:t>Application pathway: Iran accesses OFID through direct government-to-Fund engagement via the Ministry of Economic Affairs and Finance. OFID requires a formal financing request supported by feasibility studies and environmental assessments. The RSC coordinates OFID applications for MRF-Energy and MRF-Water projects, leveraging OFID's demonstrated appetite for power interconnection and water infrastructure.</w:t>
      </w:r>
    </w:p>
    <w:p>
      <w:pPr>
        <w:pStyle w:val="Heading2"/>
      </w:pPr>
      <w:r>
        <w:rPr>
          <w:rFonts w:ascii="Times New Roman" w:hAnsi="Times New Roman" w:eastAsia="Times New Roman" w:cs="Times New Roman"/>
          <w:b/>
          <w:color w:val="2E5A6B"/>
          <w:sz w:val="24"/>
          <w:szCs w:val="24"/>
        </w:rPr>
        <w:t>G.11 Arab Coordination Group (ACG)</w:t>
      </w:r>
    </w:p>
    <w:p>
      <w:pPr>
        <w:pStyle w:val="Normal"/>
      </w:pPr>
      <w:r>
        <w:rPr>
          <w:rFonts w:ascii="Times New Roman" w:hAnsi="Times New Roman" w:eastAsia="Times New Roman" w:cs="Times New Roman"/>
          <w:color w:val="1A1A1A"/>
          <w:sz w:val="22"/>
          <w:szCs w:val="22"/>
        </w:rPr>
        <w:t>The Arab Coordination Group (ACG) is a strategic alliance of ten Arab national and regional development institutions: the Abu Dhabi Fund for Development (ADFD), the Arab Bank for Economic Development in Africa (BADEA), the Arab Fund for Economic and Social Development (AFESD), the Arab Gulf Programme for United Nations Development Organizations (AGFUND), the Arab Monetary Fund (AMF), the Islamic Development Bank (IsDB), the Kuwait Fund for Arab Economic Development, the OPEC Fund for International Development (OFID), the Saudi Fund for Development (SFD), and the Qatar Fund for Development (QFFD).</w:t>
      </w:r>
    </w:p>
    <w:p>
      <w:pPr>
        <w:pStyle w:val="Normal"/>
      </w:pPr>
      <w:r>
        <w:rPr>
          <w:rFonts w:ascii="Times New Roman" w:hAnsi="Times New Roman" w:eastAsia="Times New Roman" w:cs="Times New Roman"/>
          <w:color w:val="1A1A1A"/>
          <w:sz w:val="22"/>
          <w:szCs w:val="22"/>
        </w:rPr>
        <w:t>The ACG operates a coordinated deployment mechanism for major regional initiatives. Member institutions pool resources, align terms, and co-finance large-scale infrastructure programmes. The ACG pledged US$2 billion for energy, water, transport, and digital infrastructure in Mauritania over a five-year period, demonstrating the Group's capacity for concentrated country-level engagement. Individual ACG members maintain separate application processes and financing terms, allowing flexible single-source or multi-source access.</w:t>
      </w:r>
    </w:p>
    <w:p>
      <w:pPr>
        <w:pStyle w:val="Normal"/>
      </w:pPr>
      <w:r>
        <w:rPr>
          <w:rFonts w:ascii="Times New Roman" w:hAnsi="Times New Roman" w:eastAsia="Times New Roman" w:cs="Times New Roman"/>
          <w:color w:val="1A1A1A"/>
          <w:sz w:val="22"/>
          <w:szCs w:val="22"/>
        </w:rPr>
        <w:t>Application pathway: Iran engages ACG through multiple channels simultaneously. The RSC coordinates with each ACG member institution through its respective headquarters, presenting standardized project portfolios for co-financing consideration. Priority engagement targets ADFD (Abu Dhabi), AFESD (Kuwait), SFD (Riyadh), and IsDB (Jeddah) as the largest capital providers. The RSC establishes a dedicated ACG Liaison Desk to manage parallel negotiations and ensure coordinated disbursement timelines.</w:t>
      </w:r>
    </w:p>
    <w:p>
      <w:pPr>
        <w:pStyle w:val="Heading2"/>
      </w:pPr>
      <w:r>
        <w:rPr>
          <w:rFonts w:ascii="Times New Roman" w:hAnsi="Times New Roman" w:eastAsia="Times New Roman" w:cs="Times New Roman"/>
          <w:b/>
          <w:color w:val="2E5A6B"/>
          <w:sz w:val="24"/>
          <w:szCs w:val="24"/>
        </w:rPr>
        <w:t>G.12 Summary of New Potential Funding</w:t>
      </w:r>
    </w:p>
    <w:p>
      <w:pPr>
        <w:pStyle w:val="Normal"/>
      </w:pPr>
      <w:r>
        <w:rPr>
          <w:rFonts w:ascii="Times New Roman" w:hAnsi="Times New Roman" w:eastAsia="Times New Roman" w:cs="Times New Roman"/>
          <w:color w:val="1A1A1A"/>
          <w:sz w:val="22"/>
          <w:szCs w:val="22"/>
        </w:rPr>
        <w:t>The following table summarizes the additional funding sources documented in this Appendix and their estimated potential allocation for Iranian reconstruction:</w:t>
      </w:r>
    </w:p>
    <w:tbl>
      <w:tblPr>
        <w:tblW w:w="5000" w:type="pct"/>
        <w:tblBorders>
          <w:top w:val="single" w:color="1B3A4B" w:sz="12"/>
          <w:left w:val="nil"/>
          <w:bottom w:val="single" w:color="1B3A4B" w:sz="12"/>
          <w:right w:val="nil"/>
          <w:insideH w:val="single" w:color="b0b0b0" w:sz="4"/>
          <w:insideV w:val="nil"/>
        </w:tblBorders>
      </w:tblPr>
      <w:tblGrid>
        <w:gridCol w:w="1800"/>
        <w:gridCol w:w="4200"/>
        <w:gridCol w:w="2000"/>
      </w:tblGrid>
      <w:tr>
        <w:trPr>
          <w:tblHeader w:val="1"/>
        </w:trPr>
        <w:tc>
          <w:tcPr>
            <w:tcW w:w="1800" w:type="dxa"/>
            <w:shd w:val="clear" w:fill="E8EEF2" w:color="auto"/>
          </w:tcPr>
          <w:p>
            <w:pPr>
              <w:pStyle w:val="Normal"/>
            </w:pPr>
            <w:r>
              <w:rPr>
                <w:rFonts w:ascii="Times New Roman" w:hAnsi="Times New Roman" w:eastAsia="Times New Roman" w:cs="Times New Roman"/>
                <w:color w:val="1A1A1A"/>
                <w:sz w:val="22"/>
                <w:szCs w:val="22"/>
              </w:rPr>
              <w:t>Source</w:t>
            </w:r>
          </w:p>
        </w:tc>
        <w:tc>
          <w:tcPr>
            <w:tcW w:w="4200" w:type="dxa"/>
            <w:shd w:val="clear" w:fill="E8EEF2" w:color="auto"/>
          </w:tcPr>
          <w:p>
            <w:pPr>
              <w:pStyle w:val="Normal"/>
            </w:pPr>
            <w:r>
              <w:rPr>
                <w:rFonts w:ascii="Times New Roman" w:hAnsi="Times New Roman" w:eastAsia="Times New Roman" w:cs="Times New Roman"/>
                <w:color w:val="1A1A1A"/>
                <w:sz w:val="22"/>
                <w:szCs w:val="22"/>
              </w:rPr>
              <w:t>Type</w:t>
            </w:r>
          </w:p>
        </w:tc>
        <w:tc>
          <w:tcPr>
            <w:tcW w:w="2000" w:type="dxa"/>
            <w:shd w:val="clear" w:fill="E8EEF2" w:color="auto"/>
          </w:tcPr>
          <w:p>
            <w:pPr>
              <w:pStyle w:val="Normal"/>
            </w:pPr>
            <w:r>
              <w:rPr>
                <w:rFonts w:ascii="Times New Roman" w:hAnsi="Times New Roman" w:eastAsia="Times New Roman" w:cs="Times New Roman"/>
                <w:color w:val="1A1A1A"/>
                <w:sz w:val="22"/>
                <w:szCs w:val="22"/>
              </w:rPr>
              <w:t>Est. Allocation</w:t>
            </w:r>
          </w:p>
        </w:tc>
      </w:tr>
      <w:tr>
        <w:tc>
          <w:tcPr>
            <w:tcW w:w="1800" w:type="dxa"/>
          </w:tcPr>
          <w:p>
            <w:pPr>
              <w:pStyle w:val="Normal"/>
            </w:pPr>
            <w:r>
              <w:rPr>
                <w:rFonts w:ascii="Times New Roman" w:hAnsi="Times New Roman" w:eastAsia="Times New Roman" w:cs="Times New Roman"/>
                <w:color w:val="1A1A1A"/>
                <w:sz w:val="22"/>
                <w:szCs w:val="22"/>
              </w:rPr>
              <w:t>Kuwait Fund (KFAED)</w:t>
            </w:r>
          </w:p>
        </w:tc>
        <w:tc>
          <w:tcPr>
            <w:tcW w:w="4200" w:type="dxa"/>
          </w:tcPr>
          <w:p>
            <w:pPr>
              <w:pStyle w:val="Normal"/>
            </w:pPr>
            <w:r>
              <w:rPr>
                <w:rFonts w:ascii="Times New Roman" w:hAnsi="Times New Roman" w:eastAsia="Times New Roman" w:cs="Times New Roman"/>
                <w:color w:val="1A1A1A"/>
                <w:sz w:val="22"/>
                <w:szCs w:val="22"/>
              </w:rPr>
              <w:t>Concessional Loan</w:t>
            </w:r>
          </w:p>
        </w:tc>
        <w:tc>
          <w:tcPr>
            <w:tcW w:w="2000" w:type="dxa"/>
          </w:tcPr>
          <w:p>
            <w:pPr>
              <w:pStyle w:val="Normal"/>
            </w:pPr>
            <w:r>
              <w:rPr>
                <w:rFonts w:ascii="Times New Roman" w:hAnsi="Times New Roman" w:eastAsia="Times New Roman" w:cs="Times New Roman"/>
                <w:color w:val="1A1A1A"/>
                <w:sz w:val="22"/>
                <w:szCs w:val="22"/>
              </w:rPr>
              <w:t>$1-2B</w:t>
            </w:r>
          </w:p>
        </w:tc>
      </w:tr>
      <w:tr>
        <w:tc>
          <w:tcPr>
            <w:tcW w:w="1800" w:type="dxa"/>
          </w:tcPr>
          <w:p>
            <w:pPr>
              <w:pStyle w:val="Normal"/>
            </w:pPr>
            <w:r>
              <w:rPr>
                <w:rFonts w:ascii="Times New Roman" w:hAnsi="Times New Roman" w:eastAsia="Times New Roman" w:cs="Times New Roman"/>
                <w:color w:val="1A1A1A"/>
                <w:sz w:val="22"/>
                <w:szCs w:val="22"/>
              </w:rPr>
              <w:t>Arab Fund (AFESD)</w:t>
            </w:r>
          </w:p>
        </w:tc>
        <w:tc>
          <w:tcPr>
            <w:tcW w:w="4200" w:type="dxa"/>
          </w:tcPr>
          <w:p>
            <w:pPr>
              <w:pStyle w:val="Normal"/>
            </w:pPr>
            <w:r>
              <w:rPr>
                <w:rFonts w:ascii="Times New Roman" w:hAnsi="Times New Roman" w:eastAsia="Times New Roman" w:cs="Times New Roman"/>
                <w:color w:val="1A1A1A"/>
                <w:sz w:val="22"/>
                <w:szCs w:val="22"/>
              </w:rPr>
              <w:t>Loans + Grants</w:t>
            </w:r>
          </w:p>
        </w:tc>
        <w:tc>
          <w:tcPr>
            <w:tcW w:w="2000" w:type="dxa"/>
          </w:tcPr>
          <w:p>
            <w:pPr>
              <w:pStyle w:val="Normal"/>
            </w:pPr>
            <w:r>
              <w:rPr>
                <w:rFonts w:ascii="Times New Roman" w:hAnsi="Times New Roman" w:eastAsia="Times New Roman" w:cs="Times New Roman"/>
                <w:color w:val="1A1A1A"/>
                <w:sz w:val="22"/>
                <w:szCs w:val="22"/>
              </w:rPr>
              <w:t>$500M-1B</w:t>
            </w:r>
          </w:p>
        </w:tc>
      </w:tr>
      <w:tr>
        <w:tc>
          <w:tcPr>
            <w:tcW w:w="1800" w:type="dxa"/>
          </w:tcPr>
          <w:p>
            <w:pPr>
              <w:pStyle w:val="Normal"/>
            </w:pPr>
            <w:r>
              <w:rPr>
                <w:rFonts w:ascii="Times New Roman" w:hAnsi="Times New Roman" w:eastAsia="Times New Roman" w:cs="Times New Roman"/>
                <w:color w:val="1A1A1A"/>
                <w:sz w:val="22"/>
                <w:szCs w:val="22"/>
              </w:rPr>
              <w:t>Qatar Fund (QFFD)</w:t>
            </w:r>
          </w:p>
        </w:tc>
        <w:tc>
          <w:tcPr>
            <w:tcW w:w="4200" w:type="dxa"/>
          </w:tcPr>
          <w:p>
            <w:pPr>
              <w:pStyle w:val="Normal"/>
            </w:pPr>
            <w:r>
              <w:rPr>
                <w:rFonts w:ascii="Times New Roman" w:hAnsi="Times New Roman" w:eastAsia="Times New Roman" w:cs="Times New Roman"/>
                <w:color w:val="1A1A1A"/>
                <w:sz w:val="22"/>
                <w:szCs w:val="22"/>
              </w:rPr>
              <w:t>Loans + Grants</w:t>
            </w:r>
          </w:p>
        </w:tc>
        <w:tc>
          <w:tcPr>
            <w:tcW w:w="2000" w:type="dxa"/>
          </w:tcPr>
          <w:p>
            <w:pPr>
              <w:pStyle w:val="Normal"/>
            </w:pPr>
            <w:r>
              <w:rPr>
                <w:rFonts w:ascii="Times New Roman" w:hAnsi="Times New Roman" w:eastAsia="Times New Roman" w:cs="Times New Roman"/>
                <w:color w:val="1A1A1A"/>
                <w:sz w:val="22"/>
                <w:szCs w:val="22"/>
              </w:rPr>
              <w:t>$500M-1B</w:t>
            </w:r>
          </w:p>
        </w:tc>
      </w:tr>
      <w:tr>
        <w:tc>
          <w:tcPr>
            <w:tcW w:w="1800" w:type="dxa"/>
          </w:tcPr>
          <w:p>
            <w:pPr>
              <w:pStyle w:val="Normal"/>
            </w:pPr>
            <w:r>
              <w:rPr>
                <w:rFonts w:ascii="Times New Roman" w:hAnsi="Times New Roman" w:eastAsia="Times New Roman" w:cs="Times New Roman"/>
                <w:color w:val="1A1A1A"/>
                <w:sz w:val="22"/>
                <w:szCs w:val="22"/>
              </w:rPr>
              <w:t>Saudi Fund (SFD)</w:t>
            </w:r>
          </w:p>
        </w:tc>
        <w:tc>
          <w:tcPr>
            <w:tcW w:w="4200" w:type="dxa"/>
          </w:tcPr>
          <w:p>
            <w:pPr>
              <w:pStyle w:val="Normal"/>
            </w:pPr>
            <w:r>
              <w:rPr>
                <w:rFonts w:ascii="Times New Roman" w:hAnsi="Times New Roman" w:eastAsia="Times New Roman" w:cs="Times New Roman"/>
                <w:color w:val="1A1A1A"/>
                <w:sz w:val="22"/>
                <w:szCs w:val="22"/>
              </w:rPr>
              <w:t>Concessional Loan</w:t>
            </w:r>
          </w:p>
        </w:tc>
        <w:tc>
          <w:tcPr>
            <w:tcW w:w="2000" w:type="dxa"/>
          </w:tcPr>
          <w:p>
            <w:pPr>
              <w:pStyle w:val="Normal"/>
            </w:pPr>
            <w:r>
              <w:rPr>
                <w:rFonts w:ascii="Times New Roman" w:hAnsi="Times New Roman" w:eastAsia="Times New Roman" w:cs="Times New Roman"/>
                <w:color w:val="1A1A1A"/>
                <w:sz w:val="22"/>
                <w:szCs w:val="22"/>
              </w:rPr>
              <w:t>$1-2B</w:t>
            </w:r>
          </w:p>
        </w:tc>
      </w:tr>
      <w:tr>
        <w:tc>
          <w:tcPr>
            <w:tcW w:w="1800" w:type="dxa"/>
          </w:tcPr>
          <w:p>
            <w:pPr>
              <w:pStyle w:val="Normal"/>
            </w:pPr>
            <w:r>
              <w:rPr>
                <w:rFonts w:ascii="Times New Roman" w:hAnsi="Times New Roman" w:eastAsia="Times New Roman" w:cs="Times New Roman"/>
                <w:color w:val="1A1A1A"/>
                <w:sz w:val="22"/>
                <w:szCs w:val="22"/>
              </w:rPr>
              <w:t>Abu Dhabi Fund (ADFD)</w:t>
            </w:r>
          </w:p>
        </w:tc>
        <w:tc>
          <w:tcPr>
            <w:tcW w:w="4200" w:type="dxa"/>
          </w:tcPr>
          <w:p>
            <w:pPr>
              <w:pStyle w:val="Normal"/>
            </w:pPr>
            <w:r>
              <w:rPr>
                <w:rFonts w:ascii="Times New Roman" w:hAnsi="Times New Roman" w:eastAsia="Times New Roman" w:cs="Times New Roman"/>
                <w:color w:val="1A1A1A"/>
                <w:sz w:val="22"/>
                <w:szCs w:val="22"/>
              </w:rPr>
              <w:t>Loans + Grants</w:t>
            </w:r>
          </w:p>
        </w:tc>
        <w:tc>
          <w:tcPr>
            <w:tcW w:w="2000" w:type="dxa"/>
          </w:tcPr>
          <w:p>
            <w:pPr>
              <w:pStyle w:val="Normal"/>
            </w:pPr>
            <w:r>
              <w:rPr>
                <w:rFonts w:ascii="Times New Roman" w:hAnsi="Times New Roman" w:eastAsia="Times New Roman" w:cs="Times New Roman"/>
                <w:color w:val="1A1A1A"/>
                <w:sz w:val="22"/>
                <w:szCs w:val="22"/>
              </w:rPr>
              <w:t>$1-2B</w:t>
            </w:r>
          </w:p>
        </w:tc>
      </w:tr>
      <w:tr>
        <w:tc>
          <w:tcPr>
            <w:tcW w:w="1800" w:type="dxa"/>
          </w:tcPr>
          <w:p>
            <w:pPr>
              <w:pStyle w:val="Normal"/>
            </w:pPr>
            <w:r>
              <w:rPr>
                <w:rFonts w:ascii="Times New Roman" w:hAnsi="Times New Roman" w:eastAsia="Times New Roman" w:cs="Times New Roman"/>
                <w:color w:val="1A1A1A"/>
                <w:sz w:val="22"/>
                <w:szCs w:val="22"/>
              </w:rPr>
              <w:t>Oman / Turkey (TIKA)</w:t>
            </w:r>
          </w:p>
        </w:tc>
        <w:tc>
          <w:tcPr>
            <w:tcW w:w="4200" w:type="dxa"/>
          </w:tcPr>
          <w:p>
            <w:pPr>
              <w:pStyle w:val="Normal"/>
            </w:pPr>
            <w:r>
              <w:rPr>
                <w:rFonts w:ascii="Times New Roman" w:hAnsi="Times New Roman" w:eastAsia="Times New Roman" w:cs="Times New Roman"/>
                <w:color w:val="1A1A1A"/>
                <w:sz w:val="22"/>
                <w:szCs w:val="22"/>
              </w:rPr>
              <w:t>In-Kind + TA</w:t>
            </w:r>
          </w:p>
        </w:tc>
        <w:tc>
          <w:tcPr>
            <w:tcW w:w="2000" w:type="dxa"/>
          </w:tcPr>
          <w:p>
            <w:pPr>
              <w:pStyle w:val="Normal"/>
            </w:pPr>
            <w:r>
              <w:rPr>
                <w:rFonts w:ascii="Times New Roman" w:hAnsi="Times New Roman" w:eastAsia="Times New Roman" w:cs="Times New Roman"/>
                <w:color w:val="1A1A1A"/>
                <w:sz w:val="22"/>
                <w:szCs w:val="22"/>
              </w:rPr>
              <w:t>$200-500M</w:t>
            </w:r>
          </w:p>
        </w:tc>
      </w:tr>
      <w:tr>
        <w:tc>
          <w:tcPr>
            <w:tcW w:w="1800" w:type="dxa"/>
          </w:tcPr>
          <w:p>
            <w:pPr>
              <w:pStyle w:val="Normal"/>
            </w:pPr>
            <w:r>
              <w:rPr>
                <w:rFonts w:ascii="Times New Roman" w:hAnsi="Times New Roman" w:eastAsia="Times New Roman" w:cs="Times New Roman"/>
                <w:color w:val="1A1A1A"/>
                <w:sz w:val="22"/>
                <w:szCs w:val="22"/>
              </w:rPr>
              <w:t>World Bank Adaptation Fund</w:t>
            </w:r>
          </w:p>
        </w:tc>
        <w:tc>
          <w:tcPr>
            <w:tcW w:w="4200" w:type="dxa"/>
          </w:tcPr>
          <w:p>
            <w:pPr>
              <w:pStyle w:val="Normal"/>
            </w:pPr>
            <w:r>
              <w:rPr>
                <w:rFonts w:ascii="Times New Roman" w:hAnsi="Times New Roman" w:eastAsia="Times New Roman" w:cs="Times New Roman"/>
                <w:color w:val="1A1A1A"/>
                <w:sz w:val="22"/>
                <w:szCs w:val="22"/>
              </w:rPr>
              <w:t>Grant</w:t>
            </w:r>
          </w:p>
        </w:tc>
        <w:tc>
          <w:tcPr>
            <w:tcW w:w="2000" w:type="dxa"/>
          </w:tcPr>
          <w:p>
            <w:pPr>
              <w:pStyle w:val="Normal"/>
            </w:pPr>
            <w:r>
              <w:rPr>
                <w:rFonts w:ascii="Times New Roman" w:hAnsi="Times New Roman" w:eastAsia="Times New Roman" w:cs="Times New Roman"/>
                <w:color w:val="1A1A1A"/>
                <w:sz w:val="22"/>
                <w:szCs w:val="22"/>
              </w:rPr>
              <w:t>$50-100M</w:t>
            </w:r>
          </w:p>
        </w:tc>
      </w:tr>
      <w:tr>
        <w:tc>
          <w:tcPr>
            <w:tcW w:w="1800" w:type="dxa"/>
          </w:tcPr>
          <w:p>
            <w:pPr>
              <w:pStyle w:val="Normal"/>
            </w:pPr>
            <w:r>
              <w:rPr>
                <w:rFonts w:ascii="Times New Roman" w:hAnsi="Times New Roman" w:eastAsia="Times New Roman" w:cs="Times New Roman"/>
                <w:color w:val="1A1A1A"/>
                <w:sz w:val="22"/>
                <w:szCs w:val="22"/>
              </w:rPr>
              <w:t>Clean Technology Fund</w:t>
            </w:r>
          </w:p>
        </w:tc>
        <w:tc>
          <w:tcPr>
            <w:tcW w:w="4200" w:type="dxa"/>
          </w:tcPr>
          <w:p>
            <w:pPr>
              <w:pStyle w:val="Normal"/>
            </w:pPr>
            <w:r>
              <w:rPr>
                <w:rFonts w:ascii="Times New Roman" w:hAnsi="Times New Roman" w:eastAsia="Times New Roman" w:cs="Times New Roman"/>
                <w:color w:val="1A1A1A"/>
                <w:sz w:val="22"/>
                <w:szCs w:val="22"/>
              </w:rPr>
              <w:t>Concessional Loan</w:t>
            </w:r>
          </w:p>
        </w:tc>
        <w:tc>
          <w:tcPr>
            <w:tcW w:w="2000" w:type="dxa"/>
          </w:tcPr>
          <w:p>
            <w:pPr>
              <w:pStyle w:val="Normal"/>
            </w:pPr>
            <w:r>
              <w:rPr>
                <w:rFonts w:ascii="Times New Roman" w:hAnsi="Times New Roman" w:eastAsia="Times New Roman" w:cs="Times New Roman"/>
                <w:color w:val="1A1A1A"/>
                <w:sz w:val="22"/>
                <w:szCs w:val="22"/>
              </w:rPr>
              <w:t>$200-500M</w:t>
            </w:r>
          </w:p>
        </w:tc>
      </w:tr>
      <w:tr>
        <w:tc>
          <w:tcPr>
            <w:tcW w:w="1800" w:type="dxa"/>
          </w:tcPr>
          <w:p>
            <w:pPr>
              <w:pStyle w:val="Normal"/>
            </w:pPr>
            <w:r>
              <w:rPr>
                <w:rFonts w:ascii="Times New Roman" w:hAnsi="Times New Roman" w:eastAsia="Times New Roman" w:cs="Times New Roman"/>
                <w:color w:val="1A1A1A"/>
                <w:sz w:val="22"/>
                <w:szCs w:val="22"/>
              </w:rPr>
              <w:t>Convergence Platform</w:t>
            </w:r>
          </w:p>
        </w:tc>
        <w:tc>
          <w:tcPr>
            <w:tcW w:w="4200" w:type="dxa"/>
          </w:tcPr>
          <w:p>
            <w:pPr>
              <w:pStyle w:val="Normal"/>
            </w:pPr>
            <w:r>
              <w:rPr>
                <w:rFonts w:ascii="Times New Roman" w:hAnsi="Times New Roman" w:eastAsia="Times New Roman" w:cs="Times New Roman"/>
                <w:color w:val="1A1A1A"/>
                <w:sz w:val="22"/>
                <w:szCs w:val="22"/>
              </w:rPr>
              <w:t>Design Grant</w:t>
            </w:r>
          </w:p>
        </w:tc>
        <w:tc>
          <w:tcPr>
            <w:tcW w:w="2000" w:type="dxa"/>
          </w:tcPr>
          <w:p>
            <w:pPr>
              <w:pStyle w:val="Normal"/>
            </w:pPr>
            <w:r>
              <w:rPr>
                <w:rFonts w:ascii="Times New Roman" w:hAnsi="Times New Roman" w:eastAsia="Times New Roman" w:cs="Times New Roman"/>
                <w:color w:val="1A1A1A"/>
                <w:sz w:val="22"/>
                <w:szCs w:val="22"/>
              </w:rPr>
              <w:t>$10-50M</w:t>
            </w:r>
          </w:p>
        </w:tc>
      </w:tr>
      <w:tr>
        <w:tc>
          <w:tcPr>
            <w:tcW w:w="1800" w:type="dxa"/>
          </w:tcPr>
          <w:p>
            <w:pPr>
              <w:pStyle w:val="Normal"/>
            </w:pPr>
            <w:r>
              <w:rPr>
                <w:rFonts w:ascii="Times New Roman" w:hAnsi="Times New Roman" w:eastAsia="Times New Roman" w:cs="Times New Roman"/>
                <w:color w:val="1A1A1A"/>
                <w:sz w:val="22"/>
                <w:szCs w:val="22"/>
              </w:rPr>
              <w:t>UNCDF ReStart Fund</w:t>
            </w:r>
          </w:p>
        </w:tc>
        <w:tc>
          <w:tcPr>
            <w:tcW w:w="4200" w:type="dxa"/>
          </w:tcPr>
          <w:p>
            <w:pPr>
              <w:pStyle w:val="Normal"/>
            </w:pPr>
            <w:r>
              <w:rPr>
                <w:rFonts w:ascii="Times New Roman" w:hAnsi="Times New Roman" w:eastAsia="Times New Roman" w:cs="Times New Roman"/>
                <w:color w:val="1A1A1A"/>
                <w:sz w:val="22"/>
                <w:szCs w:val="22"/>
              </w:rPr>
              <w:t>Grant + Catalytic</w:t>
            </w:r>
          </w:p>
        </w:tc>
        <w:tc>
          <w:tcPr>
            <w:tcW w:w="2000" w:type="dxa"/>
          </w:tcPr>
          <w:p>
            <w:pPr>
              <w:pStyle w:val="Normal"/>
            </w:pPr>
            <w:r>
              <w:rPr>
                <w:rFonts w:ascii="Times New Roman" w:hAnsi="Times New Roman" w:eastAsia="Times New Roman" w:cs="Times New Roman"/>
                <w:color w:val="1A1A1A"/>
                <w:sz w:val="22"/>
                <w:szCs w:val="22"/>
              </w:rPr>
              <w:t>$100-300M</w:t>
            </w:r>
          </w:p>
        </w:tc>
      </w:tr>
      <w:tr>
        <w:tc>
          <w:tcPr>
            <w:tcW w:w="1800" w:type="dxa"/>
          </w:tcPr>
          <w:p>
            <w:pPr>
              <w:pStyle w:val="Normal"/>
            </w:pPr>
            <w:r>
              <w:rPr>
                <w:rFonts w:ascii="Times New Roman" w:hAnsi="Times New Roman" w:eastAsia="Times New Roman" w:cs="Times New Roman"/>
                <w:color w:val="1A1A1A"/>
                <w:sz w:val="22"/>
                <w:szCs w:val="22"/>
              </w:rPr>
              <w:t>RRFP Platform</w:t>
            </w:r>
          </w:p>
        </w:tc>
        <w:tc>
          <w:tcPr>
            <w:tcW w:w="4200" w:type="dxa"/>
          </w:tcPr>
          <w:p>
            <w:pPr>
              <w:pStyle w:val="Normal"/>
            </w:pPr>
            <w:r>
              <w:rPr>
                <w:rFonts w:ascii="Times New Roman" w:hAnsi="Times New Roman" w:eastAsia="Times New Roman" w:cs="Times New Roman"/>
                <w:color w:val="1A1A1A"/>
                <w:sz w:val="22"/>
                <w:szCs w:val="22"/>
              </w:rPr>
              <w:t>Blended Finance</w:t>
            </w:r>
          </w:p>
        </w:tc>
        <w:tc>
          <w:tcPr>
            <w:tcW w:w="2000" w:type="dxa"/>
          </w:tcPr>
          <w:p>
            <w:pPr>
              <w:pStyle w:val="Normal"/>
            </w:pPr>
            <w:r>
              <w:rPr>
                <w:rFonts w:ascii="Times New Roman" w:hAnsi="Times New Roman" w:eastAsia="Times New Roman" w:cs="Times New Roman"/>
                <w:color w:val="1A1A1A"/>
                <w:sz w:val="22"/>
                <w:szCs w:val="22"/>
              </w:rPr>
              <w:t>$500M-1B</w:t>
            </w:r>
          </w:p>
        </w:tc>
      </w:tr>
      <w:tr>
        <w:tc>
          <w:tcPr>
            <w:tcW w:w="1800" w:type="dxa"/>
          </w:tcPr>
          <w:p>
            <w:pPr>
              <w:pStyle w:val="Normal"/>
            </w:pPr>
            <w:r>
              <w:rPr>
                <w:rFonts w:ascii="Times New Roman" w:hAnsi="Times New Roman" w:eastAsia="Times New Roman" w:cs="Times New Roman"/>
                <w:color w:val="1A1A1A"/>
                <w:sz w:val="22"/>
                <w:szCs w:val="22"/>
              </w:rPr>
              <w:t>Sovereign / Infrastructure Sukuk</w:t>
            </w:r>
          </w:p>
        </w:tc>
        <w:tc>
          <w:tcPr>
            <w:tcW w:w="4200" w:type="dxa"/>
          </w:tcPr>
          <w:p>
            <w:pPr>
              <w:pStyle w:val="Normal"/>
            </w:pPr>
            <w:r>
              <w:rPr>
                <w:rFonts w:ascii="Times New Roman" w:hAnsi="Times New Roman" w:eastAsia="Times New Roman" w:cs="Times New Roman"/>
                <w:color w:val="1A1A1A"/>
                <w:sz w:val="22"/>
                <w:szCs w:val="22"/>
              </w:rPr>
              <w:t>Islamic Finance</w:t>
            </w:r>
          </w:p>
        </w:tc>
        <w:tc>
          <w:tcPr>
            <w:tcW w:w="2000" w:type="dxa"/>
          </w:tcPr>
          <w:p>
            <w:pPr>
              <w:pStyle w:val="Normal"/>
            </w:pPr>
            <w:r>
              <w:rPr>
                <w:rFonts w:ascii="Times New Roman" w:hAnsi="Times New Roman" w:eastAsia="Times New Roman" w:cs="Times New Roman"/>
                <w:color w:val="1A1A1A"/>
                <w:sz w:val="22"/>
                <w:szCs w:val="22"/>
              </w:rPr>
              <w:t>$5-10B</w:t>
            </w:r>
          </w:p>
        </w:tc>
      </w:tr>
      <w:tr>
        <w:tc>
          <w:tcPr>
            <w:tcW w:w="1800" w:type="dxa"/>
          </w:tcPr>
          <w:p>
            <w:pPr>
              <w:pStyle w:val="Normal"/>
            </w:pPr>
            <w:r>
              <w:rPr>
                <w:rFonts w:ascii="Times New Roman" w:hAnsi="Times New Roman" w:eastAsia="Times New Roman" w:cs="Times New Roman"/>
                <w:color w:val="1A1A1A"/>
                <w:sz w:val="22"/>
                <w:szCs w:val="22"/>
              </w:rPr>
              <w:t>Musharakah / Mudaraba</w:t>
            </w:r>
          </w:p>
        </w:tc>
        <w:tc>
          <w:tcPr>
            <w:tcW w:w="4200" w:type="dxa"/>
          </w:tcPr>
          <w:p>
            <w:pPr>
              <w:pStyle w:val="Normal"/>
            </w:pPr>
            <w:r>
              <w:rPr>
                <w:rFonts w:ascii="Times New Roman" w:hAnsi="Times New Roman" w:eastAsia="Times New Roman" w:cs="Times New Roman"/>
                <w:color w:val="1A1A1A"/>
                <w:sz w:val="22"/>
                <w:szCs w:val="22"/>
              </w:rPr>
              <w:t>Partnership</w:t>
            </w:r>
          </w:p>
        </w:tc>
        <w:tc>
          <w:tcPr>
            <w:tcW w:w="2000" w:type="dxa"/>
          </w:tcPr>
          <w:p>
            <w:pPr>
              <w:pStyle w:val="Normal"/>
            </w:pPr>
            <w:r>
              <w:rPr>
                <w:rFonts w:ascii="Times New Roman" w:hAnsi="Times New Roman" w:eastAsia="Times New Roman" w:cs="Times New Roman"/>
                <w:color w:val="1A1A1A"/>
                <w:sz w:val="22"/>
                <w:szCs w:val="22"/>
              </w:rPr>
              <w:t>$2-5B</w:t>
            </w:r>
          </w:p>
        </w:tc>
      </w:tr>
      <w:tr>
        <w:tc>
          <w:tcPr>
            <w:tcW w:w="1800" w:type="dxa"/>
          </w:tcPr>
          <w:p>
            <w:pPr>
              <w:pStyle w:val="Normal"/>
            </w:pPr>
            <w:r>
              <w:rPr>
                <w:rFonts w:ascii="Times New Roman" w:hAnsi="Times New Roman" w:eastAsia="Times New Roman" w:cs="Times New Roman"/>
                <w:color w:val="1A1A1A"/>
                <w:sz w:val="22"/>
                <w:szCs w:val="22"/>
              </w:rPr>
              <w:t>Ijara (Islamic Leasing)</w:t>
            </w:r>
          </w:p>
        </w:tc>
        <w:tc>
          <w:tcPr>
            <w:tcW w:w="4200" w:type="dxa"/>
          </w:tcPr>
          <w:p>
            <w:pPr>
              <w:pStyle w:val="Normal"/>
            </w:pPr>
            <w:r>
              <w:rPr>
                <w:rFonts w:ascii="Times New Roman" w:hAnsi="Times New Roman" w:eastAsia="Times New Roman" w:cs="Times New Roman"/>
                <w:color w:val="1A1A1A"/>
                <w:sz w:val="22"/>
                <w:szCs w:val="22"/>
              </w:rPr>
              <w:t>Equipment Finance</w:t>
            </w:r>
          </w:p>
        </w:tc>
        <w:tc>
          <w:tcPr>
            <w:tcW w:w="2000" w:type="dxa"/>
          </w:tcPr>
          <w:p>
            <w:pPr>
              <w:pStyle w:val="Normal"/>
            </w:pPr>
            <w:r>
              <w:rPr>
                <w:rFonts w:ascii="Times New Roman" w:hAnsi="Times New Roman" w:eastAsia="Times New Roman" w:cs="Times New Roman"/>
                <w:color w:val="1A1A1A"/>
                <w:sz w:val="22"/>
                <w:szCs w:val="22"/>
              </w:rPr>
              <w:t>$1-3B</w:t>
            </w:r>
          </w:p>
        </w:tc>
      </w:tr>
      <w:tr>
        <w:tc>
          <w:tcPr>
            <w:tcW w:w="1800" w:type="dxa"/>
          </w:tcPr>
          <w:p>
            <w:pPr>
              <w:pStyle w:val="Normal"/>
            </w:pPr>
            <w:r>
              <w:rPr>
                <w:rFonts w:ascii="Times New Roman" w:hAnsi="Times New Roman" w:eastAsia="Times New Roman" w:cs="Times New Roman"/>
                <w:color w:val="1A1A1A"/>
                <w:sz w:val="22"/>
                <w:szCs w:val="22"/>
              </w:rPr>
              <w:t>Qard al-Hasan</w:t>
            </w:r>
          </w:p>
        </w:tc>
        <w:tc>
          <w:tcPr>
            <w:tcW w:w="4200" w:type="dxa"/>
          </w:tcPr>
          <w:p>
            <w:pPr>
              <w:pStyle w:val="Normal"/>
            </w:pPr>
            <w:r>
              <w:rPr>
                <w:rFonts w:ascii="Times New Roman" w:hAnsi="Times New Roman" w:eastAsia="Times New Roman" w:cs="Times New Roman"/>
                <w:color w:val="1A1A1A"/>
                <w:sz w:val="22"/>
                <w:szCs w:val="22"/>
              </w:rPr>
              <w:t>Interest-Free Loan</w:t>
            </w:r>
          </w:p>
        </w:tc>
        <w:tc>
          <w:tcPr>
            <w:tcW w:w="2000" w:type="dxa"/>
          </w:tcPr>
          <w:p>
            <w:pPr>
              <w:pStyle w:val="Normal"/>
            </w:pPr>
            <w:r>
              <w:rPr>
                <w:rFonts w:ascii="Times New Roman" w:hAnsi="Times New Roman" w:eastAsia="Times New Roman" w:cs="Times New Roman"/>
                <w:color w:val="1A1A1A"/>
                <w:sz w:val="22"/>
                <w:szCs w:val="22"/>
              </w:rPr>
              <w:t>$200-500M</w:t>
            </w:r>
          </w:p>
        </w:tc>
      </w:tr>
      <w:tr>
        <w:tc>
          <w:tcPr>
            <w:tcW w:w="1800" w:type="dxa"/>
          </w:tcPr>
          <w:p>
            <w:pPr>
              <w:pStyle w:val="Normal"/>
            </w:pPr>
            <w:r>
              <w:rPr>
                <w:rFonts w:ascii="Times New Roman" w:hAnsi="Times New Roman" w:eastAsia="Times New Roman" w:cs="Times New Roman"/>
                <w:color w:val="1A1A1A"/>
                <w:sz w:val="22"/>
                <w:szCs w:val="22"/>
              </w:rPr>
              <w:t>Development Impact Bonds</w:t>
            </w:r>
          </w:p>
        </w:tc>
        <w:tc>
          <w:tcPr>
            <w:tcW w:w="4200" w:type="dxa"/>
          </w:tcPr>
          <w:p>
            <w:pPr>
              <w:pStyle w:val="Normal"/>
            </w:pPr>
            <w:r>
              <w:rPr>
                <w:rFonts w:ascii="Times New Roman" w:hAnsi="Times New Roman" w:eastAsia="Times New Roman" w:cs="Times New Roman"/>
                <w:color w:val="1A1A1A"/>
                <w:sz w:val="22"/>
                <w:szCs w:val="22"/>
              </w:rPr>
              <w:t>Results-Based</w:t>
            </w:r>
          </w:p>
        </w:tc>
        <w:tc>
          <w:tcPr>
            <w:tcW w:w="2000" w:type="dxa"/>
          </w:tcPr>
          <w:p>
            <w:pPr>
              <w:pStyle w:val="Normal"/>
            </w:pPr>
            <w:r>
              <w:rPr>
                <w:rFonts w:ascii="Times New Roman" w:hAnsi="Times New Roman" w:eastAsia="Times New Roman" w:cs="Times New Roman"/>
                <w:color w:val="1A1A1A"/>
                <w:sz w:val="22"/>
                <w:szCs w:val="22"/>
              </w:rPr>
              <w:t>$500M-1B</w:t>
            </w:r>
          </w:p>
        </w:tc>
      </w:tr>
      <w:tr>
        <w:tc>
          <w:tcPr>
            <w:tcW w:w="1800" w:type="dxa"/>
          </w:tcPr>
          <w:p>
            <w:pPr>
              <w:pStyle w:val="Normal"/>
            </w:pPr>
            <w:r>
              <w:rPr>
                <w:rFonts w:ascii="Times New Roman" w:hAnsi="Times New Roman" w:eastAsia="Times New Roman" w:cs="Times New Roman"/>
                <w:color w:val="1A1A1A"/>
                <w:sz w:val="22"/>
                <w:szCs w:val="22"/>
              </w:rPr>
              <w:t>Humanitarian Impact Bonds</w:t>
            </w:r>
          </w:p>
        </w:tc>
        <w:tc>
          <w:tcPr>
            <w:tcW w:w="4200" w:type="dxa"/>
          </w:tcPr>
          <w:p>
            <w:pPr>
              <w:pStyle w:val="Normal"/>
            </w:pPr>
            <w:r>
              <w:rPr>
                <w:rFonts w:ascii="Times New Roman" w:hAnsi="Times New Roman" w:eastAsia="Times New Roman" w:cs="Times New Roman"/>
                <w:color w:val="1A1A1A"/>
                <w:sz w:val="22"/>
                <w:szCs w:val="22"/>
              </w:rPr>
              <w:t>Results-Based</w:t>
            </w:r>
          </w:p>
        </w:tc>
        <w:tc>
          <w:tcPr>
            <w:tcW w:w="2000" w:type="dxa"/>
          </w:tcPr>
          <w:p>
            <w:pPr>
              <w:pStyle w:val="Normal"/>
            </w:pPr>
            <w:r>
              <w:rPr>
                <w:rFonts w:ascii="Times New Roman" w:hAnsi="Times New Roman" w:eastAsia="Times New Roman" w:cs="Times New Roman"/>
                <w:color w:val="1A1A1A"/>
                <w:sz w:val="22"/>
                <w:szCs w:val="22"/>
              </w:rPr>
              <w:t>$200-500M</w:t>
            </w:r>
          </w:p>
        </w:tc>
      </w:tr>
      <w:tr>
        <w:tc>
          <w:tcPr>
            <w:tcW w:w="1800" w:type="dxa"/>
          </w:tcPr>
          <w:p>
            <w:pPr>
              <w:pStyle w:val="Normal"/>
            </w:pPr>
            <w:r>
              <w:rPr>
                <w:rFonts w:ascii="Times New Roman" w:hAnsi="Times New Roman" w:eastAsia="Times New Roman" w:cs="Times New Roman"/>
                <w:color w:val="1A1A1A"/>
                <w:sz w:val="22"/>
                <w:szCs w:val="22"/>
              </w:rPr>
              <w:t>Global Infrastructure Facility</w:t>
            </w:r>
          </w:p>
        </w:tc>
        <w:tc>
          <w:tcPr>
            <w:tcW w:w="4200" w:type="dxa"/>
          </w:tcPr>
          <w:p>
            <w:pPr>
              <w:pStyle w:val="Normal"/>
            </w:pPr>
            <w:r>
              <w:rPr>
                <w:rFonts w:ascii="Times New Roman" w:hAnsi="Times New Roman" w:eastAsia="Times New Roman" w:cs="Times New Roman"/>
                <w:color w:val="1A1A1A"/>
                <w:sz w:val="22"/>
                <w:szCs w:val="22"/>
              </w:rPr>
              <w:t>PPP Structuring</w:t>
            </w:r>
          </w:p>
        </w:tc>
        <w:tc>
          <w:tcPr>
            <w:tcW w:w="2000" w:type="dxa"/>
          </w:tcPr>
          <w:p>
            <w:pPr>
              <w:pStyle w:val="Normal"/>
            </w:pPr>
            <w:r>
              <w:rPr>
                <w:rFonts w:ascii="Times New Roman" w:hAnsi="Times New Roman" w:eastAsia="Times New Roman" w:cs="Times New Roman"/>
                <w:color w:val="1A1A1A"/>
                <w:sz w:val="22"/>
                <w:szCs w:val="22"/>
              </w:rPr>
              <w:t>$1-3B mobilized</w:t>
            </w:r>
          </w:p>
        </w:tc>
      </w:tr>
      <w:tr>
        <w:tc>
          <w:tcPr>
            <w:tcW w:w="1800" w:type="dxa"/>
          </w:tcPr>
          <w:p>
            <w:pPr>
              <w:pStyle w:val="Normal"/>
            </w:pPr>
            <w:r>
              <w:rPr>
                <w:rFonts w:ascii="Times New Roman" w:hAnsi="Times New Roman" w:eastAsia="Times New Roman" w:cs="Times New Roman"/>
                <w:color w:val="1A1A1A"/>
                <w:sz w:val="22"/>
                <w:szCs w:val="22"/>
              </w:rPr>
              <w:t>Foundations (Collective)</w:t>
            </w:r>
          </w:p>
        </w:tc>
        <w:tc>
          <w:tcPr>
            <w:tcW w:w="4200" w:type="dxa"/>
          </w:tcPr>
          <w:p>
            <w:pPr>
              <w:pStyle w:val="Normal"/>
            </w:pPr>
            <w:r>
              <w:rPr>
                <w:rFonts w:ascii="Times New Roman" w:hAnsi="Times New Roman" w:eastAsia="Times New Roman" w:cs="Times New Roman"/>
                <w:color w:val="1A1A1A"/>
                <w:sz w:val="22"/>
                <w:szCs w:val="22"/>
              </w:rPr>
              <w:t>Grants + PRIs</w:t>
            </w:r>
          </w:p>
        </w:tc>
        <w:tc>
          <w:tcPr>
            <w:tcW w:w="2000" w:type="dxa"/>
          </w:tcPr>
          <w:p>
            <w:pPr>
              <w:pStyle w:val="Normal"/>
            </w:pPr>
            <w:r>
              <w:rPr>
                <w:rFonts w:ascii="Times New Roman" w:hAnsi="Times New Roman" w:eastAsia="Times New Roman" w:cs="Times New Roman"/>
                <w:color w:val="1A1A1A"/>
                <w:sz w:val="22"/>
                <w:szCs w:val="22"/>
              </w:rPr>
              <w:t>$100-300M</w:t>
            </w:r>
          </w:p>
        </w:tc>
      </w:tr>
      <w:tr>
        <w:tc>
          <w:tcPr>
            <w:tcW w:w="1800" w:type="dxa"/>
          </w:tcPr>
          <w:p>
            <w:pPr>
              <w:pStyle w:val="Normal"/>
            </w:pPr>
            <w:r>
              <w:rPr>
                <w:rFonts w:ascii="Times New Roman" w:hAnsi="Times New Roman" w:eastAsia="Times New Roman" w:cs="Times New Roman"/>
                <w:color w:val="1A1A1A"/>
                <w:sz w:val="22"/>
                <w:szCs w:val="22"/>
              </w:rPr>
              <w:t>We-Fi</w:t>
            </w:r>
          </w:p>
        </w:tc>
        <w:tc>
          <w:tcPr>
            <w:tcW w:w="4200" w:type="dxa"/>
          </w:tcPr>
          <w:p>
            <w:pPr>
              <w:pStyle w:val="Normal"/>
            </w:pPr>
            <w:r>
              <w:rPr>
                <w:rFonts w:ascii="Times New Roman" w:hAnsi="Times New Roman" w:eastAsia="Times New Roman" w:cs="Times New Roman"/>
                <w:color w:val="1A1A1A"/>
                <w:sz w:val="22"/>
                <w:szCs w:val="22"/>
              </w:rPr>
              <w:t>Women Finance</w:t>
            </w:r>
          </w:p>
        </w:tc>
        <w:tc>
          <w:tcPr>
            <w:tcW w:w="2000" w:type="dxa"/>
          </w:tcPr>
          <w:p>
            <w:pPr>
              <w:pStyle w:val="Normal"/>
            </w:pPr>
            <w:r>
              <w:rPr>
                <w:rFonts w:ascii="Times New Roman" w:hAnsi="Times New Roman" w:eastAsia="Times New Roman" w:cs="Times New Roman"/>
                <w:color w:val="1A1A1A"/>
                <w:sz w:val="22"/>
                <w:szCs w:val="22"/>
              </w:rPr>
              <w:t>$50-100M</w:t>
            </w:r>
          </w:p>
        </w:tc>
      </w:tr>
      <w:tr>
        <w:tc>
          <w:tcPr>
            <w:tcW w:w="1800" w:type="dxa"/>
          </w:tcPr>
          <w:p>
            <w:pPr>
              <w:pStyle w:val="Normal"/>
            </w:pPr>
            <w:r>
              <w:rPr>
                <w:rFonts w:ascii="Times New Roman" w:hAnsi="Times New Roman" w:eastAsia="Times New Roman" w:cs="Times New Roman"/>
                <w:color w:val="1A1A1A"/>
                <w:sz w:val="22"/>
                <w:szCs w:val="22"/>
                <w:b/>
              </w:rPr>
              <w:t>TOTAL ADDITIONAL POTENTIAL</w:t>
            </w:r>
          </w:p>
        </w:tc>
        <w:tc>
          <w:tcPr>
            <w:tcW w:w="4200" w:type="dxa"/>
          </w:tcPr>
          <w:p>
            <w:pPr>
              <w:pStyle w:val="Normal"/>
            </w:pPr>
            <w:r>
              <w:rPr>
                <w:rFonts w:ascii="Times New Roman" w:hAnsi="Times New Roman" w:eastAsia="Times New Roman" w:cs="Times New Roman"/>
                <w:color w:val="1A1A1A"/>
                <w:sz w:val="22"/>
                <w:szCs w:val="22"/>
              </w:rPr>
              <w:t/>
            </w:r>
          </w:p>
        </w:tc>
        <w:tc>
          <w:tcPr>
            <w:tcW w:w="2000" w:type="dxa"/>
          </w:tcPr>
          <w:p>
            <w:pPr>
              <w:pStyle w:val="Normal"/>
            </w:pPr>
            <w:r>
              <w:rPr>
                <w:rFonts w:ascii="Times New Roman" w:hAnsi="Times New Roman" w:eastAsia="Times New Roman" w:cs="Times New Roman"/>
                <w:color w:val="1A1A1A"/>
                <w:sz w:val="22"/>
                <w:szCs w:val="22"/>
                <w:b/>
              </w:rPr>
              <w:t>$14-34B</w:t>
            </w:r>
          </w:p>
        </w:tc>
      </w:tr>
    </w:tbl>
    <w:p>
      <w:pPr>
        <w:pStyle w:val="Heading1"/>
      </w:pPr>
      <w:r>
        <w:rPr>
          <w:rFonts w:ascii="Times New Roman" w:hAnsi="Times New Roman" w:eastAsia="Times New Roman" w:cs="Times New Roman"/>
          <w:b/>
          <w:color w:val="1A1A1A"/>
          <w:sz w:val="20"/>
          <w:szCs w:val="28"/>
        </w:rPr>
        <w:t>Appendix H: Global South, BRICS, and Regional Development Partners</w:t>
      </w:r>
    </w:p>
    <w:p>
      <w:pPr>
        <w:pStyle w:val="Normal"/>
      </w:pPr>
      <w:r>
        <w:rPr>
          <w:rFonts w:ascii="Times New Roman" w:hAnsi="Times New Roman" w:eastAsia="Times New Roman" w:cs="Times New Roman"/>
          <w:color w:val="1A1A1A"/>
          <w:sz w:val="22"/>
          <w:szCs w:val="22"/>
        </w:rPr>
        <w:t>This Appendix catalogs funding sources from the Global South, BRICS member states, regional development banks, and innovative financing mechanisms identified through expanded global research. These sources complement Appendices D, E, and G.</w:t>
      </w:r>
    </w:p>
    <w:p>
      <w:pPr>
        <w:pStyle w:val="Heading2"/>
      </w:pPr>
      <w:r>
        <w:rPr>
          <w:rFonts w:ascii="Times New Roman" w:hAnsi="Times New Roman" w:eastAsia="Times New Roman" w:cs="Times New Roman"/>
          <w:b/>
          <w:color w:val="1A1A1A"/>
          <w:sz w:val="20"/>
          <w:szCs w:val="24"/>
        </w:rPr>
        <w:t>H.1 South Korea: Dedicated Reconstruction Partnership</w:t>
      </w:r>
    </w:p>
    <w:p>
      <w:pPr>
        <w:pStyle w:val="Normal"/>
      </w:pPr>
      <w:r>
        <w:rPr>
          <w:rFonts w:ascii="Times New Roman" w:hAnsi="Times New Roman" w:eastAsia="Times New Roman" w:cs="Times New Roman"/>
          <w:color w:val="1A1A1A"/>
          <w:sz w:val="22"/>
          <w:szCs w:val="22"/>
        </w:rPr>
        <w:t>South Korea has established a dedicated "Korea-Middle East Comprehensive Economic Cooperation Team" specifically to enable Korean companies to participate in post-war reconstruction in the Middle East. The Korean Foreign Minister publicly confirmed that Seoul is actively preparing for post-war reconstruction between the United States and Iran, positioning South Korea as a key reconstruction partner.</w:t>
      </w:r>
    </w:p>
    <w:p>
      <w:pPr>
        <w:pStyle w:val="Normal"/>
      </w:pPr>
      <w:r>
        <w:rPr>
          <w:rFonts w:ascii="Times New Roman" w:hAnsi="Times New Roman" w:eastAsia="Times New Roman" w:cs="Times New Roman"/>
          <w:color w:val="1A1A1A"/>
          <w:sz w:val="22"/>
          <w:szCs w:val="22"/>
        </w:rPr>
        <w:t>South Korea holds approximately $6 billion in frozen Iranian oil payments, providing a significant asset base for the Frozen Asset Conversion Protocol (Article 1.3(c)). Korean construction firms (Samsung C&amp;T, Hyundai E&amp;C, POSCO E&amp;C, Daewoo E&amp;C) rank among the world's most experienced post-conflict rebuilders, with demonstrated capacity in rapid infrastructure deployment.</w:t>
      </w:r>
    </w:p>
    <w:p>
      <w:pPr>
        <w:pStyle w:val="Normal"/>
      </w:pPr>
      <w:r>
        <w:rPr>
          <w:rFonts w:ascii="Times New Roman" w:hAnsi="Times New Roman" w:eastAsia="Times New Roman" w:cs="Times New Roman"/>
          <w:color w:val="1A1A1A"/>
          <w:sz w:val="22"/>
          <w:szCs w:val="22"/>
        </w:rPr>
        <w:t>Application pathway: The Korea-Middle East Comprehensive Economic Cooperation Team coordinates with the RSC secretariat. Korea's Economic Development Cooperation Fund (EDCF) provides concessional loans for infrastructure. The Export-Import Bank of Korea (KEXIM) offers buyer's credit and project finance. The Frozen Asset Conversion Protocol enables Korean firms to execute reconstruction contracts using won-denominated frozen funds. Korea International Cooperation Agency (KOICA) provides technical assistance and capacity building.</w:t>
      </w:r>
    </w:p>
    <w:p>
      <w:pPr>
        <w:pStyle w:val="Normal"/>
      </w:pPr>
      <w:r>
        <w:rPr>
          <w:rFonts w:ascii="Times New Roman" w:hAnsi="Times New Roman" w:eastAsia="Times New Roman" w:cs="Times New Roman"/>
          <w:color w:val="1A1A1A"/>
          <w:sz w:val="22"/>
          <w:szCs w:val="22"/>
        </w:rPr>
        <w:t>Focus sectors: Transport infrastructure, power generation, water treatment, telecommunications, and hospital construction. Estimated potential allocation: $3-8 billion (including frozen asset conversion).</w:t>
      </w:r>
    </w:p>
    <w:p>
      <w:pPr>
        <w:pStyle w:val="Heading2"/>
      </w:pPr>
      <w:r>
        <w:rPr>
          <w:rFonts w:ascii="Times New Roman" w:hAnsi="Times New Roman" w:eastAsia="Times New Roman" w:cs="Times New Roman"/>
          <w:b/>
          <w:color w:val="1A1A1A"/>
          <w:sz w:val="20"/>
          <w:szCs w:val="24"/>
        </w:rPr>
        <w:t>H.2 Turkey: Construction Capacity and Regional Partnership</w:t>
      </w:r>
    </w:p>
    <w:p>
      <w:pPr>
        <w:pStyle w:val="Normal"/>
      </w:pPr>
      <w:r>
        <w:rPr>
          <w:rFonts w:ascii="Times New Roman" w:hAnsi="Times New Roman" w:eastAsia="Times New Roman" w:cs="Times New Roman"/>
          <w:color w:val="1A1A1A"/>
          <w:sz w:val="22"/>
          <w:szCs w:val="22"/>
        </w:rPr>
        <w:t>Turkey maintains one of the world's largest construction industries. Turkish contractors rank second globally in international project volume, with particular expertise in rapid post-conflict rebuilding, having executed major reconstruction projects in Afghanistan, Iraq, Syria, Libya, and the Balkans. Turkey also holds frozen Iranian assets from prior trade arrangements.</w:t>
      </w:r>
    </w:p>
    <w:p>
      <w:pPr>
        <w:pStyle w:val="Normal"/>
      </w:pPr>
      <w:r>
        <w:rPr>
          <w:rFonts w:ascii="Times New Roman" w:hAnsi="Times New Roman" w:eastAsia="Times New Roman" w:cs="Times New Roman"/>
          <w:color w:val="1A1A1A"/>
          <w:sz w:val="22"/>
          <w:szCs w:val="22"/>
        </w:rPr>
        <w:t>The Turkish Cooperation and Coordination Agency (TIKA) operates as Turkey's bilateral development arm, providing technical assistance, capacity building, and project financing across Central Asia, the Middle East, Africa, and the Balkans. TIKA has active programming in Iran and coordinates with Iranian counterparts on infrastructure, agriculture, education, and health.</w:t>
      </w:r>
    </w:p>
    <w:p>
      <w:pPr>
        <w:pStyle w:val="Normal"/>
      </w:pPr>
      <w:r>
        <w:rPr>
          <w:rFonts w:ascii="Times New Roman" w:hAnsi="Times New Roman" w:eastAsia="Times New Roman" w:cs="Times New Roman"/>
          <w:color w:val="1A1A1A"/>
          <w:sz w:val="22"/>
          <w:szCs w:val="22"/>
        </w:rPr>
        <w:t>Application pathway: Turkey accesses the MRF through the Frozen Asset Conversion Protocol for bilateral projects executed by Turkish contractors. TIKA provides technical cooperation grants through its country office. The Turkish Eximbank offers project finance for Turkish-led construction. The RSC coordinates with TIKA to align Turkish-funded projects with MRF Sub-Fund priorities.</w:t>
      </w:r>
    </w:p>
    <w:p>
      <w:pPr>
        <w:pStyle w:val="Normal"/>
      </w:pPr>
      <w:r>
        <w:rPr>
          <w:rFonts w:ascii="Times New Roman" w:hAnsi="Times New Roman" w:eastAsia="Times New Roman" w:cs="Times New Roman"/>
          <w:color w:val="1A1A1A"/>
          <w:sz w:val="22"/>
          <w:szCs w:val="22"/>
        </w:rPr>
        <w:t>Focus sectors: Housing construction, transport infrastructure, urban development, and health facilities. Estimated potential allocation: $2-5 billion.</w:t>
      </w:r>
    </w:p>
    <w:p>
      <w:pPr>
        <w:pStyle w:val="Heading2"/>
      </w:pPr>
      <w:r>
        <w:rPr>
          <w:rFonts w:ascii="Times New Roman" w:hAnsi="Times New Roman" w:eastAsia="Times New Roman" w:cs="Times New Roman"/>
          <w:b/>
          <w:color w:val="1A1A1A"/>
          <w:sz w:val="20"/>
          <w:szCs w:val="24"/>
        </w:rPr>
        <w:t>H.3 Indonesia: Islamic Finance Hub and South-South Cooperation</w:t>
      </w:r>
    </w:p>
    <w:p>
      <w:pPr>
        <w:pStyle w:val="Normal"/>
      </w:pPr>
      <w:r>
        <w:rPr>
          <w:rFonts w:ascii="Times New Roman" w:hAnsi="Times New Roman" w:eastAsia="Times New Roman" w:cs="Times New Roman"/>
          <w:color w:val="1A1A1A"/>
          <w:sz w:val="22"/>
          <w:szCs w:val="22"/>
        </w:rPr>
        <w:t>Indonesia is the world's most populous Muslim-majority nation and a global leader in Islamic finance innovation. Indonesia is a BRICS member state and a founding member of the Organisation of Islamic Cooperation (OIC). The Indonesian government has issued sovereign Green Sukuk (Islamic green bonds) to fund climate and environmental projects, providing a proven model for Islamic climate finance.</w:t>
      </w:r>
    </w:p>
    <w:p>
      <w:pPr>
        <w:pStyle w:val="Normal"/>
      </w:pPr>
      <w:r>
        <w:rPr>
          <w:rFonts w:ascii="Times New Roman" w:hAnsi="Times New Roman" w:eastAsia="Times New Roman" w:cs="Times New Roman"/>
          <w:color w:val="1A1A1A"/>
          <w:sz w:val="22"/>
          <w:szCs w:val="22"/>
        </w:rPr>
        <w:t>Indonesia's Green Sukuk program has raised over $3.5 billion across multiple issuances to finance renewable energy, sustainable transport, waste management, and climate adaptation projects. The Indonesian experience provides a blueprint for structuring Shari'ah-compliant climate finance instruments under the MRF's Carbon Credit Pre-Financing Facility (Article 6.4).</w:t>
      </w:r>
    </w:p>
    <w:p>
      <w:pPr>
        <w:pStyle w:val="Normal"/>
      </w:pPr>
      <w:r>
        <w:rPr>
          <w:rFonts w:ascii="Times New Roman" w:hAnsi="Times New Roman" w:eastAsia="Times New Roman" w:cs="Times New Roman"/>
          <w:color w:val="1A1A1A"/>
          <w:sz w:val="22"/>
          <w:szCs w:val="22"/>
        </w:rPr>
        <w:t>Application pathway: Indonesia contributes to the MRF through bilateral development cooperation (via the Indonesian Agency for International Development). Indonesian Islamic banks and the Indonesia Eximbank provide Shari'ah-compliant project finance. The RSC engages Indonesian Green Sukuk experts to advise on MRF Sukuk structuring. Indonesia's Islamic Development Bank contributions flow through the IsDB's Iran program.</w:t>
      </w:r>
    </w:p>
    <w:p>
      <w:pPr>
        <w:pStyle w:val="Normal"/>
      </w:pPr>
      <w:r>
        <w:rPr>
          <w:rFonts w:ascii="Times New Roman" w:hAnsi="Times New Roman" w:eastAsia="Times New Roman" w:cs="Times New Roman"/>
          <w:color w:val="1A1A1A"/>
          <w:sz w:val="22"/>
          <w:szCs w:val="22"/>
        </w:rPr>
        <w:t>Focus sectors: Islamic finance structuring, Green Sukuk issuance, renewable energy, and climate adaptation. Estimated potential allocation: $500 million to $1 billion.</w:t>
      </w:r>
    </w:p>
    <w:p>
      <w:pPr>
        <w:pStyle w:val="Heading2"/>
      </w:pPr>
      <w:r>
        <w:rPr>
          <w:rFonts w:ascii="Times New Roman" w:hAnsi="Times New Roman" w:eastAsia="Times New Roman" w:cs="Times New Roman"/>
          <w:b/>
          <w:color w:val="1A1A1A"/>
          <w:sz w:val="20"/>
          <w:szCs w:val="24"/>
        </w:rPr>
        <w:t>H.4 Brazil: Agricultural Technology and BRICS Cooperation</w:t>
      </w:r>
    </w:p>
    <w:p>
      <w:pPr>
        <w:pStyle w:val="Normal"/>
      </w:pPr>
      <w:r>
        <w:rPr>
          <w:rFonts w:ascii="Times New Roman" w:hAnsi="Times New Roman" w:eastAsia="Times New Roman" w:cs="Times New Roman"/>
          <w:color w:val="1A1A1A"/>
          <w:sz w:val="22"/>
          <w:szCs w:val="22"/>
        </w:rPr>
        <w:t>Brazil is a BRICS member state with world-leading agricultural technology expertise. The Brazilian Agricultural Research Corporation (EMBRAPA) operates as one of the world's premier agricultural research institutions, developing drought-resistant crops, tropical agriculture techniques, and precision farming technologies applicable to Iran's diverse climate zones.</w:t>
      </w:r>
    </w:p>
    <w:p>
      <w:pPr>
        <w:pStyle w:val="Normal"/>
      </w:pPr>
      <w:r>
        <w:rPr>
          <w:rFonts w:ascii="Times New Roman" w:hAnsi="Times New Roman" w:eastAsia="Times New Roman" w:cs="Times New Roman"/>
          <w:color w:val="1A1A1A"/>
          <w:sz w:val="22"/>
          <w:szCs w:val="22"/>
        </w:rPr>
        <w:t>Application pathway: Brazil contributes to the MRF through BRICS development mechanisms and bilateral technical cooperation. EMBRAPA provides technical assistance for Iranian agricultural reconstruction under MRF-Agriculture. Brazilian construction and engineering firms (Odebrecht, Andrade Gutierrez) participate in infrastructure projects. The Brazilian Development Bank (BNDES) provides export credit for Brazilian equipment and technology.</w:t>
      </w:r>
    </w:p>
    <w:p>
      <w:pPr>
        <w:pStyle w:val="Normal"/>
      </w:pPr>
      <w:r>
        <w:rPr>
          <w:rFonts w:ascii="Times New Roman" w:hAnsi="Times New Roman" w:eastAsia="Times New Roman" w:cs="Times New Roman"/>
          <w:color w:val="1A1A1A"/>
          <w:sz w:val="22"/>
          <w:szCs w:val="22"/>
        </w:rPr>
        <w:t>Focus sectors: Agricultural technology, food security, biofuels, precision agriculture, and rural development. Estimated potential allocation: $300-500 million.</w:t>
      </w:r>
    </w:p>
    <w:p>
      <w:pPr>
        <w:pStyle w:val="Heading2"/>
      </w:pPr>
      <w:r>
        <w:rPr>
          <w:rFonts w:ascii="Times New Roman" w:hAnsi="Times New Roman" w:eastAsia="Times New Roman" w:cs="Times New Roman"/>
          <w:b/>
          <w:color w:val="1A1A1A"/>
          <w:sz w:val="20"/>
          <w:szCs w:val="24"/>
        </w:rPr>
        <w:t>H.5 South Africa: Infrastructure Expertise and Bilateral Cooperation</w:t>
      </w:r>
    </w:p>
    <w:p>
      <w:pPr>
        <w:pStyle w:val="Normal"/>
      </w:pPr>
      <w:r>
        <w:rPr>
          <w:rFonts w:ascii="Times New Roman" w:hAnsi="Times New Roman" w:eastAsia="Times New Roman" w:cs="Times New Roman"/>
          <w:color w:val="1A1A1A"/>
          <w:sz w:val="22"/>
          <w:szCs w:val="22"/>
        </w:rPr>
        <w:t>South Africa and Iran maintain extensive bilateral cooperation through the Joint Commission for Cooperation (JCC), which has produced signed agreements across mining, energy, agriculture, transport, water resources management, industrial development, science and technology, health, education, and cultural cooperation.</w:t>
      </w:r>
    </w:p>
    <w:p>
      <w:pPr>
        <w:pStyle w:val="Normal"/>
      </w:pPr>
      <w:r>
        <w:rPr>
          <w:rFonts w:ascii="Times New Roman" w:hAnsi="Times New Roman" w:eastAsia="Times New Roman" w:cs="Times New Roman"/>
          <w:color w:val="1A1A1A"/>
          <w:sz w:val="22"/>
          <w:szCs w:val="22"/>
        </w:rPr>
        <w:t>South Africa is a BRICS founding member. Both nations are now BRICS members (Iran joined January 2024), creating a multilateral cooperation platform for infrastructure investment, technology transfer, and development finance. The BRICS New Development Bank (NDB) provides an additional lending channel for MRF-aligned projects.</w:t>
      </w:r>
    </w:p>
    <w:p>
      <w:pPr>
        <w:pStyle w:val="Normal"/>
      </w:pPr>
      <w:r>
        <w:rPr>
          <w:rFonts w:ascii="Times New Roman" w:hAnsi="Times New Roman" w:eastAsia="Times New Roman" w:cs="Times New Roman"/>
          <w:color w:val="1A1A1A"/>
          <w:sz w:val="22"/>
          <w:szCs w:val="22"/>
        </w:rPr>
        <w:t>Application pathway: South Africa contributes to the MRF through bilateral development cooperation and the BRICS NDB. The Development Bank of Southern Africa (DBSA) provides infrastructure finance expertise. South African firms (Murray and Roberts, Group Five) contribute construction and engineering capacity. The South Africa-Iran JCC secretariat coordinates project pipelines with the RSC.</w:t>
      </w:r>
    </w:p>
    <w:p>
      <w:pPr>
        <w:pStyle w:val="Normal"/>
      </w:pPr>
      <w:r>
        <w:rPr>
          <w:rFonts w:ascii="Times New Roman" w:hAnsi="Times New Roman" w:eastAsia="Times New Roman" w:cs="Times New Roman"/>
          <w:color w:val="1A1A1A"/>
          <w:sz w:val="22"/>
          <w:szCs w:val="22"/>
        </w:rPr>
        <w:t>Focus sectors: Mining and mineral beneficiation, water and sanitation technology, rail infrastructure, industrial parks, smart transportation, and agricultural technology. Estimated potential allocation: $500 million to $1 billion.</w:t>
      </w:r>
    </w:p>
    <w:p>
      <w:pPr>
        <w:pStyle w:val="Heading2"/>
      </w:pPr>
      <w:r>
        <w:rPr>
          <w:rFonts w:ascii="Times New Roman" w:hAnsi="Times New Roman" w:eastAsia="Times New Roman" w:cs="Times New Roman"/>
          <w:b/>
          <w:color w:val="1A1A1A"/>
          <w:sz w:val="20"/>
          <w:szCs w:val="24"/>
        </w:rPr>
        <w:t>H.6 China: Belt and Road Initiative and Strategic Partnership</w:t>
      </w:r>
    </w:p>
    <w:p>
      <w:pPr>
        <w:pStyle w:val="Normal"/>
      </w:pPr>
      <w:r>
        <w:rPr>
          <w:rFonts w:ascii="Times New Roman" w:hAnsi="Times New Roman" w:eastAsia="Times New Roman" w:cs="Times New Roman"/>
          <w:color w:val="1A1A1A"/>
          <w:sz w:val="22"/>
          <w:szCs w:val="22"/>
        </w:rPr>
        <w:t>China and Iran signed a 25-year Strategic Cooperation Agreement in September 2025, creating a comprehensive framework for Chinese investment across Iranian infrastructure, energy, technology, and transport. The agreement includes a $25 billion commitment for the Hormoz nuclear power plant (four units, 5,000 megawatts) and activates the China-Iran Silk Road Economic Belt corridor.</w:t>
      </w:r>
    </w:p>
    <w:p>
      <w:pPr>
        <w:pStyle w:val="Normal"/>
      </w:pPr>
      <w:r>
        <w:rPr>
          <w:rFonts w:ascii="Times New Roman" w:hAnsi="Times New Roman" w:eastAsia="Times New Roman" w:cs="Times New Roman"/>
          <w:color w:val="1A1A1A"/>
          <w:sz w:val="22"/>
          <w:szCs w:val="22"/>
        </w:rPr>
        <w:t>The Belt and Road Initiative (BRI) serves as the primary channel for Chinese reconstruction engagement. China provides massive infrastructure financing for railway, port, and highway projects. Chinese companies (CMC, SU Power, China Railway Group, China Harbour Engineering) are the largest investors in Iranian neighboring states' transport infrastructure and possess extensive conflict-zone construction experience.</w:t>
      </w:r>
    </w:p>
    <w:p>
      <w:pPr>
        <w:pStyle w:val="Normal"/>
      </w:pPr>
      <w:r>
        <w:rPr>
          <w:rFonts w:ascii="Times New Roman" w:hAnsi="Times New Roman" w:eastAsia="Times New Roman" w:cs="Times New Roman"/>
          <w:color w:val="1A1A1A"/>
          <w:sz w:val="22"/>
          <w:szCs w:val="22"/>
        </w:rPr>
        <w:t>Iran's transport infrastructure requires $14.5 billion in investment per year over the next decade (121 identified projects). China's existing Tehran-Mashhad railway electrification project ($2 billion) demonstrates proven delivery capacity. The BRI connects Iranian ports to international transportation networks and positions Iran as a land-sea corridor linking East Asia to the Mediterranean via Iraq and Syria.</w:t>
      </w:r>
    </w:p>
    <w:p>
      <w:pPr>
        <w:pStyle w:val="Normal"/>
      </w:pPr>
      <w:r>
        <w:rPr>
          <w:rFonts w:ascii="Times New Roman" w:hAnsi="Times New Roman" w:eastAsia="Times New Roman" w:cs="Times New Roman"/>
          <w:color w:val="1A1A1A"/>
          <w:sz w:val="22"/>
          <w:szCs w:val="22"/>
        </w:rPr>
        <w:t>Application pathway: China accesses the MRF through bilateral project financing under the 25-year Strategic Cooperation Agreement. The Silk Road Fund and China Development Bank provide long-term infrastructure loans. The Asian Infrastructure Investment Bank (AIIB) co-finances transport and energy projects. The RSC coordinates Chinese project pipelines with MRF Sub-Fund allocations to prevent duplication and maximize leverage.</w:t>
      </w:r>
    </w:p>
    <w:p>
      <w:pPr>
        <w:pStyle w:val="Normal"/>
      </w:pPr>
      <w:r>
        <w:rPr>
          <w:rFonts w:ascii="Times New Roman" w:hAnsi="Times New Roman" w:eastAsia="Times New Roman" w:cs="Times New Roman"/>
          <w:color w:val="1A1A1A"/>
          <w:sz w:val="22"/>
          <w:szCs w:val="22"/>
        </w:rPr>
        <w:t>Focus sectors: Transport infrastructure (rail, ports, highways), nuclear energy, telecommunications, and power generation. Estimated potential allocation: $10-25 billion (excluding the Hormoz nuclear project which is bilateral).</w:t>
      </w:r>
    </w:p>
    <w:p>
      <w:pPr>
        <w:pStyle w:val="Heading2"/>
      </w:pPr>
      <w:r>
        <w:rPr>
          <w:rFonts w:ascii="Times New Roman" w:hAnsi="Times New Roman" w:eastAsia="Times New Roman" w:cs="Times New Roman"/>
          <w:b/>
          <w:color w:val="1A1A1A"/>
          <w:sz w:val="20"/>
          <w:szCs w:val="24"/>
        </w:rPr>
        <w:t>H.7 Russia: Reconstruction Partnership and North-South Corridor</w:t>
      </w:r>
    </w:p>
    <w:p>
      <w:pPr>
        <w:pStyle w:val="Normal"/>
      </w:pPr>
      <w:r>
        <w:rPr>
          <w:rFonts w:ascii="Times New Roman" w:hAnsi="Times New Roman" w:eastAsia="Times New Roman" w:cs="Times New Roman"/>
          <w:color w:val="1A1A1A"/>
          <w:sz w:val="22"/>
          <w:szCs w:val="22"/>
        </w:rPr>
        <w:t>Russia has formally declared readiness to assist Iran in rebuilding war-damaged infrastructure. The Russian Ambassador to Tehran confirmed that Russian industrial and construction firms, engineering and design institutes, and scientific and technology centers possess the expertise needed for reconstruction. Russia awaits an official request from Tehran to assess needs and present concrete cooperation proposals.</w:t>
      </w:r>
    </w:p>
    <w:p>
      <w:pPr>
        <w:pStyle w:val="Normal"/>
      </w:pPr>
      <w:r>
        <w:rPr>
          <w:rFonts w:ascii="Times New Roman" w:hAnsi="Times New Roman" w:eastAsia="Times New Roman" w:cs="Times New Roman"/>
          <w:color w:val="1A1A1A"/>
          <w:sz w:val="22"/>
          <w:szCs w:val="22"/>
        </w:rPr>
        <w:t>The International North-South Transport Corridor (INSTC) demonstrates the depth of Russia-Iran economic integration. Cargo transported via the corridor reached approximately 2.2 million metric tons in early 2026 (87% year-on-year increase). Russian exports to Iran rose by more than 56% in the first four months of 2026. The INSTC connects Russia to India through Iran, creating a multi-modal trade corridor of strategic importance.</w:t>
      </w:r>
    </w:p>
    <w:p>
      <w:pPr>
        <w:pStyle w:val="Normal"/>
      </w:pPr>
      <w:r>
        <w:rPr>
          <w:rFonts w:ascii="Times New Roman" w:hAnsi="Times New Roman" w:eastAsia="Times New Roman" w:cs="Times New Roman"/>
          <w:color w:val="1A1A1A"/>
          <w:sz w:val="22"/>
          <w:szCs w:val="22"/>
        </w:rPr>
        <w:t>Application pathway: Russia contributes to the MRF through bilateral reconstruction agreements. Russian construction firms (Stroygazmontazh, Titan, Mosinzhproekt) participate in infrastructure tenders. The Russian Direct Investment Fund (RDIF) co-invests in MRF projects with Russian construction and engineering participation. The RSC coordinates Russian project pipelines through the INSTC framework.</w:t>
      </w:r>
    </w:p>
    <w:p>
      <w:pPr>
        <w:pStyle w:val="Normal"/>
      </w:pPr>
      <w:r>
        <w:rPr>
          <w:rFonts w:ascii="Times New Roman" w:hAnsi="Times New Roman" w:eastAsia="Times New Roman" w:cs="Times New Roman"/>
          <w:color w:val="1A1A1A"/>
          <w:sz w:val="22"/>
          <w:szCs w:val="22"/>
        </w:rPr>
        <w:t>Focus sectors: Nuclear energy, rail infrastructure, heavy industry, metallurgy, engineering services, and transport corridors. Estimated potential allocation: $3-8 billion (excluding the Hormoz nuclear project which is bilateral).</w:t>
      </w:r>
    </w:p>
    <w:p>
      <w:pPr>
        <w:pStyle w:val="Heading2"/>
      </w:pPr>
      <w:r>
        <w:rPr>
          <w:rFonts w:ascii="Times New Roman" w:hAnsi="Times New Roman" w:eastAsia="Times New Roman" w:cs="Times New Roman"/>
          <w:b/>
          <w:color w:val="1A1A1A"/>
          <w:sz w:val="20"/>
          <w:szCs w:val="24"/>
        </w:rPr>
        <w:t>H.8 African Development Bank: Fragile States Facility</w:t>
      </w:r>
    </w:p>
    <w:p>
      <w:pPr>
        <w:pStyle w:val="Normal"/>
      </w:pPr>
      <w:r>
        <w:rPr>
          <w:rFonts w:ascii="Times New Roman" w:hAnsi="Times New Roman" w:eastAsia="Times New Roman" w:cs="Times New Roman"/>
          <w:color w:val="1A1A1A"/>
          <w:sz w:val="22"/>
          <w:szCs w:val="22"/>
        </w:rPr>
        <w:t>While the African Development Bank's primary mandate covers Africa, its Fragile States Facility (FSF) demonstrates an operational framework directly applicable to post-conflict reconstruction financing. The FSF encompasses three pillars: (1) Pillar I - Supplemental Financing for post-crisis countries (UA 272.4 million allocated), (2) Pillar II - Arrears Clearance (UA 223.6 million), and (3) Pillar III - Targeted Capacity Building (UA 27.2 million).</w:t>
      </w:r>
    </w:p>
    <w:p>
      <w:pPr>
        <w:pStyle w:val="Normal"/>
      </w:pPr>
      <w:r>
        <w:rPr>
          <w:rFonts w:ascii="Times New Roman" w:hAnsi="Times New Roman" w:eastAsia="Times New Roman" w:cs="Times New Roman"/>
          <w:color w:val="1A1A1A"/>
          <w:sz w:val="22"/>
          <w:szCs w:val="22"/>
        </w:rPr>
        <w:t>The AfDB's partnership with the Islamic Development Bank and ICRC creates a trilateral cooperation framework for conflict-affected settings. The AfDB's Transition Support Facility model pioneered Security-Indexed Investment Bonds (SIIBs) for fragile states, mobilizing over $4.9 billion. These instruments demonstrate how development bonds can be structured for post-conflict reconstruction with explicit security conditionality.</w:t>
      </w:r>
    </w:p>
    <w:p>
      <w:pPr>
        <w:pStyle w:val="Normal"/>
      </w:pPr>
      <w:r>
        <w:rPr>
          <w:rFonts w:ascii="Times New Roman" w:hAnsi="Times New Roman" w:eastAsia="Times New Roman" w:cs="Times New Roman"/>
          <w:color w:val="1A1A1A"/>
          <w:sz w:val="22"/>
          <w:szCs w:val="22"/>
        </w:rPr>
        <w:t>Application pathway: The MRF engages the AfDB through the IsDB-AfDB-ICRC trilateral framework for technical assistance and knowledge transfer. The AfDB provides advisory services on fragile states programming, arrears clearance sequencing, and budget support design. The RSC participates in the AfDB's Fragile States Knowledge Platform. Focus areas: Technical assistance. Estimated value: $50-100 million.</w:t>
      </w:r>
    </w:p>
    <w:p>
      <w:pPr>
        <w:pStyle w:val="Heading2"/>
      </w:pPr>
      <w:r>
        <w:rPr>
          <w:rFonts w:ascii="Times New Roman" w:hAnsi="Times New Roman" w:eastAsia="Times New Roman" w:cs="Times New Roman"/>
          <w:b/>
          <w:color w:val="1A1A1A"/>
          <w:sz w:val="20"/>
          <w:szCs w:val="24"/>
        </w:rPr>
        <w:t>H.9 World Bank State and Peacebuilding Fund (SPF)</w:t>
      </w:r>
    </w:p>
    <w:p>
      <w:pPr>
        <w:pStyle w:val="Normal"/>
      </w:pPr>
      <w:r>
        <w:rPr>
          <w:rFonts w:ascii="Times New Roman" w:hAnsi="Times New Roman" w:eastAsia="Times New Roman" w:cs="Times New Roman"/>
          <w:color w:val="1A1A1A"/>
          <w:sz w:val="22"/>
          <w:szCs w:val="22"/>
        </w:rPr>
        <w:t>The World Bank State and Peacebuilding Fund provides catalytic financing for peacebuilding, state-building, and institutional strengthening in fragile and conflict-affected settings. The SPF finances activities that: support the transition from conflict to sustainable peace, strengthen institutions and governance capacity, promote economic recovery and job creation, and build social cohesion and community resilience.</w:t>
      </w:r>
    </w:p>
    <w:p>
      <w:pPr>
        <w:pStyle w:val="Normal"/>
      </w:pPr>
      <w:r>
        <w:rPr>
          <w:rFonts w:ascii="Times New Roman" w:hAnsi="Times New Roman" w:eastAsia="Times New Roman" w:cs="Times New Roman"/>
          <w:color w:val="1A1A1A"/>
          <w:sz w:val="22"/>
          <w:szCs w:val="22"/>
        </w:rPr>
        <w:t>Application pathway: Iran accesses the SPF through the World Bank country office. SPF grants require a results framework aligned with the Fragility, Conflict and Violence (FCV) strategy. The RSC coordinates SPF applications with MRF institutional capacity building under MRF-Governance. SPF financing can cover governance restoration, public financial management reform, and community-driven development.</w:t>
      </w:r>
    </w:p>
    <w:p>
      <w:pPr>
        <w:pStyle w:val="Heading2"/>
      </w:pPr>
      <w:r>
        <w:rPr>
          <w:rFonts w:ascii="Times New Roman" w:hAnsi="Times New Roman" w:eastAsia="Times New Roman" w:cs="Times New Roman"/>
          <w:b/>
          <w:color w:val="1A1A1A"/>
          <w:sz w:val="20"/>
          <w:szCs w:val="24"/>
        </w:rPr>
        <w:t>H.10 UN Central Emergency Response Fund (CERF)</w:t>
      </w:r>
    </w:p>
    <w:p>
      <w:pPr>
        <w:pStyle w:val="Normal"/>
      </w:pPr>
      <w:r>
        <w:rPr>
          <w:rFonts w:ascii="Times New Roman" w:hAnsi="Times New Roman" w:eastAsia="Times New Roman" w:cs="Times New Roman"/>
          <w:color w:val="1A1A1A"/>
          <w:sz w:val="22"/>
          <w:szCs w:val="22"/>
        </w:rPr>
        <w:t>CERF is one of the fastest and most effective ways to ensure that urgently needed humanitarian assistance reaches people caught up in crises. CERF provides rapid initial funding for life-saving assistance at the onset of humanitarian crises and critical support for poorly funded, essential humanitarian operations. CERF allocated over $500 million in 2024 for rapid response to sudden-onset emergencies.</w:t>
      </w:r>
    </w:p>
    <w:p>
      <w:pPr>
        <w:pStyle w:val="Normal"/>
      </w:pPr>
      <w:r>
        <w:rPr>
          <w:rFonts w:ascii="Times New Roman" w:hAnsi="Times New Roman" w:eastAsia="Times New Roman" w:cs="Times New Roman"/>
          <w:color w:val="1A1A1A"/>
          <w:sz w:val="22"/>
          <w:szCs w:val="22"/>
        </w:rPr>
        <w:t>Application pathway: UN agencies operating in Iran submit CERF funding applications through the Resident Coordinator's office. CERF rapid response grants process within 72 hours of application. The RSC coordinates CERF applications with MRF-Health and MRF-Housing emergency reconstruction activities.</w:t>
      </w:r>
    </w:p>
    <w:p>
      <w:pPr>
        <w:pStyle w:val="Heading2"/>
      </w:pPr>
      <w:r>
        <w:rPr>
          <w:rFonts w:ascii="Times New Roman" w:hAnsi="Times New Roman" w:eastAsia="Times New Roman" w:cs="Times New Roman"/>
          <w:b/>
          <w:color w:val="1A1A1A"/>
          <w:sz w:val="20"/>
          <w:szCs w:val="24"/>
        </w:rPr>
        <w:t>H.11 Infrastructure Asset-Backed Securitization (IABS)</w:t>
      </w:r>
    </w:p>
    <w:p>
      <w:pPr>
        <w:pStyle w:val="Normal"/>
      </w:pPr>
      <w:r>
        <w:rPr>
          <w:rFonts w:ascii="Times New Roman" w:hAnsi="Times New Roman" w:eastAsia="Times New Roman" w:cs="Times New Roman"/>
          <w:color w:val="1A1A1A"/>
          <w:sz w:val="22"/>
          <w:szCs w:val="22"/>
        </w:rPr>
        <w:t>IABS is an innovative financing mechanism that converts future infrastructure revenue streams into upfront capital through bond issuance. Under IABS, completed or operational infrastructure assets (toll roads, power plants, water utilities) generate revenue that is securitized and sold to institutional investors. This mechanism enables the MRF to recycle capital: deploying proceeds from asset securitization into new reconstruction projects.</w:t>
      </w:r>
    </w:p>
    <w:p>
      <w:pPr>
        <w:pStyle w:val="Normal"/>
      </w:pPr>
      <w:r>
        <w:rPr>
          <w:rFonts w:ascii="Times New Roman" w:hAnsi="Times New Roman" w:eastAsia="Times New Roman" w:cs="Times New Roman"/>
          <w:color w:val="1A1A1A"/>
          <w:sz w:val="22"/>
          <w:szCs w:val="22"/>
        </w:rPr>
        <w:t>The IABS structure operates as follows: (1) The RSC identifies MRF-funded infrastructure assets with predictable revenue streams, (2) An independent rating agency assesses the credit quality of the revenue stream, (3) The Qatar Central Bank establishes a special purpose vehicle to hold the securitized assets, (4) The SPV issues IABS bonds to institutional investors (pension funds, insurance companies, sovereign wealth funds), (5) Proceeds from bond issuance flow into the relevant Sub-Fund for deployment to new projects.</w:t>
      </w:r>
    </w:p>
    <w:p>
      <w:pPr>
        <w:pStyle w:val="Normal"/>
      </w:pPr>
      <w:r>
        <w:rPr>
          <w:rFonts w:ascii="Times New Roman" w:hAnsi="Times New Roman" w:eastAsia="Times New Roman" w:cs="Times New Roman"/>
          <w:color w:val="1A1A1A"/>
          <w:sz w:val="22"/>
          <w:szCs w:val="22"/>
        </w:rPr>
        <w:t>IABS enables the MRF to achieve capital recycling: the same pool of international capital can fund multiple generations of projects as completed assets generate revenue that is securitized and reinvested. The PRI Pool provides credit enhancement for IABS issuances. Estimated potential: $2-5 billion in recycled capital.</w:t>
      </w:r>
    </w:p>
    <w:p>
      <w:pPr>
        <w:pStyle w:val="Heading2"/>
      </w:pPr>
      <w:r>
        <w:rPr>
          <w:rFonts w:ascii="Times New Roman" w:hAnsi="Times New Roman" w:eastAsia="Times New Roman" w:cs="Times New Roman"/>
          <w:b/>
          <w:color w:val="1A1A1A"/>
          <w:sz w:val="20"/>
          <w:szCs w:val="24"/>
        </w:rPr>
        <w:t>H.12 Islamic Development Bank Green Sukuk</w:t>
      </w:r>
    </w:p>
    <w:p>
      <w:pPr>
        <w:pStyle w:val="Normal"/>
      </w:pPr>
      <w:r>
        <w:rPr>
          <w:rFonts w:ascii="Times New Roman" w:hAnsi="Times New Roman" w:eastAsia="Times New Roman" w:cs="Times New Roman"/>
          <w:color w:val="1A1A1A"/>
          <w:sz w:val="22"/>
          <w:szCs w:val="22"/>
        </w:rPr>
        <w:t>The IsDB issued its inaugural Green Sukuk in 2024, raising EUR 500 million from international institutional investors at a profit rate of 3.947%. The issuance was 5 times oversubscribed, demonstrating strong global demand for Shari'ah-compliant climate finance instruments. The Green Sukuk funds renewable energy, clean transportation, sustainable water management, and climate adaptation projects across IsDB member countries.</w:t>
      </w:r>
    </w:p>
    <w:p>
      <w:pPr>
        <w:pStyle w:val="Normal"/>
      </w:pPr>
      <w:r>
        <w:rPr>
          <w:rFonts w:ascii="Times New Roman" w:hAnsi="Times New Roman" w:eastAsia="Times New Roman" w:cs="Times New Roman"/>
          <w:color w:val="1A1A1A"/>
          <w:sz w:val="22"/>
          <w:szCs w:val="22"/>
        </w:rPr>
        <w:t>This precedent enables the MRF to structure Green Sukuk issuances specifically for Iranian climate-resilient reconstruction. The RSC engages IsDB Green Sukuk advisors to structure asset-backed certificates for: solar and wind energy installations, green building retrofits, sustainable transport infrastructure, and climate-adaptive water systems.</w:t>
      </w:r>
    </w:p>
    <w:p>
      <w:pPr>
        <w:pStyle w:val="Heading2"/>
      </w:pPr>
      <w:r>
        <w:rPr>
          <w:rFonts w:ascii="Times New Roman" w:hAnsi="Times New Roman" w:eastAsia="Times New Roman" w:cs="Times New Roman"/>
          <w:b/>
          <w:color w:val="1A1A1A"/>
          <w:sz w:val="20"/>
          <w:szCs w:val="24"/>
        </w:rPr>
        <w:t>H.13 Mutual Reliance Agreements (MRAs) for MDB Co-Financing</w:t>
      </w:r>
    </w:p>
    <w:p>
      <w:pPr>
        <w:pStyle w:val="Normal"/>
      </w:pPr>
      <w:r>
        <w:rPr>
          <w:rFonts w:ascii="Times New Roman" w:hAnsi="Times New Roman" w:eastAsia="Times New Roman" w:cs="Times New Roman"/>
          <w:color w:val="1A1A1A"/>
          <w:sz w:val="22"/>
          <w:szCs w:val="22"/>
        </w:rPr>
        <w:t>Mutual Reliance Agreements are formal arrangements between multilateral development banks that enable one MDB to rely on another's procurement, environmental, and social safeguard procedures. MRAs reduce transaction costs, accelerate project processing, and enable larger-scale co-financing arrangements.</w:t>
      </w:r>
    </w:p>
    <w:p>
      <w:pPr>
        <w:pStyle w:val="Normal"/>
      </w:pPr>
      <w:r>
        <w:rPr>
          <w:rFonts w:ascii="Times New Roman" w:hAnsi="Times New Roman" w:eastAsia="Times New Roman" w:cs="Times New Roman"/>
          <w:color w:val="1A1A1A"/>
          <w:sz w:val="22"/>
          <w:szCs w:val="22"/>
        </w:rPr>
        <w:t>The RSC pursues MRAs with the World Bank, Asian Development Bank, Islamic Development Bank, and African Development Bank. Under an MRA, the World Bank can rely on IsDB procurement procedures for co-financed projects, eliminating duplicate procurement processes. This is particularly valuable for the MRF where multiple MDBs co-finance individual projects.</w:t>
      </w:r>
    </w:p>
    <w:p>
      <w:pPr>
        <w:pStyle w:val="Heading2"/>
      </w:pPr>
      <w:r>
        <w:rPr>
          <w:rFonts w:ascii="Times New Roman" w:hAnsi="Times New Roman" w:eastAsia="Times New Roman" w:cs="Times New Roman"/>
          <w:b/>
          <w:color w:val="1A1A1A"/>
          <w:sz w:val="20"/>
          <w:szCs w:val="24"/>
        </w:rPr>
        <w:t>H.14 IFC Kakuma Kalobeyei Challenge Fund Model</w:t>
      </w:r>
    </w:p>
    <w:p>
      <w:pPr>
        <w:pStyle w:val="Normal"/>
      </w:pPr>
      <w:r>
        <w:rPr>
          <w:rFonts w:ascii="Times New Roman" w:hAnsi="Times New Roman" w:eastAsia="Times New Roman" w:cs="Times New Roman"/>
          <w:color w:val="1A1A1A"/>
          <w:sz w:val="22"/>
          <w:szCs w:val="22"/>
        </w:rPr>
        <w:t>The International Finance Corporation's Kakuma Kalobeyei Challenge Fund (KKCF) demonstrates a conflict-sensitive blended finance model with direct applicability to Iranian reconstruction. The KKCF operates on three core principles: (1) Dual-benefit design for host communities and displaced populations, (2) Integrated market approach treating crisis-affected areas as investable markets rather than aid-dependent zones, and (3) Evidence-driven engagement using market data to attract private investment.</w:t>
      </w:r>
    </w:p>
    <w:p>
      <w:pPr>
        <w:pStyle w:val="Normal"/>
      </w:pPr>
      <w:r>
        <w:rPr>
          <w:rFonts w:ascii="Times New Roman" w:hAnsi="Times New Roman" w:eastAsia="Times New Roman" w:cs="Times New Roman"/>
          <w:color w:val="1A1A1A"/>
          <w:sz w:val="22"/>
          <w:szCs w:val="22"/>
        </w:rPr>
        <w:t>Key lessons from the KKCF applicable to Iran: (a) Refugees and internally displaced persons are treated as part of the market, not separate from it, reducing perceptions of competition, (b) Grants are sized and milestones tailored to fragile market realities, (c) Co-financing connects upstream grants to downstream credit, (d) A broad partnership combining IFC, UN agencies, bilateral donors, and local government mitigates risks, (e) Conflict sensitivity guides all operations and communications.</w:t>
      </w:r>
    </w:p>
    <w:p>
      <w:pPr>
        <w:pStyle w:val="Normal"/>
      </w:pPr>
      <w:r>
        <w:rPr>
          <w:rFonts w:ascii="Times New Roman" w:hAnsi="Times New Roman" w:eastAsia="Times New Roman" w:cs="Times New Roman"/>
          <w:color w:val="1A1A1A"/>
          <w:sz w:val="22"/>
          <w:szCs w:val="22"/>
        </w:rPr>
        <w:t>The MRF adapts the KKCF model for Iranian post-conflict zones by: (1) Integrating displaced populations into reconstruction labor markets, (2) Structuring grants that connect to downstream MRF credit facilities, (3) Engaging a broad partnership of MDBs, UN agencies, and bilateral donors, (4) Conducting market assessments to reframe reconstruction zones as investable markets, (5) Tailoring milestones to fragile market conditions.</w:t>
      </w:r>
    </w:p>
    <w:p>
      <w:pPr>
        <w:pStyle w:val="Heading2"/>
      </w:pPr>
      <w:r>
        <w:rPr>
          <w:rFonts w:ascii="Times New Roman" w:hAnsi="Times New Roman" w:eastAsia="Times New Roman" w:cs="Times New Roman"/>
          <w:b/>
          <w:color w:val="1A1A1A"/>
          <w:sz w:val="20"/>
          <w:szCs w:val="24"/>
        </w:rPr>
        <w:t>H.15 Additional Sources from Systematic Analysis</w:t>
      </w:r>
    </w:p>
    <w:p>
      <w:pPr>
        <w:pStyle w:val="Normal"/>
      </w:pPr>
      <w:r>
        <w:rPr>
          <w:rFonts w:ascii="Times New Roman" w:hAnsi="Times New Roman" w:eastAsia="Times New Roman" w:cs="Times New Roman"/>
          <w:color w:val="1A1A1A"/>
          <w:sz w:val="22"/>
          <w:szCs w:val="22"/>
        </w:rPr>
        <w:t>The following additional sources are identified through systematic analysis of international funding databases and development finance registries:</w:t>
      </w:r>
    </w:p>
    <w:p>
      <w:pPr>
        <w:pStyle w:val="Normal"/>
      </w:pPr>
      <w:r>
        <w:rPr>
          <w:rFonts w:ascii="Times New Roman" w:hAnsi="Times New Roman" w:eastAsia="Times New Roman" w:cs="Times New Roman"/>
          <w:color w:val="1A1A1A"/>
          <w:sz w:val="22"/>
          <w:szCs w:val="22"/>
        </w:rPr>
        <w:t xml:space="preserve">•  Asian Infrastructure Investment Bank (AIIB): Sovereign-backed lending for infrastructure. Iran is a founding member. Potential allocation: $1-3 billion for transport and energy.</w:t>
      </w:r>
    </w:p>
    <w:p>
      <w:pPr>
        <w:pStyle w:val="Normal"/>
      </w:pPr>
      <w:r>
        <w:rPr>
          <w:rFonts w:ascii="Times New Roman" w:hAnsi="Times New Roman" w:eastAsia="Times New Roman" w:cs="Times New Roman"/>
          <w:color w:val="1A1A1A"/>
          <w:sz w:val="22"/>
          <w:szCs w:val="22"/>
        </w:rPr>
        <w:t xml:space="preserve">•  International Fund for Agricultural Development (IFAD): Concessional loans and grants for rural development and agricultural transformation. Iran is a member. Potential allocation: $200-500 million.</w:t>
      </w:r>
    </w:p>
    <w:p>
      <w:pPr>
        <w:pStyle w:val="Normal"/>
      </w:pPr>
      <w:r>
        <w:rPr>
          <w:rFonts w:ascii="Times New Roman" w:hAnsi="Times New Roman" w:eastAsia="Times New Roman" w:cs="Times New Roman"/>
          <w:color w:val="1A1A1A"/>
          <w:sz w:val="22"/>
          <w:szCs w:val="22"/>
        </w:rPr>
        <w:t xml:space="preserve">•  International Labour Organization (ILO) Skills and Employability Programme: Technical assistance for workforce development and vocational training under MRF-Education.</w:t>
      </w:r>
    </w:p>
    <w:p>
      <w:pPr>
        <w:pStyle w:val="Normal"/>
      </w:pPr>
      <w:r>
        <w:rPr>
          <w:rFonts w:ascii="Times New Roman" w:hAnsi="Times New Roman" w:eastAsia="Times New Roman" w:cs="Times New Roman"/>
          <w:color w:val="1A1A1A"/>
          <w:sz w:val="22"/>
          <w:szCs w:val="22"/>
        </w:rPr>
        <w:t xml:space="preserve">•  UNIDO Industrial Recovery Programme: Technical assistance for industrial rehabilitation, SME development, and value chain restoration.</w:t>
      </w:r>
    </w:p>
    <w:p>
      <w:pPr>
        <w:pStyle w:val="Normal"/>
      </w:pPr>
      <w:r>
        <w:rPr>
          <w:rFonts w:ascii="Times New Roman" w:hAnsi="Times New Roman" w:eastAsia="Times New Roman" w:cs="Times New Roman"/>
          <w:color w:val="1A1A1A"/>
          <w:sz w:val="22"/>
          <w:szCs w:val="22"/>
        </w:rPr>
        <w:t xml:space="preserve">•  UNESCO Cultural Heritage Emergency Fund: Grants for protection and restoration of cultural heritage sites damaged during conflict.</w:t>
      </w:r>
    </w:p>
    <w:p>
      <w:pPr>
        <w:pStyle w:val="Normal"/>
      </w:pPr>
      <w:r>
        <w:rPr>
          <w:rFonts w:ascii="Times New Roman" w:hAnsi="Times New Roman" w:eastAsia="Times New Roman" w:cs="Times New Roman"/>
          <w:color w:val="1A1A1A"/>
          <w:sz w:val="22"/>
          <w:szCs w:val="22"/>
        </w:rPr>
        <w:t xml:space="preserve">•  WHO Health Emergency Response Fund: Rapid response financing for health system restoration and emergency medical capacity.</w:t>
      </w:r>
    </w:p>
    <w:p>
      <w:pPr>
        <w:pStyle w:val="Normal"/>
      </w:pPr>
      <w:r>
        <w:rPr>
          <w:rFonts w:ascii="Times New Roman" w:hAnsi="Times New Roman" w:eastAsia="Times New Roman" w:cs="Times New Roman"/>
          <w:color w:val="1A1A1A"/>
          <w:sz w:val="22"/>
          <w:szCs w:val="22"/>
        </w:rPr>
        <w:t xml:space="preserve">•  WMO Climate Services and Early Warning Systems: Technical assistance for climate monitoring, disaster early warning, and weather infrastructure.</w:t>
      </w:r>
    </w:p>
    <w:p>
      <w:pPr>
        <w:pStyle w:val="Heading2"/>
      </w:pPr>
      <w:r>
        <w:rPr>
          <w:rFonts w:ascii="Times New Roman" w:hAnsi="Times New Roman" w:eastAsia="Times New Roman" w:cs="Times New Roman"/>
          <w:b/>
          <w:color w:val="1A1A1A"/>
          <w:sz w:val="20"/>
          <w:szCs w:val="24"/>
        </w:rPr>
        <w:t>H.16 Summary of Global South and BRICS Funding Potential</w:t>
      </w:r>
    </w:p>
    <w:p>
      <w:pPr>
        <w:pStyle w:val="Normal"/>
      </w:pPr>
      <w:r>
        <w:rPr>
          <w:rFonts w:ascii="Times New Roman" w:hAnsi="Times New Roman" w:eastAsia="Times New Roman" w:cs="Times New Roman"/>
          <w:color w:val="1A1A1A"/>
          <w:sz w:val="22"/>
          <w:szCs w:val="22"/>
        </w:rPr>
        <w:t>The following table summarizes the additional funding sources documented in this Appendix:</w:t>
      </w:r>
    </w:p>
    <w:tbl>
      <w:tblPr>
        <w:tblW w:w="5000" w:type="pct"/>
        <w:tblBorders>
          <w:top w:val="single" w:color="1B3A4B" w:sz="12"/>
          <w:left w:val="nil"/>
          <w:bottom w:val="single" w:color="1B3A4B" w:sz="12"/>
          <w:right w:val="nil"/>
          <w:insideH w:val="single" w:color="b0b0b0" w:sz="4"/>
          <w:insideV w:val="nil"/>
        </w:tblBorders>
      </w:tblPr>
      <w:tblGrid>
        <w:gridCol w:w="1800"/>
        <w:gridCol w:w="4200"/>
        <w:gridCol w:w="2000"/>
      </w:tblGrid>
      <w:tr>
        <w:trPr>
          <w:tblHeader w:val="1"/>
        </w:trPr>
        <w:tc>
          <w:tcPr>
            <w:tcW w:w="1800" w:type="dxa"/>
            <w:shd w:val="clear" w:fill="E8EEF2" w:color="auto"/>
          </w:tcPr>
          <w:p>
            <w:pPr>
              <w:pStyle w:val="Normal"/>
            </w:pPr>
            <w:r>
              <w:rPr>
                <w:rFonts w:ascii="Times New Roman" w:hAnsi="Times New Roman" w:eastAsia="Times New Roman" w:cs="Times New Roman"/>
                <w:color w:val="1A1A1A"/>
                <w:sz w:val="22"/>
                <w:szCs w:val="22"/>
              </w:rPr>
              <w:t>Source</w:t>
            </w:r>
          </w:p>
        </w:tc>
        <w:tc>
          <w:tcPr>
            <w:tcW w:w="4200" w:type="dxa"/>
            <w:shd w:val="clear" w:fill="E8EEF2" w:color="auto"/>
          </w:tcPr>
          <w:p>
            <w:pPr>
              <w:pStyle w:val="Normal"/>
            </w:pPr>
            <w:r>
              <w:rPr>
                <w:rFonts w:ascii="Times New Roman" w:hAnsi="Times New Roman" w:eastAsia="Times New Roman" w:cs="Times New Roman"/>
                <w:color w:val="1A1A1A"/>
                <w:sz w:val="22"/>
                <w:szCs w:val="22"/>
              </w:rPr>
              <w:t>Type</w:t>
            </w:r>
          </w:p>
        </w:tc>
        <w:tc>
          <w:tcPr>
            <w:tcW w:w="2000" w:type="dxa"/>
            <w:shd w:val="clear" w:fill="E8EEF2" w:color="auto"/>
          </w:tcPr>
          <w:p>
            <w:pPr>
              <w:pStyle w:val="Normal"/>
            </w:pPr>
            <w:r>
              <w:rPr>
                <w:rFonts w:ascii="Times New Roman" w:hAnsi="Times New Roman" w:eastAsia="Times New Roman" w:cs="Times New Roman"/>
                <w:color w:val="1A1A1A"/>
                <w:sz w:val="22"/>
                <w:szCs w:val="22"/>
              </w:rPr>
              <w:t>Est. Allocation</w:t>
            </w:r>
          </w:p>
        </w:tc>
      </w:tr>
      <w:tr>
        <w:trPr>
          <w:tblHeader w:val="1"/>
        </w:trPr>
        <w:tc>
          <w:tcPr>
            <w:tcW w:w="1800" w:type="dxa"/>
            <w:shd w:val="clear" w:fill="E8EEF2" w:color="auto"/>
          </w:tcPr>
          <w:p>
            <w:pPr>
              <w:pStyle w:val="Normal"/>
            </w:pPr>
            <w:r>
              <w:rPr>
                <w:rFonts w:ascii="Times New Roman" w:hAnsi="Times New Roman" w:eastAsia="Times New Roman" w:cs="Times New Roman"/>
                <w:color w:val="1A1A1A"/>
                <w:sz w:val="22"/>
                <w:szCs w:val="22"/>
              </w:rPr>
              <w:t>South Korea</w:t>
            </w:r>
          </w:p>
        </w:tc>
        <w:tc>
          <w:tcPr>
            <w:tcW w:w="4200" w:type="dxa"/>
            <w:shd w:val="clear" w:fill="E8EEF2" w:color="auto"/>
          </w:tcPr>
          <w:p>
            <w:pPr>
              <w:pStyle w:val="Normal"/>
            </w:pPr>
            <w:r>
              <w:rPr>
                <w:rFonts w:ascii="Times New Roman" w:hAnsi="Times New Roman" w:eastAsia="Times New Roman" w:cs="Times New Roman"/>
                <w:color w:val="1A1A1A"/>
                <w:sz w:val="22"/>
                <w:szCs w:val="22"/>
              </w:rPr>
              <w:t>Loans + Frozen Assets</w:t>
            </w:r>
          </w:p>
        </w:tc>
        <w:tc>
          <w:tcPr>
            <w:tcW w:w="2000" w:type="dxa"/>
            <w:shd w:val="clear" w:fill="E8EEF2" w:color="auto"/>
          </w:tcPr>
          <w:p>
            <w:pPr>
              <w:pStyle w:val="Normal"/>
            </w:pPr>
            <w:r>
              <w:rPr>
                <w:rFonts w:ascii="Times New Roman" w:hAnsi="Times New Roman" w:eastAsia="Times New Roman" w:cs="Times New Roman"/>
                <w:color w:val="1A1A1A"/>
                <w:sz w:val="22"/>
                <w:szCs w:val="22"/>
              </w:rPr>
              <w:t>$3-8B</w:t>
            </w:r>
          </w:p>
        </w:tc>
      </w:tr>
      <w:tr>
        <w:trPr>
          <w:tblHeader w:val="1"/>
        </w:trPr>
        <w:tc>
          <w:tcPr>
            <w:tcW w:w="1800" w:type="dxa"/>
            <w:shd w:val="clear" w:fill="E8EEF2" w:color="auto"/>
          </w:tcPr>
          <w:p>
            <w:pPr>
              <w:pStyle w:val="Normal"/>
            </w:pPr>
            <w:r>
              <w:rPr>
                <w:rFonts w:ascii="Times New Roman" w:hAnsi="Times New Roman" w:eastAsia="Times New Roman" w:cs="Times New Roman"/>
                <w:color w:val="1A1A1A"/>
                <w:sz w:val="22"/>
                <w:szCs w:val="22"/>
              </w:rPr>
              <w:t>Turkey</w:t>
            </w:r>
          </w:p>
        </w:tc>
        <w:tc>
          <w:tcPr>
            <w:tcW w:w="4200" w:type="dxa"/>
            <w:shd w:val="clear" w:fill="E8EEF2" w:color="auto"/>
          </w:tcPr>
          <w:p>
            <w:pPr>
              <w:pStyle w:val="Normal"/>
            </w:pPr>
            <w:r>
              <w:rPr>
                <w:rFonts w:ascii="Times New Roman" w:hAnsi="Times New Roman" w:eastAsia="Times New Roman" w:cs="Times New Roman"/>
                <w:color w:val="1A1A1A"/>
                <w:sz w:val="22"/>
                <w:szCs w:val="22"/>
              </w:rPr>
              <w:t>Construction + Assets</w:t>
            </w:r>
          </w:p>
        </w:tc>
        <w:tc>
          <w:tcPr>
            <w:tcW w:w="2000" w:type="dxa"/>
            <w:shd w:val="clear" w:fill="E8EEF2" w:color="auto"/>
          </w:tcPr>
          <w:p>
            <w:pPr>
              <w:pStyle w:val="Normal"/>
            </w:pPr>
            <w:r>
              <w:rPr>
                <w:rFonts w:ascii="Times New Roman" w:hAnsi="Times New Roman" w:eastAsia="Times New Roman" w:cs="Times New Roman"/>
                <w:color w:val="1A1A1A"/>
                <w:sz w:val="22"/>
                <w:szCs w:val="22"/>
              </w:rPr>
              <w:t>$2-5B</w:t>
            </w:r>
          </w:p>
        </w:tc>
      </w:tr>
      <w:tr>
        <w:trPr>
          <w:tblHeader w:val="1"/>
        </w:trPr>
        <w:tc>
          <w:tcPr>
            <w:tcW w:w="1800" w:type="dxa"/>
            <w:shd w:val="clear" w:fill="E8EEF2" w:color="auto"/>
          </w:tcPr>
          <w:p>
            <w:pPr>
              <w:pStyle w:val="Normal"/>
            </w:pPr>
            <w:r>
              <w:rPr>
                <w:rFonts w:ascii="Times New Roman" w:hAnsi="Times New Roman" w:eastAsia="Times New Roman" w:cs="Times New Roman"/>
                <w:color w:val="1A1A1A"/>
                <w:sz w:val="22"/>
                <w:szCs w:val="22"/>
              </w:rPr>
              <w:t>Indonesia</w:t>
            </w:r>
          </w:p>
        </w:tc>
        <w:tc>
          <w:tcPr>
            <w:tcW w:w="4200" w:type="dxa"/>
            <w:shd w:val="clear" w:fill="E8EEF2" w:color="auto"/>
          </w:tcPr>
          <w:p>
            <w:pPr>
              <w:pStyle w:val="Normal"/>
            </w:pPr>
            <w:r>
              <w:rPr>
                <w:rFonts w:ascii="Times New Roman" w:hAnsi="Times New Roman" w:eastAsia="Times New Roman" w:cs="Times New Roman"/>
                <w:color w:val="1A1A1A"/>
                <w:sz w:val="22"/>
                <w:szCs w:val="22"/>
              </w:rPr>
              <w:t>Islamic Finance</w:t>
            </w:r>
          </w:p>
        </w:tc>
        <w:tc>
          <w:tcPr>
            <w:tcW w:w="2000" w:type="dxa"/>
            <w:shd w:val="clear" w:fill="E8EEF2" w:color="auto"/>
          </w:tcPr>
          <w:p>
            <w:pPr>
              <w:pStyle w:val="Normal"/>
            </w:pPr>
            <w:r>
              <w:rPr>
                <w:rFonts w:ascii="Times New Roman" w:hAnsi="Times New Roman" w:eastAsia="Times New Roman" w:cs="Times New Roman"/>
                <w:color w:val="1A1A1A"/>
                <w:sz w:val="22"/>
                <w:szCs w:val="22"/>
              </w:rPr>
              <w:t>$500M-1B</w:t>
            </w:r>
          </w:p>
        </w:tc>
      </w:tr>
      <w:tr>
        <w:trPr>
          <w:tblHeader w:val="1"/>
        </w:trPr>
        <w:tc>
          <w:tcPr>
            <w:tcW w:w="1800" w:type="dxa"/>
            <w:shd w:val="clear" w:fill="E8EEF2" w:color="auto"/>
          </w:tcPr>
          <w:p>
            <w:pPr>
              <w:pStyle w:val="Normal"/>
            </w:pPr>
            <w:r>
              <w:rPr>
                <w:rFonts w:ascii="Times New Roman" w:hAnsi="Times New Roman" w:eastAsia="Times New Roman" w:cs="Times New Roman"/>
                <w:color w:val="1A1A1A"/>
                <w:sz w:val="22"/>
                <w:szCs w:val="22"/>
              </w:rPr>
              <w:t>Brazil</w:t>
            </w:r>
          </w:p>
        </w:tc>
        <w:tc>
          <w:tcPr>
            <w:tcW w:w="4200" w:type="dxa"/>
            <w:shd w:val="clear" w:fill="E8EEF2" w:color="auto"/>
          </w:tcPr>
          <w:p>
            <w:pPr>
              <w:pStyle w:val="Normal"/>
            </w:pPr>
            <w:r>
              <w:rPr>
                <w:rFonts w:ascii="Times New Roman" w:hAnsi="Times New Roman" w:eastAsia="Times New Roman" w:cs="Times New Roman"/>
                <w:color w:val="1A1A1A"/>
                <w:sz w:val="22"/>
                <w:szCs w:val="22"/>
              </w:rPr>
              <w:t>Agri-Tech + BRICS</w:t>
            </w:r>
          </w:p>
        </w:tc>
        <w:tc>
          <w:tcPr>
            <w:tcW w:w="2000" w:type="dxa"/>
            <w:shd w:val="clear" w:fill="E8EEF2" w:color="auto"/>
          </w:tcPr>
          <w:p>
            <w:pPr>
              <w:pStyle w:val="Normal"/>
            </w:pPr>
            <w:r>
              <w:rPr>
                <w:rFonts w:ascii="Times New Roman" w:hAnsi="Times New Roman" w:eastAsia="Times New Roman" w:cs="Times New Roman"/>
                <w:color w:val="1A1A1A"/>
                <w:sz w:val="22"/>
                <w:szCs w:val="22"/>
              </w:rPr>
              <w:t>$300-500M</w:t>
            </w:r>
          </w:p>
        </w:tc>
      </w:tr>
      <w:tr>
        <w:trPr>
          <w:tblHeader w:val="1"/>
        </w:trPr>
        <w:tc>
          <w:tcPr>
            <w:tcW w:w="1800" w:type="dxa"/>
            <w:shd w:val="clear" w:fill="E8EEF2" w:color="auto"/>
          </w:tcPr>
          <w:p>
            <w:pPr>
              <w:pStyle w:val="Normal"/>
            </w:pPr>
            <w:r>
              <w:rPr>
                <w:rFonts w:ascii="Times New Roman" w:hAnsi="Times New Roman" w:eastAsia="Times New Roman" w:cs="Times New Roman"/>
                <w:color w:val="1A1A1A"/>
                <w:sz w:val="22"/>
                <w:szCs w:val="22"/>
              </w:rPr>
              <w:t>South Africa</w:t>
            </w:r>
          </w:p>
        </w:tc>
        <w:tc>
          <w:tcPr>
            <w:tcW w:w="4200" w:type="dxa"/>
            <w:shd w:val="clear" w:fill="E8EEF2" w:color="auto"/>
          </w:tcPr>
          <w:p>
            <w:pPr>
              <w:pStyle w:val="Normal"/>
            </w:pPr>
            <w:r>
              <w:rPr>
                <w:rFonts w:ascii="Times New Roman" w:hAnsi="Times New Roman" w:eastAsia="Times New Roman" w:cs="Times New Roman"/>
                <w:color w:val="1A1A1A"/>
                <w:sz w:val="22"/>
                <w:szCs w:val="22"/>
              </w:rPr>
              <w:t>Infrastructure + JCC</w:t>
            </w:r>
          </w:p>
        </w:tc>
        <w:tc>
          <w:tcPr>
            <w:tcW w:w="2000" w:type="dxa"/>
            <w:shd w:val="clear" w:fill="E8EEF2" w:color="auto"/>
          </w:tcPr>
          <w:p>
            <w:pPr>
              <w:pStyle w:val="Normal"/>
            </w:pPr>
            <w:r>
              <w:rPr>
                <w:rFonts w:ascii="Times New Roman" w:hAnsi="Times New Roman" w:eastAsia="Times New Roman" w:cs="Times New Roman"/>
                <w:color w:val="1A1A1A"/>
                <w:sz w:val="22"/>
                <w:szCs w:val="22"/>
              </w:rPr>
              <w:t>$500M-1B</w:t>
            </w:r>
          </w:p>
        </w:tc>
      </w:tr>
      <w:tr>
        <w:trPr>
          <w:tblHeader w:val="1"/>
        </w:trPr>
        <w:tc>
          <w:tcPr>
            <w:tcW w:w="1800" w:type="dxa"/>
            <w:shd w:val="clear" w:fill="E8EEF2" w:color="auto"/>
          </w:tcPr>
          <w:p>
            <w:pPr>
              <w:pStyle w:val="Normal"/>
            </w:pPr>
            <w:r>
              <w:rPr>
                <w:rFonts w:ascii="Times New Roman" w:hAnsi="Times New Roman" w:eastAsia="Times New Roman" w:cs="Times New Roman"/>
                <w:color w:val="1A1A1A"/>
                <w:sz w:val="22"/>
                <w:szCs w:val="22"/>
              </w:rPr>
              <w:t>China (BRI)</w:t>
            </w:r>
          </w:p>
        </w:tc>
        <w:tc>
          <w:tcPr>
            <w:tcW w:w="4200" w:type="dxa"/>
            <w:shd w:val="clear" w:fill="E8EEF2" w:color="auto"/>
          </w:tcPr>
          <w:p>
            <w:pPr>
              <w:pStyle w:val="Normal"/>
            </w:pPr>
            <w:r>
              <w:rPr>
                <w:rFonts w:ascii="Times New Roman" w:hAnsi="Times New Roman" w:eastAsia="Times New Roman" w:cs="Times New Roman"/>
                <w:color w:val="1A1A1A"/>
                <w:sz w:val="22"/>
                <w:szCs w:val="22"/>
              </w:rPr>
              <w:t>Infrastructure Loans</w:t>
            </w:r>
          </w:p>
        </w:tc>
        <w:tc>
          <w:tcPr>
            <w:tcW w:w="2000" w:type="dxa"/>
            <w:shd w:val="clear" w:fill="E8EEF2" w:color="auto"/>
          </w:tcPr>
          <w:p>
            <w:pPr>
              <w:pStyle w:val="Normal"/>
            </w:pPr>
            <w:r>
              <w:rPr>
                <w:rFonts w:ascii="Times New Roman" w:hAnsi="Times New Roman" w:eastAsia="Times New Roman" w:cs="Times New Roman"/>
                <w:color w:val="1A1A1A"/>
                <w:sz w:val="22"/>
                <w:szCs w:val="22"/>
              </w:rPr>
              <w:t>$10-25B</w:t>
            </w:r>
          </w:p>
        </w:tc>
      </w:tr>
      <w:tr>
        <w:trPr>
          <w:tblHeader w:val="1"/>
        </w:trPr>
        <w:tc>
          <w:tcPr>
            <w:tcW w:w="1800" w:type="dxa"/>
            <w:shd w:val="clear" w:fill="E8EEF2" w:color="auto"/>
          </w:tcPr>
          <w:p>
            <w:pPr>
              <w:pStyle w:val="Normal"/>
            </w:pPr>
            <w:r>
              <w:rPr>
                <w:rFonts w:ascii="Times New Roman" w:hAnsi="Times New Roman" w:eastAsia="Times New Roman" w:cs="Times New Roman"/>
                <w:color w:val="1A1A1A"/>
                <w:sz w:val="22"/>
                <w:szCs w:val="22"/>
              </w:rPr>
              <w:t>Russia</w:t>
            </w:r>
          </w:p>
        </w:tc>
        <w:tc>
          <w:tcPr>
            <w:tcW w:w="4200" w:type="dxa"/>
            <w:shd w:val="clear" w:fill="E8EEF2" w:color="auto"/>
          </w:tcPr>
          <w:p>
            <w:pPr>
              <w:pStyle w:val="Normal"/>
            </w:pPr>
            <w:r>
              <w:rPr>
                <w:rFonts w:ascii="Times New Roman" w:hAnsi="Times New Roman" w:eastAsia="Times New Roman" w:cs="Times New Roman"/>
                <w:color w:val="1A1A1A"/>
                <w:sz w:val="22"/>
                <w:szCs w:val="22"/>
              </w:rPr>
              <w:t>Nuclear + Transport</w:t>
            </w:r>
          </w:p>
        </w:tc>
        <w:tc>
          <w:tcPr>
            <w:tcW w:w="2000" w:type="dxa"/>
            <w:shd w:val="clear" w:fill="E8EEF2" w:color="auto"/>
          </w:tcPr>
          <w:p>
            <w:pPr>
              <w:pStyle w:val="Normal"/>
            </w:pPr>
            <w:r>
              <w:rPr>
                <w:rFonts w:ascii="Times New Roman" w:hAnsi="Times New Roman" w:eastAsia="Times New Roman" w:cs="Times New Roman"/>
                <w:color w:val="1A1A1A"/>
                <w:sz w:val="22"/>
                <w:szCs w:val="22"/>
              </w:rPr>
              <w:t>$3-8B</w:t>
            </w:r>
          </w:p>
        </w:tc>
      </w:tr>
      <w:tr>
        <w:trPr>
          <w:tblHeader w:val="1"/>
        </w:trPr>
        <w:tc>
          <w:tcPr>
            <w:tcW w:w="1800" w:type="dxa"/>
            <w:shd w:val="clear" w:fill="E8EEF2" w:color="auto"/>
          </w:tcPr>
          <w:p>
            <w:pPr>
              <w:pStyle w:val="Normal"/>
            </w:pPr>
            <w:r>
              <w:rPr>
                <w:rFonts w:ascii="Times New Roman" w:hAnsi="Times New Roman" w:eastAsia="Times New Roman" w:cs="Times New Roman"/>
                <w:color w:val="1A1A1A"/>
                <w:sz w:val="22"/>
                <w:szCs w:val="22"/>
              </w:rPr>
              <w:t>AfDB (Technical)</w:t>
            </w:r>
          </w:p>
        </w:tc>
        <w:tc>
          <w:tcPr>
            <w:tcW w:w="4200" w:type="dxa"/>
            <w:shd w:val="clear" w:fill="E8EEF2" w:color="auto"/>
          </w:tcPr>
          <w:p>
            <w:pPr>
              <w:pStyle w:val="Normal"/>
            </w:pPr>
            <w:r>
              <w:rPr>
                <w:rFonts w:ascii="Times New Roman" w:hAnsi="Times New Roman" w:eastAsia="Times New Roman" w:cs="Times New Roman"/>
                <w:color w:val="1A1A1A"/>
                <w:sz w:val="22"/>
                <w:szCs w:val="22"/>
              </w:rPr>
              <w:t>Fragile States Advisory</w:t>
            </w:r>
          </w:p>
        </w:tc>
        <w:tc>
          <w:tcPr>
            <w:tcW w:w="2000" w:type="dxa"/>
            <w:shd w:val="clear" w:fill="E8EEF2" w:color="auto"/>
          </w:tcPr>
          <w:p>
            <w:pPr>
              <w:pStyle w:val="Normal"/>
            </w:pPr>
            <w:r>
              <w:rPr>
                <w:rFonts w:ascii="Times New Roman" w:hAnsi="Times New Roman" w:eastAsia="Times New Roman" w:cs="Times New Roman"/>
                <w:color w:val="1A1A1A"/>
                <w:sz w:val="22"/>
                <w:szCs w:val="22"/>
              </w:rPr>
              <w:t>$50-100M</w:t>
            </w:r>
          </w:p>
        </w:tc>
      </w:tr>
      <w:tr>
        <w:trPr>
          <w:tblHeader w:val="1"/>
        </w:trPr>
        <w:tc>
          <w:tcPr>
            <w:tcW w:w="1800" w:type="dxa"/>
            <w:shd w:val="clear" w:fill="E8EEF2" w:color="auto"/>
          </w:tcPr>
          <w:p>
            <w:pPr>
              <w:pStyle w:val="Normal"/>
            </w:pPr>
            <w:r>
              <w:rPr>
                <w:rFonts w:ascii="Times New Roman" w:hAnsi="Times New Roman" w:eastAsia="Times New Roman" w:cs="Times New Roman"/>
                <w:color w:val="1A1A1A"/>
                <w:sz w:val="22"/>
                <w:szCs w:val="22"/>
              </w:rPr>
              <w:t>World Bank SPF</w:t>
            </w:r>
          </w:p>
        </w:tc>
        <w:tc>
          <w:tcPr>
            <w:tcW w:w="4200" w:type="dxa"/>
            <w:shd w:val="clear" w:fill="E8EEF2" w:color="auto"/>
          </w:tcPr>
          <w:p>
            <w:pPr>
              <w:pStyle w:val="Normal"/>
            </w:pPr>
            <w:r>
              <w:rPr>
                <w:rFonts w:ascii="Times New Roman" w:hAnsi="Times New Roman" w:eastAsia="Times New Roman" w:cs="Times New Roman"/>
                <w:color w:val="1A1A1A"/>
                <w:sz w:val="22"/>
                <w:szCs w:val="22"/>
              </w:rPr>
              <w:t>Grants</w:t>
            </w:r>
          </w:p>
        </w:tc>
        <w:tc>
          <w:tcPr>
            <w:tcW w:w="2000" w:type="dxa"/>
            <w:shd w:val="clear" w:fill="E8EEF2" w:color="auto"/>
          </w:tcPr>
          <w:p>
            <w:pPr>
              <w:pStyle w:val="Normal"/>
            </w:pPr>
            <w:r>
              <w:rPr>
                <w:rFonts w:ascii="Times New Roman" w:hAnsi="Times New Roman" w:eastAsia="Times New Roman" w:cs="Times New Roman"/>
                <w:color w:val="1A1A1A"/>
                <w:sz w:val="22"/>
                <w:szCs w:val="22"/>
              </w:rPr>
              <w:t>$100-300M</w:t>
            </w:r>
          </w:p>
        </w:tc>
      </w:tr>
      <w:tr>
        <w:trPr>
          <w:tblHeader w:val="1"/>
        </w:trPr>
        <w:tc>
          <w:tcPr>
            <w:tcW w:w="1800" w:type="dxa"/>
            <w:shd w:val="clear" w:fill="E8EEF2" w:color="auto"/>
          </w:tcPr>
          <w:p>
            <w:pPr>
              <w:pStyle w:val="Normal"/>
            </w:pPr>
            <w:r>
              <w:rPr>
                <w:rFonts w:ascii="Times New Roman" w:hAnsi="Times New Roman" w:eastAsia="Times New Roman" w:cs="Times New Roman"/>
                <w:color w:val="1A1A1A"/>
                <w:sz w:val="22"/>
                <w:szCs w:val="22"/>
              </w:rPr>
              <w:t>UN CERF</w:t>
            </w:r>
          </w:p>
        </w:tc>
        <w:tc>
          <w:tcPr>
            <w:tcW w:w="4200" w:type="dxa"/>
            <w:shd w:val="clear" w:fill="E8EEF2" w:color="auto"/>
          </w:tcPr>
          <w:p>
            <w:pPr>
              <w:pStyle w:val="Normal"/>
            </w:pPr>
            <w:r>
              <w:rPr>
                <w:rFonts w:ascii="Times New Roman" w:hAnsi="Times New Roman" w:eastAsia="Times New Roman" w:cs="Times New Roman"/>
                <w:color w:val="1A1A1A"/>
                <w:sz w:val="22"/>
                <w:szCs w:val="22"/>
              </w:rPr>
              <w:t>Rapid Response</w:t>
            </w:r>
          </w:p>
        </w:tc>
        <w:tc>
          <w:tcPr>
            <w:tcW w:w="2000" w:type="dxa"/>
            <w:shd w:val="clear" w:fill="E8EEF2" w:color="auto"/>
          </w:tcPr>
          <w:p>
            <w:pPr>
              <w:pStyle w:val="Normal"/>
            </w:pPr>
            <w:r>
              <w:rPr>
                <w:rFonts w:ascii="Times New Roman" w:hAnsi="Times New Roman" w:eastAsia="Times New Roman" w:cs="Times New Roman"/>
                <w:color w:val="1A1A1A"/>
                <w:sz w:val="22"/>
                <w:szCs w:val="22"/>
              </w:rPr>
              <w:t>$100-300M</w:t>
            </w:r>
          </w:p>
        </w:tc>
      </w:tr>
      <w:tr>
        <w:trPr>
          <w:tblHeader w:val="1"/>
        </w:trPr>
        <w:tc>
          <w:tcPr>
            <w:tcW w:w="1800" w:type="dxa"/>
            <w:shd w:val="clear" w:fill="E8EEF2" w:color="auto"/>
          </w:tcPr>
          <w:p>
            <w:pPr>
              <w:pStyle w:val="Normal"/>
            </w:pPr>
            <w:r>
              <w:rPr>
                <w:rFonts w:ascii="Times New Roman" w:hAnsi="Times New Roman" w:eastAsia="Times New Roman" w:cs="Times New Roman"/>
                <w:color w:val="1A1A1A"/>
                <w:sz w:val="22"/>
                <w:szCs w:val="22"/>
              </w:rPr>
              <w:t>IABS</w:t>
            </w:r>
          </w:p>
        </w:tc>
        <w:tc>
          <w:tcPr>
            <w:tcW w:w="4200" w:type="dxa"/>
            <w:shd w:val="clear" w:fill="E8EEF2" w:color="auto"/>
          </w:tcPr>
          <w:p>
            <w:pPr>
              <w:pStyle w:val="Normal"/>
            </w:pPr>
            <w:r>
              <w:rPr>
                <w:rFonts w:ascii="Times New Roman" w:hAnsi="Times New Roman" w:eastAsia="Times New Roman" w:cs="Times New Roman"/>
                <w:color w:val="1A1A1A"/>
                <w:sz w:val="22"/>
                <w:szCs w:val="22"/>
              </w:rPr>
              <w:t>Capital Recycling</w:t>
            </w:r>
          </w:p>
        </w:tc>
        <w:tc>
          <w:tcPr>
            <w:tcW w:w="2000" w:type="dxa"/>
            <w:shd w:val="clear" w:fill="E8EEF2" w:color="auto"/>
          </w:tcPr>
          <w:p>
            <w:pPr>
              <w:pStyle w:val="Normal"/>
            </w:pPr>
            <w:r>
              <w:rPr>
                <w:rFonts w:ascii="Times New Roman" w:hAnsi="Times New Roman" w:eastAsia="Times New Roman" w:cs="Times New Roman"/>
                <w:color w:val="1A1A1A"/>
                <w:sz w:val="22"/>
                <w:szCs w:val="22"/>
              </w:rPr>
              <w:t>$2-5B recycled</w:t>
            </w:r>
          </w:p>
        </w:tc>
      </w:tr>
      <w:tr>
        <w:trPr>
          <w:tblHeader w:val="1"/>
        </w:trPr>
        <w:tc>
          <w:tcPr>
            <w:tcW w:w="1800" w:type="dxa"/>
            <w:shd w:val="clear" w:fill="E8EEF2" w:color="auto"/>
          </w:tcPr>
          <w:p>
            <w:pPr>
              <w:pStyle w:val="Normal"/>
            </w:pPr>
            <w:r>
              <w:rPr>
                <w:rFonts w:ascii="Times New Roman" w:hAnsi="Times New Roman" w:eastAsia="Times New Roman" w:cs="Times New Roman"/>
                <w:color w:val="1A1A1A"/>
                <w:sz w:val="22"/>
                <w:szCs w:val="22"/>
              </w:rPr>
              <w:t>IsDB Green Sukuk</w:t>
            </w:r>
          </w:p>
        </w:tc>
        <w:tc>
          <w:tcPr>
            <w:tcW w:w="4200" w:type="dxa"/>
            <w:shd w:val="clear" w:fill="E8EEF2" w:color="auto"/>
          </w:tcPr>
          <w:p>
            <w:pPr>
              <w:pStyle w:val="Normal"/>
            </w:pPr>
            <w:r>
              <w:rPr>
                <w:rFonts w:ascii="Times New Roman" w:hAnsi="Times New Roman" w:eastAsia="Times New Roman" w:cs="Times New Roman"/>
                <w:color w:val="1A1A1A"/>
                <w:sz w:val="22"/>
                <w:szCs w:val="22"/>
              </w:rPr>
              <w:t>Islamic Green Finance</w:t>
            </w:r>
          </w:p>
        </w:tc>
        <w:tc>
          <w:tcPr>
            <w:tcW w:w="2000" w:type="dxa"/>
            <w:shd w:val="clear" w:fill="E8EEF2" w:color="auto"/>
          </w:tcPr>
          <w:p>
            <w:pPr>
              <w:pStyle w:val="Normal"/>
            </w:pPr>
            <w:r>
              <w:rPr>
                <w:rFonts w:ascii="Times New Roman" w:hAnsi="Times New Roman" w:eastAsia="Times New Roman" w:cs="Times New Roman"/>
                <w:color w:val="1A1A1A"/>
                <w:sz w:val="22"/>
                <w:szCs w:val="22"/>
              </w:rPr>
              <w:t>$500M-1B</w:t>
            </w:r>
          </w:p>
        </w:tc>
      </w:tr>
      <w:tr>
        <w:trPr>
          <w:tblHeader w:val="1"/>
        </w:trPr>
        <w:tc>
          <w:tcPr>
            <w:tcW w:w="1800" w:type="dxa"/>
            <w:shd w:val="clear" w:fill="E8EEF2" w:color="auto"/>
          </w:tcPr>
          <w:p>
            <w:pPr>
              <w:pStyle w:val="Normal"/>
            </w:pPr>
            <w:r>
              <w:rPr>
                <w:rFonts w:ascii="Times New Roman" w:hAnsi="Times New Roman" w:eastAsia="Times New Roman" w:cs="Times New Roman"/>
                <w:color w:val="1A1A1A"/>
                <w:sz w:val="22"/>
                <w:szCs w:val="22"/>
              </w:rPr>
              <w:t>Additional UN / IFIs</w:t>
            </w:r>
          </w:p>
        </w:tc>
        <w:tc>
          <w:tcPr>
            <w:tcW w:w="4200" w:type="dxa"/>
            <w:shd w:val="clear" w:fill="E8EEF2" w:color="auto"/>
          </w:tcPr>
          <w:p>
            <w:pPr>
              <w:pStyle w:val="Normal"/>
            </w:pPr>
            <w:r>
              <w:rPr>
                <w:rFonts w:ascii="Times New Roman" w:hAnsi="Times New Roman" w:eastAsia="Times New Roman" w:cs="Times New Roman"/>
                <w:color w:val="1A1A1A"/>
                <w:sz w:val="22"/>
                <w:szCs w:val="22"/>
              </w:rPr>
              <w:t>Mixed</w:t>
            </w:r>
          </w:p>
        </w:tc>
        <w:tc>
          <w:tcPr>
            <w:tcW w:w="2000" w:type="dxa"/>
            <w:shd w:val="clear" w:fill="E8EEF2" w:color="auto"/>
          </w:tcPr>
          <w:p>
            <w:pPr>
              <w:pStyle w:val="Normal"/>
            </w:pPr>
            <w:r>
              <w:rPr>
                <w:rFonts w:ascii="Times New Roman" w:hAnsi="Times New Roman" w:eastAsia="Times New Roman" w:cs="Times New Roman"/>
                <w:color w:val="1A1A1A"/>
                <w:sz w:val="22"/>
                <w:szCs w:val="22"/>
              </w:rPr>
              <w:t>$300-800M</w:t>
            </w:r>
          </w:p>
        </w:tc>
      </w:tr>
      <w:tr>
        <w:trPr>
          <w:tblHeader w:val="1"/>
        </w:trPr>
        <w:tc>
          <w:tcPr>
            <w:tcW w:w="1800" w:type="dxa"/>
            <w:shd w:val="clear" w:fill="E8EEF2" w:color="auto"/>
          </w:tcPr>
          <w:p>
            <w:pPr>
              <w:pStyle w:val="Normal"/>
            </w:pPr>
            <w:r>
              <w:rPr>
                <w:rFonts w:ascii="Times New Roman" w:hAnsi="Times New Roman" w:eastAsia="Times New Roman" w:cs="Times New Roman"/>
                <w:color w:val="1A1A1A"/>
                <w:sz w:val="22"/>
                <w:szCs w:val="22"/>
              </w:rPr>
              <w:t>TOTAL APPENDIX H</w:t>
            </w:r>
          </w:p>
        </w:tc>
        <w:tc>
          <w:tcPr>
            <w:tcW w:w="4200" w:type="dxa"/>
            <w:shd w:val="clear" w:fill="E8EEF2" w:color="auto"/>
          </w:tcPr>
          <w:p>
            <w:pPr>
              <w:pStyle w:val="Normal"/>
            </w:pPr>
            <w:r>
              <w:rPr>
                <w:rFonts w:ascii="Times New Roman" w:hAnsi="Times New Roman" w:eastAsia="Times New Roman" w:cs="Times New Roman"/>
                <w:color w:val="1A1A1A"/>
                <w:sz w:val="22"/>
                <w:szCs w:val="22"/>
              </w:rPr>
              <w:t/>
            </w:r>
          </w:p>
        </w:tc>
        <w:tc>
          <w:tcPr>
            <w:tcW w:w="2000" w:type="dxa"/>
            <w:shd w:val="clear" w:fill="E8EEF2" w:color="auto"/>
          </w:tcPr>
          <w:p>
            <w:pPr>
              <w:pStyle w:val="Normal"/>
            </w:pPr>
            <w:r>
              <w:rPr>
                <w:rFonts w:ascii="Times New Roman" w:hAnsi="Times New Roman" w:eastAsia="Times New Roman" w:cs="Times New Roman"/>
                <w:color w:val="1A1A1A"/>
                <w:sz w:val="22"/>
                <w:szCs w:val="22"/>
              </w:rPr>
              <w:t>$22-56B</w:t>
            </w:r>
          </w:p>
        </w:tc>
      </w:tr>
    </w:tbl>
    <w:p>
      <w:pPr>
        <w:pStyle w:val="Heading1"/>
      </w:pPr>
      <w:r>
        <w:rPr>
          <w:rFonts w:ascii="Times New Roman" w:hAnsi="Times New Roman" w:eastAsia="Times New Roman" w:cs="Times New Roman"/>
          <w:b/>
          <w:color w:val="1A1A1A"/>
          <w:sz w:val="20"/>
          <w:szCs w:val="28"/>
        </w:rPr>
        <w:t>Appendix I: Country-by-Country Funding Sources</w:t>
      </w:r>
    </w:p>
    <w:p>
      <w:pPr>
        <w:pStyle w:val="Normal"/>
      </w:pPr>
      <w:r>
        <w:rPr>
          <w:rFonts w:ascii="Times New Roman" w:hAnsi="Times New Roman" w:eastAsia="Times New Roman" w:cs="Times New Roman"/>
          <w:color w:val="1A1A1A"/>
          <w:sz w:val="22"/>
          <w:szCs w:val="22"/>
        </w:rPr>
        <w:t>This Appendix catalogs development finance sources organized by contributor country. The RSC secretariat maintains bilateral engagement with each country through its respective development agency, embassy in Tehran or Doha, and multilateral channels. Entries include the agency name, funding type, estimated allocation for Iran, application pathway, and focus sectors.</w:t>
      </w:r>
    </w:p>
    <w:p>
      <w:pPr>
        <w:pStyle w:val="Heading2"/>
      </w:pPr>
      <w:r>
        <w:rPr>
          <w:rFonts w:ascii="Times New Roman" w:hAnsi="Times New Roman" w:eastAsia="Times New Roman" w:cs="Times New Roman"/>
          <w:b/>
          <w:color w:val="1A1A1A"/>
          <w:sz w:val="20"/>
          <w:szCs w:val="24"/>
        </w:rPr>
        <w:t>I.1 East Asia and Pacific</w:t>
      </w:r>
    </w:p>
    <w:p>
      <w:pPr>
        <w:pStyle w:val="Heading3"/>
      </w:pPr>
      <w:r>
        <w:rPr>
          <w:rFonts w:ascii="Times New Roman" w:hAnsi="Times New Roman" w:eastAsia="Times New Roman" w:cs="Times New Roman"/>
          <w:b/>
          <w:i/>
          <w:color w:val="2E5A6B"/>
          <w:sz w:val="24"/>
          <w:szCs w:val="22"/>
        </w:rPr>
        <w:t>Australia -- Department of Foreign Affairs and Trade (DFAT)</w:t>
      </w:r>
    </w:p>
    <w:p>
      <w:pPr>
        <w:pStyle w:val="Normal"/>
      </w:pPr>
      <w:r>
        <w:rPr>
          <w:rFonts w:ascii="Times New Roman" w:hAnsi="Times New Roman" w:eastAsia="Times New Roman" w:cs="Times New Roman"/>
          <w:color w:val="1A1A1A"/>
          <w:sz w:val="22"/>
          <w:szCs w:val="22"/>
        </w:rPr>
        <w:t>Australia's ODA budget provides funding across global and humanitarian programs. DFAT channels significant funding through the UN system, the World Bank, and humanitarian organizations. Australia's development cooperation focuses on climate resilience, governance, and health security. For Iran, Australia provides support through multilateral trust funds and humanitarian channels.</w:t>
      </w:r>
    </w:p>
    <w:p>
      <w:pPr>
        <w:pStyle w:val="Normal"/>
      </w:pPr>
      <w:r>
        <w:rPr>
          <w:rFonts w:ascii="Times New Roman" w:hAnsi="Times New Roman" w:eastAsia="Times New Roman" w:cs="Times New Roman"/>
          <w:color w:val="1A1A1A"/>
          <w:sz w:val="22"/>
          <w:szCs w:val="22"/>
        </w:rPr>
        <w:t>Type: Multilateral/Humanitarian | Est. Allocation: $30-50M | Application: Through DFAT global programs or multilateral trust funds | Focus: Humanitarian assistance, climate adaptation, governance restoration.</w:t>
      </w:r>
    </w:p>
    <w:p>
      <w:pPr>
        <w:pStyle w:val="Heading3"/>
      </w:pPr>
      <w:r>
        <w:rPr>
          <w:rFonts w:ascii="Times New Roman" w:hAnsi="Times New Roman" w:eastAsia="Times New Roman" w:cs="Times New Roman"/>
          <w:b/>
          <w:i/>
          <w:color w:val="2E5A6B"/>
          <w:sz w:val="24"/>
          <w:szCs w:val="22"/>
        </w:rPr>
        <w:t>Azerbaijan -- Bilateral Development Cooperation</w:t>
      </w:r>
    </w:p>
    <w:p>
      <w:pPr>
        <w:pStyle w:val="Normal"/>
      </w:pPr>
      <w:r>
        <w:rPr>
          <w:rFonts w:ascii="Times New Roman" w:hAnsi="Times New Roman" w:eastAsia="Times New Roman" w:cs="Times New Roman"/>
          <w:color w:val="1A1A1A"/>
          <w:sz w:val="22"/>
          <w:szCs w:val="22"/>
        </w:rPr>
        <w:t>Azerbaijan participates in the World Bank Adaptation Fund as a developing country partner and has implemented regional climate adaptation projects in the South Caucasus and Central Asia. Azerbaijan and Iran share Caspian Sea cooperation frameworks and have collaborated on transboundary water and environmental projects.</w:t>
      </w:r>
    </w:p>
    <w:p>
      <w:pPr>
        <w:pStyle w:val="Normal"/>
      </w:pPr>
      <w:r>
        <w:rPr>
          <w:rFonts w:ascii="Times New Roman" w:hAnsi="Times New Roman" w:eastAsia="Times New Roman" w:cs="Times New Roman"/>
          <w:color w:val="1A1A1A"/>
          <w:sz w:val="22"/>
          <w:szCs w:val="22"/>
        </w:rPr>
        <w:t>Type: Bilateral/Regional | Est. Allocation: $50-100M | Application: Through bilateral economic commissions and Adaptation Fund regional windows | Focus: Climate adaptation, transboundary water, energy infrastructure.</w:t>
      </w:r>
    </w:p>
    <w:p>
      <w:pPr>
        <w:pStyle w:val="Heading3"/>
      </w:pPr>
      <w:r>
        <w:rPr>
          <w:rFonts w:ascii="Times New Roman" w:hAnsi="Times New Roman" w:eastAsia="Times New Roman" w:cs="Times New Roman"/>
          <w:b/>
          <w:i/>
          <w:color w:val="2E5A6B"/>
          <w:sz w:val="24"/>
          <w:szCs w:val="22"/>
        </w:rPr>
        <w:t>China -- Belt and Road Initiative (BRI) and Strategic Cooperation Agreement</w:t>
      </w:r>
    </w:p>
    <w:p>
      <w:pPr>
        <w:pStyle w:val="Normal"/>
      </w:pPr>
      <w:r>
        <w:rPr>
          <w:rFonts w:ascii="Times New Roman" w:hAnsi="Times New Roman" w:eastAsia="Times New Roman" w:cs="Times New Roman"/>
          <w:color w:val="1A1A1A"/>
          <w:sz w:val="22"/>
          <w:szCs w:val="22"/>
        </w:rPr>
        <w:t>The 25-year Strategic Cooperation Agreement (September 2025) includes a $25 billion commitment for the Hormoz nuclear power plant. The BRI channels massive infrastructure financing for railway, port, and highway projects. Iran's transport infrastructure requires $14.5 billion annually over the next decade. The Silk Road Fund and China Development Bank provide long-term infrastructure loans. AIIB co-finances transport and energy projects.</w:t>
      </w:r>
    </w:p>
    <w:p>
      <w:pPr>
        <w:pStyle w:val="Normal"/>
      </w:pPr>
      <w:r>
        <w:rPr>
          <w:rFonts w:ascii="Times New Roman" w:hAnsi="Times New Roman" w:eastAsia="Times New Roman" w:cs="Times New Roman"/>
          <w:color w:val="1A1A1A"/>
          <w:sz w:val="22"/>
          <w:szCs w:val="22"/>
        </w:rPr>
        <w:t>Type: Bilateral Loans/Investment | Est. Allocation: $10-25B | Application: Through bilateral project financing under the Strategic Cooperation Agreement | Focus: Transport, nuclear energy, telecommunications, power generation.</w:t>
      </w:r>
    </w:p>
    <w:p>
      <w:pPr>
        <w:pStyle w:val="Heading3"/>
      </w:pPr>
      <w:r>
        <w:rPr>
          <w:rFonts w:ascii="Times New Roman" w:hAnsi="Times New Roman" w:eastAsia="Times New Roman" w:cs="Times New Roman"/>
          <w:b/>
          <w:i/>
          <w:color w:val="2E5A6B"/>
          <w:sz w:val="24"/>
          <w:szCs w:val="22"/>
        </w:rPr>
        <w:t>India -- Export-Import Bank and Chabahar Port Development</w:t>
      </w:r>
    </w:p>
    <w:p>
      <w:pPr>
        <w:pStyle w:val="Normal"/>
      </w:pPr>
      <w:r>
        <w:rPr>
          <w:rFonts w:ascii="Times New Roman" w:hAnsi="Times New Roman" w:eastAsia="Times New Roman" w:cs="Times New Roman"/>
          <w:color w:val="1A1A1A"/>
          <w:sz w:val="22"/>
          <w:szCs w:val="22"/>
        </w:rPr>
        <w:t>India has provided approximately $120 million for the Chabahar port and invested $1 billion in Iranian infrastructure projects, including the Chabahar-Zahedan railway and the Chabahar Free Trade Zone. The India Exim Bank Buyer's Credit Facility (totalling $30 billion/INR) finances Indian equipment and services for infrastructure projects. The Export Development Fund provides credit to Iranian importers of Indian goods.</w:t>
      </w:r>
    </w:p>
    <w:p>
      <w:pPr>
        <w:pStyle w:val="Normal"/>
      </w:pPr>
      <w:r>
        <w:rPr>
          <w:rFonts w:ascii="Times New Roman" w:hAnsi="Times New Roman" w:eastAsia="Times New Roman" w:cs="Times New Roman"/>
          <w:color w:val="1A1A1A"/>
          <w:sz w:val="22"/>
          <w:szCs w:val="22"/>
        </w:rPr>
        <w:t>Type: Buyer's Credit/Investment | Est. Allocation: $1-3B | Application: Through India Exim Bank credit lines and Chabahar port joint development framework | Focus: Ports, railways, transport, energy infrastructure, agricultural trade.</w:t>
      </w:r>
    </w:p>
    <w:p>
      <w:pPr>
        <w:pStyle w:val="Heading3"/>
      </w:pPr>
      <w:r>
        <w:rPr>
          <w:rFonts w:ascii="Times New Roman" w:hAnsi="Times New Roman" w:eastAsia="Times New Roman" w:cs="Times New Roman"/>
          <w:b/>
          <w:i/>
          <w:color w:val="2E5A6B"/>
          <w:sz w:val="24"/>
          <w:szCs w:val="22"/>
        </w:rPr>
        <w:t>Indonesia -- Islamic Finance and BRICS Cooperation</w:t>
      </w:r>
    </w:p>
    <w:p>
      <w:pPr>
        <w:pStyle w:val="Normal"/>
      </w:pPr>
      <w:r>
        <w:rPr>
          <w:rFonts w:ascii="Times New Roman" w:hAnsi="Times New Roman" w:eastAsia="Times New Roman" w:cs="Times New Roman"/>
          <w:color w:val="1A1A1A"/>
          <w:sz w:val="22"/>
          <w:szCs w:val="22"/>
        </w:rPr>
        <w:t>Indonesia is the world's largest Muslim-majority nation and a BRICS member. The Green Sukuk program has raised over $3.5 billion for renewable energy, sustainable transport, and climate adaptation. Indonesia Eximbank provides Shari'ah-compliant project finance.</w:t>
      </w:r>
    </w:p>
    <w:p>
      <w:pPr>
        <w:pStyle w:val="Normal"/>
      </w:pPr>
      <w:r>
        <w:rPr>
          <w:rFonts w:ascii="Times New Roman" w:hAnsi="Times New Roman" w:eastAsia="Times New Roman" w:cs="Times New Roman"/>
          <w:color w:val="1A1A1A"/>
          <w:sz w:val="22"/>
          <w:szCs w:val="22"/>
        </w:rPr>
        <w:t>Type: Islamic Finance/Technical | Est. Allocation: $500M-1B | Application: Through bilateral development cooperation and Islamic finance advisory | Focus: Green Sukuk structuring, renewable energy, climate adaptation.</w:t>
      </w:r>
    </w:p>
    <w:p>
      <w:pPr>
        <w:pStyle w:val="Heading3"/>
      </w:pPr>
      <w:r>
        <w:rPr>
          <w:rFonts w:ascii="Times New Roman" w:hAnsi="Times New Roman" w:eastAsia="Times New Roman" w:cs="Times New Roman"/>
          <w:b/>
          <w:i/>
          <w:color w:val="2E5A6B"/>
          <w:sz w:val="24"/>
          <w:szCs w:val="22"/>
        </w:rPr>
        <w:t>Japan -- Japan International Cooperation Agency (JICA)</w:t>
      </w:r>
    </w:p>
    <w:p>
      <w:pPr>
        <w:pStyle w:val="Normal"/>
      </w:pPr>
      <w:r>
        <w:rPr>
          <w:rFonts w:ascii="Times New Roman" w:hAnsi="Times New Roman" w:eastAsia="Times New Roman" w:cs="Times New Roman"/>
          <w:color w:val="1A1A1A"/>
          <w:sz w:val="22"/>
          <w:szCs w:val="22"/>
        </w:rPr>
        <w:t>Japan holds approximately $3 billion in frozen Iranian trade credits eligible for the Frozen Asset Conversion Protocol. JICA implements Japan's ODA through concessional loans, grants, and technical cooperation. JICA maintains expertise in infrastructure development, disaster resilience, energy efficiency, and water resource management.</w:t>
      </w:r>
    </w:p>
    <w:p>
      <w:pPr>
        <w:pStyle w:val="Normal"/>
      </w:pPr>
      <w:r>
        <w:rPr>
          <w:rFonts w:ascii="Times New Roman" w:hAnsi="Times New Roman" w:eastAsia="Times New Roman" w:cs="Times New Roman"/>
          <w:color w:val="1A1A1A"/>
          <w:sz w:val="22"/>
          <w:szCs w:val="22"/>
        </w:rPr>
        <w:t>Type: Concessional Loans/Grants/TA | Est. Allocation: $3-6B (including frozen assets) | Application: Through JICA preliminary survey and project formulation | Focus: Infrastructure, disaster resilience, energy, water management.</w:t>
      </w:r>
    </w:p>
    <w:p>
      <w:pPr>
        <w:pStyle w:val="Heading3"/>
      </w:pPr>
      <w:r>
        <w:rPr>
          <w:rFonts w:ascii="Times New Roman" w:hAnsi="Times New Roman" w:eastAsia="Times New Roman" w:cs="Times New Roman"/>
          <w:b/>
          <w:i/>
          <w:color w:val="2E5A6B"/>
          <w:sz w:val="24"/>
          <w:szCs w:val="22"/>
        </w:rPr>
        <w:t>Kazakhstan -- KazAID and Central Asia Cooperation</w:t>
      </w:r>
    </w:p>
    <w:p>
      <w:pPr>
        <w:pStyle w:val="Normal"/>
      </w:pPr>
      <w:r>
        <w:rPr>
          <w:rFonts w:ascii="Times New Roman" w:hAnsi="Times New Roman" w:eastAsia="Times New Roman" w:cs="Times New Roman"/>
          <w:color w:val="1A1A1A"/>
          <w:sz w:val="22"/>
          <w:szCs w:val="22"/>
        </w:rPr>
        <w:t>Kazakhstan and Iran are both members of the OIC, the ECO, and the SCO. Kazakhstan operates KazAID as its official development assistance agency with a mandate for technical assistance, education, and regional development. Kazakhstan's ODA reached US$50.4 million in 2024, with 83.9% delivered bilaterally. Kazakhstan committed approximately US$500 million for a Kazakhstan-Turkmenistan-Afghanistan railway through the Islamic Development Bank. Kazakhstan and Iran are key partners in the International North-South Transport Corridor (INSTC), which recorded a 53% traffic increase in 2025. See also Appendix I Section I.7 for Kazakhstan's sovereign wealth fund, development bank, and bilateral investment framework.</w:t>
      </w:r>
    </w:p>
    <w:p>
      <w:pPr>
        <w:pStyle w:val="Normal"/>
      </w:pPr>
      <w:r>
        <w:rPr>
          <w:rFonts w:ascii="Times New Roman" w:hAnsi="Times New Roman" w:eastAsia="Times New Roman" w:cs="Times New Roman"/>
          <w:color w:val="1A1A1A"/>
          <w:sz w:val="22"/>
          <w:szCs w:val="22"/>
        </w:rPr>
        <w:t>Type: Technical Assistance / Regional Loans / INSTC Corridor Finance | Est. Allocation: $200-500M | Application: Through KazAID, IsDB regional programs, and INSTC intergovernmental agreements | Focus: Transport corridors, regional connectivity, technical assistance, co-investment in corridor infrastructure.</w:t>
      </w:r>
    </w:p>
    <w:p>
      <w:pPr>
        <w:pStyle w:val="Heading3"/>
      </w:pPr>
      <w:r>
        <w:rPr>
          <w:rFonts w:ascii="Times New Roman" w:hAnsi="Times New Roman" w:eastAsia="Times New Roman" w:cs="Times New Roman"/>
          <w:b/>
          <w:i/>
          <w:color w:val="2E5A6B"/>
          <w:sz w:val="24"/>
          <w:szCs w:val="22"/>
        </w:rPr>
        <w:t>Malaysia -- Islamic Finance and Sukuk Expertise</w:t>
      </w:r>
    </w:p>
    <w:p>
      <w:pPr>
        <w:pStyle w:val="Normal"/>
      </w:pPr>
      <w:r>
        <w:rPr>
          <w:rFonts w:ascii="Times New Roman" w:hAnsi="Times New Roman" w:eastAsia="Times New Roman" w:cs="Times New Roman"/>
          <w:color w:val="1A1A1A"/>
          <w:sz w:val="22"/>
          <w:szCs w:val="22"/>
        </w:rPr>
        <w:t>Malaysia is a global leader in Islamic finance and sukuk issuance, with the world's largest sukuk market. Malaysia Issued Investment Development Authority (MIDA) promotes outward investment. The Malaysian Islamic finance sector provides expertise in structuring Shari'ah-compliant infrastructure finance instruments applicable to Iranian reconstruction.</w:t>
      </w:r>
    </w:p>
    <w:p>
      <w:pPr>
        <w:pStyle w:val="Normal"/>
      </w:pPr>
      <w:r>
        <w:rPr>
          <w:rFonts w:ascii="Times New Roman" w:hAnsi="Times New Roman" w:eastAsia="Times New Roman" w:cs="Times New Roman"/>
          <w:color w:val="1A1A1A"/>
          <w:sz w:val="22"/>
          <w:szCs w:val="22"/>
        </w:rPr>
        <w:t>Type: Islamic Finance Advisory/Technical | Est. Allocation: $200-500M | Application: Through bilateral Islamic finance cooperation and MIDA investment promotion | Focus: Sukuk structuring, Islamic project finance, technical assistance.</w:t>
      </w:r>
    </w:p>
    <w:p>
      <w:pPr>
        <w:pStyle w:val="Heading3"/>
      </w:pPr>
      <w:r>
        <w:rPr>
          <w:rFonts w:ascii="Times New Roman" w:hAnsi="Times New Roman" w:eastAsia="Times New Roman" w:cs="Times New Roman"/>
          <w:b/>
          <w:i/>
          <w:color w:val="2E5A6B"/>
          <w:sz w:val="24"/>
          <w:szCs w:val="22"/>
        </w:rPr>
        <w:t>New Zealand -- Ministry of Foreign Affairs and Trade (MFAT)</w:t>
      </w:r>
    </w:p>
    <w:p>
      <w:pPr>
        <w:pStyle w:val="Normal"/>
      </w:pPr>
      <w:r>
        <w:rPr>
          <w:rFonts w:ascii="Times New Roman" w:hAnsi="Times New Roman" w:eastAsia="Times New Roman" w:cs="Times New Roman"/>
          <w:color w:val="1A1A1A"/>
          <w:sz w:val="22"/>
          <w:szCs w:val="22"/>
        </w:rPr>
        <w:t>New Zealand's International Development Cooperation Programme operates on a three-year triennium with total funding of NZD 3.06 billion for 2024-2027. MFAT provides humanitarian assistance through the UN system, ICRC, and international NGOs. New Zealand channels funding through multilateral trust funds.</w:t>
      </w:r>
    </w:p>
    <w:p>
      <w:pPr>
        <w:pStyle w:val="Normal"/>
      </w:pPr>
      <w:r>
        <w:rPr>
          <w:rFonts w:ascii="Times New Roman" w:hAnsi="Times New Roman" w:eastAsia="Times New Roman" w:cs="Times New Roman"/>
          <w:color w:val="1A1A1A"/>
          <w:sz w:val="22"/>
          <w:szCs w:val="22"/>
        </w:rPr>
        <w:t>Type: Humanitarian/Multilateral | Est. Allocation: $20-40M | Application: Through multilateral trust funds and humanitarian channels | Focus: Humanitarian assistance, climate adaptation, governance.</w:t>
      </w:r>
    </w:p>
    <w:p>
      <w:pPr>
        <w:pStyle w:val="Heading3"/>
      </w:pPr>
      <w:r>
        <w:rPr>
          <w:rFonts w:ascii="Times New Roman" w:hAnsi="Times New Roman" w:eastAsia="Times New Roman" w:cs="Times New Roman"/>
          <w:b/>
          <w:i/>
          <w:color w:val="2E5A6B"/>
          <w:sz w:val="24"/>
          <w:szCs w:val="22"/>
        </w:rPr>
        <w:t>Pakistan -- Joint Economic Commission and Bilateral Cooperation</w:t>
      </w:r>
    </w:p>
    <w:p>
      <w:pPr>
        <w:pStyle w:val="Normal"/>
      </w:pPr>
      <w:r>
        <w:rPr>
          <w:rFonts w:ascii="Times New Roman" w:hAnsi="Times New Roman" w:eastAsia="Times New Roman" w:cs="Times New Roman"/>
          <w:color w:val="1A1A1A"/>
          <w:sz w:val="22"/>
          <w:szCs w:val="22"/>
        </w:rPr>
        <w:t>Pakistan and Iran maintain a Joint Economic Committee (JEC) with a bilateral trade target of $10 billion. The Iran-Pakistan Gas Pipeline (Peace Pipeline) is a major bilateral infrastructure project. Pakistan offers technical cooperation in agriculture, rural development, and low-cost construction methodologies applicable to Iranian reconstruction.</w:t>
      </w:r>
    </w:p>
    <w:p>
      <w:pPr>
        <w:pStyle w:val="Normal"/>
      </w:pPr>
      <w:r>
        <w:rPr>
          <w:rFonts w:ascii="Times New Roman" w:hAnsi="Times New Roman" w:eastAsia="Times New Roman" w:cs="Times New Roman"/>
          <w:color w:val="1A1A1A"/>
          <w:sz w:val="22"/>
          <w:szCs w:val="22"/>
        </w:rPr>
        <w:t>Type: Bilateral/Regional | Est. Allocation: $200-500M | Application: Through JEC mechanisms and bilateral project agreements | Focus: Transport corridors, energy infrastructure, agriculture, rural development.</w:t>
      </w:r>
    </w:p>
    <w:p>
      <w:pPr>
        <w:pStyle w:val="Heading3"/>
      </w:pPr>
      <w:r>
        <w:rPr>
          <w:rFonts w:ascii="Times New Roman" w:hAnsi="Times New Roman" w:eastAsia="Times New Roman" w:cs="Times New Roman"/>
          <w:b/>
          <w:i/>
          <w:color w:val="2E5A6B"/>
          <w:sz w:val="24"/>
          <w:szCs w:val="22"/>
        </w:rPr>
        <w:t>Singapore -- Temasek and GIC Sovereign Investment</w:t>
      </w:r>
    </w:p>
    <w:p>
      <w:pPr>
        <w:pStyle w:val="Normal"/>
      </w:pPr>
      <w:r>
        <w:rPr>
          <w:rFonts w:ascii="Times New Roman" w:hAnsi="Times New Roman" w:eastAsia="Times New Roman" w:cs="Times New Roman"/>
          <w:color w:val="1A1A1A"/>
          <w:sz w:val="22"/>
          <w:szCs w:val="22"/>
        </w:rPr>
        <w:t>GIC manages Singapore's sovereign wealth with a diversified global portfolio. GIC deployed over $13.7 billion in digitalization and AI-related infrastructure in 2025 alone. GIC has stated interest in energy transition infrastructure and sustainable development projects. GIC participates through direct investment or co-investment arrangements with the MRF.</w:t>
      </w:r>
    </w:p>
    <w:p>
      <w:pPr>
        <w:pStyle w:val="Normal"/>
      </w:pPr>
      <w:r>
        <w:rPr>
          <w:rFonts w:ascii="Times New Roman" w:hAnsi="Times New Roman" w:eastAsia="Times New Roman" w:cs="Times New Roman"/>
          <w:color w:val="1A1A1A"/>
          <w:sz w:val="22"/>
          <w:szCs w:val="22"/>
        </w:rPr>
        <w:t>Type: Sovereign Investment/Co-investment | Est. Allocation: $500M-2B | Application: Through direct investment or co-investment with MRF contributors | Focus: Infrastructure, energy transition, sustainable development.</w:t>
      </w:r>
    </w:p>
    <w:p>
      <w:pPr>
        <w:pStyle w:val="Heading3"/>
      </w:pPr>
      <w:r>
        <w:rPr>
          <w:rFonts w:ascii="Times New Roman" w:hAnsi="Times New Roman" w:eastAsia="Times New Roman" w:cs="Times New Roman"/>
          <w:b/>
          <w:i/>
          <w:color w:val="2E5A6B"/>
          <w:sz w:val="24"/>
          <w:szCs w:val="22"/>
        </w:rPr>
        <w:t>South Korea -- Economic Development Cooperation Fund (EDCF)</w:t>
      </w:r>
    </w:p>
    <w:p>
      <w:pPr>
        <w:pStyle w:val="Normal"/>
      </w:pPr>
      <w:r>
        <w:rPr>
          <w:rFonts w:ascii="Times New Roman" w:hAnsi="Times New Roman" w:eastAsia="Times New Roman" w:cs="Times New Roman"/>
          <w:color w:val="1A1A1A"/>
          <w:sz w:val="22"/>
          <w:szCs w:val="22"/>
        </w:rPr>
        <w:t>South Korea established a dedicated "Korea-Middle East Comprehensive Economic Cooperation Team" for post-war reconstruction. Seoul confirmed active preparation for post-war reconstruction. Korea holds approximately $6 billion in frozen Iranian oil payments. Korean construction firms (Samsung C&amp;T, Hyundai E&amp;C, POSCO E&amp;C, Daewoo E&amp;C) are world leaders in post-conflict rebuilding.</w:t>
      </w:r>
    </w:p>
    <w:p>
      <w:pPr>
        <w:pStyle w:val="Normal"/>
      </w:pPr>
      <w:r>
        <w:rPr>
          <w:rFonts w:ascii="Times New Roman" w:hAnsi="Times New Roman" w:eastAsia="Times New Roman" w:cs="Times New Roman"/>
          <w:color w:val="1A1A1A"/>
          <w:sz w:val="22"/>
          <w:szCs w:val="22"/>
        </w:rPr>
        <w:t>Type: Concessional Loans/Frozen Assets | Est. Allocation: $3-8B | Application: Through KEXIM credit lines, EDCF, and Frozen Asset Conversion Protocol | Focus: Transport, power generation, water treatment, telecommunications, hospitals.</w:t>
      </w:r>
    </w:p>
    <w:p>
      <w:pPr>
        <w:pStyle w:val="Heading3"/>
      </w:pPr>
      <w:r>
        <w:rPr>
          <w:rFonts w:ascii="Times New Roman" w:hAnsi="Times New Roman" w:eastAsia="Times New Roman" w:cs="Times New Roman"/>
          <w:b/>
          <w:i/>
          <w:color w:val="2E5A6B"/>
          <w:sz w:val="24"/>
          <w:szCs w:val="22"/>
        </w:rPr>
        <w:t>Thailand -- Thailand International Development Cooperation Agency (TICA)</w:t>
      </w:r>
    </w:p>
    <w:p>
      <w:pPr>
        <w:pStyle w:val="Normal"/>
      </w:pPr>
      <w:r>
        <w:rPr>
          <w:rFonts w:ascii="Times New Roman" w:hAnsi="Times New Roman" w:eastAsia="Times New Roman" w:cs="Times New Roman"/>
          <w:color w:val="1A1A1A"/>
          <w:sz w:val="22"/>
          <w:szCs w:val="22"/>
        </w:rPr>
        <w:t>Thailand provided USD 67.9 million of ODA in 2023 through TICA. TICA focuses on health security, job security, food security, and energy/environmental security. The Neighbouring Countries Economic Development Cooperation Agency (NEDA) provides concessional loans for connectivity projects. The Export-Import Bank of Thailand offers concessional loans to developing countries.</w:t>
      </w:r>
    </w:p>
    <w:p>
      <w:pPr>
        <w:pStyle w:val="Normal"/>
      </w:pPr>
      <w:r>
        <w:rPr>
          <w:rFonts w:ascii="Times New Roman" w:hAnsi="Times New Roman" w:eastAsia="Times New Roman" w:cs="Times New Roman"/>
          <w:color w:val="1A1A1A"/>
          <w:sz w:val="22"/>
          <w:szCs w:val="22"/>
        </w:rPr>
        <w:t>Type: Technical Assistance/Concessional Loans | Est. Allocation: $50-100M | Application: Through TICA technical cooperation and NEDA connectivity loans | Focus: Health security, food security, energy, transport connectivity.</w:t>
      </w:r>
    </w:p>
    <w:p>
      <w:pPr>
        <w:pStyle w:val="Heading3"/>
      </w:pPr>
      <w:r>
        <w:rPr>
          <w:rFonts w:ascii="Times New Roman" w:hAnsi="Times New Roman" w:eastAsia="Times New Roman" w:cs="Times New Roman"/>
          <w:b/>
          <w:i/>
          <w:color w:val="2E5A6B"/>
          <w:sz w:val="24"/>
          <w:szCs w:val="22"/>
        </w:rPr>
        <w:t>Vietnam -- Bilateral Cooperation and South-South Exchange</w:t>
      </w:r>
    </w:p>
    <w:p>
      <w:pPr>
        <w:pStyle w:val="Normal"/>
      </w:pPr>
      <w:r>
        <w:rPr>
          <w:rFonts w:ascii="Times New Roman" w:hAnsi="Times New Roman" w:eastAsia="Times New Roman" w:cs="Times New Roman"/>
          <w:color w:val="1A1A1A"/>
          <w:sz w:val="22"/>
          <w:szCs w:val="22"/>
        </w:rPr>
        <w:t>Vietnam and Iran celebrated 50 years of diplomatic relations in 2023. Vietnam offers South-South cooperation expertise in post-sanctions economic recovery, having transformed from a war-torn, isolated nation to a $410 billion GDP economy ranked 48th globally. Vietnam provides technical cooperation in agricultural development, ICT, and post-conflict economic transition.</w:t>
      </w:r>
    </w:p>
    <w:p>
      <w:pPr>
        <w:pStyle w:val="Normal"/>
      </w:pPr>
      <w:r>
        <w:rPr>
          <w:rFonts w:ascii="Times New Roman" w:hAnsi="Times New Roman" w:eastAsia="Times New Roman" w:cs="Times New Roman"/>
          <w:color w:val="1A1A1A"/>
          <w:sz w:val="22"/>
          <w:szCs w:val="22"/>
        </w:rPr>
        <w:t>Type: Technical Assistance/South-South | Est. Allocation: $50-100M | Application: Through bilateral cooperation frameworks and Inter-Governmental Committee | Focus: Agricultural technology, ICT, economic transition expertise.</w:t>
      </w:r>
    </w:p>
    <w:p>
      <w:pPr>
        <w:pStyle w:val="Heading2"/>
      </w:pPr>
      <w:r>
        <w:rPr>
          <w:rFonts w:ascii="Times New Roman" w:hAnsi="Times New Roman" w:eastAsia="Times New Roman" w:cs="Times New Roman"/>
          <w:b/>
          <w:color w:val="1A1A1A"/>
          <w:sz w:val="20"/>
          <w:szCs w:val="24"/>
        </w:rPr>
        <w:t>I.2 Europe and North America (OECD DAC Donors)</w:t>
      </w:r>
    </w:p>
    <w:p>
      <w:pPr>
        <w:pStyle w:val="Normal"/>
      </w:pPr>
      <w:r>
        <w:rPr>
          <w:rFonts w:ascii="Times New Roman" w:hAnsi="Times New Roman" w:eastAsia="Times New Roman" w:cs="Times New Roman"/>
          <w:color w:val="1A1A1A"/>
          <w:sz w:val="22"/>
          <w:szCs w:val="22"/>
        </w:rPr>
        <w:t>The following countries are members of the OECD Development Assistance Committee (DAC) and maintain official development assistance programs. Many channel funding through multilateral institutions and humanitarian organizations rather than direct bilateral programs for Iran.</w:t>
      </w:r>
    </w:p>
    <w:p>
      <w:pPr>
        <w:pStyle w:val="Heading3"/>
      </w:pPr>
      <w:r>
        <w:rPr>
          <w:rFonts w:ascii="Times New Roman" w:hAnsi="Times New Roman" w:eastAsia="Times New Roman" w:cs="Times New Roman"/>
          <w:b/>
          <w:i/>
          <w:color w:val="2E5A6B"/>
          <w:sz w:val="24"/>
          <w:szCs w:val="22"/>
        </w:rPr>
        <w:t>Austria -- Austrian Development Agency (ADA)</w:t>
      </w:r>
    </w:p>
    <w:p>
      <w:pPr>
        <w:pStyle w:val="Normal"/>
      </w:pPr>
      <w:r>
        <w:rPr>
          <w:rFonts w:ascii="Times New Roman" w:hAnsi="Times New Roman" w:eastAsia="Times New Roman" w:cs="Times New Roman"/>
          <w:color w:val="1A1A1A"/>
          <w:sz w:val="22"/>
          <w:szCs w:val="22"/>
        </w:rPr>
        <w:t>Austria provided USD 2.1 billion in ODA in 2023 (0.87% of GNI). ADA focuses on water, energy, private sector development, and peace/security. Austria channels significant funding through multilateral organizations and humanitarian agencies.</w:t>
      </w:r>
    </w:p>
    <w:p>
      <w:pPr>
        <w:pStyle w:val="Normal"/>
      </w:pPr>
      <w:r>
        <w:rPr>
          <w:rFonts w:ascii="Times New Roman" w:hAnsi="Times New Roman" w:eastAsia="Times New Roman" w:cs="Times New Roman"/>
          <w:color w:val="1A1A1A"/>
          <w:sz w:val="22"/>
          <w:szCs w:val="22"/>
        </w:rPr>
        <w:t>Type: Multilateral/Humanitarian | Est. Allocation: $20-40M | Application: Through multilateral trust funds and UN agencies | Focus: Water, energy, humanitarian assistance.</w:t>
      </w:r>
    </w:p>
    <w:p>
      <w:pPr>
        <w:pStyle w:val="Heading3"/>
      </w:pPr>
      <w:r>
        <w:rPr>
          <w:rFonts w:ascii="Times New Roman" w:hAnsi="Times New Roman" w:eastAsia="Times New Roman" w:cs="Times New Roman"/>
          <w:b/>
          <w:i/>
          <w:color w:val="2E5A6B"/>
          <w:sz w:val="24"/>
          <w:szCs w:val="22"/>
        </w:rPr>
        <w:t>Belgium -- Directorate-General for Development Cooperation (DGD)</w:t>
      </w:r>
    </w:p>
    <w:p>
      <w:pPr>
        <w:pStyle w:val="Normal"/>
      </w:pPr>
      <w:r>
        <w:rPr>
          <w:rFonts w:ascii="Times New Roman" w:hAnsi="Times New Roman" w:eastAsia="Times New Roman" w:cs="Times New Roman"/>
          <w:color w:val="1A1A1A"/>
          <w:sz w:val="22"/>
          <w:szCs w:val="22"/>
        </w:rPr>
        <w:t>Belgium provided USD 2.8 billion in ODA in 2023 (0.45% of GNI). Belgium channels the majority of its development spending through multilateral institutions and prioritizes humanitarian assistance, education, and health.</w:t>
      </w:r>
    </w:p>
    <w:p>
      <w:pPr>
        <w:pStyle w:val="Normal"/>
      </w:pPr>
      <w:r>
        <w:rPr>
          <w:rFonts w:ascii="Times New Roman" w:hAnsi="Times New Roman" w:eastAsia="Times New Roman" w:cs="Times New Roman"/>
          <w:color w:val="1A1A1A"/>
          <w:sz w:val="22"/>
          <w:szCs w:val="22"/>
        </w:rPr>
        <w:t>Type: Multilateral/Humanitarian | Est. Allocation: $30-60M | Application: Through Belgian Development Cooperation multilateral channels | Focus: Humanitarian assistance, health, education.</w:t>
      </w:r>
    </w:p>
    <w:p>
      <w:pPr>
        <w:pStyle w:val="Heading3"/>
      </w:pPr>
      <w:r>
        <w:rPr>
          <w:rFonts w:ascii="Times New Roman" w:hAnsi="Times New Roman" w:eastAsia="Times New Roman" w:cs="Times New Roman"/>
          <w:b/>
          <w:i/>
          <w:color w:val="2E5A6B"/>
          <w:sz w:val="24"/>
          <w:szCs w:val="22"/>
        </w:rPr>
        <w:t>Czech Republic -- Czech Development Agency (CzDA)</w:t>
      </w:r>
    </w:p>
    <w:p>
      <w:pPr>
        <w:pStyle w:val="Normal"/>
      </w:pPr>
      <w:r>
        <w:rPr>
          <w:rFonts w:ascii="Times New Roman" w:hAnsi="Times New Roman" w:eastAsia="Times New Roman" w:cs="Times New Roman"/>
          <w:color w:val="1A1A1A"/>
          <w:sz w:val="22"/>
          <w:szCs w:val="22"/>
        </w:rPr>
        <w:t>The Czech Republic provided USD 437 million in ODA in 2023 (0.13% of GNI). CzDA focuses on private sector development, education, agriculture, and good governance. The Czech Republic participates in EU joint programming for reconstruction assistance.</w:t>
      </w:r>
    </w:p>
    <w:p>
      <w:pPr>
        <w:pStyle w:val="Normal"/>
      </w:pPr>
      <w:r>
        <w:rPr>
          <w:rFonts w:ascii="Times New Roman" w:hAnsi="Times New Roman" w:eastAsia="Times New Roman" w:cs="Times New Roman"/>
          <w:color w:val="1A1A1A"/>
          <w:sz w:val="22"/>
          <w:szCs w:val="22"/>
        </w:rPr>
        <w:t>Type: EU Joint Programming | Est. Allocation: $10-20M | Application: Through EU joint programming and multilateral channels | Focus: Private sector, governance, education.</w:t>
      </w:r>
    </w:p>
    <w:p>
      <w:pPr>
        <w:pStyle w:val="Heading3"/>
      </w:pPr>
      <w:r>
        <w:rPr>
          <w:rFonts w:ascii="Times New Roman" w:hAnsi="Times New Roman" w:eastAsia="Times New Roman" w:cs="Times New Roman"/>
          <w:b/>
          <w:i/>
          <w:color w:val="2E5A6B"/>
          <w:sz w:val="24"/>
          <w:szCs w:val="22"/>
        </w:rPr>
        <w:t>Denmark -- Danida</w:t>
      </w:r>
    </w:p>
    <w:p>
      <w:pPr>
        <w:pStyle w:val="Normal"/>
      </w:pPr>
      <w:r>
        <w:rPr>
          <w:rFonts w:ascii="Times New Roman" w:hAnsi="Times New Roman" w:eastAsia="Times New Roman" w:cs="Times New Roman"/>
          <w:color w:val="1A1A1A"/>
          <w:sz w:val="22"/>
          <w:szCs w:val="22"/>
        </w:rPr>
        <w:t>Denmark provided USD 3.1 billion in ODA in 2023 (0.74% of GNI). Denmark channels over 70% of bilateral ODA through multilateral organizations. Focus areas include green growth, democracy, humanitarian assistance, and migration.</w:t>
      </w:r>
    </w:p>
    <w:p>
      <w:pPr>
        <w:pStyle w:val="Normal"/>
      </w:pPr>
      <w:r>
        <w:rPr>
          <w:rFonts w:ascii="Times New Roman" w:hAnsi="Times New Roman" w:eastAsia="Times New Roman" w:cs="Times New Roman"/>
          <w:color w:val="1A1A1A"/>
          <w:sz w:val="22"/>
          <w:szCs w:val="22"/>
        </w:rPr>
        <w:t>Type: Multilateral/Humanitarian | Est. Allocation: $30-60M | Application: Through Danida multilateral trust funds and humanitarian channels | Focus: Climate, governance, humanitarian assistance.</w:t>
      </w:r>
    </w:p>
    <w:p>
      <w:pPr>
        <w:pStyle w:val="Heading3"/>
      </w:pPr>
      <w:r>
        <w:rPr>
          <w:rFonts w:ascii="Times New Roman" w:hAnsi="Times New Roman" w:eastAsia="Times New Roman" w:cs="Times New Roman"/>
          <w:b/>
          <w:i/>
          <w:color w:val="2E5A6B"/>
          <w:sz w:val="24"/>
          <w:szCs w:val="22"/>
        </w:rPr>
        <w:t>Finland -- Ministry for Foreign Affairs Development Policy</w:t>
      </w:r>
    </w:p>
    <w:p>
      <w:pPr>
        <w:pStyle w:val="Normal"/>
      </w:pPr>
      <w:r>
        <w:rPr>
          <w:rFonts w:ascii="Times New Roman" w:hAnsi="Times New Roman" w:eastAsia="Times New Roman" w:cs="Times New Roman"/>
          <w:color w:val="1A1A1A"/>
          <w:sz w:val="22"/>
          <w:szCs w:val="22"/>
        </w:rPr>
        <w:t>Finland provided USD 1.3 billion in ODA in 2023 (0.43% of GNI). Finland prioritizes gender equality, education, peacebuilding, and climate action. Finnish development cooperation channels significant funding through the UN system and World Bank.</w:t>
      </w:r>
    </w:p>
    <w:p>
      <w:pPr>
        <w:pStyle w:val="Normal"/>
      </w:pPr>
      <w:r>
        <w:rPr>
          <w:rFonts w:ascii="Times New Roman" w:hAnsi="Times New Roman" w:eastAsia="Times New Roman" w:cs="Times New Roman"/>
          <w:color w:val="1A1A1A"/>
          <w:sz w:val="22"/>
          <w:szCs w:val="22"/>
        </w:rPr>
        <w:t>Type: Multilateral | Est. Allocation: $20-40M | Application: Through UN and World Bank trust funds | Focus: Peacebuilding, education, climate.</w:t>
      </w:r>
    </w:p>
    <w:p>
      <w:pPr>
        <w:pStyle w:val="Heading3"/>
      </w:pPr>
      <w:r>
        <w:rPr>
          <w:rFonts w:ascii="Times New Roman" w:hAnsi="Times New Roman" w:eastAsia="Times New Roman" w:cs="Times New Roman"/>
          <w:b/>
          <w:i/>
          <w:color w:val="2E5A6B"/>
          <w:sz w:val="24"/>
          <w:szCs w:val="22"/>
        </w:rPr>
        <w:t>Germany -- KfW Development Bank and GIZ</w:t>
      </w:r>
    </w:p>
    <w:p>
      <w:pPr>
        <w:pStyle w:val="Normal"/>
      </w:pPr>
      <w:r>
        <w:rPr>
          <w:rFonts w:ascii="Times New Roman" w:hAnsi="Times New Roman" w:eastAsia="Times New Roman" w:cs="Times New Roman"/>
          <w:color w:val="1A1A1A"/>
          <w:sz w:val="22"/>
          <w:szCs w:val="22"/>
        </w:rPr>
        <w:t>Germany is the second-largest DAC donor with USD 37.8 billion in ODA in 2023 (0.79% of GNI). KfW provides concessional loans and grants for infrastructure, energy, water, and financial systems. GIZ delivers advisory services, capacity building, and technical expertise. KfW commitments for reconstruction contexts typically range from EUR 200 million to EUR 1 billion per country program.</w:t>
      </w:r>
    </w:p>
    <w:p>
      <w:pPr>
        <w:pStyle w:val="Normal"/>
      </w:pPr>
      <w:r>
        <w:rPr>
          <w:rFonts w:ascii="Times New Roman" w:hAnsi="Times New Roman" w:eastAsia="Times New Roman" w:cs="Times New Roman"/>
          <w:color w:val="1A1A1A"/>
          <w:sz w:val="22"/>
          <w:szCs w:val="22"/>
        </w:rPr>
        <w:t>Type: Concessional Loans/Grants/TA | Est. Allocation: $1-3B | Application: Through government-to-government request to BMZ | Focus: Energy, water, sustainable infrastructure, vocational training, governance.</w:t>
      </w:r>
    </w:p>
    <w:p>
      <w:pPr>
        <w:pStyle w:val="Heading3"/>
      </w:pPr>
      <w:r>
        <w:rPr>
          <w:rFonts w:ascii="Times New Roman" w:hAnsi="Times New Roman" w:eastAsia="Times New Roman" w:cs="Times New Roman"/>
          <w:b/>
          <w:i/>
          <w:color w:val="2E5A6B"/>
          <w:sz w:val="24"/>
          <w:szCs w:val="22"/>
        </w:rPr>
        <w:t>Greece -- Hellenic Aid</w:t>
      </w:r>
    </w:p>
    <w:p>
      <w:pPr>
        <w:pStyle w:val="Normal"/>
      </w:pPr>
      <w:r>
        <w:rPr>
          <w:rFonts w:ascii="Times New Roman" w:hAnsi="Times New Roman" w:eastAsia="Times New Roman" w:cs="Times New Roman"/>
          <w:color w:val="1A1A1A"/>
          <w:sz w:val="22"/>
          <w:szCs w:val="22"/>
        </w:rPr>
        <w:t>Greece provided USD 360 million in ODA in 2023 (0.14% of GNI). Greece channels development cooperation through multilateral organizations and the EU. Greece participates in EU joint programming for humanitarian assistance and refugee support.</w:t>
      </w:r>
    </w:p>
    <w:p>
      <w:pPr>
        <w:pStyle w:val="Normal"/>
      </w:pPr>
      <w:r>
        <w:rPr>
          <w:rFonts w:ascii="Times New Roman" w:hAnsi="Times New Roman" w:eastAsia="Times New Roman" w:cs="Times New Roman"/>
          <w:color w:val="1A1A1A"/>
          <w:sz w:val="22"/>
          <w:szCs w:val="22"/>
        </w:rPr>
        <w:t>Type: EU Joint Programming | Est. Allocation: $10-20M | Application: Through EU joint programming | Focus: Humanitarian assistance, refugee support.</w:t>
      </w:r>
    </w:p>
    <w:p>
      <w:pPr>
        <w:pStyle w:val="Heading3"/>
      </w:pPr>
      <w:r>
        <w:rPr>
          <w:rFonts w:ascii="Times New Roman" w:hAnsi="Times New Roman" w:eastAsia="Times New Roman" w:cs="Times New Roman"/>
          <w:b/>
          <w:i/>
          <w:color w:val="2E5A6B"/>
          <w:sz w:val="24"/>
          <w:szCs w:val="22"/>
        </w:rPr>
        <w:t>Hungary -- Hungary Helps Program / Eximbank / Demjan Sandor Program</w:t>
      </w:r>
    </w:p>
    <w:p>
      <w:pPr>
        <w:pStyle w:val="Normal"/>
      </w:pPr>
      <w:r>
        <w:rPr>
          <w:rFonts w:ascii="Times New Roman" w:hAnsi="Times New Roman" w:eastAsia="Times New Roman" w:cs="Times New Roman"/>
          <w:color w:val="1A1A1A"/>
          <w:sz w:val="22"/>
          <w:szCs w:val="22"/>
        </w:rPr>
        <w:t>Hungary's ODA declined from 0.13% of GNI in 2024 to an estimated 0.09% in 2025, with total bilateral ODA of approximately $221 million in 2023. Hungary channels 80% of its ODA bilaterally, with 48% spent on scholarships and training in Hungary. Hungary holds a unique position as the only EU member state maintaining an active Joint Economic Commission (JEC) with Iran. Prime Minister Viktor Orban visited Tehran in 2015, resulting in 10 MOUs covering economic, political, cultural, scientific, and tourism cooperation.</w:t>
      </w:r>
    </w:p>
    <w:p>
      <w:pPr>
        <w:pStyle w:val="Normal"/>
      </w:pPr>
      <w:r>
        <w:rPr>
          <w:rFonts w:ascii="Times New Roman" w:hAnsi="Times New Roman" w:eastAsia="Times New Roman" w:cs="Times New Roman"/>
          <w:color w:val="1A1A1A"/>
          <w:sz w:val="22"/>
          <w:szCs w:val="22"/>
        </w:rPr>
        <w:t>The Hungary Helps Program serves as the primary vehicle for humanitarian and development aid, with an average annual budget of EUR7.5 million (HUF3 billion). The Program focuses on: humanitarian aid in disasters and conflicts, post-war reconstruction (housing, schools, hospitals, cultural heritage), support for persecuted Christian communities, and migration root cause prevention. Hungary contributes approximately $58.3 million to multilateral organizations (EU institutions, UN system, World Bank), representing about 20% of its ODA.</w:t>
      </w:r>
    </w:p>
    <w:p>
      <w:pPr>
        <w:pStyle w:val="Normal"/>
      </w:pPr>
      <w:r>
        <w:rPr>
          <w:rFonts w:ascii="Times New Roman" w:hAnsi="Times New Roman" w:eastAsia="Times New Roman" w:cs="Times New Roman"/>
          <w:color w:val="1A1A1A"/>
          <w:sz w:val="22"/>
          <w:szCs w:val="22"/>
        </w:rPr>
        <w:t>The Export-Import Bank of Hungary (Eximbank) operates a EUR750 million syndicated facility providing extensive financing for Hungarian companies' exports and investments. The Demjan Sandor Program, part of the broader Economic Action Plan, makes HUF350 billion (approximately EUR940 million) in loans available to support Hungarian SMEs entering new export markets or investing abroad.</w:t>
      </w:r>
    </w:p>
    <w:p>
      <w:pPr>
        <w:pStyle w:val="Normal"/>
      </w:pPr>
      <w:r>
        <w:rPr>
          <w:rFonts w:ascii="Times New Roman" w:hAnsi="Times New Roman" w:eastAsia="Times New Roman" w:cs="Times New Roman"/>
          <w:color w:val="1A1A1A"/>
          <w:sz w:val="22"/>
          <w:szCs w:val="22"/>
        </w:rPr>
        <w:t>Type: Grant/Humanitarian/Concessional Loans | Est. Allocation: $50-150M | Application: Through Hungary Helps bilateral channels, Eximbank syndicated facility, and Demjan Sandor Program for SME export financing | Focus: Post-conflict reconstruction, housing, healthcare, education, cultural heritage, Hungarian SME participation in MRF procurement.</w:t>
      </w:r>
    </w:p>
    <w:p>
      <w:pPr>
        <w:pStyle w:val="Heading3"/>
      </w:pPr>
      <w:r>
        <w:rPr>
          <w:rFonts w:ascii="Times New Roman" w:hAnsi="Times New Roman" w:eastAsia="Times New Roman" w:cs="Times New Roman"/>
          <w:b/>
          <w:i/>
          <w:color w:val="2E5A6B"/>
          <w:sz w:val="24"/>
          <w:szCs w:val="22"/>
        </w:rPr>
        <w:t>Iceland -- Icelandic International Development Agency (ICEIDA)</w:t>
      </w:r>
    </w:p>
    <w:p>
      <w:pPr>
        <w:pStyle w:val="Normal"/>
      </w:pPr>
      <w:r>
        <w:rPr>
          <w:rFonts w:ascii="Times New Roman" w:hAnsi="Times New Roman" w:eastAsia="Times New Roman" w:cs="Times New Roman"/>
          <w:color w:val="1A1A1A"/>
          <w:sz w:val="22"/>
          <w:szCs w:val="22"/>
        </w:rPr>
        <w:t>Iceland provided USD 102 million in ODA in 2023 (0.36% of GNI). ICEIDA focuses on fisheries, geothermal energy, gender equality, and education. Iceland's geothermal energy expertise is directly applicable to Iranian energy reconstruction.</w:t>
      </w:r>
    </w:p>
    <w:p>
      <w:pPr>
        <w:pStyle w:val="Normal"/>
      </w:pPr>
      <w:r>
        <w:rPr>
          <w:rFonts w:ascii="Times New Roman" w:hAnsi="Times New Roman" w:eastAsia="Times New Roman" w:cs="Times New Roman"/>
          <w:color w:val="1A1A1A"/>
          <w:sz w:val="22"/>
          <w:szCs w:val="22"/>
        </w:rPr>
        <w:t>Type: Technical Assistance | Est. Allocation: $5-15M | Application: Through bilateral technical cooperation | Focus: Geothermal energy, fisheries, gender equality.</w:t>
      </w:r>
    </w:p>
    <w:p>
      <w:pPr>
        <w:pStyle w:val="Heading3"/>
      </w:pPr>
      <w:r>
        <w:rPr>
          <w:rFonts w:ascii="Times New Roman" w:hAnsi="Times New Roman" w:eastAsia="Times New Roman" w:cs="Times New Roman"/>
          <w:b/>
          <w:i/>
          <w:color w:val="2E5A6B"/>
          <w:sz w:val="24"/>
          <w:szCs w:val="22"/>
        </w:rPr>
        <w:t>Ireland -- Irish Aid</w:t>
      </w:r>
    </w:p>
    <w:p>
      <w:pPr>
        <w:pStyle w:val="Normal"/>
      </w:pPr>
      <w:r>
        <w:rPr>
          <w:rFonts w:ascii="Times New Roman" w:hAnsi="Times New Roman" w:eastAsia="Times New Roman" w:cs="Times New Roman"/>
          <w:color w:val="1A1A1A"/>
          <w:sz w:val="22"/>
          <w:szCs w:val="22"/>
        </w:rPr>
        <w:t>Ireland provided USD 2.9 billion in ODA in 2023 (0.82% of GNI). Irish Aid focuses on humanitarian assistance, hunger reduction, education, and health. Ireland channels the majority of its development spending through the UN system, NGOs, and multilateral institutions.</w:t>
      </w:r>
    </w:p>
    <w:p>
      <w:pPr>
        <w:pStyle w:val="Normal"/>
      </w:pPr>
      <w:r>
        <w:rPr>
          <w:rFonts w:ascii="Times New Roman" w:hAnsi="Times New Roman" w:eastAsia="Times New Roman" w:cs="Times New Roman"/>
          <w:color w:val="1A1A1A"/>
          <w:sz w:val="22"/>
          <w:szCs w:val="22"/>
        </w:rPr>
        <w:t>Type: Humanitarian | Est. Allocation: $30-60M | Application: Through multilateral trust funds and humanitarian organizations | Focus: Humanitarian assistance, food security, health.</w:t>
      </w:r>
    </w:p>
    <w:p>
      <w:pPr>
        <w:pStyle w:val="Heading3"/>
      </w:pPr>
      <w:r>
        <w:rPr>
          <w:rFonts w:ascii="Times New Roman" w:hAnsi="Times New Roman" w:eastAsia="Times New Roman" w:cs="Times New Roman"/>
          <w:b/>
          <w:i/>
          <w:color w:val="2E5A6B"/>
          <w:sz w:val="24"/>
          <w:szCs w:val="22"/>
        </w:rPr>
        <w:t>Italy -- Italian Development Cooperation Agency (AICS)</w:t>
      </w:r>
    </w:p>
    <w:p>
      <w:pPr>
        <w:pStyle w:val="Normal"/>
      </w:pPr>
      <w:r>
        <w:rPr>
          <w:rFonts w:ascii="Times New Roman" w:hAnsi="Times New Roman" w:eastAsia="Times New Roman" w:cs="Times New Roman"/>
          <w:color w:val="1A1A1A"/>
          <w:sz w:val="22"/>
          <w:szCs w:val="22"/>
        </w:rPr>
        <w:t>Italy provided USD 6 billion in ODA in 2023 (0.26% of GNI). AICS focuses on sustainable development, cultural heritage, health, and migration management. Italy participates in EU joint programming and maintains bilateral cooperation programs in the Middle East and North Africa.</w:t>
      </w:r>
    </w:p>
    <w:p>
      <w:pPr>
        <w:pStyle w:val="Normal"/>
      </w:pPr>
      <w:r>
        <w:rPr>
          <w:rFonts w:ascii="Times New Roman" w:hAnsi="Times New Roman" w:eastAsia="Times New Roman" w:cs="Times New Roman"/>
          <w:color w:val="1A1A1A"/>
          <w:sz w:val="22"/>
          <w:szCs w:val="22"/>
        </w:rPr>
        <w:t>Type: EU Joint/Bilateral | Est. Allocation: $50-100M | Application: Through AICS and EU joint programming | Focus: Cultural heritage, health, sustainable development.</w:t>
      </w:r>
    </w:p>
    <w:p>
      <w:pPr>
        <w:pStyle w:val="Heading3"/>
      </w:pPr>
      <w:r>
        <w:rPr>
          <w:rFonts w:ascii="Times New Roman" w:hAnsi="Times New Roman" w:eastAsia="Times New Roman" w:cs="Times New Roman"/>
          <w:b/>
          <w:i/>
          <w:color w:val="2E5A6B"/>
          <w:sz w:val="24"/>
          <w:szCs w:val="22"/>
        </w:rPr>
        <w:t>Luxembourg -- Luxembourg Development Cooperation</w:t>
      </w:r>
    </w:p>
    <w:p>
      <w:pPr>
        <w:pStyle w:val="Normal"/>
      </w:pPr>
      <w:r>
        <w:rPr>
          <w:rFonts w:ascii="Times New Roman" w:hAnsi="Times New Roman" w:eastAsia="Times New Roman" w:cs="Times New Roman"/>
          <w:color w:val="1A1A1A"/>
          <w:sz w:val="22"/>
          <w:szCs w:val="22"/>
        </w:rPr>
        <w:t>Luxembourg provided USD 579 million in ODA in 2023 (1.05% of GNI). Luxembourg channels development cooperation through multilateral organizations with a focus on inclusive finance, climate, and education.</w:t>
      </w:r>
    </w:p>
    <w:p>
      <w:pPr>
        <w:pStyle w:val="Normal"/>
      </w:pPr>
      <w:r>
        <w:rPr>
          <w:rFonts w:ascii="Times New Roman" w:hAnsi="Times New Roman" w:eastAsia="Times New Roman" w:cs="Times New Roman"/>
          <w:color w:val="1A1A1A"/>
          <w:sz w:val="22"/>
          <w:szCs w:val="22"/>
        </w:rPr>
        <w:t>Type: Multilateral | Est. Allocation: $10-20M | Application: Through multilateral channels | Focus: Inclusive finance, climate.</w:t>
      </w:r>
    </w:p>
    <w:p>
      <w:pPr>
        <w:pStyle w:val="Heading3"/>
      </w:pPr>
      <w:r>
        <w:rPr>
          <w:rFonts w:ascii="Times New Roman" w:hAnsi="Times New Roman" w:eastAsia="Times New Roman" w:cs="Times New Roman"/>
          <w:b/>
          <w:i/>
          <w:color w:val="2E5A6B"/>
          <w:sz w:val="24"/>
          <w:szCs w:val="22"/>
        </w:rPr>
        <w:t>Netherlands -- RVO and Dutch Good Growth Fund</w:t>
      </w:r>
    </w:p>
    <w:p>
      <w:pPr>
        <w:pStyle w:val="Normal"/>
      </w:pPr>
      <w:r>
        <w:rPr>
          <w:rFonts w:ascii="Times New Roman" w:hAnsi="Times New Roman" w:eastAsia="Times New Roman" w:cs="Times New Roman"/>
          <w:color w:val="1A1A1A"/>
          <w:sz w:val="22"/>
          <w:szCs w:val="22"/>
        </w:rPr>
        <w:t>The Netherlands deploys development finance through the Dutch Development Bank (FMO), the Dutch Good Growth Fund, and the Netherlands Enterprise Agency (RVO). The Netherlands recently contributed to the Private Infrastructure Development Group (PIDG). The Dutch Good Growth Fund provides financing for SMEs and entrepreneurs in developing countries.</w:t>
      </w:r>
    </w:p>
    <w:p>
      <w:pPr>
        <w:pStyle w:val="Normal"/>
      </w:pPr>
      <w:r>
        <w:rPr>
          <w:rFonts w:ascii="Times New Roman" w:hAnsi="Times New Roman" w:eastAsia="Times New Roman" w:cs="Times New Roman"/>
          <w:color w:val="1A1A1A"/>
          <w:sz w:val="22"/>
          <w:szCs w:val="22"/>
        </w:rPr>
        <w:t>Type: Private Investment/Co-financing | Est. Allocation: $200-500M | Application: Through FMO emerging markets infrastructure window | Focus: Private sector, infrastructure, climate finance.</w:t>
      </w:r>
    </w:p>
    <w:p>
      <w:pPr>
        <w:pStyle w:val="Heading3"/>
      </w:pPr>
      <w:r>
        <w:rPr>
          <w:rFonts w:ascii="Times New Roman" w:hAnsi="Times New Roman" w:eastAsia="Times New Roman" w:cs="Times New Roman"/>
          <w:b/>
          <w:i/>
          <w:color w:val="2E5A6B"/>
          <w:sz w:val="24"/>
          <w:szCs w:val="22"/>
        </w:rPr>
        <w:t>Poland -- Polish Aid</w:t>
      </w:r>
    </w:p>
    <w:p>
      <w:pPr>
        <w:pStyle w:val="Normal"/>
      </w:pPr>
      <w:r>
        <w:rPr>
          <w:rFonts w:ascii="Times New Roman" w:hAnsi="Times New Roman" w:eastAsia="Times New Roman" w:cs="Times New Roman"/>
          <w:color w:val="1A1A1A"/>
          <w:sz w:val="22"/>
          <w:szCs w:val="22"/>
        </w:rPr>
        <w:t>Poland provided USD 2.6 billion in ODA in 2023 (0.33% of GNI). Polish Aid focuses on humanitarian assistance, development cooperation, and peacebuilding. Poland channels development funding through multilateral organizations and bilateral programs.</w:t>
      </w:r>
    </w:p>
    <w:p>
      <w:pPr>
        <w:pStyle w:val="Normal"/>
      </w:pPr>
      <w:r>
        <w:rPr>
          <w:rFonts w:ascii="Times New Roman" w:hAnsi="Times New Roman" w:eastAsia="Times New Roman" w:cs="Times New Roman"/>
          <w:color w:val="1A1A1A"/>
          <w:sz w:val="22"/>
          <w:szCs w:val="22"/>
        </w:rPr>
        <w:t>Type: Humanitarian | Est. Allocation: $20-40M | Application: Through multilateral channels | Focus: Humanitarian assistance.</w:t>
      </w:r>
    </w:p>
    <w:p>
      <w:pPr>
        <w:pStyle w:val="Heading3"/>
      </w:pPr>
      <w:r>
        <w:rPr>
          <w:rFonts w:ascii="Times New Roman" w:hAnsi="Times New Roman" w:eastAsia="Times New Roman" w:cs="Times New Roman"/>
          <w:b/>
          <w:i/>
          <w:color w:val="2E5A6B"/>
          <w:sz w:val="24"/>
          <w:szCs w:val="22"/>
        </w:rPr>
        <w:t>Portugal -- Camoes Institute for Cooperation and Language</w:t>
      </w:r>
    </w:p>
    <w:p>
      <w:pPr>
        <w:pStyle w:val="Normal"/>
      </w:pPr>
      <w:r>
        <w:rPr>
          <w:rFonts w:ascii="Times New Roman" w:hAnsi="Times New Roman" w:eastAsia="Times New Roman" w:cs="Times New Roman"/>
          <w:color w:val="1A1A1A"/>
          <w:sz w:val="22"/>
          <w:szCs w:val="22"/>
        </w:rPr>
        <w:t>Portugal provided USD 544 million in ODA in 2023 (0.20% of GNI). Portugal focuses on Lusophone countries but participates in EU joint programming for humanitarian assistance and development cooperation in the Middle East.</w:t>
      </w:r>
    </w:p>
    <w:p>
      <w:pPr>
        <w:pStyle w:val="Normal"/>
      </w:pPr>
      <w:r>
        <w:rPr>
          <w:rFonts w:ascii="Times New Roman" w:hAnsi="Times New Roman" w:eastAsia="Times New Roman" w:cs="Times New Roman"/>
          <w:color w:val="1A1A1A"/>
          <w:sz w:val="22"/>
          <w:szCs w:val="22"/>
        </w:rPr>
        <w:t>Type: EU Joint Programming | Est. Allocation: $10-20M | Application: Through EU joint programming | Focus: Humanitarian assistance.</w:t>
      </w:r>
    </w:p>
    <w:p>
      <w:pPr>
        <w:pStyle w:val="Heading3"/>
      </w:pPr>
      <w:r>
        <w:rPr>
          <w:rFonts w:ascii="Times New Roman" w:hAnsi="Times New Roman" w:eastAsia="Times New Roman" w:cs="Times New Roman"/>
          <w:b/>
          <w:i/>
          <w:color w:val="2E5A6B"/>
          <w:sz w:val="24"/>
          <w:szCs w:val="22"/>
        </w:rPr>
        <w:t>Slovak Republic -- Slovak Agency for International Development Cooperation (SAIDC)</w:t>
      </w:r>
    </w:p>
    <w:p>
      <w:pPr>
        <w:pStyle w:val="Normal"/>
      </w:pPr>
      <w:r>
        <w:rPr>
          <w:rFonts w:ascii="Times New Roman" w:hAnsi="Times New Roman" w:eastAsia="Times New Roman" w:cs="Times New Roman"/>
          <w:color w:val="1A1A1A"/>
          <w:sz w:val="22"/>
          <w:szCs w:val="22"/>
        </w:rPr>
        <w:t>Slovakia provided USD 159 million in ODA in 2023 (0.12% of GNI). SAIDC focuses on education, health, water, and good governance. Slovakia participates in EU joint programming for development cooperation.</w:t>
      </w:r>
    </w:p>
    <w:p>
      <w:pPr>
        <w:pStyle w:val="Normal"/>
      </w:pPr>
      <w:r>
        <w:rPr>
          <w:rFonts w:ascii="Times New Roman" w:hAnsi="Times New Roman" w:eastAsia="Times New Roman" w:cs="Times New Roman"/>
          <w:color w:val="1A1A1A"/>
          <w:sz w:val="22"/>
          <w:szCs w:val="22"/>
        </w:rPr>
        <w:t>Type: EU Joint Programming | Est. Allocation: $5-10M | Application: Through EU joint programming | Focus: Water, education, governance.</w:t>
      </w:r>
    </w:p>
    <w:p>
      <w:pPr>
        <w:pStyle w:val="Heading3"/>
      </w:pPr>
      <w:r>
        <w:rPr>
          <w:rFonts w:ascii="Times New Roman" w:hAnsi="Times New Roman" w:eastAsia="Times New Roman" w:cs="Times New Roman"/>
          <w:b/>
          <w:i/>
          <w:color w:val="2E5A6B"/>
          <w:sz w:val="24"/>
          <w:szCs w:val="22"/>
        </w:rPr>
        <w:t>Slovenia -- Slovenian Development Cooperation</w:t>
      </w:r>
    </w:p>
    <w:p>
      <w:pPr>
        <w:pStyle w:val="Normal"/>
      </w:pPr>
      <w:r>
        <w:rPr>
          <w:rFonts w:ascii="Times New Roman" w:hAnsi="Times New Roman" w:eastAsia="Times New Roman" w:cs="Times New Roman"/>
          <w:color w:val="1A1A1A"/>
          <w:sz w:val="22"/>
          <w:szCs w:val="22"/>
        </w:rPr>
        <w:t>Slovenia provided USD 120 million in ODA in 2023 (0.17% of GNI). Slovenia focuses on water management, environmental protection, and good governance. Slovenia participates in EU joint programming.</w:t>
      </w:r>
    </w:p>
    <w:p>
      <w:pPr>
        <w:pStyle w:val="Normal"/>
      </w:pPr>
      <w:r>
        <w:rPr>
          <w:rFonts w:ascii="Times New Roman" w:hAnsi="Times New Roman" w:eastAsia="Times New Roman" w:cs="Times New Roman"/>
          <w:color w:val="1A1A1A"/>
          <w:sz w:val="22"/>
          <w:szCs w:val="22"/>
        </w:rPr>
        <w:t>Type: EU Joint Programming | Est. Allocation: $5-10M | Application: Through EU joint programming | Focus: Water management, environment.</w:t>
      </w:r>
    </w:p>
    <w:p>
      <w:pPr>
        <w:pStyle w:val="Heading3"/>
      </w:pPr>
      <w:r>
        <w:rPr>
          <w:rFonts w:ascii="Times New Roman" w:hAnsi="Times New Roman" w:eastAsia="Times New Roman" w:cs="Times New Roman"/>
          <w:b/>
          <w:i/>
          <w:color w:val="2E5A6B"/>
          <w:sz w:val="24"/>
          <w:szCs w:val="22"/>
        </w:rPr>
        <w:t>Spain -- Spanish Agency for International Development Cooperation (AECID)</w:t>
      </w:r>
    </w:p>
    <w:p>
      <w:pPr>
        <w:pStyle w:val="Normal"/>
      </w:pPr>
      <w:r>
        <w:rPr>
          <w:rFonts w:ascii="Times New Roman" w:hAnsi="Times New Roman" w:eastAsia="Times New Roman" w:cs="Times New Roman"/>
          <w:color w:val="1A1A1A"/>
          <w:sz w:val="22"/>
          <w:szCs w:val="22"/>
        </w:rPr>
        <w:t>Spain provided approximately USD 5.1 billion in ODA in 2025 (0.27% of GNI). AECID prioritizes water and sanitation, health, climate change adaptation, and gender equality. Spain is a strong proponent of multilateralism and participates extensively in EU joint programming and decentralized cooperation. Spain hosts the Recovery and Resilience Financing Platform (RRFP) launched under the Seville Platform for Action.</w:t>
      </w:r>
    </w:p>
    <w:p>
      <w:pPr>
        <w:pStyle w:val="Normal"/>
      </w:pPr>
      <w:r>
        <w:rPr>
          <w:rFonts w:ascii="Times New Roman" w:hAnsi="Times New Roman" w:eastAsia="Times New Roman" w:cs="Times New Roman"/>
          <w:color w:val="1A1A1A"/>
          <w:sz w:val="22"/>
          <w:szCs w:val="22"/>
        </w:rPr>
        <w:t>Type: EU Joint Programming / Bilateral Grants | Est. Allocation: $50-100M | Application: Through AECID bilateral channels and EU joint programming | Focus: Water and sanitation, health, climate adaptation, gender equality, recovery and resilience.</w:t>
      </w:r>
    </w:p>
    <w:p>
      <w:pPr>
        <w:pStyle w:val="Heading3"/>
      </w:pPr>
      <w:r>
        <w:rPr>
          <w:rFonts w:ascii="Times New Roman" w:hAnsi="Times New Roman" w:eastAsia="Times New Roman" w:cs="Times New Roman"/>
          <w:b/>
          <w:i/>
          <w:color w:val="2E5A6B"/>
          <w:sz w:val="24"/>
          <w:szCs w:val="22"/>
        </w:rPr>
        <w:t>Sweden -- Swedish International Development Cooperation Agency (Sida)</w:t>
      </w:r>
    </w:p>
    <w:p>
      <w:pPr>
        <w:pStyle w:val="Normal"/>
      </w:pPr>
      <w:r>
        <w:rPr>
          <w:rFonts w:ascii="Times New Roman" w:hAnsi="Times New Roman" w:eastAsia="Times New Roman" w:cs="Times New Roman"/>
          <w:color w:val="1A1A1A"/>
          <w:sz w:val="22"/>
          <w:szCs w:val="22"/>
        </w:rPr>
        <w:t>Sweden provided approximately USD 5.1 billion in ODA in 2025. Sweden's international development cooperation emphasizes global health, humanitarian support, environmental sustainability, and democratic governance. Sida directs a significant portion of its funding through multilateral organizations, including the WHO and UN agencies. Sweden consistently ranks among the top DAC donors by ODA/GNI ratio.</w:t>
      </w:r>
    </w:p>
    <w:p>
      <w:pPr>
        <w:pStyle w:val="Normal"/>
      </w:pPr>
      <w:r>
        <w:rPr>
          <w:rFonts w:ascii="Times New Roman" w:hAnsi="Times New Roman" w:eastAsia="Times New Roman" w:cs="Times New Roman"/>
          <w:color w:val="1A1A1A"/>
          <w:sz w:val="22"/>
          <w:szCs w:val="22"/>
        </w:rPr>
        <w:t>Type: Multilateral Trust Funds / Humanitarian | Est. Allocation: $50-100M | Application: Through Sida multilateral trust funds and UN agency partnerships | Focus: Global health, humanitarian assistance, environmental sustainability, democratic governance.</w:t>
      </w:r>
    </w:p>
    <w:p>
      <w:pPr>
        <w:pStyle w:val="Heading3"/>
      </w:pPr>
      <w:r>
        <w:rPr>
          <w:rFonts w:ascii="Times New Roman" w:hAnsi="Times New Roman" w:eastAsia="Times New Roman" w:cs="Times New Roman"/>
          <w:b/>
          <w:i/>
          <w:color w:val="2E5A6B"/>
          <w:sz w:val="24"/>
          <w:szCs w:val="22"/>
        </w:rPr>
        <w:t>Switzerland -- Swiss Agency for Development and Cooperation (SDC) / SECO</w:t>
      </w:r>
    </w:p>
    <w:p>
      <w:pPr>
        <w:pStyle w:val="Normal"/>
      </w:pPr>
      <w:r>
        <w:rPr>
          <w:rFonts w:ascii="Times New Roman" w:hAnsi="Times New Roman" w:eastAsia="Times New Roman" w:cs="Times New Roman"/>
          <w:color w:val="1A1A1A"/>
          <w:sz w:val="22"/>
          <w:szCs w:val="22"/>
        </w:rPr>
        <w:t>Switzerland's development cooperation focuses on private sector development, sustainable infrastructure, and humanitarian aid. Switzerland provides economic cooperation funding through the State Secretariat for Economic Affairs (SECO) and humanitarian assistance through SDC, prioritizing co-financing arrangements with multilateral development banks and regional funds. Swiss development finance emphasizes innovation, climate resilience, and private sector engagement.</w:t>
      </w:r>
    </w:p>
    <w:p>
      <w:pPr>
        <w:pStyle w:val="Normal"/>
      </w:pPr>
      <w:r>
        <w:rPr>
          <w:rFonts w:ascii="Times New Roman" w:hAnsi="Times New Roman" w:eastAsia="Times New Roman" w:cs="Times New Roman"/>
          <w:color w:val="1A1A1A"/>
          <w:sz w:val="22"/>
          <w:szCs w:val="22"/>
        </w:rPr>
        <w:t>Type: Bilateral Grants / Technical Assistance | Est. Allocation: $30-60M | Application: Through SDC/SECO bilateral channels and multilateral co-financing | Focus: Private sector development, sustainable infrastructure, humanitarian aid, climate resilience.</w:t>
      </w:r>
    </w:p>
    <w:p>
      <w:pPr>
        <w:pStyle w:val="Heading3"/>
      </w:pPr>
      <w:r>
        <w:rPr>
          <w:rFonts w:ascii="Times New Roman" w:hAnsi="Times New Roman" w:eastAsia="Times New Roman" w:cs="Times New Roman"/>
          <w:b/>
          <w:i/>
          <w:color w:val="2E5A6B"/>
          <w:sz w:val="24"/>
          <w:szCs w:val="22"/>
        </w:rPr>
        <w:t>United Kingdom -- Foreign, Commonwealth and Development Office (FCDO)</w:t>
      </w:r>
    </w:p>
    <w:p>
      <w:pPr>
        <w:pStyle w:val="Normal"/>
      </w:pPr>
      <w:r>
        <w:rPr>
          <w:rFonts w:ascii="Times New Roman" w:hAnsi="Times New Roman" w:eastAsia="Times New Roman" w:cs="Times New Roman"/>
          <w:color w:val="1A1A1A"/>
          <w:sz w:val="22"/>
          <w:szCs w:val="22"/>
        </w:rPr>
        <w:t>The UK provided approximately GBP 13 billion in ODA in 2025 (0.43% of GNI). FCDO channels significant resources through multilateral organizations, providing over GBP 2.7 billion in core multilateral contributions in 2025. The UK focuses on humanitarian relief, global health, and climate resilience. The UK coordinates with the MRF primarily through World Bank trust funds and UN agencies.</w:t>
      </w:r>
    </w:p>
    <w:p>
      <w:pPr>
        <w:pStyle w:val="Normal"/>
      </w:pPr>
      <w:r>
        <w:rPr>
          <w:rFonts w:ascii="Times New Roman" w:hAnsi="Times New Roman" w:eastAsia="Times New Roman" w:cs="Times New Roman"/>
          <w:color w:val="1A1A1A"/>
          <w:sz w:val="22"/>
          <w:szCs w:val="22"/>
        </w:rPr>
        <w:t>Type: Multilateral Contributions / Humanitarian | Est. Allocation: $100-200M | Application: Through FCDO multilateral contributions and World Bank trust funds | Focus: Humanitarian relief, global health, climate resilience.</w:t>
      </w:r>
    </w:p>
    <w:p>
      <w:pPr>
        <w:pStyle w:val="Heading3"/>
      </w:pPr>
      <w:r>
        <w:rPr>
          <w:rFonts w:ascii="Times New Roman" w:hAnsi="Times New Roman" w:eastAsia="Times New Roman" w:cs="Times New Roman"/>
          <w:b/>
          <w:i/>
          <w:color w:val="2E5A6B"/>
          <w:sz w:val="24"/>
          <w:szCs w:val="22"/>
        </w:rPr>
        <w:t>United States -- USAID and U.S. Private Sector Safe Harbor</w:t>
      </w:r>
    </w:p>
    <w:p>
      <w:pPr>
        <w:pStyle w:val="Normal"/>
      </w:pPr>
      <w:r>
        <w:rPr>
          <w:rFonts w:ascii="Times New Roman" w:hAnsi="Times New Roman" w:eastAsia="Times New Roman" w:cs="Times New Roman"/>
          <w:color w:val="1A1A1A"/>
          <w:sz w:val="22"/>
          <w:szCs w:val="22"/>
        </w:rPr>
        <w:t>Consistent with Article 2.3 of this Annex, U.S. participation is strictly limited to non-cash contributions, including technical assistance, project identification, capacity building, and diplomatic support. No direct U.S. government cash is transferred to the MRF or to Iran. USAID provides technical assistance for governance, health, and agricultural development through third-party implementers. The U.S. supports the reconstruction framework through the Safe Harbor mechanism and the In-Kind Contribution Window for private sector participation (see Section 1.3(d)).</w:t>
      </w:r>
    </w:p>
    <w:p>
      <w:pPr>
        <w:pStyle w:val="Normal"/>
      </w:pPr>
      <w:r>
        <w:rPr>
          <w:rFonts w:ascii="Times New Roman" w:hAnsi="Times New Roman" w:eastAsia="Times New Roman" w:cs="Times New Roman"/>
          <w:color w:val="1A1A1A"/>
          <w:sz w:val="22"/>
          <w:szCs w:val="22"/>
        </w:rPr>
        <w:t>Type: Technical Assistance / In-Kind (Non-Cash) | Est. Allocation: N/A | Application: Through Safe Harbor mechanism, In-Kind Contribution Window, and OFAC-licensed channels | Focus: Technical assistance, project identification, capacity building, diplomatic support, private sector Safe Harbor facilitation.</w:t>
      </w:r>
    </w:p>
    <w:p>
      <w:pPr>
        <w:pStyle w:val="Heading2"/>
      </w:pPr>
      <w:r>
        <w:rPr>
          <w:rFonts w:ascii="Times New Roman" w:hAnsi="Times New Roman" w:eastAsia="Times New Roman" w:cs="Times New Roman"/>
          <w:b/>
          <w:color w:val="1A1A1A"/>
          <w:sz w:val="20"/>
          <w:szCs w:val="24"/>
        </w:rPr>
        <w:t>I.3 Middle East, North Africa, and Sub-Saharan Africa</w:t>
      </w:r>
    </w:p>
    <w:p>
      <w:pPr>
        <w:pStyle w:val="Heading3"/>
      </w:pPr>
      <w:r>
        <w:rPr>
          <w:rFonts w:ascii="Times New Roman" w:hAnsi="Times New Roman" w:eastAsia="Times New Roman" w:cs="Times New Roman"/>
          <w:b/>
          <w:i/>
          <w:color w:val="2E5A6B"/>
          <w:sz w:val="24"/>
          <w:szCs w:val="22"/>
        </w:rPr>
        <w:t>Egypt -- Egyptian Fund for Technical Cooperation with Africa and the Commonwealth</w:t>
      </w:r>
    </w:p>
    <w:p>
      <w:pPr>
        <w:pStyle w:val="Normal"/>
      </w:pPr>
      <w:r>
        <w:rPr>
          <w:rFonts w:ascii="Times New Roman" w:hAnsi="Times New Roman" w:eastAsia="Times New Roman" w:cs="Times New Roman"/>
          <w:color w:val="1A1A1A"/>
          <w:sz w:val="22"/>
          <w:szCs w:val="22"/>
        </w:rPr>
        <w:t>Egypt and Iran maintain bilateral cooperation through the Joint Higher Commission. Egypt participates in the OIC and Arab League development frameworks. The Egyptian Fund provides technical assistance, training, and capacity building for developing countries. Egypt's Suez Canal development expertise is applicable to Iranian port reconstruction.</w:t>
      </w:r>
    </w:p>
    <w:p>
      <w:pPr>
        <w:pStyle w:val="Normal"/>
      </w:pPr>
      <w:r>
        <w:rPr>
          <w:rFonts w:ascii="Times New Roman" w:hAnsi="Times New Roman" w:eastAsia="Times New Roman" w:cs="Times New Roman"/>
          <w:color w:val="1A1A1A"/>
          <w:sz w:val="22"/>
          <w:szCs w:val="22"/>
        </w:rPr>
        <w:t>Type: Technical Assistance | Est. Allocation: $50-100M | Application: Through bilateral cooperation and OIC/Arab League frameworks | Focus: Technical assistance, port development, capacity building.</w:t>
      </w:r>
    </w:p>
    <w:p>
      <w:pPr>
        <w:pStyle w:val="Heading3"/>
      </w:pPr>
      <w:r>
        <w:rPr>
          <w:rFonts w:ascii="Times New Roman" w:hAnsi="Times New Roman" w:eastAsia="Times New Roman" w:cs="Times New Roman"/>
          <w:b/>
          <w:i/>
          <w:color w:val="2E5A6B"/>
          <w:sz w:val="24"/>
          <w:szCs w:val="22"/>
        </w:rPr>
        <w:t>Iraq -- Bilateral Development Cooperation</w:t>
      </w:r>
    </w:p>
    <w:p>
      <w:pPr>
        <w:pStyle w:val="Normal"/>
      </w:pPr>
      <w:r>
        <w:rPr>
          <w:rFonts w:ascii="Times New Roman" w:hAnsi="Times New Roman" w:eastAsia="Times New Roman" w:cs="Times New Roman"/>
          <w:color w:val="1A1A1A"/>
          <w:sz w:val="22"/>
          <w:szCs w:val="22"/>
        </w:rPr>
        <w:t>Iraq and Iran share extensive border infrastructure and trade corridors. Iraq's own post-conflict reconstruction experience (2003-present) provides relevant lessons for Iranian reconstruction. Bilateral cooperation focuses on shared border crossings, electricity grid interconnection, water resource management, and trade corridor development.</w:t>
      </w:r>
    </w:p>
    <w:p>
      <w:pPr>
        <w:pStyle w:val="Normal"/>
      </w:pPr>
      <w:r>
        <w:rPr>
          <w:rFonts w:ascii="Times New Roman" w:hAnsi="Times New Roman" w:eastAsia="Times New Roman" w:cs="Times New Roman"/>
          <w:color w:val="1A1A1A"/>
          <w:sz w:val="22"/>
          <w:szCs w:val="22"/>
        </w:rPr>
        <w:t>Type: Bilateral/Regional | Est. Allocation: $200-500M | Application: Through bilateral economic commissions and border infrastructure agreements | Focus: Border infrastructure, electricity, water management, trade.</w:t>
      </w:r>
    </w:p>
    <w:p>
      <w:pPr>
        <w:pStyle w:val="Heading3"/>
      </w:pPr>
      <w:r>
        <w:rPr>
          <w:rFonts w:ascii="Times New Roman" w:hAnsi="Times New Roman" w:eastAsia="Times New Roman" w:cs="Times New Roman"/>
          <w:b/>
          <w:i/>
          <w:color w:val="2E5A6B"/>
          <w:sz w:val="24"/>
          <w:szCs w:val="22"/>
        </w:rPr>
        <w:t>Jordan -- Jordanian Development Cooperation</w:t>
      </w:r>
    </w:p>
    <w:p>
      <w:pPr>
        <w:pStyle w:val="Normal"/>
      </w:pPr>
      <w:r>
        <w:rPr>
          <w:rFonts w:ascii="Times New Roman" w:hAnsi="Times New Roman" w:eastAsia="Times New Roman" w:cs="Times New Roman"/>
          <w:color w:val="1A1A1A"/>
          <w:sz w:val="22"/>
          <w:szCs w:val="22"/>
        </w:rPr>
        <w:t>Jordan is a major recipient of international development assistance and has developed significant expertise in managing reconstruction and refugee support programming. Jordan's experience in public-private partnerships for water and energy infrastructure is applicable to Iranian reconstruction.</w:t>
      </w:r>
    </w:p>
    <w:p>
      <w:pPr>
        <w:pStyle w:val="Normal"/>
      </w:pPr>
      <w:r>
        <w:rPr>
          <w:rFonts w:ascii="Times New Roman" w:hAnsi="Times New Roman" w:eastAsia="Times New Roman" w:cs="Times New Roman"/>
          <w:color w:val="1A1A1A"/>
          <w:sz w:val="22"/>
          <w:szCs w:val="22"/>
        </w:rPr>
        <w:t>Type: Technical/Knowledge Transfer | Est. Allocation: $20-50M | Application: Through bilateral technical cooperation | Focus: PPP structuring, water infrastructure, refugee integration.</w:t>
      </w:r>
    </w:p>
    <w:p>
      <w:pPr>
        <w:pStyle w:val="Heading3"/>
      </w:pPr>
      <w:r>
        <w:rPr>
          <w:rFonts w:ascii="Times New Roman" w:hAnsi="Times New Roman" w:eastAsia="Times New Roman" w:cs="Times New Roman"/>
          <w:b/>
          <w:i/>
          <w:color w:val="2E5A6B"/>
          <w:sz w:val="24"/>
          <w:szCs w:val="22"/>
        </w:rPr>
        <w:t>Lebanon -- Knowledge Transfer and Technical Cooperation</w:t>
      </w:r>
    </w:p>
    <w:p>
      <w:pPr>
        <w:pStyle w:val="Normal"/>
      </w:pPr>
      <w:r>
        <w:rPr>
          <w:rFonts w:ascii="Times New Roman" w:hAnsi="Times New Roman" w:eastAsia="Times New Roman" w:cs="Times New Roman"/>
          <w:color w:val="1A1A1A"/>
          <w:sz w:val="22"/>
          <w:szCs w:val="22"/>
        </w:rPr>
        <w:t>Lebanon possesses extensive post-conflict reconstruction experience spanning multiple decades. Lebanese engineering firms, financial institutions, and construction companies have deep expertise in rebuilding infrastructure under challenging political and security conditions. This expertise is directly transferable to Iranian reconstruction.</w:t>
      </w:r>
    </w:p>
    <w:p>
      <w:pPr>
        <w:pStyle w:val="Normal"/>
      </w:pPr>
      <w:r>
        <w:rPr>
          <w:rFonts w:ascii="Times New Roman" w:hAnsi="Times New Roman" w:eastAsia="Times New Roman" w:cs="Times New Roman"/>
          <w:color w:val="1A1A1A"/>
          <w:sz w:val="22"/>
          <w:szCs w:val="22"/>
        </w:rPr>
        <w:t>Type: Technical/Knowledge Transfer | Est. Allocation: $20-50M | Application: Through bilateral technical cooperation and Lebanese private sector engagement | Focus: Reconstruction expertise, financial sector rehabilitation, urban planning.</w:t>
      </w:r>
    </w:p>
    <w:p>
      <w:pPr>
        <w:pStyle w:val="Heading3"/>
      </w:pPr>
      <w:r>
        <w:rPr>
          <w:rFonts w:ascii="Times New Roman" w:hAnsi="Times New Roman" w:eastAsia="Times New Roman" w:cs="Times New Roman"/>
          <w:b/>
          <w:i/>
          <w:color w:val="2E5A6B"/>
          <w:sz w:val="24"/>
          <w:szCs w:val="22"/>
        </w:rPr>
        <w:t>Morocco -- Moroccan Agency for International Cooperation (AMCI)</w:t>
      </w:r>
    </w:p>
    <w:p>
      <w:pPr>
        <w:pStyle w:val="Normal"/>
      </w:pPr>
      <w:r>
        <w:rPr>
          <w:rFonts w:ascii="Times New Roman" w:hAnsi="Times New Roman" w:eastAsia="Times New Roman" w:cs="Times New Roman"/>
          <w:color w:val="1A1A1A"/>
          <w:sz w:val="22"/>
          <w:szCs w:val="22"/>
        </w:rPr>
        <w:t>Morocco operates AMCI as its bilateral development cooperation agency with expertise in South-South cooperation. Morocco has developed significant renewable energy infrastructure (Noor Ouarzazate Solar Complex - 580 MW) and water management systems. Morocco participates in the OIC development framework.</w:t>
      </w:r>
    </w:p>
    <w:p>
      <w:pPr>
        <w:pStyle w:val="Normal"/>
      </w:pPr>
      <w:r>
        <w:rPr>
          <w:rFonts w:ascii="Times New Roman" w:hAnsi="Times New Roman" w:eastAsia="Times New Roman" w:cs="Times New Roman"/>
          <w:color w:val="1A1A1A"/>
          <w:sz w:val="22"/>
          <w:szCs w:val="22"/>
        </w:rPr>
        <w:t>Type: Technical/South-South | Est. Allocation: $50-100M | Application: Through AMCI and OIC cooperation frameworks | Focus: Renewable energy, water management, South-South cooperation.</w:t>
      </w:r>
    </w:p>
    <w:p>
      <w:pPr>
        <w:pStyle w:val="Heading3"/>
      </w:pPr>
      <w:r>
        <w:rPr>
          <w:rFonts w:ascii="Times New Roman" w:hAnsi="Times New Roman" w:eastAsia="Times New Roman" w:cs="Times New Roman"/>
          <w:b/>
          <w:i/>
          <w:color w:val="2E5A6B"/>
          <w:sz w:val="24"/>
          <w:szCs w:val="22"/>
        </w:rPr>
        <w:t>Nigeria -- Nigerian Sovereign Investment Authority (NSIA)</w:t>
      </w:r>
    </w:p>
    <w:p>
      <w:pPr>
        <w:pStyle w:val="Normal"/>
      </w:pPr>
      <w:r>
        <w:rPr>
          <w:rFonts w:ascii="Times New Roman" w:hAnsi="Times New Roman" w:eastAsia="Times New Roman" w:cs="Times New Roman"/>
          <w:color w:val="1A1A1A"/>
          <w:sz w:val="22"/>
          <w:szCs w:val="22"/>
        </w:rPr>
        <w:t>Nigeria is Africa's largest economy and an OIC member. The NSIA manages Nigeria's sovereign wealth with a mandate for infrastructure investment. Nigeria participates in the OIC and Commonwealth development frameworks. Nigerian construction firms (Julius Berger, Dangote Industries) possess significant infrastructure development capacity.</w:t>
      </w:r>
    </w:p>
    <w:p>
      <w:pPr>
        <w:pStyle w:val="Normal"/>
      </w:pPr>
      <w:r>
        <w:rPr>
          <w:rFonts w:ascii="Times New Roman" w:hAnsi="Times New Roman" w:eastAsia="Times New Roman" w:cs="Times New Roman"/>
          <w:color w:val="1A1A1A"/>
          <w:sz w:val="22"/>
          <w:szCs w:val="22"/>
        </w:rPr>
        <w:t>Type: Sovereign Investment/Technical | Est. Allocation: $100-300M | Application: Through NSIA and OIC/BRICS frameworks | Focus: Infrastructure investment, agriculture, energy.</w:t>
      </w:r>
    </w:p>
    <w:p>
      <w:pPr>
        <w:pStyle w:val="Heading3"/>
      </w:pPr>
      <w:r>
        <w:rPr>
          <w:rFonts w:ascii="Times New Roman" w:hAnsi="Times New Roman" w:eastAsia="Times New Roman" w:cs="Times New Roman"/>
          <w:b/>
          <w:i/>
          <w:color w:val="2E5A6B"/>
          <w:sz w:val="24"/>
          <w:szCs w:val="22"/>
        </w:rPr>
        <w:t>Tunisia -- Bilateral Development Cooperation</w:t>
      </w:r>
    </w:p>
    <w:p>
      <w:pPr>
        <w:pStyle w:val="Normal"/>
      </w:pPr>
      <w:r>
        <w:rPr>
          <w:rFonts w:ascii="Times New Roman" w:hAnsi="Times New Roman" w:eastAsia="Times New Roman" w:cs="Times New Roman"/>
          <w:color w:val="1A1A1A"/>
          <w:sz w:val="22"/>
          <w:szCs w:val="22"/>
        </w:rPr>
        <w:t>Tunisia participated in the Deauville Partnership with Arab Countries in Transition, developing post-revolution reconstruction expertise. Tunisia participates in the OIC and Arab development frameworks. Tunisia offers knowledge transfer in democratic transition governance, media sector development, and civil society engagement.</w:t>
      </w:r>
    </w:p>
    <w:p>
      <w:pPr>
        <w:pStyle w:val="Normal"/>
      </w:pPr>
      <w:r>
        <w:rPr>
          <w:rFonts w:ascii="Times New Roman" w:hAnsi="Times New Roman" w:eastAsia="Times New Roman" w:cs="Times New Roman"/>
          <w:color w:val="1A1A1A"/>
          <w:sz w:val="22"/>
          <w:szCs w:val="22"/>
        </w:rPr>
        <w:t>Type: Knowledge Transfer | Est. Allocation: $20-40M | Application: Through bilateral cooperation and OIC frameworks | Focus: Governance transition, media, civil society.</w:t>
      </w:r>
    </w:p>
    <w:p>
      <w:pPr>
        <w:pStyle w:val="Heading3"/>
      </w:pPr>
      <w:r>
        <w:rPr>
          <w:rFonts w:ascii="Times New Roman" w:hAnsi="Times New Roman" w:eastAsia="Times New Roman" w:cs="Times New Roman"/>
          <w:b/>
          <w:i/>
          <w:color w:val="2E5A6B"/>
          <w:sz w:val="24"/>
          <w:szCs w:val="22"/>
        </w:rPr>
        <w:t>Ethiopia -- Knowledge Transfer and Technical Cooperation</w:t>
      </w:r>
    </w:p>
    <w:p>
      <w:pPr>
        <w:pStyle w:val="Normal"/>
      </w:pPr>
      <w:r>
        <w:rPr>
          <w:rFonts w:ascii="Times New Roman" w:hAnsi="Times New Roman" w:eastAsia="Times New Roman" w:cs="Times New Roman"/>
          <w:color w:val="1A1A1A"/>
          <w:sz w:val="22"/>
          <w:szCs w:val="22"/>
        </w:rPr>
        <w:t>Ethiopia has demonstrated rapid infrastructure development capacity, building the Grand Ethiopian Renaissance Dam (6,450 MW), Africa's largest hydroelectric project, using domestic resources and limited external financing. Ethiopia's model of domestically financed large-scale infrastructure development offers lessons for Iranian self-financing under the NDF Co-Financing Match (Article 1.2(b)).</w:t>
      </w:r>
    </w:p>
    <w:p>
      <w:pPr>
        <w:pStyle w:val="Normal"/>
      </w:pPr>
      <w:r>
        <w:rPr>
          <w:rFonts w:ascii="Times New Roman" w:hAnsi="Times New Roman" w:eastAsia="Times New Roman" w:cs="Times New Roman"/>
          <w:color w:val="1A1A1A"/>
          <w:sz w:val="22"/>
          <w:szCs w:val="22"/>
        </w:rPr>
        <w:t>Type: Knowledge Transfer | Est. Allocation: $10-20M | Application: Through bilateral technical cooperation and BRICS frameworks | Focus: Large-scale infrastructure development, domestic financing models.</w:t>
      </w:r>
    </w:p>
    <w:p>
      <w:pPr>
        <w:pStyle w:val="Heading3"/>
      </w:pPr>
      <w:r>
        <w:rPr>
          <w:rFonts w:ascii="Times New Roman" w:hAnsi="Times New Roman" w:eastAsia="Times New Roman" w:cs="Times New Roman"/>
          <w:b/>
          <w:i/>
          <w:color w:val="2E5A6B"/>
          <w:sz w:val="24"/>
          <w:szCs w:val="22"/>
        </w:rPr>
        <w:t>Kenya -- Knowledge Transfer and Infrastructure Expertise</w:t>
      </w:r>
    </w:p>
    <w:p>
      <w:pPr>
        <w:pStyle w:val="Normal"/>
      </w:pPr>
      <w:r>
        <w:rPr>
          <w:rFonts w:ascii="Times New Roman" w:hAnsi="Times New Roman" w:eastAsia="Times New Roman" w:cs="Times New Roman"/>
          <w:color w:val="1A1A1A"/>
          <w:sz w:val="22"/>
          <w:szCs w:val="22"/>
        </w:rPr>
        <w:t>Kenya has developed significant infrastructure PPP expertise, including the Nairobi-Mombasa Standard Gauge Railway and the Lamu Port-South Sudan-Ethiopia Transport (LAPSSET) Corridor. Kenya participates in the IFC's Kakuma Kalobeyei Challenge Fund model. Kenya's experience in conflict-sensitive blended finance is directly applicable to Iranian reconstruction.</w:t>
      </w:r>
    </w:p>
    <w:p>
      <w:pPr>
        <w:pStyle w:val="Normal"/>
      </w:pPr>
      <w:r>
        <w:rPr>
          <w:rFonts w:ascii="Times New Roman" w:hAnsi="Times New Roman" w:eastAsia="Times New Roman" w:cs="Times New Roman"/>
          <w:color w:val="1A1A1A"/>
          <w:sz w:val="22"/>
          <w:szCs w:val="22"/>
        </w:rPr>
        <w:t>Type: Knowledge Transfer | Est. Allocation: $20-40M | Application: Through bilateral technical cooperation | Focus: PPP structuring, transport corridors, conflict-sensitive finance.</w:t>
      </w:r>
    </w:p>
    <w:p>
      <w:pPr>
        <w:pStyle w:val="Heading3"/>
      </w:pPr>
      <w:r>
        <w:rPr>
          <w:rFonts w:ascii="Times New Roman" w:hAnsi="Times New Roman" w:eastAsia="Times New Roman" w:cs="Times New Roman"/>
          <w:b/>
          <w:i/>
          <w:color w:val="2E5A6B"/>
          <w:sz w:val="24"/>
          <w:szCs w:val="22"/>
        </w:rPr>
        <w:t>Senegal -- Knowledge Transfer and Technical Cooperation</w:t>
      </w:r>
    </w:p>
    <w:p>
      <w:pPr>
        <w:pStyle w:val="Normal"/>
      </w:pPr>
      <w:r>
        <w:rPr>
          <w:rFonts w:ascii="Times New Roman" w:hAnsi="Times New Roman" w:eastAsia="Times New Roman" w:cs="Times New Roman"/>
          <w:color w:val="1A1A1A"/>
          <w:sz w:val="22"/>
          <w:szCs w:val="22"/>
        </w:rPr>
        <w:t>Senegal is a model for post-conflict governance stability in the West Africa region. Senegal participates in the OIC and has developed expertise in agricultural value chains, renewable energy, and coastal zone management. Senegal's experience in managing the Grand Ethiopian Renaissance Dam dispute offers relevant diplomatic expertise.</w:t>
      </w:r>
    </w:p>
    <w:p>
      <w:pPr>
        <w:pStyle w:val="Normal"/>
      </w:pPr>
      <w:r>
        <w:rPr>
          <w:rFonts w:ascii="Times New Roman" w:hAnsi="Times New Roman" w:eastAsia="Times New Roman" w:cs="Times New Roman"/>
          <w:color w:val="1A1A1A"/>
          <w:sz w:val="22"/>
          <w:szCs w:val="22"/>
        </w:rPr>
        <w:t>Type: Knowledge Transfer | Est. Allocation: $10-20M | Application: Through bilateral technical cooperation and OIC frameworks | Focus: Agricultural value chains, renewable energy, governance.</w:t>
      </w:r>
    </w:p>
    <w:p>
      <w:pPr>
        <w:pStyle w:val="Heading2"/>
      </w:pPr>
      <w:r>
        <w:rPr>
          <w:rFonts w:ascii="Times New Roman" w:hAnsi="Times New Roman" w:eastAsia="Times New Roman" w:cs="Times New Roman"/>
          <w:b/>
          <w:color w:val="1A1A1A"/>
          <w:sz w:val="20"/>
          <w:szCs w:val="24"/>
        </w:rPr>
        <w:t>I.4 Americas</w:t>
      </w:r>
    </w:p>
    <w:p>
      <w:pPr>
        <w:pStyle w:val="Heading3"/>
      </w:pPr>
      <w:r>
        <w:rPr>
          <w:rFonts w:ascii="Times New Roman" w:hAnsi="Times New Roman" w:eastAsia="Times New Roman" w:cs="Times New Roman"/>
          <w:b/>
          <w:i/>
          <w:color w:val="2E5A6B"/>
          <w:sz w:val="24"/>
          <w:szCs w:val="22"/>
        </w:rPr>
        <w:t>Canada -- Global Affairs Canada (GAC)</w:t>
      </w:r>
    </w:p>
    <w:p>
      <w:pPr>
        <w:pStyle w:val="Normal"/>
      </w:pPr>
      <w:r>
        <w:rPr>
          <w:rFonts w:ascii="Times New Roman" w:hAnsi="Times New Roman" w:eastAsia="Times New Roman" w:cs="Times New Roman"/>
          <w:color w:val="1A1A1A"/>
          <w:sz w:val="22"/>
          <w:szCs w:val="22"/>
        </w:rPr>
        <w:t>Canada's International Assistance Envelope totals approximately CAD 7.89 billion annually. Canada contributes extensively to World Bank trust funds, UN agencies, and regional development banks. Canada maintains board representation at eight international financial institutions. The Canada Pension Plan Investment Board (CPP Investments) is a potential private capital participant in the MRF Supporting Tier through the PRI Pool.</w:t>
      </w:r>
    </w:p>
    <w:p>
      <w:pPr>
        <w:pStyle w:val="Normal"/>
      </w:pPr>
      <w:r>
        <w:rPr>
          <w:rFonts w:ascii="Times New Roman" w:hAnsi="Times New Roman" w:eastAsia="Times New Roman" w:cs="Times New Roman"/>
          <w:color w:val="1A1A1A"/>
          <w:sz w:val="22"/>
          <w:szCs w:val="22"/>
        </w:rPr>
        <w:t>Type: Multilateral/Private Capital | Est. Allocation: $300-500M | Application: Through GAC multilateral channels and CPP Investments co-investment | Focus: Infrastructure, climate, governance.</w:t>
      </w:r>
    </w:p>
    <w:p>
      <w:pPr>
        <w:pStyle w:val="Heading3"/>
      </w:pPr>
      <w:r>
        <w:rPr>
          <w:rFonts w:ascii="Times New Roman" w:hAnsi="Times New Roman" w:eastAsia="Times New Roman" w:cs="Times New Roman"/>
          <w:b/>
          <w:i/>
          <w:color w:val="2E5A6B"/>
          <w:sz w:val="24"/>
          <w:szCs w:val="22"/>
        </w:rPr>
        <w:t>Mexico -- Mexican Agency for International Development Cooperation (AMEXCID)</w:t>
      </w:r>
    </w:p>
    <w:p>
      <w:pPr>
        <w:pStyle w:val="Normal"/>
      </w:pPr>
      <w:r>
        <w:rPr>
          <w:rFonts w:ascii="Times New Roman" w:hAnsi="Times New Roman" w:eastAsia="Times New Roman" w:cs="Times New Roman"/>
          <w:color w:val="1A1A1A"/>
          <w:sz w:val="22"/>
          <w:szCs w:val="22"/>
        </w:rPr>
        <w:t>Mexico provided USD 208.7 million in ODA in 2023. AMEXCID operates the ABC Cooperation (South-South and Triangular Cooperation) program with expertise in agricultural innovation, public health, and climate adaptation. Mexico's National Institute for Forestry, Agriculture and Livestock Research (INIFAP) provides technical cooperation in drought-resistant agriculture.</w:t>
      </w:r>
    </w:p>
    <w:p>
      <w:pPr>
        <w:pStyle w:val="Normal"/>
      </w:pPr>
      <w:r>
        <w:rPr>
          <w:rFonts w:ascii="Times New Roman" w:hAnsi="Times New Roman" w:eastAsia="Times New Roman" w:cs="Times New Roman"/>
          <w:color w:val="1A1A1A"/>
          <w:sz w:val="22"/>
          <w:szCs w:val="22"/>
        </w:rPr>
        <w:t>Type: Technical/South-South | Est. Allocation: $30-50M | Application: Through AMEXCID ABC Cooperation program | Focus: Agricultural technology, climate adaptation, public health.</w:t>
      </w:r>
    </w:p>
    <w:p>
      <w:pPr>
        <w:pStyle w:val="Heading3"/>
      </w:pPr>
      <w:r>
        <w:rPr>
          <w:rFonts w:ascii="Times New Roman" w:hAnsi="Times New Roman" w:eastAsia="Times New Roman" w:cs="Times New Roman"/>
          <w:b/>
          <w:i/>
          <w:color w:val="2E5A6B"/>
          <w:sz w:val="24"/>
          <w:szCs w:val="22"/>
        </w:rPr>
        <w:t>Brazil -- Brazilian Agricultural Research Corporation (EMBRAPA)</w:t>
      </w:r>
    </w:p>
    <w:p>
      <w:pPr>
        <w:pStyle w:val="Normal"/>
      </w:pPr>
      <w:r>
        <w:rPr>
          <w:rFonts w:ascii="Times New Roman" w:hAnsi="Times New Roman" w:eastAsia="Times New Roman" w:cs="Times New Roman"/>
          <w:color w:val="1A1A1A"/>
          <w:sz w:val="22"/>
          <w:szCs w:val="22"/>
        </w:rPr>
        <w:t>Brazil is a BRICS member with world-leading agricultural technology expertise. EMBRAPA operates as one of the world's premier agricultural research institutions. The Brazilian Development Bank (BNDES) provides export credit for Brazilian equipment and technology. Brazil and Iran maintain active trade relations in agricultural commodities.</w:t>
      </w:r>
    </w:p>
    <w:p>
      <w:pPr>
        <w:pStyle w:val="Normal"/>
      </w:pPr>
      <w:r>
        <w:rPr>
          <w:rFonts w:ascii="Times New Roman" w:hAnsi="Times New Roman" w:eastAsia="Times New Roman" w:cs="Times New Roman"/>
          <w:color w:val="1A1A1A"/>
          <w:sz w:val="22"/>
          <w:szCs w:val="22"/>
        </w:rPr>
        <w:t>Type: Technical/Export Credit | Est. Allocation: $300-500M | Application: Through EMBRAPA technical cooperation and BNDES export credit | Focus: Agricultural technology, food security, biofuels, precision agriculture.</w:t>
      </w:r>
    </w:p>
    <w:p>
      <w:pPr>
        <w:pStyle w:val="Heading3"/>
      </w:pPr>
      <w:r>
        <w:rPr>
          <w:rFonts w:ascii="Times New Roman" w:hAnsi="Times New Roman" w:eastAsia="Times New Roman" w:cs="Times New Roman"/>
          <w:b/>
          <w:i/>
          <w:color w:val="2E5A6B"/>
          <w:sz w:val="24"/>
          <w:szCs w:val="22"/>
        </w:rPr>
        <w:t>Argentina -- Bilateral Cooperation and Knowledge Transfer</w:t>
      </w:r>
    </w:p>
    <w:p>
      <w:pPr>
        <w:pStyle w:val="Normal"/>
      </w:pPr>
      <w:r>
        <w:rPr>
          <w:rFonts w:ascii="Times New Roman" w:hAnsi="Times New Roman" w:eastAsia="Times New Roman" w:cs="Times New Roman"/>
          <w:color w:val="1A1A1A"/>
          <w:sz w:val="22"/>
          <w:szCs w:val="22"/>
        </w:rPr>
        <w:t>Argentina and Iran maintain bilateral relations with cooperation in agriculture, science and technology, and energy. Argentina possesses expertise in agricultural biotechnology (INTA - National Agricultural Technology Institute), lithium extraction, and nuclear energy technology (INVAP). Argentina participates in the BRICS development framework.</w:t>
      </w:r>
    </w:p>
    <w:p>
      <w:pPr>
        <w:pStyle w:val="Normal"/>
      </w:pPr>
      <w:r>
        <w:rPr>
          <w:rFonts w:ascii="Times New Roman" w:hAnsi="Times New Roman" w:eastAsia="Times New Roman" w:cs="Times New Roman"/>
          <w:color w:val="1A1A1A"/>
          <w:sz w:val="22"/>
          <w:szCs w:val="22"/>
        </w:rPr>
        <w:t>Type: Technical/BRICS | Est. Allocation: $50-100M | Application: Through bilateral cooperation and BRICS mechanisms | Focus: Agricultural technology, energy, science and technology.</w:t>
      </w:r>
    </w:p>
    <w:p>
      <w:pPr>
        <w:pStyle w:val="Heading2"/>
      </w:pPr>
      <w:r>
        <w:rPr>
          <w:rFonts w:ascii="Times New Roman" w:hAnsi="Times New Roman" w:eastAsia="Times New Roman" w:cs="Times New Roman"/>
          <w:b/>
          <w:color w:val="1A1A1A"/>
          <w:sz w:val="20"/>
          <w:szCs w:val="24"/>
        </w:rPr>
        <w:t>I.5 Additional OIC Member Countries with Development Capacity</w:t>
      </w:r>
    </w:p>
    <w:p>
      <w:pPr>
        <w:pStyle w:val="Heading3"/>
      </w:pPr>
      <w:r>
        <w:rPr>
          <w:rFonts w:ascii="Times New Roman" w:hAnsi="Times New Roman" w:eastAsia="Times New Roman" w:cs="Times New Roman"/>
          <w:b/>
          <w:i/>
          <w:color w:val="2E5A6B"/>
          <w:sz w:val="24"/>
          <w:szCs w:val="22"/>
        </w:rPr>
        <w:t>Algeria -- Bilateral Development Cooperation</w:t>
      </w:r>
    </w:p>
    <w:p>
      <w:pPr>
        <w:pStyle w:val="Normal"/>
      </w:pPr>
      <w:r>
        <w:rPr>
          <w:rFonts w:ascii="Times New Roman" w:hAnsi="Times New Roman" w:eastAsia="Times New Roman" w:cs="Times New Roman"/>
          <w:color w:val="1A1A1A"/>
          <w:sz w:val="22"/>
          <w:szCs w:val="22"/>
        </w:rPr>
        <w:t>Algeria is a major hydrocarbon producer with sovereign wealth resources. Algeria participates in the OIC, Arab League, and African Union development frameworks. Algeria has extensive desert agriculture expertise through its Sahara irrigation programs and solar energy development in the Hassi R'Mel region.</w:t>
      </w:r>
    </w:p>
    <w:p>
      <w:pPr>
        <w:pStyle w:val="Normal"/>
      </w:pPr>
      <w:r>
        <w:rPr>
          <w:rFonts w:ascii="Times New Roman" w:hAnsi="Times New Roman" w:eastAsia="Times New Roman" w:cs="Times New Roman"/>
          <w:color w:val="1A1A1A"/>
          <w:sz w:val="22"/>
          <w:szCs w:val="22"/>
        </w:rPr>
        <w:t>Type: Bilateral/Technical | Est. Allocation: $100-200M | Application: Through bilateral cooperation and OIC frameworks | Focus: Desert agriculture, solar energy, hydrocarbon expertise.</w:t>
      </w:r>
    </w:p>
    <w:p>
      <w:pPr>
        <w:pStyle w:val="Heading3"/>
      </w:pPr>
      <w:r>
        <w:rPr>
          <w:rFonts w:ascii="Times New Roman" w:hAnsi="Times New Roman" w:eastAsia="Times New Roman" w:cs="Times New Roman"/>
          <w:b/>
          <w:i/>
          <w:color w:val="2E5A6B"/>
          <w:sz w:val="24"/>
          <w:szCs w:val="22"/>
        </w:rPr>
        <w:t>Bangladesh -- Knowledge Transfer and Technical Cooperation</w:t>
      </w:r>
    </w:p>
    <w:p>
      <w:pPr>
        <w:pStyle w:val="Normal"/>
      </w:pPr>
      <w:r>
        <w:rPr>
          <w:rFonts w:ascii="Times New Roman" w:hAnsi="Times New Roman" w:eastAsia="Times New Roman" w:cs="Times New Roman"/>
          <w:color w:val="1A1A1A"/>
          <w:sz w:val="22"/>
          <w:szCs w:val="22"/>
        </w:rPr>
        <w:t>Bangladesh has achieved remarkable development progress, graduating from Least Developed Country status. Bangladesh's expertise in disaster preparedness, climate adaptation (floating agriculture, cyclone shelters), microfinance (Grameen Bank model), and garment industry development is applicable to Iranian reconstruction. Bangladesh participates in the OIC and Commonwealth.</w:t>
      </w:r>
    </w:p>
    <w:p>
      <w:pPr>
        <w:pStyle w:val="Normal"/>
      </w:pPr>
      <w:r>
        <w:rPr>
          <w:rFonts w:ascii="Times New Roman" w:hAnsi="Times New Roman" w:eastAsia="Times New Roman" w:cs="Times New Roman"/>
          <w:color w:val="1A1A1A"/>
          <w:sz w:val="22"/>
          <w:szCs w:val="22"/>
        </w:rPr>
        <w:t>Type: Knowledge Transfer | Est. Allocation: $20-40M | Application: Through bilateral technical cooperation and OIC frameworks | Focus: Disaster preparedness, climate adaptation, microfinance.</w:t>
      </w:r>
    </w:p>
    <w:p>
      <w:pPr>
        <w:pStyle w:val="Heading3"/>
      </w:pPr>
      <w:r>
        <w:rPr>
          <w:rFonts w:ascii="Times New Roman" w:hAnsi="Times New Roman" w:eastAsia="Times New Roman" w:cs="Times New Roman"/>
          <w:b/>
          <w:i/>
          <w:color w:val="2E5A6B"/>
          <w:sz w:val="24"/>
          <w:szCs w:val="22"/>
        </w:rPr>
        <w:t>Sudan -- Knowledge Transfer and Agricultural Expertise</w:t>
      </w:r>
    </w:p>
    <w:p>
      <w:pPr>
        <w:pStyle w:val="Normal"/>
      </w:pPr>
      <w:r>
        <w:rPr>
          <w:rFonts w:ascii="Times New Roman" w:hAnsi="Times New Roman" w:eastAsia="Times New Roman" w:cs="Times New Roman"/>
          <w:color w:val="1A1A1A"/>
          <w:sz w:val="22"/>
          <w:szCs w:val="22"/>
        </w:rPr>
        <w:t>Sudan possesses expertise in large-scale irrigated agriculture through the Gezira Scheme (one of the world's largest irrigation projects). Sudan participates in the OIC and Arab development frameworks. Sudanese agricultural expertise in arid-zone farming and water harvesting techniques is applicable to Iranian agricultural reconstruction.</w:t>
      </w:r>
    </w:p>
    <w:p>
      <w:pPr>
        <w:pStyle w:val="Normal"/>
      </w:pPr>
      <w:r>
        <w:rPr>
          <w:rFonts w:ascii="Times New Roman" w:hAnsi="Times New Roman" w:eastAsia="Times New Roman" w:cs="Times New Roman"/>
          <w:color w:val="1A1A1A"/>
          <w:sz w:val="22"/>
          <w:szCs w:val="22"/>
        </w:rPr>
        <w:t>Type: Knowledge Transfer | Est. Allocation: $10-20M | Application: Through bilateral technical cooperation and OIC frameworks | Focus: Irrigated agriculture, water harvesting, arid-zone farming.</w:t>
      </w:r>
    </w:p>
    <w:p>
      <w:pPr>
        <w:pStyle w:val="Heading3"/>
      </w:pPr>
      <w:r>
        <w:rPr>
          <w:rFonts w:ascii="Times New Roman" w:hAnsi="Times New Roman" w:eastAsia="Times New Roman" w:cs="Times New Roman"/>
          <w:b/>
          <w:i/>
          <w:color w:val="2E5A6B"/>
          <w:sz w:val="24"/>
          <w:szCs w:val="22"/>
        </w:rPr>
        <w:t>Tajikistan -- Central Asian Regional Cooperation</w:t>
      </w:r>
    </w:p>
    <w:p>
      <w:pPr>
        <w:pStyle w:val="Normal"/>
      </w:pPr>
      <w:r>
        <w:rPr>
          <w:rFonts w:ascii="Times New Roman" w:hAnsi="Times New Roman" w:eastAsia="Times New Roman" w:cs="Times New Roman"/>
          <w:color w:val="1A1A1A"/>
          <w:sz w:val="22"/>
          <w:szCs w:val="22"/>
        </w:rPr>
        <w:t>Tajikistan and Iran share linguistic, cultural, and historical ties. Tajikistan possesses significant hydropower expertise, including the Nurek Dam (300 MW) and the Rogun Dam (3,600 MW under construction). Tajikistan participates in Central Asian regional cooperation frameworks that complement Iran's reconstruction connectivity needs.</w:t>
      </w:r>
    </w:p>
    <w:p>
      <w:pPr>
        <w:pStyle w:val="Normal"/>
      </w:pPr>
      <w:r>
        <w:rPr>
          <w:rFonts w:ascii="Times New Roman" w:hAnsi="Times New Roman" w:eastAsia="Times New Roman" w:cs="Times New Roman"/>
          <w:color w:val="1A1A1A"/>
          <w:sz w:val="22"/>
          <w:szCs w:val="22"/>
        </w:rPr>
        <w:t>Type: Regional/Technical | Est. Allocation: $20-40M | Application: Through bilateral cooperation and Central Asian regional frameworks | Focus: Hydropower, water management, regional connectivity.</w:t>
      </w:r>
    </w:p>
    <w:p>
      <w:pPr>
        <w:pStyle w:val="Heading3"/>
      </w:pPr>
      <w:r>
        <w:rPr>
          <w:rFonts w:ascii="Times New Roman" w:hAnsi="Times New Roman" w:eastAsia="Times New Roman" w:cs="Times New Roman"/>
          <w:b/>
          <w:i/>
          <w:color w:val="2E5A6B"/>
          <w:sz w:val="24"/>
          <w:szCs w:val="22"/>
        </w:rPr>
        <w:t>Turkmenistan -- Bilateral Energy and Transport Cooperation</w:t>
      </w:r>
    </w:p>
    <w:p>
      <w:pPr>
        <w:pStyle w:val="Normal"/>
      </w:pPr>
      <w:r>
        <w:rPr>
          <w:rFonts w:ascii="Times New Roman" w:hAnsi="Times New Roman" w:eastAsia="Times New Roman" w:cs="Times New Roman"/>
          <w:color w:val="1A1A1A"/>
          <w:sz w:val="22"/>
          <w:szCs w:val="22"/>
        </w:rPr>
        <w:t>Turkmenistan and Iran share extensive energy infrastructure, including the Dauletabad-Sarakhs-Khangiran gas pipeline. Turkmenistan participates in the China-Central Asia gas pipeline network and the International North-South Transport Corridor. Kazakhstan committed approximately $500 million for a Kazakhstan-Turkmenistan-Afghanistan railway through the IsDB.</w:t>
      </w:r>
    </w:p>
    <w:p>
      <w:pPr>
        <w:pStyle w:val="Normal"/>
      </w:pPr>
      <w:r>
        <w:rPr>
          <w:rFonts w:ascii="Times New Roman" w:hAnsi="Times New Roman" w:eastAsia="Times New Roman" w:cs="Times New Roman"/>
          <w:color w:val="1A1A1A"/>
          <w:sz w:val="22"/>
          <w:szCs w:val="22"/>
        </w:rPr>
        <w:t>Type: Bilateral/Regional | Est. Allocation: $100-300M | Application: Through bilateral energy and transport agreements | Focus: Energy infrastructure, transport corridors, regional connectivity.</w:t>
      </w:r>
    </w:p>
    <w:p>
      <w:pPr>
        <w:pStyle w:val="Heading3"/>
      </w:pPr>
      <w:r>
        <w:rPr>
          <w:rFonts w:ascii="Times New Roman" w:hAnsi="Times New Roman" w:eastAsia="Times New Roman" w:cs="Times New Roman"/>
          <w:b/>
          <w:i/>
          <w:color w:val="2E5A6B"/>
          <w:sz w:val="24"/>
          <w:szCs w:val="22"/>
        </w:rPr>
        <w:t>Uzbekistan -- Central Asian Regional Cooperation</w:t>
      </w:r>
    </w:p>
    <w:p>
      <w:pPr>
        <w:pStyle w:val="Normal"/>
      </w:pPr>
      <w:r>
        <w:rPr>
          <w:rFonts w:ascii="Times New Roman" w:hAnsi="Times New Roman" w:eastAsia="Times New Roman" w:cs="Times New Roman"/>
          <w:color w:val="1A1A1A"/>
          <w:sz w:val="22"/>
          <w:szCs w:val="22"/>
        </w:rPr>
        <w:t>Uzbekistan and Iran maintain bilateral cooperation through the Joint Economic Commission. Uzbekistan has significant expertise in irrigated cotton agriculture, silk production, and artisanal crafts. Uzbekistan participates in the China-Central Asia-West Asia Economic Corridor, which connects to Iranian transport infrastructure.</w:t>
      </w:r>
    </w:p>
    <w:p>
      <w:pPr>
        <w:pStyle w:val="Normal"/>
      </w:pPr>
      <w:r>
        <w:rPr>
          <w:rFonts w:ascii="Times New Roman" w:hAnsi="Times New Roman" w:eastAsia="Times New Roman" w:cs="Times New Roman"/>
          <w:color w:val="1A1A1A"/>
          <w:sz w:val="22"/>
          <w:szCs w:val="22"/>
        </w:rPr>
        <w:t>Type: Bilateral/Regional | Est. Allocation: $50-100M | Application: Through bilateral cooperation and regional corridor frameworks | Focus: Agriculture, transport connectivity, cultural heritage.</w:t>
      </w:r>
    </w:p>
    <w:p>
      <w:pPr>
        <w:pStyle w:val="Heading2"/>
      </w:pPr>
      <w:r>
        <w:rPr>
          <w:rFonts w:ascii="Times New Roman" w:hAnsi="Times New Roman" w:eastAsia="Times New Roman" w:cs="Times New Roman"/>
          <w:b/>
          <w:color w:val="1A1A1A"/>
          <w:sz w:val="20"/>
          <w:szCs w:val="24"/>
        </w:rPr>
        <w:t>I.6 Innovative and Cross-Cutting Financing Mechanisms</w:t>
      </w:r>
    </w:p>
    <w:p>
      <w:pPr>
        <w:pStyle w:val="Normal"/>
      </w:pPr>
      <w:r>
        <w:rPr>
          <w:rFonts w:ascii="Times New Roman" w:hAnsi="Times New Roman" w:eastAsia="Times New Roman" w:cs="Times New Roman"/>
          <w:color w:val="1A1A1A"/>
          <w:sz w:val="22"/>
          <w:szCs w:val="22"/>
        </w:rPr>
        <w:t>The following mechanisms are identified through systematic analysis of international finance literature and development finance databases. These mechanisms complement the MRF's existing architecture and provide additional pathways for capital mobilization.</w:t>
      </w:r>
    </w:p>
    <w:p>
      <w:pPr>
        <w:pStyle w:val="Heading3"/>
      </w:pPr>
      <w:r>
        <w:rPr>
          <w:rFonts w:ascii="Times New Roman" w:hAnsi="Times New Roman" w:eastAsia="Times New Roman" w:cs="Times New Roman"/>
          <w:b/>
          <w:i/>
          <w:color w:val="2E5A6B"/>
          <w:sz w:val="24"/>
          <w:szCs w:val="22"/>
        </w:rPr>
        <w:t>First-Loss Capital Mechanisms</w:t>
      </w:r>
    </w:p>
    <w:p>
      <w:pPr>
        <w:pStyle w:val="Normal"/>
      </w:pPr>
      <w:r>
        <w:rPr>
          <w:rFonts w:ascii="Times New Roman" w:hAnsi="Times New Roman" w:eastAsia="Times New Roman" w:cs="Times New Roman"/>
          <w:color w:val="1A1A1A"/>
          <w:sz w:val="22"/>
          <w:szCs w:val="22"/>
        </w:rPr>
        <w:t>First-loss capital involves concessional or philanthropic capital that absorbs initial losses, protecting senior private investors. The UN Capital Development Fund (UNCDF) ReStart Fund provides catalytic de-risking instruments for fragile settings. First-loss capital is particularly valuable for Iran as the primary barrier to private investment is perceived risk.</w:t>
      </w:r>
    </w:p>
    <w:p>
      <w:pPr>
        <w:pStyle w:val="Normal"/>
      </w:pPr>
      <w:r>
        <w:rPr>
          <w:rFonts w:ascii="Times New Roman" w:hAnsi="Times New Roman" w:eastAsia="Times New Roman" w:cs="Times New Roman"/>
          <w:color w:val="1A1A1A"/>
          <w:sz w:val="22"/>
          <w:szCs w:val="22"/>
        </w:rPr>
        <w:t>The MRF structures first-loss capital through: (1) The PRI Pool absorbing initial losses on private investments, (2) Contingency Reserve Funds covering cost overruns, (3) The Qatar Central Bank providing partial credit guarantees for senior tranches. This layering enables pension funds and insurance companies to invest at scale.</w:t>
      </w:r>
    </w:p>
    <w:p>
      <w:pPr>
        <w:pStyle w:val="Heading3"/>
      </w:pPr>
      <w:r>
        <w:rPr>
          <w:rFonts w:ascii="Times New Roman" w:hAnsi="Times New Roman" w:eastAsia="Times New Roman" w:cs="Times New Roman"/>
          <w:b/>
          <w:i/>
          <w:color w:val="2E5A6B"/>
          <w:sz w:val="24"/>
          <w:szCs w:val="22"/>
        </w:rPr>
        <w:t>Infrastructure Asset-Backed Securitization (IABS)</w:t>
      </w:r>
    </w:p>
    <w:p>
      <w:pPr>
        <w:pStyle w:val="Normal"/>
      </w:pPr>
      <w:r>
        <w:rPr>
          <w:rFonts w:ascii="Times New Roman" w:hAnsi="Times New Roman" w:eastAsia="Times New Roman" w:cs="Times New Roman"/>
          <w:color w:val="1A1A1A"/>
          <w:sz w:val="22"/>
          <w:szCs w:val="22"/>
        </w:rPr>
        <w:t>IABS converts future infrastructure revenue streams into upfront capital through bond issuance. Completed MRF assets (toll roads, power plants, water utilities) generate revenue that is securitized and sold to institutional investors. Proceeds from bond issuance flow into Sub-Funds for deployment to new projects, enabling capital recycling across multiple project generations.</w:t>
      </w:r>
    </w:p>
    <w:p>
      <w:pPr>
        <w:pStyle w:val="Heading3"/>
      </w:pPr>
      <w:r>
        <w:rPr>
          <w:rFonts w:ascii="Times New Roman" w:hAnsi="Times New Roman" w:eastAsia="Times New Roman" w:cs="Times New Roman"/>
          <w:b/>
          <w:i/>
          <w:color w:val="2E5A6B"/>
          <w:sz w:val="24"/>
          <w:szCs w:val="22"/>
        </w:rPr>
        <w:t>Mutual Reliance Agreements (MRAs) for MDB Co-Financing</w:t>
      </w:r>
    </w:p>
    <w:p>
      <w:pPr>
        <w:pStyle w:val="Normal"/>
      </w:pPr>
      <w:r>
        <w:rPr>
          <w:rFonts w:ascii="Times New Roman" w:hAnsi="Times New Roman" w:eastAsia="Times New Roman" w:cs="Times New Roman"/>
          <w:color w:val="1A1A1A"/>
          <w:sz w:val="22"/>
          <w:szCs w:val="22"/>
        </w:rPr>
        <w:t>MRAs enable one MDB to rely on another's procurement, environmental, and social safeguard procedures, reducing transaction costs and accelerating project processing. The RSC pursues MRAs with the World Bank, ADB, IsDB, and AfDB. Under an MRA, the World Bank relies on IsDB procurement procedures for co-financed projects, eliminating duplicate processes.</w:t>
      </w:r>
    </w:p>
    <w:p>
      <w:pPr>
        <w:pStyle w:val="Heading3"/>
      </w:pPr>
      <w:r>
        <w:rPr>
          <w:rFonts w:ascii="Times New Roman" w:hAnsi="Times New Roman" w:eastAsia="Times New Roman" w:cs="Times New Roman"/>
          <w:b/>
          <w:i/>
          <w:color w:val="2E5A6B"/>
          <w:sz w:val="24"/>
          <w:szCs w:val="22"/>
        </w:rPr>
        <w:t>Green Sukuk for Climate Finance</w:t>
      </w:r>
    </w:p>
    <w:p>
      <w:pPr>
        <w:pStyle w:val="Normal"/>
      </w:pPr>
      <w:r>
        <w:rPr>
          <w:rFonts w:ascii="Times New Roman" w:hAnsi="Times New Roman" w:eastAsia="Times New Roman" w:cs="Times New Roman"/>
          <w:color w:val="1A1A1A"/>
          <w:sz w:val="22"/>
          <w:szCs w:val="22"/>
        </w:rPr>
        <w:t>The IsDB issued its inaugural Green Sukuk in 2024 (EUR 500 million, 5x oversubscribed), demonstrating strong demand for Shari'ah-compliant climate finance. Indonesia has issued over $3.5 billion in sovereign Green Sukuk for renewable energy and climate adaptation. Malaysia operates the world's largest sukuk market. These precedents enable MRF Green Sukuk issuances specifically for Iranian climate-resilient reconstruction.</w:t>
      </w:r>
    </w:p>
    <w:p>
      <w:pPr>
        <w:pStyle w:val="Heading3"/>
      </w:pPr>
      <w:r>
        <w:rPr>
          <w:rFonts w:ascii="Times New Roman" w:hAnsi="Times New Roman" w:eastAsia="Times New Roman" w:cs="Times New Roman"/>
          <w:b/>
          <w:i/>
          <w:color w:val="2E5A6B"/>
          <w:sz w:val="24"/>
          <w:szCs w:val="22"/>
        </w:rPr>
        <w:t>Conflict-Sensitive Blended Finance (KKCF Model)</w:t>
      </w:r>
    </w:p>
    <w:p>
      <w:pPr>
        <w:pStyle w:val="Normal"/>
      </w:pPr>
      <w:r>
        <w:rPr>
          <w:rFonts w:ascii="Times New Roman" w:hAnsi="Times New Roman" w:eastAsia="Times New Roman" w:cs="Times New Roman"/>
          <w:color w:val="1A1A1A"/>
          <w:sz w:val="22"/>
          <w:szCs w:val="22"/>
        </w:rPr>
        <w:t>The IFC's Kakuma Kalobeyei Challenge Fund demonstrates a dual-benefit blended finance model treating crisis-affected areas as investable markets. Key principles: (1) displaced populations are part of the market, (2) grants connect to downstream credit, (3) broad partnerships mitigate risk, (4) conflict sensitivity guides all operations. The MRF adapts this model for Iranian post-conflict zones.</w:t>
      </w:r>
    </w:p>
    <w:p>
      <w:pPr>
        <w:pStyle w:val="Heading3"/>
      </w:pPr>
      <w:r>
        <w:rPr>
          <w:rFonts w:ascii="Times New Roman" w:hAnsi="Times New Roman" w:eastAsia="Times New Roman" w:cs="Times New Roman"/>
          <w:b/>
          <w:i/>
          <w:color w:val="2E5A6B"/>
          <w:sz w:val="24"/>
          <w:szCs w:val="22"/>
        </w:rPr>
        <w:t>Missing Middle Recovery Funds</w:t>
      </w:r>
    </w:p>
    <w:p>
      <w:pPr>
        <w:pStyle w:val="Normal"/>
      </w:pPr>
      <w:r>
        <w:rPr>
          <w:rFonts w:ascii="Times New Roman" w:hAnsi="Times New Roman" w:eastAsia="Times New Roman" w:cs="Times New Roman"/>
          <w:color w:val="1A1A1A"/>
          <w:sz w:val="22"/>
          <w:szCs w:val="22"/>
        </w:rPr>
        <w:t>Recovery funds bridge the gap between humanitarian response and long-term development. The UNCDF-UNDP ReStart Fund offers a continuum from initial recovery grants to catalytic capital. The Recovery and Resilience Financing Platform (RRFP), endorsed by AfDB, EIB, World Bank, and IFAD, provides tailored support for country-led recovery financing. The MRF's 60-day stabilization period connects directly to these facilities.</w:t>
      </w:r>
    </w:p>
    <w:p>
      <w:pPr>
        <w:pStyle w:val="Heading3"/>
      </w:pPr>
      <w:r>
        <w:rPr>
          <w:rFonts w:ascii="Times New Roman" w:hAnsi="Times New Roman" w:eastAsia="Times New Roman" w:cs="Times New Roman"/>
          <w:b/>
          <w:i/>
          <w:color w:val="2E5A6B"/>
          <w:sz w:val="24"/>
          <w:szCs w:val="22"/>
        </w:rPr>
        <w:t>Development Impact Bonds (DIBs) and Humanitarian Impact Bonds (HIBs)</w:t>
      </w:r>
    </w:p>
    <w:p>
      <w:pPr>
        <w:pStyle w:val="Normal"/>
      </w:pPr>
      <w:r>
        <w:rPr>
          <w:rFonts w:ascii="Times New Roman" w:hAnsi="Times New Roman" w:eastAsia="Times New Roman" w:cs="Times New Roman"/>
          <w:color w:val="1A1A1A"/>
          <w:sz w:val="22"/>
          <w:szCs w:val="22"/>
        </w:rPr>
        <w:t>DIBs provide upfront private investment repaid by outcome funders if specific results are achieved. The World Bank's Finance for Jobs DIB in the West Bank demonstrates viability for conflict-affected settings. HIBs are DIB variants for humanitarian settings - the ICRC's HIB raised CHF 26 million for physical rehabilitation centers. The MRF targets $500M-1B in DIB issuance and $200-500M in HIB issuance.</w:t>
      </w:r>
    </w:p>
    <w:p>
      <w:pPr>
        <w:pStyle w:val="Heading3"/>
      </w:pPr>
      <w:r>
        <w:rPr>
          <w:rFonts w:ascii="Times New Roman" w:hAnsi="Times New Roman" w:eastAsia="Times New Roman" w:cs="Times New Roman"/>
          <w:b/>
          <w:i/>
          <w:color w:val="2E5A6B"/>
          <w:sz w:val="24"/>
          <w:szCs w:val="22"/>
        </w:rPr>
        <w:t>State and Peacebuilding Fund (SPF) and Central Emergency Response Fund (CERF)</w:t>
      </w:r>
    </w:p>
    <w:p>
      <w:pPr>
        <w:pStyle w:val="Normal"/>
      </w:pPr>
      <w:r>
        <w:rPr>
          <w:rFonts w:ascii="Times New Roman" w:hAnsi="Times New Roman" w:eastAsia="Times New Roman" w:cs="Times New Roman"/>
          <w:color w:val="1A1A1A"/>
          <w:sz w:val="22"/>
          <w:szCs w:val="22"/>
        </w:rPr>
        <w:t>The World Bank SPF provides catalytic financing for peacebuilding and institutional strengthening in fragile settings. CERF allocates over $500 million annually for rapid response to sudden-onset emergencies, processing grants within 72 hours. Both funds are accessible to Iran through the World Bank country office and UN Resident Coordinator.</w:t>
      </w:r>
    </w:p>
    <w:p>
      <w:pPr>
        <w:pStyle w:val="Heading2"/>
      </w:pPr>
      <w:r>
        <w:rPr>
          <w:rFonts w:ascii="Times New Roman" w:hAnsi="Times New Roman" w:eastAsia="Times New Roman" w:cs="Times New Roman"/>
          <w:b/>
          <w:color w:val="1A1A1A"/>
          <w:sz w:val="20"/>
          <w:szCs w:val="24"/>
        </w:rPr>
        <w:t>I.7 Summary of Country-by-Country Funding Potential</w:t>
      </w:r>
    </w:p>
    <w:p>
      <w:pPr>
        <w:pStyle w:val="Normal"/>
      </w:pPr>
      <w:r>
        <w:rPr>
          <w:rFonts w:ascii="Times New Roman" w:hAnsi="Times New Roman" w:eastAsia="Times New Roman" w:cs="Times New Roman"/>
          <w:color w:val="1A1A1A"/>
          <w:sz w:val="22"/>
          <w:szCs w:val="22"/>
        </w:rPr>
        <w:t>The following table summarizes the additional funding sources documented in this Appendix by region:</w:t>
      </w:r>
    </w:p>
    <w:tbl>
      <w:tblPr>
        <w:tblW w:w="5000" w:type="pct"/>
        <w:tblBorders>
          <w:top w:val="single" w:color="1B3A4B" w:sz="12"/>
          <w:left w:val="nil"/>
          <w:bottom w:val="single" w:color="1B3A4B" w:sz="12"/>
          <w:right w:val="nil"/>
          <w:insideH w:val="single" w:color="b0b0b0" w:sz="4"/>
          <w:insideV w:val="nil"/>
        </w:tblBorders>
      </w:tblPr>
      <w:tblGrid>
        <w:gridCol w:w="1800"/>
        <w:gridCol w:w="4200"/>
        <w:gridCol w:w="2000"/>
      </w:tblGrid>
      <w:tr>
        <w:trPr>
          <w:tblHeader w:val="1"/>
        </w:trPr>
        <w:tc>
          <w:tcPr>
            <w:tcW w:w="1800" w:type="dxa"/>
            <w:shd w:val="clear" w:fill="E8EEF2" w:color="auto"/>
          </w:tcPr>
          <w:p>
            <w:pPr>
              <w:pStyle w:val="Normal"/>
            </w:pPr>
            <w:r>
              <w:rPr>
                <w:rFonts w:ascii="Times New Roman" w:hAnsi="Times New Roman" w:eastAsia="Times New Roman" w:cs="Times New Roman"/>
                <w:color w:val="1A1A1A"/>
                <w:sz w:val="22"/>
                <w:szCs w:val="22"/>
              </w:rPr>
              <w:t>Region</w:t>
            </w:r>
          </w:p>
        </w:tc>
        <w:tc>
          <w:tcPr>
            <w:tcW w:w="4200" w:type="dxa"/>
            <w:shd w:val="clear" w:fill="E8EEF2" w:color="auto"/>
          </w:tcPr>
          <w:p>
            <w:pPr>
              <w:pStyle w:val="Normal"/>
            </w:pPr>
            <w:r>
              <w:rPr>
                <w:rFonts w:ascii="Times New Roman" w:hAnsi="Times New Roman" w:eastAsia="Times New Roman" w:cs="Times New Roman"/>
                <w:color w:val="1A1A1A"/>
                <w:sz w:val="22"/>
                <w:szCs w:val="22"/>
              </w:rPr>
              <w:t>Countries Covered</w:t>
            </w:r>
          </w:p>
        </w:tc>
        <w:tc>
          <w:tcPr>
            <w:tcW w:w="2000" w:type="dxa"/>
            <w:shd w:val="clear" w:fill="E8EEF2" w:color="auto"/>
          </w:tcPr>
          <w:p>
            <w:pPr>
              <w:pStyle w:val="Normal"/>
            </w:pPr>
            <w:r>
              <w:rPr>
                <w:rFonts w:ascii="Times New Roman" w:hAnsi="Times New Roman" w:eastAsia="Times New Roman" w:cs="Times New Roman"/>
                <w:color w:val="1A1A1A"/>
                <w:sz w:val="22"/>
                <w:szCs w:val="22"/>
              </w:rPr>
              <w:t>Est. Range</w:t>
            </w:r>
          </w:p>
        </w:tc>
      </w:tr>
      <w:tr>
        <w:tc>
          <w:tcPr>
            <w:tcW w:w="1800" w:type="dxa"/>
          </w:tcPr>
          <w:p>
            <w:pPr>
              <w:pStyle w:val="Normal"/>
            </w:pPr>
            <w:r>
              <w:rPr>
                <w:rFonts w:ascii="Times New Roman" w:hAnsi="Times New Roman" w:eastAsia="Times New Roman" w:cs="Times New Roman"/>
                <w:color w:val="1A1A1A"/>
                <w:sz w:val="22"/>
                <w:szCs w:val="22"/>
              </w:rPr>
              <w:t>East Asia and Pacific</w:t>
            </w:r>
          </w:p>
        </w:tc>
        <w:tc>
          <w:tcPr>
            <w:tcW w:w="4200" w:type="dxa"/>
          </w:tcPr>
          <w:p>
            <w:pPr>
              <w:pStyle w:val="Normal"/>
            </w:pPr>
            <w:r>
              <w:rPr>
                <w:rFonts w:ascii="Times New Roman" w:hAnsi="Times New Roman" w:eastAsia="Times New Roman" w:cs="Times New Roman"/>
                <w:color w:val="1A1A1A"/>
                <w:sz w:val="22"/>
                <w:szCs w:val="22"/>
              </w:rPr>
              <w:t>13 countries</w:t>
            </w:r>
          </w:p>
        </w:tc>
        <w:tc>
          <w:tcPr>
            <w:tcW w:w="2000" w:type="dxa"/>
          </w:tcPr>
          <w:p>
            <w:pPr>
              <w:pStyle w:val="Normal"/>
            </w:pPr>
            <w:r>
              <w:rPr>
                <w:rFonts w:ascii="Times New Roman" w:hAnsi="Times New Roman" w:eastAsia="Times New Roman" w:cs="Times New Roman"/>
                <w:color w:val="1A1A1A"/>
                <w:sz w:val="22"/>
                <w:szCs w:val="22"/>
              </w:rPr>
              <w:t>$17-50B</w:t>
            </w:r>
          </w:p>
        </w:tc>
      </w:tr>
      <w:tr>
        <w:tc>
          <w:tcPr>
            <w:tcW w:w="1800" w:type="dxa"/>
          </w:tcPr>
          <w:p>
            <w:pPr>
              <w:pStyle w:val="Normal"/>
            </w:pPr>
            <w:r>
              <w:rPr>
                <w:rFonts w:ascii="Times New Roman" w:hAnsi="Times New Roman" w:eastAsia="Times New Roman" w:cs="Times New Roman"/>
                <w:color w:val="1A1A1A"/>
                <w:sz w:val="22"/>
                <w:szCs w:val="22"/>
              </w:rPr>
              <w:t>Europe and North America</w:t>
            </w:r>
          </w:p>
        </w:tc>
        <w:tc>
          <w:tcPr>
            <w:tcW w:w="4200" w:type="dxa"/>
          </w:tcPr>
          <w:p>
            <w:pPr>
              <w:pStyle w:val="Normal"/>
            </w:pPr>
            <w:r>
              <w:rPr>
                <w:rFonts w:ascii="Times New Roman" w:hAnsi="Times New Roman" w:eastAsia="Times New Roman" w:cs="Times New Roman"/>
                <w:color w:val="1A1A1A"/>
                <w:sz w:val="22"/>
                <w:szCs w:val="22"/>
              </w:rPr>
              <w:t>22 countries</w:t>
            </w:r>
          </w:p>
        </w:tc>
        <w:tc>
          <w:tcPr>
            <w:tcW w:w="2000" w:type="dxa"/>
          </w:tcPr>
          <w:p>
            <w:pPr>
              <w:pStyle w:val="Normal"/>
            </w:pPr>
            <w:r>
              <w:rPr>
                <w:rFonts w:ascii="Times New Roman" w:hAnsi="Times New Roman" w:eastAsia="Times New Roman" w:cs="Times New Roman"/>
                <w:color w:val="1A1A1A"/>
                <w:sz w:val="22"/>
                <w:szCs w:val="22"/>
              </w:rPr>
              <w:t>$7-15B</w:t>
            </w:r>
          </w:p>
        </w:tc>
      </w:tr>
      <w:tr>
        <w:tc>
          <w:tcPr>
            <w:tcW w:w="1800" w:type="dxa"/>
          </w:tcPr>
          <w:p>
            <w:pPr>
              <w:pStyle w:val="Normal"/>
            </w:pPr>
            <w:r>
              <w:rPr>
                <w:rFonts w:ascii="Times New Roman" w:hAnsi="Times New Roman" w:eastAsia="Times New Roman" w:cs="Times New Roman"/>
                <w:color w:val="1A1A1A"/>
                <w:sz w:val="22"/>
                <w:szCs w:val="22"/>
              </w:rPr>
              <w:t>MENA and Africa</w:t>
            </w:r>
          </w:p>
        </w:tc>
        <w:tc>
          <w:tcPr>
            <w:tcW w:w="4200" w:type="dxa"/>
          </w:tcPr>
          <w:p>
            <w:pPr>
              <w:pStyle w:val="Normal"/>
            </w:pPr>
            <w:r>
              <w:rPr>
                <w:rFonts w:ascii="Times New Roman" w:hAnsi="Times New Roman" w:eastAsia="Times New Roman" w:cs="Times New Roman"/>
                <w:color w:val="1A1A1A"/>
                <w:sz w:val="22"/>
                <w:szCs w:val="22"/>
              </w:rPr>
              <w:t>9 countries</w:t>
            </w:r>
          </w:p>
        </w:tc>
        <w:tc>
          <w:tcPr>
            <w:tcW w:w="2000" w:type="dxa"/>
          </w:tcPr>
          <w:p>
            <w:pPr>
              <w:pStyle w:val="Normal"/>
            </w:pPr>
            <w:r>
              <w:rPr>
                <w:rFonts w:ascii="Times New Roman" w:hAnsi="Times New Roman" w:eastAsia="Times New Roman" w:cs="Times New Roman"/>
                <w:color w:val="1A1A1A"/>
                <w:sz w:val="22"/>
                <w:szCs w:val="22"/>
              </w:rPr>
              <w:t>$570M-1.4B</w:t>
            </w:r>
          </w:p>
        </w:tc>
      </w:tr>
      <w:tr>
        <w:tc>
          <w:tcPr>
            <w:tcW w:w="1800" w:type="dxa"/>
          </w:tcPr>
          <w:p>
            <w:pPr>
              <w:pStyle w:val="Normal"/>
            </w:pPr>
            <w:r>
              <w:rPr>
                <w:rFonts w:ascii="Times New Roman" w:hAnsi="Times New Roman" w:eastAsia="Times New Roman" w:cs="Times New Roman"/>
                <w:color w:val="1A1A1A"/>
                <w:sz w:val="22"/>
                <w:szCs w:val="22"/>
              </w:rPr>
              <w:t>Americas</w:t>
            </w:r>
          </w:p>
        </w:tc>
        <w:tc>
          <w:tcPr>
            <w:tcW w:w="4200" w:type="dxa"/>
          </w:tcPr>
          <w:p>
            <w:pPr>
              <w:pStyle w:val="Normal"/>
            </w:pPr>
            <w:r>
              <w:rPr>
                <w:rFonts w:ascii="Times New Roman" w:hAnsi="Times New Roman" w:eastAsia="Times New Roman" w:cs="Times New Roman"/>
                <w:color w:val="1A1A1A"/>
                <w:sz w:val="22"/>
                <w:szCs w:val="22"/>
              </w:rPr>
              <w:t>4 countries</w:t>
            </w:r>
          </w:p>
        </w:tc>
        <w:tc>
          <w:tcPr>
            <w:tcW w:w="2000" w:type="dxa"/>
          </w:tcPr>
          <w:p>
            <w:pPr>
              <w:pStyle w:val="Normal"/>
            </w:pPr>
            <w:r>
              <w:rPr>
                <w:rFonts w:ascii="Times New Roman" w:hAnsi="Times New Roman" w:eastAsia="Times New Roman" w:cs="Times New Roman"/>
                <w:color w:val="1A1A1A"/>
                <w:sz w:val="22"/>
                <w:szCs w:val="22"/>
              </w:rPr>
              <w:t>$430-750M</w:t>
            </w:r>
          </w:p>
        </w:tc>
      </w:tr>
      <w:tr>
        <w:tc>
          <w:tcPr>
            <w:tcW w:w="1800" w:type="dxa"/>
          </w:tcPr>
          <w:p>
            <w:pPr>
              <w:pStyle w:val="Normal"/>
            </w:pPr>
            <w:r>
              <w:rPr>
                <w:rFonts w:ascii="Times New Roman" w:hAnsi="Times New Roman" w:eastAsia="Times New Roman" w:cs="Times New Roman"/>
                <w:color w:val="1A1A1A"/>
                <w:sz w:val="22"/>
                <w:szCs w:val="22"/>
              </w:rPr>
              <w:t>Additional OIC Members</w:t>
            </w:r>
          </w:p>
        </w:tc>
        <w:tc>
          <w:tcPr>
            <w:tcW w:w="4200" w:type="dxa"/>
          </w:tcPr>
          <w:p>
            <w:pPr>
              <w:pStyle w:val="Normal"/>
            </w:pPr>
            <w:r>
              <w:rPr>
                <w:rFonts w:ascii="Times New Roman" w:hAnsi="Times New Roman" w:eastAsia="Times New Roman" w:cs="Times New Roman"/>
                <w:color w:val="1A1A1A"/>
                <w:sz w:val="22"/>
                <w:szCs w:val="22"/>
              </w:rPr>
              <w:t>6 countries</w:t>
            </w:r>
          </w:p>
        </w:tc>
        <w:tc>
          <w:tcPr>
            <w:tcW w:w="2000" w:type="dxa"/>
          </w:tcPr>
          <w:p>
            <w:pPr>
              <w:pStyle w:val="Normal"/>
            </w:pPr>
            <w:r>
              <w:rPr>
                <w:rFonts w:ascii="Times New Roman" w:hAnsi="Times New Roman" w:eastAsia="Times New Roman" w:cs="Times New Roman"/>
                <w:color w:val="1A1A1A"/>
                <w:sz w:val="22"/>
                <w:szCs w:val="22"/>
              </w:rPr>
              <w:t>$300-700M</w:t>
            </w:r>
          </w:p>
        </w:tc>
      </w:tr>
      <w:tr>
        <w:tc>
          <w:tcPr>
            <w:tcW w:w="1800" w:type="dxa"/>
          </w:tcPr>
          <w:p>
            <w:pPr>
              <w:pStyle w:val="Normal"/>
            </w:pPr>
            <w:r>
              <w:rPr>
                <w:rFonts w:ascii="Times New Roman" w:hAnsi="Times New Roman" w:eastAsia="Times New Roman" w:cs="Times New Roman"/>
                <w:color w:val="1A1A1A"/>
                <w:sz w:val="22"/>
                <w:szCs w:val="22"/>
              </w:rPr>
              <w:t>Innovative Mechanisms</w:t>
            </w:r>
          </w:p>
        </w:tc>
        <w:tc>
          <w:tcPr>
            <w:tcW w:w="4200" w:type="dxa"/>
          </w:tcPr>
          <w:p>
            <w:pPr>
              <w:pStyle w:val="Normal"/>
            </w:pPr>
            <w:r>
              <w:rPr>
                <w:rFonts w:ascii="Times New Roman" w:hAnsi="Times New Roman" w:eastAsia="Times New Roman" w:cs="Times New Roman"/>
                <w:color w:val="1A1A1A"/>
                <w:sz w:val="22"/>
                <w:szCs w:val="22"/>
              </w:rPr>
              <w:t>Cross-cutting</w:t>
            </w:r>
          </w:p>
        </w:tc>
        <w:tc>
          <w:tcPr>
            <w:tcW w:w="2000" w:type="dxa"/>
          </w:tcPr>
          <w:p>
            <w:pPr>
              <w:pStyle w:val="Normal"/>
            </w:pPr>
            <w:r>
              <w:rPr>
                <w:rFonts w:ascii="Times New Roman" w:hAnsi="Times New Roman" w:eastAsia="Times New Roman" w:cs="Times New Roman"/>
                <w:color w:val="1A1A1A"/>
                <w:sz w:val="22"/>
                <w:szCs w:val="22"/>
              </w:rPr>
              <w:t>$3-7B enabled</w:t>
            </w:r>
          </w:p>
        </w:tc>
      </w:tr>
      <w:tr>
        <w:tc>
          <w:tcPr>
            <w:tcW w:w="1800" w:type="dxa"/>
          </w:tcPr>
          <w:p>
            <w:pPr>
              <w:pStyle w:val="Normal"/>
            </w:pPr>
            <w:r>
              <w:rPr>
                <w:rFonts w:ascii="Times New Roman" w:hAnsi="Times New Roman" w:eastAsia="Times New Roman" w:cs="Times New Roman"/>
                <w:color w:val="1A1A1A"/>
                <w:sz w:val="22"/>
                <w:szCs w:val="22"/>
              </w:rPr>
              <w:t>TOTAL APPENDIX I</w:t>
            </w:r>
          </w:p>
        </w:tc>
        <w:tc>
          <w:tcPr>
            <w:tcW w:w="4200" w:type="dxa"/>
          </w:tcPr>
          <w:p>
            <w:pPr>
              <w:pStyle w:val="Normal"/>
            </w:pPr>
            <w:r>
              <w:rPr>
                <w:rFonts w:ascii="Times New Roman" w:hAnsi="Times New Roman" w:eastAsia="Times New Roman" w:cs="Times New Roman"/>
                <w:color w:val="1A1A1A"/>
                <w:sz w:val="22"/>
                <w:szCs w:val="22"/>
              </w:rPr>
              <w:t>54 countries</w:t>
            </w:r>
          </w:p>
        </w:tc>
        <w:tc>
          <w:tcPr>
            <w:tcW w:w="2000" w:type="dxa"/>
          </w:tcPr>
          <w:p>
            <w:pPr>
              <w:pStyle w:val="Normal"/>
            </w:pPr>
            <w:r>
              <w:rPr>
                <w:rFonts w:ascii="Times New Roman" w:hAnsi="Times New Roman" w:eastAsia="Times New Roman" w:cs="Times New Roman"/>
                <w:color w:val="1A1A1A"/>
                <w:sz w:val="22"/>
                <w:szCs w:val="22"/>
              </w:rPr>
              <w:t>$28-74B</w:t>
            </w:r>
          </w:p>
        </w:tc>
      </w:tr>
    </w:tbl>
    <w:p>
      <w:pPr>
        <w:pStyle w:val="Heading2"/>
        <w:spacing w:before="360"/>
      </w:pPr>
      <w:r>
        <w:rPr>
          <w:rFonts w:ascii="Times New Roman" w:hAnsi="Times New Roman" w:eastAsia="Times New Roman" w:cs="Times New Roman"/>
          <w:b/>
          <w:color w:val="2E5A6B"/>
          <w:sz w:val="24"/>
          <w:szCs w:val="24"/>
        </w:rPr>
        <w:t>I.7 Additional Asian Financial Centers</w:t>
      </w:r>
    </w:p>
    <w:p>
      <w:pPr>
        <w:pStyle w:val="Heading3"/>
      </w:pPr>
      <w:r>
        <w:rPr>
          <w:rFonts w:ascii="Times New Roman" w:hAnsi="Times New Roman" w:eastAsia="Times New Roman" w:cs="Times New Roman"/>
          <w:b/>
          <w:i/>
          <w:color w:val="4A4A4A"/>
          <w:sz w:val="22"/>
          <w:szCs w:val="22"/>
        </w:rPr>
        <w:t>Singapore</w:t>
      </w:r>
    </w:p>
    <w:p>
      <w:pPr>
        <w:pStyle w:val="Normal"/>
      </w:pPr>
      <w:r>
        <w:rPr>
          <w:rFonts w:ascii="Times New Roman" w:hAnsi="Times New Roman" w:eastAsia="Times New Roman" w:cs="Times New Roman"/>
          <w:color w:val="1A1A1A"/>
          <w:sz w:val="22"/>
          <w:szCs w:val="22"/>
        </w:rPr>
        <w:t>Singapore deploys two of the world's largest sovereign wealth funds. GIC Private Limited manages over US$800 billion in assets, with a global portfolio spanning infrastructure, real estate, and equities across 40 countries. GIC co-invests in major infrastructure projects including power grids, data centers, and transport networks. Temasek Holdings manages approximately US$400 billion with a concentrated Asia-focused portfolio. Temasek invests directly in energy infrastructure, sustainable solutions, and urban development. Both funds participate in blended finance structures and co-investment platforms alongside multilateral development banks. Singapore's sovereign funds demonstrate appetite for long-tenor infrastructure exposure in emerging markets. Access pathway: The NDF Secretariat engages GIC and Temasek through their respective London and New York offices, presenting co-investment opportunities alongside AfDB or World Bank facilities. Proposed instrument: Singaporean SWF capital participates as equity anchor in Sub-Fund VI (Infrastructure Modernization) with 15-20 year horizon.</w:t>
      </w:r>
    </w:p>
    <w:p>
      <w:pPr>
        <w:pStyle w:val="Heading3"/>
      </w:pPr>
      <w:r>
        <w:rPr>
          <w:rFonts w:ascii="Times New Roman" w:hAnsi="Times New Roman" w:eastAsia="Times New Roman" w:cs="Times New Roman"/>
          <w:b/>
          <w:i/>
          <w:color w:val="4A4A4A"/>
          <w:sz w:val="22"/>
          <w:szCs w:val="22"/>
        </w:rPr>
        <w:t>Vietnam</w:t>
      </w:r>
    </w:p>
    <w:p>
      <w:pPr>
        <w:pStyle w:val="Normal"/>
      </w:pPr>
      <w:r>
        <w:rPr>
          <w:rFonts w:ascii="Times New Roman" w:hAnsi="Times New Roman" w:eastAsia="Times New Roman" w:cs="Times New Roman"/>
          <w:color w:val="1A1A1A"/>
          <w:sz w:val="22"/>
          <w:szCs w:val="22"/>
        </w:rPr>
        <w:t>Vietnam's State Capital Investment Corporation (SCIC) manages state-owned enterprise divestment proceeds and strategic investments exceeding US$7 billion. SCIC actively seeks infrastructure partnerships in Southeast Asia and neighboring regions. The Vietnam Development Bank provides medium-to-long term financing for infrastructure and industrial projects. Vietnam has accumulated substantial construction expertise through domestic infrastructure build-out and participates in regional contracting consortia. Access pathway: SCIC evaluates co-investment opportunities through bilateral channels with the Ministry of Planning and Investment. Proposed instrument: SCIC equity participation in Sub-Fund II (Industrial Zone Revitalization) paired with Vietnamese construction contractor involvement in project implementation.</w:t>
      </w:r>
    </w:p>
    <w:p>
      <w:pPr>
        <w:pStyle w:val="Heading3"/>
      </w:pPr>
      <w:r>
        <w:rPr>
          <w:rFonts w:ascii="Times New Roman" w:hAnsi="Times New Roman" w:eastAsia="Times New Roman" w:cs="Times New Roman"/>
          <w:b/>
          <w:i/>
          <w:color w:val="4A4A4A"/>
          <w:sz w:val="22"/>
          <w:szCs w:val="22"/>
        </w:rPr>
        <w:t>Kazakhstan</w:t>
      </w:r>
    </w:p>
    <w:p>
      <w:pPr>
        <w:pStyle w:val="Normal"/>
      </w:pPr>
      <w:r>
        <w:rPr>
          <w:rFonts w:ascii="Times New Roman" w:hAnsi="Times New Roman" w:eastAsia="Times New Roman" w:cs="Times New Roman"/>
          <w:color w:val="1A1A1A"/>
          <w:sz w:val="22"/>
          <w:szCs w:val="22"/>
        </w:rPr>
        <w:t>Kazakhstan's Kazakhstan ranks among the world's top 25 sovereign wealth fund operators. Samruk-Kazyna Sovereign Wealth Fund manages over US$100 billion in assets and has attracted US$27 billion in foreign investment over the past six years. The fund actively pursues foreign direct investment in energy, transport, and digital infrastructure. The Development Bank of Kazakhstan (DBK) serves as the national development institution, disbursing 1,465.7 billion tenge (approximately US$3.1 billion) in 2024 for manufacturing, energy, and infrastructure projects. DBK maintains a US$1 billion credit line with the China Development Bank. The Kazakhstan Investment Development Fund (KIDF) co-invests with foreign partners in non-extractive sectors, sharing risks with foreign entities. Baiterek National Investment Holding, the parent for DBK and other institutions, plans to borrow US$3 billion abroad in 2026.</w:t>
      </w:r>
    </w:p>
    <w:p>
      <w:pPr>
        <w:pStyle w:val="Normal"/>
      </w:pPr>
      <w:r>
        <w:rPr>
          <w:rFonts w:ascii="Times New Roman" w:hAnsi="Times New Roman" w:eastAsia="Times New Roman" w:cs="Times New Roman"/>
          <w:color w:val="1A1A1A"/>
          <w:sz w:val="22"/>
          <w:szCs w:val="22"/>
        </w:rPr>
        <w:t>Kazakhstan's ODA reached US$50.4 million in 2024, with 83.9% delivered bilaterally through KazAID (Agency of International Development, established 2020). KazAID focuses on agriculture, food security, environmental protection, education, and healthcare, and contributes US$16.1 million annually to the UN system (WHO, UNDP, FAO). Kazakhstan and Iran maintain robust economic ties through the International North-South Transport Corridor (INSTC), which recorded a 53% traffic increase in 2025. Iranian President Pezeshkian and Kazakh President Tokayev met in late 2025, with Kazakhstan committing to supply US$200 million in goods to Iran and signing agreements on transport, healthcare, and intellectual property. While regional conflict has paused some joint projects, Kazakhstan offers strong potential for large-scale industrial and transport co-financing once political conditions stabilize.</w:t>
      </w:r>
    </w:p>
    <w:p>
      <w:pPr>
        <w:pStyle w:val="Normal"/>
      </w:pPr>
      <w:r>
        <w:rPr>
          <w:rFonts w:ascii="Times New Roman" w:hAnsi="Times New Roman" w:eastAsia="Times New Roman" w:cs="Times New Roman"/>
          <w:color w:val="1A1A1A"/>
          <w:sz w:val="22"/>
          <w:szCs w:val="22"/>
        </w:rPr>
        <w:t>Access pathway: Samruk-Kazyna reviews investment proposals through its Astana headquarters. DBK processes project financing requests through bilateral government channels. KIDF evaluates joint venture proposals through its Almaty office. Proposed instrument: Samruk-Kazyna provides senior debt to Sub-Fund I (Energy Infrastructure Restoration) leveraging Kazakhstani construction expertise in oil/gas facility rebuilding. DBK co-finances Sub-Fund VI (Infrastructure Modernization) through bilateral intergovernmental agreements. KIDF participates as equity partner in Sub-Fund II (Industrial Zone Revitalization).</w:t>
      </w:r>
    </w:p>
    <w:p>
      <w:pPr>
        <w:pStyle w:val="Heading3"/>
      </w:pPr>
      <w:r>
        <w:rPr>
          <w:rFonts w:ascii="Times New Roman" w:hAnsi="Times New Roman" w:eastAsia="Times New Roman" w:cs="Times New Roman"/>
          <w:b/>
          <w:i/>
          <w:color w:val="4A4A4A"/>
          <w:sz w:val="22"/>
          <w:szCs w:val="22"/>
        </w:rPr>
        <w:t>Uzbekistan</w:t>
      </w:r>
    </w:p>
    <w:p>
      <w:pPr>
        <w:pStyle w:val="Normal"/>
      </w:pPr>
      <w:r>
        <w:rPr>
          <w:rFonts w:ascii="Times New Roman" w:hAnsi="Times New Roman" w:eastAsia="Times New Roman" w:cs="Times New Roman"/>
          <w:color w:val="1A1A1A"/>
          <w:sz w:val="22"/>
          <w:szCs w:val="22"/>
        </w:rPr>
        <w:t>Uzbekistan's Fund for Reconstruction and Development (UFRD), established in 2006, operates as a sovereign wealth fund financing strategic infrastructure and modernization projects exceeding US$23 billion in total deployments. UFRD co-finances projects with the Asian Development Bank, Islamic Development Bank, and bilateral partners. The fund maintains active credit lines through Uzbekistan's major commercial banks for on-lending to priority sectors. UFRD's mandate explicitly includes co-financing with international financial institutions and foreign investors. Access pathway: UFRD processes co-financing proposals through the Council for Management of the Fund chaired by the Prime Minister. Proposed instrument: UFRD participates in blended finance structures for Sub-Fund I and Sub-Fund V through parallel ADB-IsDB coordination.</w:t>
      </w:r>
    </w:p>
    <w:p>
      <w:pPr>
        <w:pStyle w:val="Heading3"/>
      </w:pPr>
      <w:r>
        <w:rPr>
          <w:rFonts w:ascii="Times New Roman" w:hAnsi="Times New Roman" w:eastAsia="Times New Roman" w:cs="Times New Roman"/>
          <w:b/>
          <w:i/>
          <w:color w:val="4A4A4A"/>
          <w:sz w:val="22"/>
          <w:szCs w:val="22"/>
        </w:rPr>
        <w:t>Mongolia</w:t>
      </w:r>
    </w:p>
    <w:p>
      <w:pPr>
        <w:pStyle w:val="Normal"/>
      </w:pPr>
      <w:r>
        <w:rPr>
          <w:rFonts w:ascii="Times New Roman" w:hAnsi="Times New Roman" w:eastAsia="Times New Roman" w:cs="Times New Roman"/>
          <w:color w:val="1A1A1A"/>
          <w:sz w:val="22"/>
          <w:szCs w:val="22"/>
        </w:rPr>
        <w:t>Mongolia's parliament approved the Sovereign Wealth Fund Law in April 2024, creating three diversified funds: the Future Heritage Fund (collects and invests proceeds from subsoil resources), the Savings Fund (underwrites public health, education, and housing investments), and the Development Fund (supports development projects from budget surplus). The Future Heritage Fund currently holds approximately MNT213 billion (US$80 million) in assets and receives 65% of all mining royalties and dividends from state-owned mining companies. Mongolia projects MNT1 trillion (approximately US$393 million) annual injection into the fund. The fund currently invests only in international financial instruments, with domestic infrastructure investment capability developing over time. Mongolia's mining sector expertise in coal, copper, and gold provides relevant technical knowledge for resource-based infrastructure development.</w:t>
      </w:r>
    </w:p>
    <w:p>
      <w:pPr>
        <w:pStyle w:val="Normal"/>
      </w:pPr>
      <w:r>
        <w:rPr>
          <w:rFonts w:ascii="Times New Roman" w:hAnsi="Times New Roman" w:eastAsia="Times New Roman" w:cs="Times New Roman"/>
          <w:color w:val="1A1A1A"/>
          <w:sz w:val="22"/>
          <w:szCs w:val="22"/>
        </w:rPr>
        <w:t>Access pathway: The NDF Secretariat engages the Mongolian Ministry of Finance and the Sovereign Wealth Fund Council through the Asia-Pacific regional development forum. Proposed instrument: Future Heritage Fund co-investment in Sub-Fund I (Energy Infrastructure Restoration) on a learn-and-invest basis, pairing Mongolian mining infrastructure expertise with Iranian energy reconstruction priorities.</w:t>
      </w:r>
    </w:p>
    <w:p>
      <w:pPr>
        <w:pStyle w:val="Heading2"/>
      </w:pPr>
      <w:r>
        <w:rPr>
          <w:rFonts w:ascii="Times New Roman" w:hAnsi="Times New Roman" w:eastAsia="Times New Roman" w:cs="Times New Roman"/>
          <w:b/>
          <w:color w:val="2E5A6B"/>
          <w:sz w:val="24"/>
          <w:szCs w:val="24"/>
        </w:rPr>
        <w:t>I.8 Major African Economies</w:t>
      </w:r>
    </w:p>
    <w:p>
      <w:pPr>
        <w:pStyle w:val="Heading3"/>
      </w:pPr>
      <w:r>
        <w:rPr>
          <w:rFonts w:ascii="Times New Roman" w:hAnsi="Times New Roman" w:eastAsia="Times New Roman" w:cs="Times New Roman"/>
          <w:b/>
          <w:i/>
          <w:color w:val="4A4A4A"/>
          <w:sz w:val="22"/>
          <w:szCs w:val="22"/>
        </w:rPr>
        <w:t>Nigeria</w:t>
      </w:r>
    </w:p>
    <w:p>
      <w:pPr>
        <w:pStyle w:val="Normal"/>
      </w:pPr>
      <w:r>
        <w:rPr>
          <w:rFonts w:ascii="Times New Roman" w:hAnsi="Times New Roman" w:eastAsia="Times New Roman" w:cs="Times New Roman"/>
          <w:color w:val="1A1A1A"/>
          <w:sz w:val="22"/>
          <w:szCs w:val="22"/>
        </w:rPr>
        <w:t>Nigeria's Sovereign Investment Authority (NSIA) manages US$2.86 billion across three ring-fenced funds: the Future Generations Fund, the Stabilization Fund, and the Nigeria Infrastructure Fund (NIF). NSIA holds GCF accreditation and operates Carbon Vista for carbon market development. The Authority directly financed major road reconstruction including the Abuja-Kano Road, Lagos-Ibadan Expressway, and Second Niger Bridge, demonstrating proven reconstruction execution capability. NSIA partners with the African Development Bank on infrastructure debt facilities and received a 12-year senior corporate loan from AfDB in 2024. Access pathway: NSIA evaluates African regional investment opportunities through its Abuja headquarters and London representative office. Proposed instrument: NSIA contributes equity to Sub-Fund VI through AfDB-coordinated African infrastructure platform, leveraging NSIA's direct reconstruction expertise.</w:t>
      </w:r>
    </w:p>
    <w:p>
      <w:pPr>
        <w:pStyle w:val="Heading3"/>
      </w:pPr>
      <w:r>
        <w:rPr>
          <w:rFonts w:ascii="Times New Roman" w:hAnsi="Times New Roman" w:eastAsia="Times New Roman" w:cs="Times New Roman"/>
          <w:b/>
          <w:i/>
          <w:color w:val="4A4A4A"/>
          <w:sz w:val="22"/>
          <w:szCs w:val="22"/>
        </w:rPr>
        <w:t>Kenya</w:t>
      </w:r>
    </w:p>
    <w:p>
      <w:pPr>
        <w:pStyle w:val="Normal"/>
      </w:pPr>
      <w:r>
        <w:rPr>
          <w:rFonts w:ascii="Times New Roman" w:hAnsi="Times New Roman" w:eastAsia="Times New Roman" w:cs="Times New Roman"/>
          <w:color w:val="1A1A1A"/>
          <w:sz w:val="22"/>
          <w:szCs w:val="22"/>
        </w:rPr>
        <w:t>Kenya's National Infrastructure Fund anchors a KSh5 trillion (US$40 billion) ten-year national transformation programme. Kenya has established comprehensive PPP legislation and institutional frameworks with World Bank support. The country mobilized US$90 million in IDA financing for PPP development, generating a pipeline of 69 projects. Kenya's capital markets infrastructure debt vehicle, Infra CDV, demonstrates innovative local currency financing structures. Kenya hosts the Nairobi International Financial Centre and the African Trade Insurance Agency. Access pathway: The NDF Secretariat engages Kenya's National Treasury and the National Infrastructure Fund through the East African Community secretariat in Arusha. Proposed instrument: Kenya provides co-guarantee facilities for East African contractor participation in Sub-Fund VI projects.</w:t>
      </w:r>
    </w:p>
    <w:p>
      <w:pPr>
        <w:pStyle w:val="Heading3"/>
      </w:pPr>
      <w:r>
        <w:rPr>
          <w:rFonts w:ascii="Times New Roman" w:hAnsi="Times New Roman" w:eastAsia="Times New Roman" w:cs="Times New Roman"/>
          <w:b/>
          <w:i/>
          <w:color w:val="4A4A4A"/>
          <w:sz w:val="22"/>
          <w:szCs w:val="22"/>
        </w:rPr>
        <w:t>Ghana</w:t>
      </w:r>
    </w:p>
    <w:p>
      <w:pPr>
        <w:pStyle w:val="Normal"/>
      </w:pPr>
      <w:r>
        <w:rPr>
          <w:rFonts w:ascii="Times New Roman" w:hAnsi="Times New Roman" w:eastAsia="Times New Roman" w:cs="Times New Roman"/>
          <w:color w:val="1A1A1A"/>
          <w:sz w:val="22"/>
          <w:szCs w:val="22"/>
        </w:rPr>
        <w:t>Ghana Infrastructure Investment Fund (GIIF), established by Act of Parliament in 2014, holds US$325 million in unlevered capital and has committed US$275 million across 12 transactions worth US$2.78 billion in total project costs, achieving 10x leverage. GIIF operates as a 100% government-owned body investing in power, transport, ICT, mining, tourism, and affordable housing through debt, equity, mezzanine, and credit enhancement instruments. The fund maintains active DFI partnerships and received an US$85 million international DFI facility. GIIF has proven capacity to create ring-fenced sub-funds for specific sectors. Access pathway: GIIF welcomes partnerships with DFIs and sovereign funds for African infrastructure co-investment through its Accra headquarters. Proposed instrument: GIIF establishes a dedicated Reconstruction Sub-Fund with NDF seed capital, applying its proven sub-fund architecture to regional reconstruction finance.</w:t>
      </w:r>
    </w:p>
    <w:p>
      <w:pPr>
        <w:pStyle w:val="Heading3"/>
      </w:pPr>
      <w:r>
        <w:rPr>
          <w:rFonts w:ascii="Times New Roman" w:hAnsi="Times New Roman" w:eastAsia="Times New Roman" w:cs="Times New Roman"/>
          <w:b/>
          <w:i/>
          <w:color w:val="4A4A4A"/>
          <w:sz w:val="22"/>
          <w:szCs w:val="22"/>
        </w:rPr>
        <w:t>Morocco</w:t>
      </w:r>
    </w:p>
    <w:p>
      <w:pPr>
        <w:pStyle w:val="Normal"/>
      </w:pPr>
      <w:r>
        <w:rPr>
          <w:rFonts w:ascii="Times New Roman" w:hAnsi="Times New Roman" w:eastAsia="Times New Roman" w:cs="Times New Roman"/>
          <w:color w:val="1A1A1A"/>
          <w:sz w:val="22"/>
          <w:szCs w:val="22"/>
        </w:rPr>
        <w:t>Morocco maintains an active development finance ecosystem anchored by the High Atlas Development Agency (ADHA) for post-disaster reconstruction, currently executing a EUR1 billion EIB-supported earthquake recovery programme. Morocco's Banque Centrale Populaire and Attijariwafa Bank provide commercial infrastructure financing. The Mohammed VI Fund for Investment targets strategic sectors including renewable energy and industrial infrastructure. Morocco's reconstruction experience demonstrates institutional capacity to manage large-scale infrastructure recovery with multilateral coordination. Access pathway: Morocco engages through the ADHA and the Ministry of Economy and Finance in Rabat. Proposed instrument: Morocco provides technical assistance and reconstruction methodology transfer to Sub-Fund VI through ADHA partnership.</w:t>
      </w:r>
    </w:p>
    <w:p>
      <w:pPr>
        <w:pStyle w:val="Heading3"/>
      </w:pPr>
      <w:r>
        <w:rPr>
          <w:rFonts w:ascii="Times New Roman" w:hAnsi="Times New Roman" w:eastAsia="Times New Roman" w:cs="Times New Roman"/>
          <w:b/>
          <w:i/>
          <w:color w:val="4A4A4A"/>
          <w:sz w:val="22"/>
          <w:szCs w:val="22"/>
        </w:rPr>
        <w:t>Ethiopia</w:t>
      </w:r>
    </w:p>
    <w:p>
      <w:pPr>
        <w:pStyle w:val="Normal"/>
      </w:pPr>
      <w:r>
        <w:rPr>
          <w:rFonts w:ascii="Times New Roman" w:hAnsi="Times New Roman" w:eastAsia="Times New Roman" w:cs="Times New Roman"/>
          <w:color w:val="1A1A1A"/>
          <w:sz w:val="22"/>
          <w:szCs w:val="22"/>
        </w:rPr>
        <w:t>Ethiopia's Development Bank of Ethiopia (DBE) provides long-term financing for industrial and infrastructure development. Ethiopia hosts the Africa Infrastructure Financing Facility (AIFF), launched in February 2026 by African Union heads of state to accelerate cross-border infrastructure project preparation and financing. The AIFF addresses Africa's US$221 billion annual infrastructure financing gap through coordinated African multilateral financial institution action. Ethiopia's Ten-Year Development Plan 2021-2030 emphasizes quality sustainable infrastructure and climate-smart innovations. Access pathway: Ethiopia engages through the AIFF secretariat in Addis Ababa and the African Union Commission. Proposed instrument: Ethiopian participation channels through AIFF coordination with AfDB and Alliance of African Multilateral Financial Institutions (AAMFI) for Sub-Fund VI project preparation.</w:t>
      </w:r>
    </w:p>
    <w:p>
      <w:pPr>
        <w:pStyle w:val="Heading3"/>
      </w:pPr>
      <w:r>
        <w:rPr>
          <w:rFonts w:ascii="Times New Roman" w:hAnsi="Times New Roman" w:eastAsia="Times New Roman" w:cs="Times New Roman"/>
          <w:b/>
          <w:i/>
          <w:color w:val="4A4A4A"/>
          <w:sz w:val="22"/>
          <w:szCs w:val="22"/>
        </w:rPr>
        <w:t>Mauritania</w:t>
      </w:r>
    </w:p>
    <w:p>
      <w:pPr>
        <w:pStyle w:val="Normal"/>
      </w:pPr>
      <w:r>
        <w:rPr>
          <w:rFonts w:ascii="Times New Roman" w:hAnsi="Times New Roman" w:eastAsia="Times New Roman" w:cs="Times New Roman"/>
          <w:color w:val="1A1A1A"/>
          <w:sz w:val="22"/>
          <w:szCs w:val="22"/>
        </w:rPr>
        <w:t>Mauritania accesses reconstruction-relevant finance through multiple channels that demonstrate applicable pathways for the NDF. The African Development Fund (ADF) financed a US$4.78 million project to modernize Mauritania's financial infrastructure, cutting inflation and raising financial inclusion from 21% to 55%. The Arab Coordination Group (ACG) pledged US$2 billion over five years for energy, water, transport, and digital infrastructure in Mauritania. The Islamic Development Bank approved and signed multiple financing agreements totaling hundreds of millions for the Mauritania-Mali power interconnection, healthcare facilities, and rural electrification. The Saudi Fund for Development signed an agreement to finance a high-voltage electricity line connecting Mauritania and Mali. The OPEC Fund approved over US$316 million in financing for energy, water, and agriculture sectors in Mauritania. Mauritania's National Fund for Hydrocarbon Revenues holds sovereign resources though withdrawals have historically covered budget deficits rather than development projects. The Banc d'Arguin (BACoMaB) Biodiversity Trust Fund, supported by the EU and Germany, finances marine protected areas and demonstrates environment-fund mechanisms. Access pathway: Mauritania's Ministry of Economic Affairs coordinates with Arab and multilateral donors through the National Aid Coordination Framework. Proposed instrument: Mauritania channels ACG and OPEC Fund resources to Sub-Fund I and Sub-Fund VI through parallel co-financing structures.</w:t>
      </w:r>
    </w:p>
    <w:p>
      <w:pPr>
        <w:pStyle w:val="Heading2"/>
      </w:pPr>
      <w:r>
        <w:rPr>
          <w:rFonts w:ascii="Times New Roman" w:hAnsi="Times New Roman" w:eastAsia="Times New Roman" w:cs="Times New Roman"/>
          <w:b/>
          <w:color w:val="2E5A6B"/>
          <w:sz w:val="24"/>
          <w:szCs w:val="24"/>
        </w:rPr>
        <w:t>I.9 Latin American Development Banks</w:t>
      </w:r>
    </w:p>
    <w:p>
      <w:pPr>
        <w:pStyle w:val="Heading3"/>
      </w:pPr>
      <w:r>
        <w:rPr>
          <w:rFonts w:ascii="Times New Roman" w:hAnsi="Times New Roman" w:eastAsia="Times New Roman" w:cs="Times New Roman"/>
          <w:b/>
          <w:i/>
          <w:color w:val="4A4A4A"/>
          <w:sz w:val="22"/>
          <w:szCs w:val="22"/>
        </w:rPr>
        <w:t>Colombia</w:t>
      </w:r>
    </w:p>
    <w:p>
      <w:pPr>
        <w:pStyle w:val="Normal"/>
      </w:pPr>
      <w:r>
        <w:rPr>
          <w:rFonts w:ascii="Times New Roman" w:hAnsi="Times New Roman" w:eastAsia="Times New Roman" w:cs="Times New Roman"/>
          <w:color w:val="1A1A1A"/>
          <w:sz w:val="22"/>
          <w:szCs w:val="22"/>
        </w:rPr>
        <w:t>Colombia's Financiera de Desarrollo Nacional (FDN) serves as the country's principal infrastructure development bank, specializing in long-term project finance for transportation, energy, and social infrastructure. FDN catalyzed over US$3.7 billion in financing for the 4G highway programme alone. The bank provides direct long-term facilities, subordinated debt, guarantees, and credit enhancement. FDN co-created Colombia's first Infrastructure Collective Debt Vehicle (Infra CDV) with IFC, CAF, and local pension funds. FDN's equity ownership includes 35% government stake with IFC and CAF as strategic investors, ensuring professional governance. Access pathway: FDN reviews international infrastructure co-investment through its Bogota headquarters. Proposed instrument: FDN participates in Sub-Fund VI blended finance structures, contributing project finance expertise and credit enhancement instruments.</w:t>
      </w:r>
    </w:p>
    <w:p>
      <w:pPr>
        <w:pStyle w:val="Heading3"/>
      </w:pPr>
      <w:r>
        <w:rPr>
          <w:rFonts w:ascii="Times New Roman" w:hAnsi="Times New Roman" w:eastAsia="Times New Roman" w:cs="Times New Roman"/>
          <w:b/>
          <w:i/>
          <w:color w:val="4A4A4A"/>
          <w:sz w:val="22"/>
          <w:szCs w:val="22"/>
        </w:rPr>
        <w:t>Peru</w:t>
      </w:r>
    </w:p>
    <w:p>
      <w:pPr>
        <w:pStyle w:val="Normal"/>
      </w:pPr>
      <w:r>
        <w:rPr>
          <w:rFonts w:ascii="Times New Roman" w:hAnsi="Times New Roman" w:eastAsia="Times New Roman" w:cs="Times New Roman"/>
          <w:color w:val="1A1A1A"/>
          <w:sz w:val="22"/>
          <w:szCs w:val="22"/>
        </w:rPr>
        <w:t>Peru's Corporacion Financiera de Desarrollo (COFIDE) operates as the national development bank with US$803 million in annual infrastructure disbursements and US$2.57 billion in total project financing. COFIDE finances up to 50% of project costs in partnership with international financial institutions, specializing in energy, transport, water, and environmental infrastructure. The bank maintains investment-grade credit ratings (Moody's Baa2, S&amp;P BBB+, Fitch BBB+). COFIDE partners with CAF Asset Management on infrastructure debt funds. Peru's infrastructure gap exceeds US$160 billion, giving COFIDE extensive project structuring experience. Access pathway: COFIDE evaluates international co-financing proposals through its Lima headquarters. Proposed instrument: COFIDE provides senior debt and project finance structuring to Sub-Fund VI through CAF-coordinated Latin America infrastructure platform.</w:t>
      </w:r>
    </w:p>
    <w:p>
      <w:pPr>
        <w:pStyle w:val="Heading3"/>
      </w:pPr>
      <w:r>
        <w:rPr>
          <w:rFonts w:ascii="Times New Roman" w:hAnsi="Times New Roman" w:eastAsia="Times New Roman" w:cs="Times New Roman"/>
          <w:b/>
          <w:i/>
          <w:color w:val="4A4A4A"/>
          <w:sz w:val="22"/>
          <w:szCs w:val="22"/>
        </w:rPr>
        <w:t>Chile</w:t>
      </w:r>
    </w:p>
    <w:p>
      <w:pPr>
        <w:pStyle w:val="Normal"/>
      </w:pPr>
      <w:r>
        <w:rPr>
          <w:rFonts w:ascii="Times New Roman" w:hAnsi="Times New Roman" w:eastAsia="Times New Roman" w:cs="Times New Roman"/>
          <w:color w:val="1A1A1A"/>
          <w:sz w:val="22"/>
          <w:szCs w:val="22"/>
        </w:rPr>
        <w:t>Chile's BancoEstado provides development finance for infrastructure and productive sectors. The Chilean Economic Development Agency (CORFO) promotes investment through innovation funds and infrastructure programmes. Chile ranks as the leading Latin American OECD DAC donor with well-established development cooperation systems. The country's pension fund administrators (AFPs) hold over US$200 billion in assets under management and actively invest in infrastructure debt instruments. Chile's CAF membership provides additional coordination channels for regional infrastructure investment. Access pathway: Chilean participation channels through CORFO and the Ministry of Finance, with CAF coordination. Proposed instrument: Chilean AFP infrastructure debt investment in Sub-Fund VI through CAF-structured infrastructure debt fund.</w:t>
      </w:r>
    </w:p>
    <w:p>
      <w:pPr>
        <w:pStyle w:val="Heading3"/>
      </w:pPr>
      <w:r>
        <w:rPr>
          <w:rFonts w:ascii="Times New Roman" w:hAnsi="Times New Roman" w:eastAsia="Times New Roman" w:cs="Times New Roman"/>
          <w:b/>
          <w:i/>
          <w:color w:val="4A4A4A"/>
          <w:sz w:val="22"/>
          <w:szCs w:val="22"/>
        </w:rPr>
        <w:t>Guyana</w:t>
      </w:r>
    </w:p>
    <w:p>
      <w:pPr>
        <w:pStyle w:val="Normal"/>
      </w:pPr>
      <w:r>
        <w:rPr>
          <w:rFonts w:ascii="Times New Roman" w:hAnsi="Times New Roman" w:eastAsia="Times New Roman" w:cs="Times New Roman"/>
          <w:color w:val="1A1A1A"/>
          <w:sz w:val="22"/>
          <w:szCs w:val="22"/>
        </w:rPr>
        <w:t>Guyana is the world's fastest-growing economy driven by offshore oil discoveries. The Natural Resource Fund (NRF), Guyana's sovereign wealth fund, held a balance of approximately US$3.64 billion at the end of March 2026. President Ali signals a shift toward investing a portion of NRF funds internationally in safe, predictable economies. The Guyana Development Bank received an initial US$100 million allocation in Budget 2026, with an eventual capital pledge of US$200 million, providing collateral-free, interest-free loans to SMEs.</w:t>
      </w:r>
    </w:p>
    <w:p>
      <w:pPr>
        <w:pStyle w:val="Normal"/>
      </w:pPr>
      <w:r>
        <w:rPr>
          <w:rFonts w:ascii="Times New Roman" w:hAnsi="Times New Roman" w:eastAsia="Times New Roman" w:cs="Times New Roman"/>
          <w:color w:val="1A1A1A"/>
          <w:sz w:val="22"/>
          <w:szCs w:val="22"/>
        </w:rPr>
        <w:t>International development partners maintain active financing relationships with Guyana. IDB Invest provided a US$5 million loan to the Institute of Private Enterprise Development (IPED) for micro and small enterprises, including US$2.5 million from IDB Invest and US$2.5 million from a JICA trust fund. JICA's TADAC Fund (US$1.5 billion) supports private sector projects and co-finances with IDB Invest. UK Export Finance raised its financing capacity for Guyana from GBP2.1 billion to GBP3 billion for infrastructure and private sector development. Canada provided a CA$120 million policy-based loan through the IDB for social protection, plus CA$9.5 million for the One Guyana Digital Skills Development Programme.</w:t>
      </w:r>
    </w:p>
    <w:p>
      <w:pPr>
        <w:pStyle w:val="Normal"/>
      </w:pPr>
      <w:r>
        <w:rPr>
          <w:rFonts w:ascii="Times New Roman" w:hAnsi="Times New Roman" w:eastAsia="Times New Roman" w:cs="Times New Roman"/>
          <w:color w:val="1A1A1A"/>
          <w:sz w:val="22"/>
          <w:szCs w:val="22"/>
        </w:rPr>
        <w:t>Access pathway: Guyana channels resources through the Ministry of Finance and the NRF Board. Proposed instrument: NRF sovereign fund co-investment in Sub-Fund I (Energy Infrastructure Restoration) leveraging Guyana's parallel experience in natural resource fund management for infrastructure development.</w:t>
      </w:r>
    </w:p>
    <w:p>
      <w:pPr>
        <w:pStyle w:val="Heading2"/>
      </w:pPr>
      <w:r>
        <w:rPr>
          <w:rFonts w:ascii="Times New Roman" w:hAnsi="Times New Roman" w:eastAsia="Times New Roman" w:cs="Times New Roman"/>
          <w:b/>
          <w:color w:val="2E5A6B"/>
          <w:sz w:val="24"/>
          <w:szCs w:val="24"/>
        </w:rPr>
        <w:t>I.10 Additional Sovereign Wealth and Regional Funds</w:t>
      </w:r>
    </w:p>
    <w:p>
      <w:pPr>
        <w:pStyle w:val="Heading3"/>
      </w:pPr>
      <w:r>
        <w:rPr>
          <w:rFonts w:ascii="Times New Roman" w:hAnsi="Times New Roman" w:eastAsia="Times New Roman" w:cs="Times New Roman"/>
          <w:b/>
          <w:i/>
          <w:color w:val="4A4A4A"/>
          <w:sz w:val="22"/>
          <w:szCs w:val="22"/>
        </w:rPr>
        <w:t>Azerbaijan</w:t>
      </w:r>
    </w:p>
    <w:p>
      <w:pPr>
        <w:pStyle w:val="Normal"/>
      </w:pPr>
      <w:r>
        <w:rPr>
          <w:rFonts w:ascii="Times New Roman" w:hAnsi="Times New Roman" w:eastAsia="Times New Roman" w:cs="Times New Roman"/>
          <w:color w:val="1A1A1A"/>
          <w:sz w:val="22"/>
          <w:szCs w:val="22"/>
        </w:rPr>
        <w:t>Azerbaijan's State Oil Fund (SOFAZ) manages over US$50 billion in assets derived from oil and gas revenues. SOFAZ invests internationally in real estate, equities, and fixed income across developed and emerging markets. The fund has financed major infrastructure reconstruction in Azerbaijan and maintains appetite for energy-sector investments. The Azerbaijan Investment Company seeks direct investment opportunities in strategic sectors. Access pathway: SOFAZ evaluates international investment proposals through its Baku headquarters with representative offices in London and other financial centers. Proposed instrument: SOFAZ participates in Sub-Fund I as equity co-investor in energy infrastructure restoration.</w:t>
      </w:r>
    </w:p>
    <w:p>
      <w:pPr>
        <w:pStyle w:val="Heading3"/>
      </w:pPr>
      <w:r>
        <w:rPr>
          <w:rFonts w:ascii="Times New Roman" w:hAnsi="Times New Roman" w:eastAsia="Times New Roman" w:cs="Times New Roman"/>
          <w:b/>
          <w:i/>
          <w:color w:val="4A4A4A"/>
          <w:sz w:val="22"/>
          <w:szCs w:val="22"/>
        </w:rPr>
        <w:t>Serbia</w:t>
      </w:r>
    </w:p>
    <w:p>
      <w:pPr>
        <w:pStyle w:val="Normal"/>
      </w:pPr>
      <w:r>
        <w:rPr>
          <w:rFonts w:ascii="Times New Roman" w:hAnsi="Times New Roman" w:eastAsia="Times New Roman" w:cs="Times New Roman"/>
          <w:color w:val="1A1A1A"/>
          <w:sz w:val="22"/>
          <w:szCs w:val="22"/>
        </w:rPr>
        <w:t>Serbia's Development Fund of the Republic of Serbia provides concessionary financing for infrastructure, agriculture, and environmental projects. Serbia maintains active cooperation with EBRD, EIB, and World Bank on infrastructure development. The country possesses relevant post-conflict reconstruction experience from the 1999 Kosovo war recovery period. Serbian construction firms have expertise in rebuilding transport and energy infrastructure under challenging conditions. Access pathway: Serbia engages through the Ministry of Finance and the Development Fund in Belgrade. Proposed instrument: Serbian reconstruction expertise contributes to Sub-Fund VI through specialized contractor consortiums and technical assistance.</w:t>
      </w:r>
    </w:p>
    <w:p>
      <w:pPr>
        <w:pStyle w:val="Heading3"/>
      </w:pPr>
      <w:r>
        <w:rPr>
          <w:rFonts w:ascii="Times New Roman" w:hAnsi="Times New Roman" w:eastAsia="Times New Roman" w:cs="Times New Roman"/>
          <w:b/>
          <w:i/>
          <w:color w:val="4A4A4A"/>
          <w:sz w:val="22"/>
          <w:szCs w:val="22"/>
        </w:rPr>
        <w:t>Rwanda</w:t>
      </w:r>
    </w:p>
    <w:p>
      <w:pPr>
        <w:pStyle w:val="Normal"/>
      </w:pPr>
      <w:r>
        <w:rPr>
          <w:rFonts w:ascii="Times New Roman" w:hAnsi="Times New Roman" w:eastAsia="Times New Roman" w:cs="Times New Roman"/>
          <w:color w:val="1A1A1A"/>
          <w:sz w:val="22"/>
          <w:szCs w:val="22"/>
        </w:rPr>
        <w:t>Rwanda's Rwanda Finance Limited operates the Kigali International Financial Centre, positioning the country as a pan-African financial hub. The Rwanda Development Bank (BRD) provides long-term financing for strategic infrastructure and green projects. Rwanda's Fund for Environment and Climate Change (FONERWA) channels climate finance into adaptation and mitigation investments. The country's post-genocide reconstruction demonstrates institutional capacity for rapid large-scale infrastructure recovery. Access pathway: Rwanda engages through the Ministry of Finance and Economic Planning and BRD. Proposed instrument: FONERWA contributes climate finance co-investment to Sub-Fund I (green energy) and Sub-Fund III (climate-resilient agriculture).</w:t>
      </w:r>
    </w:p>
    <w:p>
      <w:pPr>
        <w:pStyle w:val="Heading3"/>
      </w:pPr>
      <w:r>
        <w:rPr>
          <w:rFonts w:ascii="Times New Roman" w:hAnsi="Times New Roman" w:eastAsia="Times New Roman" w:cs="Times New Roman"/>
          <w:b/>
          <w:i/>
          <w:color w:val="4A4A4A"/>
          <w:sz w:val="22"/>
          <w:szCs w:val="22"/>
        </w:rPr>
        <w:t>India (Additional Detail)</w:t>
      </w:r>
    </w:p>
    <w:p>
      <w:pPr>
        <w:pStyle w:val="Normal"/>
      </w:pPr>
      <w:r>
        <w:rPr>
          <w:rFonts w:ascii="Times New Roman" w:hAnsi="Times New Roman" w:eastAsia="Times New Roman" w:cs="Times New Roman"/>
          <w:color w:val="1A1A1A"/>
          <w:sz w:val="22"/>
          <w:szCs w:val="22"/>
        </w:rPr>
        <w:t>India's EXIM Bank operates a US$10 billion Africa infrastructure financing window. The National Investment and Infrastructure Fund (NIIF) manages over US$4.5 billion with active international co-investment platforms. India's SBI Holdings and other state banks maintain dedicated infrastructure lending divisions. Indian construction conglomerates (Larsen &amp; Toubro, Shapoorji Pallonji, Tata Projects) rank among the world's largest infrastructure contractors with proven reconstruction capability. India participates in the Asian Infrastructure Investment Bank and New Development Bank as founding member. Access pathway: EXIM Bank and NIIF evaluate proposals through their New Delhi headquarters and international offices. Proposed instrument: EXIM Bank provides buyer's credit for Indian contractor participation; NIIF co-invests equity in Sub-Fund VI.</w:t>
      </w:r>
    </w:p>
    <w:p>
      <w:pPr>
        <w:pStyle w:val="Heading3"/>
      </w:pPr>
      <w:r>
        <w:rPr>
          <w:rFonts w:ascii="Times New Roman" w:hAnsi="Times New Roman" w:eastAsia="Times New Roman" w:cs="Times New Roman"/>
          <w:b/>
          <w:i/>
          <w:color w:val="4A4A4A"/>
          <w:sz w:val="22"/>
          <w:szCs w:val="22"/>
        </w:rPr>
        <w:t>Indonesia (Additional Detail)</w:t>
      </w:r>
    </w:p>
    <w:p>
      <w:pPr>
        <w:pStyle w:val="Normal"/>
      </w:pPr>
      <w:r>
        <w:rPr>
          <w:rFonts w:ascii="Times New Roman" w:hAnsi="Times New Roman" w:eastAsia="Times New Roman" w:cs="Times New Roman"/>
          <w:color w:val="1A1A1A"/>
          <w:sz w:val="22"/>
          <w:szCs w:val="22"/>
        </w:rPr>
        <w:t>Indonesia's Badan Pengelola Investasi Daya Anugerah Nusantara (BPI Danantara) sovereign wealth fund manages over US$600 billion in assets, making it one of the world's largest. The Indonesia Investment Authority (INA) targets infrastructure and strategic sector investments with international co-investment mandates. Indonesia Eximbank provides trade and project finance for international construction contracts. Indonesian state construction firms (Waskita Karya, PP, Adhi Karya) execute major infrastructure projects across Southeast Asia, the Middle East, and Africa. Access pathway: INA and BPI Danantara review international co-investment through Jakarta headquarters. Proposed instrument: INA provides equity anchor alongside Indonesian contractor consortium participation in Sub-Fund VI.</w:t>
      </w:r>
    </w:p>
    <w:p>
      <w:pPr>
        <w:pStyle w:val="Heading2"/>
        <w:spacing w:before="360"/>
      </w:pPr>
      <w:r>
        <w:rPr>
          <w:rFonts w:ascii="Times New Roman" w:hAnsi="Times New Roman" w:eastAsia="Times New Roman" w:cs="Times New Roman"/>
          <w:b/>
          <w:color w:val="2E5A6B"/>
          <w:sz w:val="24"/>
          <w:szCs w:val="24"/>
        </w:rPr>
        <w:t>Appendix I Summary Table (Updated)</w:t>
      </w:r>
    </w:p>
    <w:p>
      <w:pPr>
        <w:pStyle w:val="Normal"/>
      </w:pPr>
      <w:r>
        <w:rPr>
          <w:rFonts w:ascii="Times New Roman" w:hAnsi="Times New Roman" w:eastAsia="Times New Roman" w:cs="Times New Roman"/>
          <w:color w:val="1A1A1A"/>
          <w:sz w:val="22"/>
          <w:szCs w:val="22"/>
        </w:rPr>
        <w:t>The following table aggregates the expanded country-by-country funding coverage:</w:t>
      </w:r>
    </w:p>
    <w:tbl>
      <w:tblPr>
        <w:tblW w:w="5000" w:type="pct"/>
        <w:tblBorders>
          <w:top w:val="single" w:color="1B3A4B" w:sz="12"/>
          <w:left w:val="nil"/>
          <w:bottom w:val="single" w:color="1B3A4B" w:sz="12"/>
          <w:right w:val="nil"/>
          <w:insideH w:val="single" w:color="b0b0b0" w:sz="4"/>
          <w:insideV w:val="nil"/>
        </w:tblBorders>
      </w:tblPr>
      <w:tblGrid>
        <w:gridCol w:w="1800"/>
        <w:gridCol w:w="4200"/>
        <w:gridCol w:w="2000"/>
      </w:tblGrid>
      <w:tr>
        <w:trPr>
          <w:tblHeader w:val="1"/>
        </w:trPr>
        <w:tc>
          <w:tcPr>
            <w:tcW w:w="1800" w:type="dxa"/>
            <w:shd w:val="clear" w:fill="E8EEF2" w:color="auto"/>
          </w:tcPr>
          <w:p>
            <w:pPr>
              <w:pStyle w:val="Normal"/>
            </w:pPr>
            <w:r>
              <w:rPr>
                <w:rFonts w:ascii="Times New Roman" w:hAnsi="Times New Roman" w:eastAsia="Times New Roman" w:cs="Times New Roman"/>
                <w:color w:val="1A1A1A"/>
                <w:sz w:val="22"/>
                <w:szCs w:val="22"/>
              </w:rPr>
              <w:t>Region</w:t>
            </w:r>
          </w:p>
        </w:tc>
        <w:tc>
          <w:tcPr>
            <w:tcW w:w="4200" w:type="dxa"/>
            <w:shd w:val="clear" w:fill="E8EEF2" w:color="auto"/>
          </w:tcPr>
          <w:p>
            <w:pPr>
              <w:pStyle w:val="Normal"/>
            </w:pPr>
            <w:r>
              <w:rPr>
                <w:rFonts w:ascii="Times New Roman" w:hAnsi="Times New Roman" w:eastAsia="Times New Roman" w:cs="Times New Roman"/>
                <w:color w:val="1A1A1A"/>
                <w:sz w:val="22"/>
                <w:szCs w:val="22"/>
              </w:rPr>
              <w:t>Countries Covered</w:t>
            </w:r>
          </w:p>
        </w:tc>
        <w:tc>
          <w:tcPr>
            <w:tcW w:w="2000" w:type="dxa"/>
            <w:shd w:val="clear" w:fill="E8EEF2" w:color="auto"/>
          </w:tcPr>
          <w:p>
            <w:pPr>
              <w:pStyle w:val="Normal"/>
            </w:pPr>
            <w:r>
              <w:rPr>
                <w:rFonts w:ascii="Times New Roman" w:hAnsi="Times New Roman" w:eastAsia="Times New Roman" w:cs="Times New Roman"/>
                <w:color w:val="1A1A1A"/>
                <w:sz w:val="22"/>
                <w:szCs w:val="22"/>
              </w:rPr>
              <w:t>Est. Range</w:t>
            </w:r>
          </w:p>
        </w:tc>
      </w:tr>
      <w:tr>
        <w:trPr>
          <w:tblHeader w:val="1"/>
        </w:trPr>
        <w:tc>
          <w:tcPr>
            <w:tcW w:w="1800" w:type="dxa"/>
            <w:shd w:val="clear" w:fill="E8EEF2" w:color="auto"/>
          </w:tcPr>
          <w:p>
            <w:pPr>
              <w:pStyle w:val="Normal"/>
            </w:pPr>
            <w:r>
              <w:rPr>
                <w:rFonts w:ascii="Times New Roman" w:hAnsi="Times New Roman" w:eastAsia="Times New Roman" w:cs="Times New Roman"/>
                <w:color w:val="1A1A1A"/>
                <w:sz w:val="22"/>
                <w:szCs w:val="22"/>
              </w:rPr>
              <w:t>East Asia and Pacific</w:t>
            </w:r>
          </w:p>
        </w:tc>
        <w:tc>
          <w:tcPr>
            <w:tcW w:w="4200" w:type="dxa"/>
            <w:shd w:val="clear" w:fill="E8EEF2" w:color="auto"/>
          </w:tcPr>
          <w:p>
            <w:pPr>
              <w:pStyle w:val="Normal"/>
            </w:pPr>
            <w:r>
              <w:rPr>
                <w:rFonts w:ascii="Times New Roman" w:hAnsi="Times New Roman" w:eastAsia="Times New Roman" w:cs="Times New Roman"/>
                <w:color w:val="1A1A1A"/>
                <w:sz w:val="22"/>
                <w:szCs w:val="22"/>
              </w:rPr>
              <w:t>16 countries</w:t>
            </w:r>
          </w:p>
        </w:tc>
        <w:tc>
          <w:tcPr>
            <w:tcW w:w="2000" w:type="dxa"/>
            <w:shd w:val="clear" w:fill="E8EEF2" w:color="auto"/>
          </w:tcPr>
          <w:p>
            <w:pPr>
              <w:pStyle w:val="Normal"/>
            </w:pPr>
            <w:r>
              <w:rPr>
                <w:rFonts w:ascii="Times New Roman" w:hAnsi="Times New Roman" w:eastAsia="Times New Roman" w:cs="Times New Roman"/>
                <w:color w:val="1A1A1A"/>
                <w:sz w:val="22"/>
                <w:szCs w:val="22"/>
              </w:rPr>
              <w:t>$20-55B</w:t>
            </w:r>
          </w:p>
        </w:tc>
      </w:tr>
      <w:tr>
        <w:trPr>
          <w:tblHeader w:val="1"/>
        </w:trPr>
        <w:tc>
          <w:tcPr>
            <w:tcW w:w="1800" w:type="dxa"/>
            <w:shd w:val="clear" w:fill="E8EEF2" w:color="auto"/>
          </w:tcPr>
          <w:p>
            <w:pPr>
              <w:pStyle w:val="Normal"/>
            </w:pPr>
            <w:r>
              <w:rPr>
                <w:rFonts w:ascii="Times New Roman" w:hAnsi="Times New Roman" w:eastAsia="Times New Roman" w:cs="Times New Roman"/>
                <w:color w:val="1A1A1A"/>
                <w:sz w:val="22"/>
                <w:szCs w:val="22"/>
              </w:rPr>
              <w:t>Europe and North America</w:t>
            </w:r>
          </w:p>
        </w:tc>
        <w:tc>
          <w:tcPr>
            <w:tcW w:w="4200" w:type="dxa"/>
            <w:shd w:val="clear" w:fill="E8EEF2" w:color="auto"/>
          </w:tcPr>
          <w:p>
            <w:pPr>
              <w:pStyle w:val="Normal"/>
            </w:pPr>
            <w:r>
              <w:rPr>
                <w:rFonts w:ascii="Times New Roman" w:hAnsi="Times New Roman" w:eastAsia="Times New Roman" w:cs="Times New Roman"/>
                <w:color w:val="1A1A1A"/>
                <w:sz w:val="22"/>
                <w:szCs w:val="22"/>
              </w:rPr>
              <w:t>27 countries</w:t>
            </w:r>
          </w:p>
        </w:tc>
        <w:tc>
          <w:tcPr>
            <w:tcW w:w="2000" w:type="dxa"/>
            <w:shd w:val="clear" w:fill="E8EEF2" w:color="auto"/>
          </w:tcPr>
          <w:p>
            <w:pPr>
              <w:pStyle w:val="Normal"/>
            </w:pPr>
            <w:r>
              <w:rPr>
                <w:rFonts w:ascii="Times New Roman" w:hAnsi="Times New Roman" w:eastAsia="Times New Roman" w:cs="Times New Roman"/>
                <w:color w:val="1A1A1A"/>
                <w:sz w:val="22"/>
                <w:szCs w:val="22"/>
              </w:rPr>
              <w:t>$8-16B</w:t>
            </w:r>
          </w:p>
        </w:tc>
      </w:tr>
      <w:tr>
        <w:trPr>
          <w:tblHeader w:val="1"/>
        </w:trPr>
        <w:tc>
          <w:tcPr>
            <w:tcW w:w="1800" w:type="dxa"/>
            <w:shd w:val="clear" w:fill="E8EEF2" w:color="auto"/>
          </w:tcPr>
          <w:p>
            <w:pPr>
              <w:pStyle w:val="Normal"/>
            </w:pPr>
            <w:r>
              <w:rPr>
                <w:rFonts w:ascii="Times New Roman" w:hAnsi="Times New Roman" w:eastAsia="Times New Roman" w:cs="Times New Roman"/>
                <w:color w:val="1A1A1A"/>
                <w:sz w:val="22"/>
                <w:szCs w:val="22"/>
              </w:rPr>
              <w:t>MENA, Africa, and Central Asia</w:t>
            </w:r>
          </w:p>
        </w:tc>
        <w:tc>
          <w:tcPr>
            <w:tcW w:w="4200" w:type="dxa"/>
            <w:shd w:val="clear" w:fill="E8EEF2" w:color="auto"/>
          </w:tcPr>
          <w:p>
            <w:pPr>
              <w:pStyle w:val="Normal"/>
            </w:pPr>
            <w:r>
              <w:rPr>
                <w:rFonts w:ascii="Times New Roman" w:hAnsi="Times New Roman" w:eastAsia="Times New Roman" w:cs="Times New Roman"/>
                <w:color w:val="1A1A1A"/>
                <w:sz w:val="22"/>
                <w:szCs w:val="22"/>
              </w:rPr>
              <w:t>20 countries</w:t>
            </w:r>
          </w:p>
        </w:tc>
        <w:tc>
          <w:tcPr>
            <w:tcW w:w="2000" w:type="dxa"/>
            <w:shd w:val="clear" w:fill="E8EEF2" w:color="auto"/>
          </w:tcPr>
          <w:p>
            <w:pPr>
              <w:pStyle w:val="Normal"/>
            </w:pPr>
            <w:r>
              <w:rPr>
                <w:rFonts w:ascii="Times New Roman" w:hAnsi="Times New Roman" w:eastAsia="Times New Roman" w:cs="Times New Roman"/>
                <w:color w:val="1A1A1A"/>
                <w:sz w:val="22"/>
                <w:szCs w:val="22"/>
              </w:rPr>
              <w:t>$5-10B</w:t>
            </w:r>
          </w:p>
        </w:tc>
      </w:tr>
      <w:tr>
        <w:trPr>
          <w:tblHeader w:val="1"/>
        </w:trPr>
        <w:tc>
          <w:tcPr>
            <w:tcW w:w="1800" w:type="dxa"/>
            <w:shd w:val="clear" w:fill="E8EEF2" w:color="auto"/>
          </w:tcPr>
          <w:p>
            <w:pPr>
              <w:pStyle w:val="Normal"/>
            </w:pPr>
            <w:r>
              <w:rPr>
                <w:rFonts w:ascii="Times New Roman" w:hAnsi="Times New Roman" w:eastAsia="Times New Roman" w:cs="Times New Roman"/>
                <w:color w:val="1A1A1A"/>
                <w:sz w:val="22"/>
                <w:szCs w:val="22"/>
              </w:rPr>
              <w:t>Americas</w:t>
            </w:r>
          </w:p>
        </w:tc>
        <w:tc>
          <w:tcPr>
            <w:tcW w:w="4200" w:type="dxa"/>
            <w:shd w:val="clear" w:fill="E8EEF2" w:color="auto"/>
          </w:tcPr>
          <w:p>
            <w:pPr>
              <w:pStyle w:val="Normal"/>
            </w:pPr>
            <w:r>
              <w:rPr>
                <w:rFonts w:ascii="Times New Roman" w:hAnsi="Times New Roman" w:eastAsia="Times New Roman" w:cs="Times New Roman"/>
                <w:color w:val="1A1A1A"/>
                <w:sz w:val="22"/>
                <w:szCs w:val="22"/>
              </w:rPr>
              <w:t>8 countries</w:t>
            </w:r>
          </w:p>
        </w:tc>
        <w:tc>
          <w:tcPr>
            <w:tcW w:w="2000" w:type="dxa"/>
            <w:shd w:val="clear" w:fill="E8EEF2" w:color="auto"/>
          </w:tcPr>
          <w:p>
            <w:pPr>
              <w:pStyle w:val="Normal"/>
            </w:pPr>
            <w:r>
              <w:rPr>
                <w:rFonts w:ascii="Times New Roman" w:hAnsi="Times New Roman" w:eastAsia="Times New Roman" w:cs="Times New Roman"/>
                <w:color w:val="1A1A1A"/>
                <w:sz w:val="22"/>
                <w:szCs w:val="22"/>
              </w:rPr>
              <w:t>$1.5-3B</w:t>
            </w:r>
          </w:p>
        </w:tc>
      </w:tr>
      <w:tr>
        <w:trPr>
          <w:tblHeader w:val="1"/>
        </w:trPr>
        <w:tc>
          <w:tcPr>
            <w:tcW w:w="1800" w:type="dxa"/>
            <w:shd w:val="clear" w:fill="E8EEF2" w:color="auto"/>
          </w:tcPr>
          <w:p>
            <w:pPr>
              <w:pStyle w:val="Normal"/>
            </w:pPr>
            <w:r>
              <w:rPr>
                <w:rFonts w:ascii="Times New Roman" w:hAnsi="Times New Roman" w:eastAsia="Times New Roman" w:cs="Times New Roman"/>
                <w:color w:val="1A1A1A"/>
                <w:sz w:val="22"/>
                <w:szCs w:val="22"/>
              </w:rPr>
              <w:t>Additional OIC Members</w:t>
            </w:r>
          </w:p>
        </w:tc>
        <w:tc>
          <w:tcPr>
            <w:tcW w:w="4200" w:type="dxa"/>
            <w:shd w:val="clear" w:fill="E8EEF2" w:color="auto"/>
          </w:tcPr>
          <w:p>
            <w:pPr>
              <w:pStyle w:val="Normal"/>
            </w:pPr>
            <w:r>
              <w:rPr>
                <w:rFonts w:ascii="Times New Roman" w:hAnsi="Times New Roman" w:eastAsia="Times New Roman" w:cs="Times New Roman"/>
                <w:color w:val="1A1A1A"/>
                <w:sz w:val="22"/>
                <w:szCs w:val="22"/>
              </w:rPr>
              <w:t>6 countries</w:t>
            </w:r>
          </w:p>
        </w:tc>
        <w:tc>
          <w:tcPr>
            <w:tcW w:w="2000" w:type="dxa"/>
            <w:shd w:val="clear" w:fill="E8EEF2" w:color="auto"/>
          </w:tcPr>
          <w:p>
            <w:pPr>
              <w:pStyle w:val="Normal"/>
            </w:pPr>
            <w:r>
              <w:rPr>
                <w:rFonts w:ascii="Times New Roman" w:hAnsi="Times New Roman" w:eastAsia="Times New Roman" w:cs="Times New Roman"/>
                <w:color w:val="1A1A1A"/>
                <w:sz w:val="22"/>
                <w:szCs w:val="22"/>
              </w:rPr>
              <w:t>$300-700M</w:t>
            </w:r>
          </w:p>
        </w:tc>
      </w:tr>
      <w:tr>
        <w:trPr>
          <w:tblHeader w:val="1"/>
        </w:trPr>
        <w:tc>
          <w:tcPr>
            <w:tcW w:w="1800" w:type="dxa"/>
            <w:shd w:val="clear" w:fill="E8EEF2" w:color="auto"/>
          </w:tcPr>
          <w:p>
            <w:pPr>
              <w:pStyle w:val="Normal"/>
            </w:pPr>
            <w:r>
              <w:rPr>
                <w:rFonts w:ascii="Times New Roman" w:hAnsi="Times New Roman" w:eastAsia="Times New Roman" w:cs="Times New Roman"/>
                <w:color w:val="1A1A1A"/>
                <w:sz w:val="22"/>
                <w:szCs w:val="22"/>
              </w:rPr>
              <w:t>Innovative Mechanisms</w:t>
            </w:r>
          </w:p>
        </w:tc>
        <w:tc>
          <w:tcPr>
            <w:tcW w:w="4200" w:type="dxa"/>
            <w:shd w:val="clear" w:fill="E8EEF2" w:color="auto"/>
          </w:tcPr>
          <w:p>
            <w:pPr>
              <w:pStyle w:val="Normal"/>
            </w:pPr>
            <w:r>
              <w:rPr>
                <w:rFonts w:ascii="Times New Roman" w:hAnsi="Times New Roman" w:eastAsia="Times New Roman" w:cs="Times New Roman"/>
                <w:color w:val="1A1A1A"/>
                <w:sz w:val="22"/>
                <w:szCs w:val="22"/>
              </w:rPr>
              <w:t>Cross-cutting</w:t>
            </w:r>
          </w:p>
        </w:tc>
        <w:tc>
          <w:tcPr>
            <w:tcW w:w="2000" w:type="dxa"/>
            <w:shd w:val="clear" w:fill="E8EEF2" w:color="auto"/>
          </w:tcPr>
          <w:p>
            <w:pPr>
              <w:pStyle w:val="Normal"/>
            </w:pPr>
            <w:r>
              <w:rPr>
                <w:rFonts w:ascii="Times New Roman" w:hAnsi="Times New Roman" w:eastAsia="Times New Roman" w:cs="Times New Roman"/>
                <w:color w:val="1A1A1A"/>
                <w:sz w:val="22"/>
                <w:szCs w:val="22"/>
              </w:rPr>
              <w:t>$3-7B enabled</w:t>
            </w:r>
          </w:p>
        </w:tc>
      </w:tr>
      <w:tr>
        <w:trPr>
          <w:tblHeader w:val="1"/>
        </w:trPr>
        <w:tc>
          <w:tcPr>
            <w:tcW w:w="1800" w:type="dxa"/>
            <w:shd w:val="clear" w:fill="E8EEF2" w:color="auto"/>
          </w:tcPr>
          <w:p>
            <w:pPr>
              <w:pStyle w:val="Normal"/>
            </w:pPr>
            <w:r>
              <w:rPr>
                <w:rFonts w:ascii="Times New Roman" w:hAnsi="Times New Roman" w:eastAsia="Times New Roman" w:cs="Times New Roman"/>
                <w:color w:val="1A1A1A"/>
                <w:sz w:val="22"/>
                <w:szCs w:val="22"/>
              </w:rPr>
              <w:t>TOTAL APPENDIX I (Expanded)</w:t>
            </w:r>
          </w:p>
        </w:tc>
        <w:tc>
          <w:tcPr>
            <w:tcW w:w="4200" w:type="dxa"/>
            <w:shd w:val="clear" w:fill="E8EEF2" w:color="auto"/>
          </w:tcPr>
          <w:p>
            <w:pPr>
              <w:pStyle w:val="Normal"/>
            </w:pPr>
            <w:r>
              <w:rPr>
                <w:rFonts w:ascii="Times New Roman" w:hAnsi="Times New Roman" w:eastAsia="Times New Roman" w:cs="Times New Roman"/>
                <w:color w:val="1A1A1A"/>
                <w:sz w:val="22"/>
                <w:szCs w:val="22"/>
              </w:rPr>
              <w:t>77 countries + mechanisms</w:t>
            </w:r>
          </w:p>
        </w:tc>
        <w:tc>
          <w:tcPr>
            <w:tcW w:w="2000" w:type="dxa"/>
            <w:shd w:val="clear" w:fill="E8EEF2" w:color="auto"/>
          </w:tcPr>
          <w:p>
            <w:pPr>
              <w:pStyle w:val="Normal"/>
            </w:pPr>
            <w:r>
              <w:rPr>
                <w:rFonts w:ascii="Times New Roman" w:hAnsi="Times New Roman" w:eastAsia="Times New Roman" w:cs="Times New Roman"/>
                <w:color w:val="1A1A1A"/>
                <w:sz w:val="22"/>
                <w:szCs w:val="22"/>
              </w:rPr>
              <w:t>$38-92B</w:t>
            </w:r>
          </w:p>
        </w:tc>
      </w:tr>
    </w:tbl>
    <w:p>
      <w:pPr>
        <w:pStyle w:val="Heading2"/>
        <w:spacing w:before="360"/>
      </w:pPr>
      <w:r>
        <w:rPr>
          <w:rFonts w:ascii="Times New Roman" w:hAnsi="Times New Roman" w:eastAsia="Times New Roman" w:cs="Times New Roman"/>
          <w:b/>
          <w:color w:val="2E5A6B"/>
          <w:sz w:val="24"/>
          <w:szCs w:val="24"/>
        </w:rPr>
        <w:t>I.11 Conclusion of Funding Framework</w:t>
      </w:r>
    </w:p>
    <w:p>
      <w:pPr>
        <w:pStyle w:val="Normal"/>
      </w:pPr>
      <w:r>
        <w:rPr>
          <w:rFonts w:ascii="Times New Roman" w:hAnsi="Times New Roman" w:eastAsia="Times New Roman" w:cs="Times New Roman"/>
          <w:color w:val="1A1A1A"/>
          <w:sz w:val="22"/>
          <w:szCs w:val="22"/>
        </w:rPr>
        <w:t>The aggregation of the aforementioned sovereign wealth funds, multilateral development banks, OECD DAC donors, and specialized international facilities establishes a sufficiently capitalized and highly diversified funding base for the MRF. By distributing the financial burden across multiple neutral and international channels, the framework ensures the political viability of the $270 billion 10-year target while insulating the reconstruction effort from bilateral political disputes.</w:t>
      </w:r>
    </w:p>
    <w:p>
      <w:pPr>
        <w:pStyle w:val="Normal"/>
      </w:pPr>
      <w:r>
        <w:rPr>
          <w:rFonts w:ascii="Times New Roman" w:hAnsi="Times New Roman" w:eastAsia="Times New Roman" w:cs="Times New Roman"/>
          <w:color w:val="1A1A1A"/>
          <w:sz w:val="22"/>
          <w:szCs w:val="22"/>
        </w:rPr>
        <w:t>The Mauritania case illustrates the emerging reality of concentrated multilateral engagement in strategically positioned developing economies. Mauritania advances a US$100 billion pipeline of planned green hydrogen projects, including Project Aman (30 GW) and Project Nour (10 GW), combining Saharan solar irradiation with continuous coastal desert winds and direct Atlantic shipping access. The Greater Tortue Ahmeyim (GTA) natural gas field launched LNG exports in early 2025, creating an active revenue stream flowing into the National Fund for Hydrocarbon Reserves (FNRH). The World Bank DREAM project anchors Mauritania's critical minerals and energy storage frameworks, turning the nation into a credible hub for co-financing alongside Team Europe, the UN, and major Gulf State sovereign wealth funds. These dynamics demonstrate that countries with strategic geographic and resource positioning attract disproportionate international financing flows, a pattern the NDF leverages through Iran's own energy, mineral, and geographic assets.</w:t>
      </w:r>
    </w:p>
    <w:sectPr>
      <w:headerReference w:type="default" r:id="R7b9786e5213440be"/>
      <w:footerReference w:type="default" r:id="Rf5d1ebb1ab544589"/>
      <w:pgSz w:w="11906" w:h="16838"/>
      <w:pgMar w:top="1440" w:right="1440" w:bottom="1440" w:left="1440" w:header="720" w:footer="720"/>
    </w:sectPr>
  </w:body>
</w:document>
</file>

<file path=word/footer1.xml><?xml version="1.0" encoding="utf-8"?>
<w:ftr xmlns:w="http://schemas.openxmlformats.org/wordprocessingml/2006/main">
  <w:p>
    <w:pPr>
      <w:jc w:val="center"/>
    </w:pPr>
    <w:r>
      <w:rPr>
        <w:color w:val="6a6a6a"/>
        <w:sz w:val="18"/>
      </w:rPr>
      <w:t xml:space="preserve">Page </w:t>
    </w:r>
    <w:r>
      <w:rPr>
        <w:color w:val="6a6a6a"/>
        <w:sz w:val="18"/>
      </w:rPr>
      <w:fldChar w:fldCharType="begin"/>
    </w:r>
    <w:r>
      <w:rPr>
        <w:color w:val="6a6a6a"/>
        <w:sz w:val="18"/>
      </w:rPr>
      <w:instrText xml:space="preserve"> PAGE </w:instrText>
    </w:r>
    <w:r>
      <w:rPr>
        <w:color w:val="6a6a6a"/>
        <w:sz w:val="18"/>
      </w:rPr>
      <w:fldChar w:fldCharType="separate"/>
    </w:r>
    <w:r>
      <w:rPr>
        <w:color w:val="6a6a6a"/>
        <w:sz w:val="18"/>
      </w:rPr>
      <w:t>1</w:t>
    </w:r>
    <w:r>
      <w:rPr>
        <w:color w:val="6a6a6a"/>
        <w:sz w:val="18"/>
      </w:rPr>
      <w:fldChar w:fldCharType="end"/>
    </w:r>
    <w:r>
      <w:rPr>
        <w:color w:val="6a6a6a"/>
        <w:sz w:val="18"/>
      </w:rPr>
      <w:t xml:space="preserve"> of </w:t>
    </w:r>
    <w:r>
      <w:rPr>
        <w:color w:val="6a6a6a"/>
        <w:sz w:val="18"/>
      </w:rPr>
      <w:fldChar w:fldCharType="begin"/>
    </w:r>
    <w:r>
      <w:rPr>
        <w:color w:val="6a6a6a"/>
        <w:sz w:val="18"/>
      </w:rPr>
      <w:instrText xml:space="preserve"> NUMPAGES </w:instrText>
    </w:r>
    <w:r>
      <w:rPr>
        <w:color w:val="6a6a6a"/>
        <w:sz w:val="18"/>
      </w:rPr>
      <w:fldChar w:fldCharType="separate"/>
    </w:r>
    <w:r>
      <w:rPr>
        <w:color w:val="6a6a6a"/>
        <w:sz w:val="18"/>
      </w:rPr>
      <w:t>1</w:t>
    </w:r>
    <w:r>
      <w:rPr>
        <w:color w:val="6a6a6a"/>
        <w:sz w:val="18"/>
      </w:rPr>
      <w:fldChar w:fldCharType="end"/>
    </w:r>
  </w:p>
</w:ftr>
</file>

<file path=word/header1.xml><?xml version="1.0" encoding="utf-8"?>
<w:hdr xmlns:w="http://schemas.openxmlformats.org/wordprocessingml/2006/main">
  <w:p>
    <w:pPr>
      <w:jc w:val="center"/>
    </w:pPr>
    <w:r>
      <w:rPr>
        <w:rFonts w:ascii="Times New Roman" w:hAnsi="Times New Roman"/>
        <w:color w:val="6a6a6a"/>
        <w:sz w:val="18"/>
      </w:rPr>
      <w:t>Annex RDF | Reconstruction and Development Fund Protocol</w:t>
    </w:r>
  </w:p>
</w:hdr>
</file>

<file path=word/numbering.xml><?xml version="1.0" encoding="utf-8"?>
<w:numbering xmlns:w="http://schemas.openxmlformats.org/wordprocessingml/2006/main">
  <w:abstractNum w:abstractNumId="1">
    <w:lvl w:ilvl="0">
      <w:numFmt w:val="decimal"/>
      <w:lvlText w:val="%1."/>
      <w:lvlJc w:val="left"/>
      <w:pPr>
        <w:ind w:left="720" w:hanging="360"/>
      </w:pPr>
    </w:lvl>
    <w:name w:val="List 1"/>
  </w:abstractNum>
  <w:num w:numId="1">
    <w:abstractNumId w:val="1"/>
  </w:num>
</w:numbering>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styleId="Normal" w:default="true">
    <w:name w:val="Normal"/>
    <w:pPr>
      <w:spacing w:after="120" w:line="288" w:lineRule="auto"/>
      <w:jc w:val="both"/>
    </w:pPr>
    <w:rPr>
      <w:rFonts w:ascii="Times New Roman" w:hAnsi="Times New Roman"/>
      <w:color w:val="1A1A1A"/>
      <w:sz w:val="22"/>
      <w:szCs w:val="22"/>
    </w:rPr>
  </w:style>
  <w:style w:type="paragraph" w:styleId="Heading1">
    <w:name w:val="heading 1"/>
    <w:basedOn w:val="Normal"/>
    <w:pPr>
      <w:keepNext/>
      <w:keepLines/>
      <w:pageBreakBefore/>
      <w:spacing w:before="200" w:after="200"/>
      <w:jc w:val="left"/>
      <w:outlineLvl w:val="0"/>
    </w:pPr>
    <w:rPr>
      <w:rFonts w:ascii="Times New Roman" w:hAnsi="Times New Roman"/>
      <w:b/>
      <w:color w:val="1B3A4B"/>
      <w:sz w:val="28"/>
      <w:szCs w:val="28"/>
    </w:rPr>
  </w:style>
  <w:style w:type="paragraph" w:styleId="Heading2">
    <w:name w:val="heading 2"/>
    <w:basedOn w:val="Normal"/>
    <w:pPr>
      <w:keepNext/>
      <w:keepLines/>
      <w:spacing w:before="200" w:after="80"/>
      <w:jc w:val="left"/>
      <w:outlineLvl w:val="1"/>
    </w:pPr>
    <w:rPr>
      <w:rFonts w:ascii="Times New Roman" w:hAnsi="Times New Roman"/>
      <w:b/>
      <w:color w:val="2E5A6B"/>
      <w:sz w:val="24"/>
      <w:szCs w:val="24"/>
    </w:rPr>
  </w:style>
  <w:style w:type="paragraph" w:styleId="Heading3">
    <w:name w:val="heading 3"/>
    <w:basedOn w:val="Normal"/>
    <w:pPr>
      <w:keepNext/>
      <w:keepLines/>
      <w:spacing w:before="160" w:after="60"/>
      <w:jc w:val="left"/>
      <w:outlineLvl w:val="2"/>
    </w:pPr>
    <w:rPr>
      <w:rFonts w:ascii="Times New Roman" w:hAnsi="Times New Roman"/>
      <w:b/>
      <w:i/>
      <w:color w:val="4A4A4A"/>
      <w:sz w:val="22"/>
      <w:szCs w:val="22"/>
    </w:rPr>
  </w:style>
</w:styles>
</file>

<file path=word/_rels/document.xml.rels><?xml version='1.0' encoding='UTF-8'?>
<Relationships xmlns="http://schemas.openxmlformats.org/package/2006/relationships"><Relationship Id="R7b9786e5213440be" Type="http://schemas.openxmlformats.org/officeDocument/2006/relationships/header" Target="header1.xml" /><Relationship Id="Rdb8ae3c6048a4d55" Type="http://schemas.openxmlformats.org/officeDocument/2006/relationships/settings" Target="settings.xml" /><Relationship Id="Re1890ce918e74ce7" Type="http://schemas.openxmlformats.org/officeDocument/2006/relationships/styles" Target="styles.xml" /><Relationship Id="Re2cf6dbe8bfb4939" Type="http://schemas.openxmlformats.org/officeDocument/2006/relationships/numbering" Target="numbering.xml" /><Relationship Id="Rf5d1ebb1ab544589" Type="http://schemas.openxmlformats.org/officeDocument/2006/relationships/footer" Target="footer1.xml" /></Relationships>
</file>