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60" w:before="200"/>
        <w:jc w:val="center"/>
      </w:pPr>
      <w:r>
        <w:rPr>
          <w:rFonts w:ascii="Arial" w:cs="Arial" w:eastAsia="Arial" w:hAnsi="Arial"/>
          <w:b/>
          <w:bCs/>
          <w:color w:val="A0526A"/>
          <w:sz w:val="20"/>
          <w:szCs w:val="20"/>
        </w:rPr>
        <w:t xml:space="preserve">DIPLOMATIC WORKING DOCUMENT — MODULAR ANNEX</w:t>
      </w:r>
    </w:p>
    <w:p>
      <w:pPr>
        <w:spacing w:after="40" w:before="40"/>
      </w:pPr>
      <w:r>
        <w:t xml:space="preserve"/>
      </w:r>
    </w:p>
    <w:p>
      <w:pPr>
        <w:spacing w:after="60" w:before="200"/>
        <w:jc w:val="center"/>
      </w:pPr>
      <w:r>
        <w:rPr>
          <w:rFonts w:ascii="Arial" w:cs="Arial" w:eastAsia="Arial" w:hAnsi="Arial"/>
          <w:b/>
          <w:bCs/>
          <w:color w:val="4A1020"/>
          <w:sz w:val="60"/>
          <w:szCs w:val="60"/>
        </w:rPr>
        <w:t xml:space="preserve">Annex J</w:t>
      </w:r>
    </w:p>
    <w:p>
      <w:pPr>
        <w:spacing w:after="40" w:before="0"/>
        <w:jc w:val="center"/>
      </w:pPr>
      <w:r>
        <w:rPr>
          <w:rFonts w:ascii="Arial" w:cs="Arial" w:eastAsia="Arial" w:hAnsi="Arial"/>
          <w:b/>
          <w:bCs/>
          <w:color w:val="7B2840"/>
          <w:sz w:val="30"/>
          <w:szCs w:val="30"/>
        </w:rPr>
        <w:t xml:space="preserve">Lebanon Linkage: Parallel Binding Ceasefire</w:t>
      </w:r>
    </w:p>
    <w:p>
      <w:pPr>
        <w:spacing w:after="100" w:before="0"/>
        <w:jc w:val="center"/>
      </w:pPr>
      <w:r>
        <w:rPr>
          <w:rFonts w:ascii="Arial" w:cs="Arial" w:eastAsia="Arial" w:hAnsi="Arial"/>
          <w:b/>
          <w:bCs/>
          <w:color w:val="7B2840"/>
          <w:sz w:val="30"/>
          <w:szCs w:val="30"/>
        </w:rPr>
        <w:t xml:space="preserve">with Separate Enforcement</w:t>
      </w:r>
    </w:p>
    <w:p>
      <w:pPr>
        <w:spacing w:after="200" w:before="0"/>
        <w:jc w:val="center"/>
      </w:pPr>
      <w:r>
        <w:rPr>
          <w:rFonts w:ascii="Arial" w:cs="Arial" w:eastAsia="Arial" w:hAnsi="Arial"/>
          <w:color w:val="4A1020"/>
          <w:sz w:val="20"/>
          <w:szCs w:val="20"/>
        </w:rPr>
        <w:t xml:space="preserve">Full-Spectrum Regional Ceasefire · Decoupled Nuclear and Maritime Cores · Reciprocal Influence Architecture</w:t>
      </w:r>
    </w:p>
    <w:p>
      <w:pPr>
        <w:pBdr>
          <w:bottom w:val="single" w:color="4A1020" w:sz="6"/>
        </w:pBdr>
        <w:spacing w:after="100" w:before="100"/>
      </w:pPr>
      <w:r>
        <w:rPr>
          <w:rFonts w:ascii="Arial" w:cs="Arial" w:eastAsia="Arial" w:hAnsi="Arial"/>
          <w:sz w:val="4"/>
          <w:szCs w:val="4"/>
        </w:rPr>
        <w:t xml:space="preserve"/>
      </w:r>
    </w:p>
    <w:p>
      <w:pPr>
        <w:spacing w:after="40" w:before="40"/>
      </w:pPr>
      <w:r>
        <w:t xml:space="preserve"/>
      </w:r>
    </w:p>
    <w:p>
      <w:pPr>
        <w:spacing w:after="40" w:before="80"/>
        <w:jc w:val="center"/>
      </w:pPr>
      <w:r>
        <w:rPr>
          <w:rFonts w:ascii="Arial" w:cs="Arial" w:eastAsia="Arial" w:hAnsi="Arial"/>
          <w:color w:val="000000"/>
          <w:sz w:val="22"/>
          <w:szCs w:val="22"/>
        </w:rPr>
        <w:t xml:space="preserve">Self-Contained  ·  Incorporable by Reference</w:t>
      </w:r>
    </w:p>
    <w:p>
      <w:pPr>
        <w:spacing w:after="40" w:before="40"/>
        <w:jc w:val="center"/>
      </w:pPr>
      <w:r>
        <w:rPr>
          <w:rFonts w:ascii="Arial" w:cs="Arial" w:eastAsia="Arial" w:hAnsi="Arial"/>
          <w:color w:val="4A1020"/>
          <w:sz w:val="22"/>
          <w:szCs w:val="22"/>
        </w:rPr>
        <w:t xml:space="preserve">Operationalizes MOU Article 6.1 and Annex U-1 — Closes Gap 5 (Lebanon Linkage)</w:t>
      </w:r>
    </w:p>
    <w:p>
      <w:pPr>
        <w:spacing w:after="40" w:before="40"/>
      </w:pPr>
      <w:r>
        <w:t xml:space="preserve"/>
      </w:r>
    </w:p>
    <w:p>
      <w:pPr>
        <w:pBdr>
          <w:bottom w:val="single" w:color="4A1020" w:sz="6"/>
        </w:pBdr>
        <w:spacing w:after="100" w:before="100"/>
      </w:pPr>
      <w:r>
        <w:rPr>
          <w:rFonts w:ascii="Arial" w:cs="Arial" w:eastAsia="Arial" w:hAnsi="Arial"/>
          <w:sz w:val="4"/>
          <w:szCs w:val="4"/>
        </w:rPr>
        <w:t xml:space="preserve"/>
      </w:r>
    </w:p>
    <w:p>
      <w:pPr>
        <w:spacing w:after="40" w:before="40"/>
      </w:pPr>
      <w:r>
        <w:t xml:space="preserve"/>
      </w:r>
    </w:p>
    <w:p>
      <w:pPr>
        <w:spacing w:after="40" w:before="80"/>
        <w:jc w:val="center"/>
      </w:pPr>
      <w:r>
        <w:rPr>
          <w:rFonts w:ascii="Arial" w:cs="Arial" w:eastAsia="Arial" w:hAnsi="Arial"/>
          <w:b/>
          <w:bCs/>
          <w:color w:val="7B2840"/>
          <w:sz w:val="22"/>
          <w:szCs w:val="22"/>
        </w:rPr>
        <w:t xml:space="preserve">Version 1.0 — June 2026</w:t>
      </w:r>
    </w:p>
    <w:p>
      <w:pPr>
        <w:spacing w:after="60" w:before="60"/>
        <w:jc w:val="center"/>
      </w:pPr>
      <w:r>
        <w:rPr>
          <w:rFonts w:ascii="Arial" w:cs="Arial" w:eastAsia="Arial" w:hAnsi="Arial"/>
          <w:b/>
          <w:bCs/>
          <w:color w:val="A0526A"/>
          <w:sz w:val="18"/>
          <w:szCs w:val="18"/>
        </w:rPr>
        <w:t xml:space="preserve">AUTHORIZED NEGOTIATORS ONLY — CONFIDENTIAL — NOT FOR PUBLIC DISTRIBUTION</w:t>
      </w:r>
    </w:p>
    <w:p>
      <w:r>
        <w:br w:type="page"/>
      </w:r>
    </w:p>
    <w:p>
      <w:pPr>
        <w:pStyle w:val="Heading1"/>
        <w:shd w:fill="4A1020" w:val="clear"/>
        <w:spacing w:after="120" w:before="240"/>
      </w:pPr>
      <w:r>
        <w:rPr>
          <w:rFonts w:ascii="Arial" w:cs="Arial" w:eastAsia="Arial" w:hAnsi="Arial"/>
          <w:b/>
          <w:bCs/>
          <w:color w:val="FFFFFF"/>
          <w:sz w:val="30"/>
          <w:szCs w:val="30"/>
        </w:rPr>
        <w:t xml:space="preserve">Table of Contents</w:t>
      </w:r>
    </w:p>
    <w:p>
      <w:pPr>
        <w:spacing w:after="40" w:before="4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4A1020" w:val="clear"/>
        <w:spacing w:after="120" w:before="240"/>
      </w:pPr>
      <w:r>
        <w:rPr>
          <w:rFonts w:ascii="Arial" w:cs="Arial" w:eastAsia="Arial" w:hAnsi="Arial"/>
          <w:b/>
          <w:bCs/>
          <w:color w:val="FFFFFF"/>
          <w:sz w:val="30"/>
          <w:szCs w:val="30"/>
        </w:rPr>
        <w:t xml:space="preserve">Preamble</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The Collision This Annex Resolves</w:t>
      </w:r>
    </w:p>
    <w:p>
      <w:pPr>
        <w:spacing w:after="80" w:before="80" w:line="276" w:lineRule="auto"/>
        <w:jc w:val="both"/>
      </w:pPr>
      <w:r>
        <w:rPr>
          <w:rFonts w:ascii="Arial" w:cs="Arial" w:eastAsia="Arial" w:hAnsi="Arial"/>
          <w:b w:val="false"/>
          <w:bCs w:val="false"/>
          <w:i w:val="false"/>
          <w:iCs w:val="false"/>
          <w:color w:val="000000"/>
          <w:sz w:val="22"/>
          <w:szCs w:val="22"/>
        </w:rPr>
        <w:t xml:space="preserve">The Lebanon linkage question is the hardest structural problem in the MOU Pertaining to PEACE. Iran characterizes Lebanon as an "essential condition" and "inseparable part" of any nuclear agreement — without visible progress on Lebanon, no Iranian government defends the nuclear concessions domestically. The United States refuses any formal linkage that creates an Iranian veto over Israeli military action in Lebanon, or that allows a regional front to collapse the nuclear and maritime cores.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Both positions are non-negotiable in their own terms. This Annex resolves them not by asking either side to abandon its position, but by building an architecture in which both positions are simultaneously operative — through separate legal tracks, separate enforcement, and symmetric language that each side characterizes to its own audience in its own vocabulary.</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The Bridge</w:t>
      </w:r>
    </w:p>
    <w:p>
      <w:pPr>
        <w:spacing w:after="80" w:before="80" w:line="276" w:lineRule="auto"/>
        <w:jc w:val="both"/>
      </w:pPr>
      <w:r>
        <w:rPr>
          <w:rFonts w:ascii="Arial" w:cs="Arial" w:eastAsia="Arial" w:hAnsi="Arial"/>
          <w:b w:val="false"/>
          <w:bCs w:val="false"/>
          <w:i w:val="false"/>
          <w:iCs w:val="false"/>
          <w:color w:val="000000"/>
          <w:sz w:val="22"/>
          <w:szCs w:val="22"/>
        </w:rPr>
        <w:t xml:space="preserve">The ceasefire explicitly covers all fronts, including Lebanon, Gaza, Syria, and Yemen. Iran reads this as confirmation that Lebanon is part of the deal. The nuclear and maritime cores are legally firewalled from automatic ceasefire breach consequences. The United States reads this as confirmation that Articles 2–5 remain independent. A breach on the Lebanon front triggers mandatory consultation and, where direct impairment is proven through a rigorous PCC process, a proportional and reversible suspension of non-core benefits. It does not automatically suspend nuclear custody, freedom of navigation, or humanitarian escrow releases.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influence commitment is symmetric: Iran commits best efforts to prevent Lebanese parties from launching cross-border attacks; the United States commits best efforts to prevent Israeli operations that materially undermine the ceasefire. Neither side controls its respective party; both sides exercise influence. The language is publicly defensible in both capitals because it is accurate in both capitals.</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Relationship to Existing Instruments</w:t>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operationalizes and expands MOU Article 6.1 (The Rolling Ceasefire and Regional Stabilization Rounds), Article 6.2 (Territorial Freeze-in-Place), and Annex U-1 (Lebanon Ceasefire Implementation) into a fully-structured operative instrument. It is read alongside Annex M (Territorial Baseline and Ceasefire Demarcation Protocol) and Annex U (Technical Demarcation and Stabilization Addendum), which govern the territorial dimensions of the freeze-in-place. In the event of conflict between this Annex and Annex U-1 on a matter of Lebanese ceasefire enforcement, this Annex governs.</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Modularity Clause</w:t>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is self-contained and is incorporable into any existing or future agreement between the Parties through a single sentence of adoption. It does not amend or supersede conflicting provisions of any parent framework unless the Parties explicitly so agree. In the event of inconsistency, this Annex governs with respect to the Lebanon linkage architecture, the rolling ceasefire, the impairment adjudication process, the Regional Stabilization Rounds, and the reciprocal influence commitment.</w:t>
      </w:r>
    </w:p>
    <w:p>
      <w:r>
        <w:br w:type="page"/>
      </w:r>
    </w:p>
    <w:p>
      <w:pPr>
        <w:pStyle w:val="Heading1"/>
        <w:shd w:fill="4A1020" w:val="clear"/>
        <w:spacing w:after="120" w:before="240"/>
      </w:pPr>
      <w:r>
        <w:rPr>
          <w:rFonts w:ascii="Arial" w:cs="Arial" w:eastAsia="Arial" w:hAnsi="Arial"/>
          <w:b/>
          <w:bCs/>
          <w:color w:val="FFFFFF"/>
          <w:sz w:val="30"/>
          <w:szCs w:val="30"/>
        </w:rPr>
        <w:t xml:space="preserve">Article 1: Definitions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"Rolling Ceasefire"</w:t>
      </w:r>
    </w:p>
    <w:p>
      <w:pPr>
        <w:spacing w:after="80" w:before="80" w:line="276" w:lineRule="auto"/>
        <w:jc w:val="both"/>
      </w:pPr>
      <w:r>
        <w:rPr>
          <w:rFonts w:ascii="Arial" w:cs="Arial" w:eastAsia="Arial" w:hAnsi="Arial"/>
          <w:b w:val="false"/>
          <w:bCs w:val="false"/>
          <w:i w:val="false"/>
          <w:iCs w:val="false"/>
          <w:color w:val="000000"/>
          <w:sz w:val="22"/>
          <w:szCs w:val="22"/>
        </w:rPr>
        <w:t xml:space="preserve">The multi-front ceasefire that enters into force across Lebanon, Gaza, Syria, and Yemen simultaneously with MOU signature, operating for an initial 60-day period and renewing automatically for successive 30-day periods unless either Party gives written notice of non-renewal at least 15 days before expiry.</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"Core Protections"</w:t>
      </w:r>
    </w:p>
    <w:p>
      <w:pPr>
        <w:spacing w:after="80" w:before="80" w:line="276" w:lineRule="auto"/>
        <w:jc w:val="both"/>
      </w:pPr>
      <w:r>
        <w:rPr>
          <w:rFonts w:ascii="Arial" w:cs="Arial" w:eastAsia="Arial" w:hAnsi="Arial"/>
          <w:b w:val="false"/>
          <w:bCs w:val="false"/>
          <w:i w:val="false"/>
          <w:iCs w:val="false"/>
          <w:color w:val="000000"/>
          <w:sz w:val="22"/>
          <w:szCs w:val="22"/>
        </w:rPr>
        <w:t xml:space="preserve">The three obligations that survive all ceasefire breach consequences regardless of PCC determinations: (a) nuclear custody under the dual-lock protocol of Annex Y; (b) freedom of navigation through the Hormuz transit corridor; and (c) humanitarian escrow releases designated under Annex T's Humanitarian Firewall. No ceasefire breach — on any front, of any severity — suspends, delays, or conditions any Core Protection.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"Non-Core Benefits"</w:t>
      </w:r>
    </w:p>
    <w:p>
      <w:pPr>
        <w:spacing w:after="80" w:before="80" w:line="276" w:lineRule="auto"/>
        <w:jc w:val="both"/>
      </w:pPr>
      <w:r>
        <w:rPr>
          <w:rFonts w:ascii="Arial" w:cs="Arial" w:eastAsia="Arial" w:hAnsi="Arial"/>
          <w:b w:val="false"/>
          <w:bCs w:val="false"/>
          <w:i w:val="false"/>
          <w:iCs w:val="false"/>
          <w:color w:val="000000"/>
          <w:sz w:val="22"/>
          <w:szCs w:val="22"/>
        </w:rPr>
        <w:t xml:space="preserve">All benefits, releases, and reciprocal gestures under the MOU other than the Core Protections. Non-Core Benefits are the only category eligible for suspension under the impairment adjudication process of Article 5.</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"Material Impairment"</w:t>
      </w:r>
    </w:p>
    <w:p>
      <w:pPr>
        <w:spacing w:after="80" w:before="80" w:line="276" w:lineRule="auto"/>
        <w:jc w:val="both"/>
      </w:pPr>
      <w:r>
        <w:rPr>
          <w:rFonts w:ascii="Arial" w:cs="Arial" w:eastAsia="Arial" w:hAnsi="Arial"/>
          <w:b w:val="false"/>
          <w:bCs w:val="false"/>
          <w:i w:val="false"/>
          <w:iCs w:val="false"/>
          <w:color w:val="000000"/>
          <w:sz w:val="22"/>
          <w:szCs w:val="22"/>
        </w:rPr>
        <w:t xml:space="preserve">A PCC determination that a verified ceasefire breach on any front directly and non-speculatively prevents the impaired Party from performing a specific obligation under Articles 2–5 of the MOU. Impairment is not material if the connection between the breach and the Article 2–5 obligation is indirect, speculative, or dependent on intermediate causation that the breaching Party did not control.</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"Influence Commitment"</w:t>
      </w:r>
    </w:p>
    <w:p>
      <w:pPr>
        <w:spacing w:after="80" w:before="80" w:line="276" w:lineRule="auto"/>
        <w:jc w:val="both"/>
      </w:pPr>
      <w:r>
        <w:rPr>
          <w:rFonts w:ascii="Arial" w:cs="Arial" w:eastAsia="Arial" w:hAnsi="Arial"/>
          <w:b w:val="false"/>
          <w:bCs w:val="false"/>
          <w:i w:val="false"/>
          <w:iCs w:val="false"/>
          <w:color w:val="000000"/>
          <w:sz w:val="22"/>
          <w:szCs w:val="22"/>
        </w:rPr>
        <w:t xml:space="preserve">The best-efforts obligation of each Party to use its diplomatic, political, and relational tools to influence — but not control — the behavior of parties over which it has significant but not determinative influence. An Influence Commitment is not a guarantee, a directive, or a strict liability obligation. A Party's failure to prevent an action it genuinely attempted to prevent does not constitute a breach of its Influence Commitment, provided it took documented good-faith steps.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"Direct Material Support"</w:t>
      </w:r>
    </w:p>
    <w:p>
      <w:pPr>
        <w:spacing w:after="80" w:before="80" w:line="276" w:lineRule="auto"/>
        <w:jc w:val="both"/>
      </w:pPr>
      <w:r>
        <w:rPr>
          <w:rFonts w:ascii="Arial" w:cs="Arial" w:eastAsia="Arial" w:hAnsi="Arial"/>
          <w:b w:val="false"/>
          <w:bCs w:val="false"/>
          <w:i w:val="false"/>
          <w:iCs w:val="false"/>
          <w:color w:val="000000"/>
          <w:sz w:val="22"/>
          <w:szCs w:val="22"/>
        </w:rPr>
        <w:t xml:space="preserve">The provision of weapons, funding, or operational planning assistance to a Lebanese party for the purpose of cross-border attacks from Lebanese territory. Direct Material Support excludes: political or diplomatic support; historical weapons transfers occurring before the MOU's entry into force; and humanitarian, educational, or civilian infrastructure assistance that is not operationally directed at attack planning.</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"Regional Stabilization Round"</w:t>
      </w:r>
    </w:p>
    <w:p>
      <w:pPr>
        <w:spacing w:after="80" w:before="80" w:line="276" w:lineRule="auto"/>
        <w:jc w:val="both"/>
      </w:pPr>
      <w:r>
        <w:rPr>
          <w:rFonts w:ascii="Arial" w:cs="Arial" w:eastAsia="Arial" w:hAnsi="Arial"/>
          <w:b w:val="false"/>
          <w:bCs w:val="false"/>
          <w:i w:val="false"/>
          <w:iCs w:val="false"/>
          <w:color w:val="000000"/>
          <w:sz w:val="22"/>
          <w:szCs w:val="22"/>
        </w:rPr>
        <w:t xml:space="preserve">A structured diplomatic consultation session on a specific regional front, convened on the fixed calendar established in Article 7 of this Annex, facilitated by the Pakistan/Oman facilitation team. Good-faith participation is the sole obligation; no outcome is required. A Regional Stabilization Round does not constitute negotiation of a comprehensive regional settlement and is not construed as recognition by any Party of any other Party's political position on the front in question.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"Lebanon Ceasefire Monitoring Body" (LCMB)</w:t>
      </w:r>
    </w:p>
    <w:p>
      <w:pPr>
        <w:spacing w:after="80" w:before="80" w:line="276" w:lineRule="auto"/>
        <w:jc w:val="both"/>
      </w:pPr>
      <w:r>
        <w:rPr>
          <w:rFonts w:ascii="Arial" w:cs="Arial" w:eastAsia="Arial" w:hAnsi="Arial"/>
          <w:b w:val="false"/>
          <w:bCs w:val="false"/>
          <w:i w:val="false"/>
          <w:iCs w:val="false"/>
          <w:color w:val="000000"/>
          <w:sz w:val="22"/>
          <w:szCs w:val="22"/>
        </w:rPr>
        <w:t xml:space="preserve">A technical monitoring body, established under Article 3 of this Annex, comprising one representative each from the United States, Iran, Lebanon (by invitation), and two guarantor states, with an independent chair appointed by the Pakistan/Oman facilitation team. The LCMB receives ceasefire compliance reports, reviews Shared Digital Registry data for the Lebanese front, and provides technical input to the PCC on impairment claims. The LCMB has no enforcement authority; its findings are advisory to the PCC.</w:t>
      </w:r>
    </w:p>
    <w:p>
      <w:r>
        <w:br w:type="page"/>
      </w:r>
    </w:p>
    <w:p>
      <w:pPr>
        <w:pStyle w:val="Heading1"/>
        <w:shd w:fill="4A1020" w:val="clear"/>
        <w:spacing w:after="120" w:before="240"/>
      </w:pPr>
      <w:r>
        <w:rPr>
          <w:rFonts w:ascii="Arial" w:cs="Arial" w:eastAsia="Arial" w:hAnsi="Arial"/>
          <w:b/>
          <w:bCs/>
          <w:color w:val="FFFFFF"/>
          <w:sz w:val="30"/>
          <w:szCs w:val="30"/>
        </w:rPr>
        <w:t xml:space="preserve">Article 2: The Rolling Ceasefire</w:t>
      </w:r>
    </w:p>
    <w:p>
      <w:pPr>
        <w:shd w:fill="7B2840"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2.1  Scope and Entry into Force</w:t>
      </w:r>
    </w:p>
    <w:p>
      <w:pPr>
        <w:spacing w:after="80" w:before="80" w:line="276" w:lineRule="auto"/>
        <w:jc w:val="both"/>
      </w:pPr>
      <w:r>
        <w:rPr>
          <w:rFonts w:ascii="Arial" w:cs="Arial" w:eastAsia="Arial" w:hAnsi="Arial"/>
          <w:b w:val="false"/>
          <w:bCs w:val="false"/>
          <w:i w:val="false"/>
          <w:iCs w:val="false"/>
          <w:color w:val="000000"/>
          <w:sz w:val="22"/>
          <w:szCs w:val="22"/>
        </w:rPr>
        <w:t xml:space="preserve">A ceasefire enters into force simultaneously with MOU signature across the following fronts: Lebanon; Gaza; Syria; and Yemen. The ceasefire operates for an initial 60-day period from the date of MOU signature. It renews automatically for successive 30-day periods unless either Party transmits written notice of non-renewal to the Pakistan/Oman facilitation team and the PCC Secretariat at least 15 days before the current period's expiry.</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2.2  What the Ceasefire Covers</w:t>
      </w:r>
    </w:p>
    <w:p>
      <w:pPr>
        <w:spacing w:after="80" w:before="80" w:line="276" w:lineRule="auto"/>
        <w:jc w:val="both"/>
      </w:pPr>
      <w:r>
        <w:rPr>
          <w:rFonts w:ascii="Arial" w:cs="Arial" w:eastAsia="Arial" w:hAnsi="Arial"/>
          <w:b w:val="false"/>
          <w:bCs w:val="false"/>
          <w:i w:val="false"/>
          <w:iCs w:val="false"/>
          <w:color w:val="000000"/>
          <w:sz w:val="22"/>
          <w:szCs w:val="22"/>
        </w:rPr>
        <w:t xml:space="preserve">On each front, the ceasefire covers:</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Active offensive military operations by either Party's armed forces or forces under either Party's direct operational command;</w:t>
      </w:r>
    </w:p>
    <w:p>
      <w:pPr>
        <w:pStyle w:val="ListParagraph"/>
        <w:numPr>
          <w:ilvl w:val="0"/>
          <w:numId w:val="2"/>
        </w:numPr>
        <w:spacing w:after="60" w:before="60"/>
      </w:pPr>
      <w:r>
        <w:rPr>
          <w:rFonts w:ascii="Arial" w:cs="Arial" w:eastAsia="Arial" w:hAnsi="Arial"/>
          <w:sz w:val="22"/>
          <w:szCs w:val="22"/>
        </w:rPr>
        <w:t xml:space="preserve">Cross-border attacks from any covered front into adjacent territories, where either Party provides Direct Material Support to the attacking party;</w:t>
      </w:r>
    </w:p>
    <w:p>
      <w:pPr>
        <w:pStyle w:val="ListParagraph"/>
        <w:numPr>
          <w:ilvl w:val="0"/>
          <w:numId w:val="2"/>
        </w:numPr>
        <w:spacing w:after="60" w:before="60"/>
      </w:pPr>
      <w:r>
        <w:rPr>
          <w:rFonts w:ascii="Arial" w:cs="Arial" w:eastAsia="Arial" w:hAnsi="Arial"/>
          <w:sz w:val="22"/>
          <w:szCs w:val="22"/>
        </w:rPr>
        <w:t xml:space="preserve">Advancement of military positions beyond any freeze-in-place line established under Annex M or Annex U for the relevant front.</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2.3  What the Ceasefire Does Not Cover</w:t>
      </w:r>
    </w:p>
    <w:p>
      <w:pPr>
        <w:spacing w:after="80" w:before="80" w:line="276" w:lineRule="auto"/>
        <w:jc w:val="both"/>
      </w:pPr>
      <w:r>
        <w:rPr>
          <w:rFonts w:ascii="Arial" w:cs="Arial" w:eastAsia="Arial" w:hAnsi="Arial"/>
          <w:b w:val="false"/>
          <w:bCs w:val="false"/>
          <w:i w:val="false"/>
          <w:iCs w:val="false"/>
          <w:color w:val="000000"/>
          <w:sz w:val="22"/>
          <w:szCs w:val="22"/>
        </w:rPr>
        <w:t xml:space="preserve">The ceasefire explicitly does not cover:</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Actions by non-state actors that neither Party directs, commands, or for which either Party provides Direct Material Support;</w:t>
      </w:r>
    </w:p>
    <w:p>
      <w:pPr>
        <w:pStyle w:val="ListParagraph"/>
        <w:numPr>
          <w:ilvl w:val="0"/>
          <w:numId w:val="2"/>
        </w:numPr>
        <w:spacing w:after="60" w:before="60"/>
      </w:pPr>
      <w:r>
        <w:rPr>
          <w:rFonts w:ascii="Arial" w:cs="Arial" w:eastAsia="Arial" w:hAnsi="Arial"/>
          <w:sz w:val="22"/>
          <w:szCs w:val="22"/>
        </w:rPr>
        <w:t xml:space="preserve">Israeli military operations in Syria against Iranian or Hezbollah-affiliated targets, which are governed exclusively by MOU Article 13.5 and fall outside this Annex's breach architecture;</w:t>
      </w:r>
    </w:p>
    <w:p>
      <w:pPr>
        <w:pStyle w:val="ListParagraph"/>
        <w:numPr>
          <w:ilvl w:val="0"/>
          <w:numId w:val="2"/>
        </w:numPr>
        <w:spacing w:after="60" w:before="60"/>
      </w:pPr>
      <w:r>
        <w:rPr>
          <w:rFonts w:ascii="Arial" w:cs="Arial" w:eastAsia="Arial" w:hAnsi="Arial"/>
          <w:sz w:val="22"/>
          <w:szCs w:val="22"/>
        </w:rPr>
        <w:t xml:space="preserve">Defensive actions within existing positions in response to an active ongoing armed attack;</w:t>
      </w:r>
    </w:p>
    <w:p>
      <w:pPr>
        <w:pStyle w:val="ListParagraph"/>
        <w:numPr>
          <w:ilvl w:val="0"/>
          <w:numId w:val="2"/>
        </w:numPr>
        <w:spacing w:after="60" w:before="60"/>
      </w:pPr>
      <w:r>
        <w:rPr>
          <w:rFonts w:ascii="Arial" w:cs="Arial" w:eastAsia="Arial" w:hAnsi="Arial"/>
          <w:sz w:val="22"/>
          <w:szCs w:val="22"/>
        </w:rPr>
        <w:t xml:space="preserve">Humanitarian, medical, evacuation, and civil protection operations by any party.</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2.4  Relationship to Existing Ceasefire Instruments</w:t>
      </w:r>
    </w:p>
    <w:p>
      <w:pPr>
        <w:spacing w:after="80" w:before="80" w:line="276" w:lineRule="auto"/>
        <w:jc w:val="both"/>
      </w:pPr>
      <w:r>
        <w:rPr>
          <w:rFonts w:ascii="Arial" w:cs="Arial" w:eastAsia="Arial" w:hAnsi="Arial"/>
          <w:b w:val="false"/>
          <w:bCs w:val="false"/>
          <w:i w:val="false"/>
          <w:iCs w:val="false"/>
          <w:color w:val="000000"/>
          <w:sz w:val="22"/>
          <w:szCs w:val="22"/>
        </w:rPr>
        <w:t xml:space="preserve">Where a separate ceasefire instrument — including UNSCR 2803 and any successor resolutions — governs a specific front, this Annex supplements and does not replace that instrument. In the event of inconsistency between this Annex and an existing ceasefire instrument on a matter of breach consequence or enforcement, this Annex governs as between the Parties to the MOU. The Parties do not construe this Annex as superseding their obligations under binding UN Security Council resolutions vis-à-vis third parties.</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2.5  Automatic Renewal and Non-Renewal Notice</w:t>
      </w:r>
    </w:p>
    <w:p>
      <w:pPr>
        <w:spacing w:after="80" w:before="80" w:line="276" w:lineRule="auto"/>
        <w:jc w:val="both"/>
      </w:pPr>
      <w:r>
        <w:rPr>
          <w:rFonts w:ascii="Arial" w:cs="Arial" w:eastAsia="Arial" w:hAnsi="Arial"/>
          <w:b w:val="false"/>
          <w:bCs w:val="false"/>
          <w:i w:val="false"/>
          <w:iCs w:val="false"/>
          <w:color w:val="000000"/>
          <w:sz w:val="22"/>
          <w:szCs w:val="22"/>
        </w:rPr>
        <w:t xml:space="preserve">Silence on the non-renewal question constitutes automatic renewal. A non-renewal notice by either Party applies only to the front or fronts specified in the notice; the ceasefire continues on all other fronts unless separately noticed. A non-renewal notice is irrevocable once transmitted unless both Parties jointly withdraw it within 48 hours of transmission. Non-renewal of the ceasefire on any front does not constitute a breach of the MOU and does not trigger any penalty under Annex T. The Core Protections continue regardless of ceasefire status.</w:t>
      </w:r>
    </w:p>
    <w:p>
      <w:r>
        <w:br w:type="page"/>
      </w:r>
    </w:p>
    <w:p>
      <w:pPr>
        <w:pStyle w:val="Heading1"/>
        <w:shd w:fill="4A1020" w:val="clear"/>
        <w:spacing w:after="120" w:before="240"/>
      </w:pPr>
      <w:r>
        <w:rPr>
          <w:rFonts w:ascii="Arial" w:cs="Arial" w:eastAsia="Arial" w:hAnsi="Arial"/>
          <w:b/>
          <w:bCs/>
          <w:color w:val="FFFFFF"/>
          <w:sz w:val="30"/>
          <w:szCs w:val="30"/>
        </w:rPr>
        <w:t xml:space="preserve">Article 3: Lebanon Ceasefire Implementation</w:t>
      </w:r>
    </w:p>
    <w:p>
      <w:pPr>
        <w:shd w:fill="7B2840"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3.1  Freeze-in-Place of Lebanese Front Positions</w:t>
      </w:r>
    </w:p>
    <w:p>
      <w:pPr>
        <w:spacing w:after="80" w:before="80" w:line="276" w:lineRule="auto"/>
        <w:jc w:val="both"/>
      </w:pPr>
      <w:r>
        <w:rPr>
          <w:rFonts w:ascii="Arial" w:cs="Arial" w:eastAsia="Arial" w:hAnsi="Arial"/>
          <w:b w:val="false"/>
          <w:bCs w:val="false"/>
          <w:i w:val="false"/>
          <w:iCs w:val="false"/>
          <w:color w:val="000000"/>
          <w:sz w:val="22"/>
          <w:szCs w:val="22"/>
        </w:rPr>
        <w:t xml:space="preserve">The ceasefire in Lebanon includes a freeze-in-place of all military positions on the Lebanese front as of the date of MOU signature. The precise positions are recorded in Annex M (Territorial Baseline and Ceasefire Demarcation Protocol) and are deposited with the PCC Secretariat in a classified annex. No party advances, repositions, or constructs new fortifications beyond those positions for the duration of the ceasefire.</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3.2  Iran's Influence Commitment on Lebanese Parties</w:t>
      </w:r>
    </w:p>
    <w:p>
      <w:pPr>
        <w:spacing w:after="80" w:before="80" w:line="276" w:lineRule="auto"/>
        <w:jc w:val="both"/>
      </w:pPr>
      <w:r>
        <w:rPr>
          <w:rFonts w:ascii="Arial" w:cs="Arial" w:eastAsia="Arial" w:hAnsi="Arial"/>
          <w:b w:val="false"/>
          <w:bCs w:val="false"/>
          <w:i w:val="false"/>
          <w:iCs w:val="false"/>
          <w:color w:val="000000"/>
          <w:sz w:val="22"/>
          <w:szCs w:val="22"/>
        </w:rPr>
        <w:t xml:space="preserve">Iran commits to using its influence — through diplomatic, political, and relational channels — to prevent any Lebanese party with which it has significant relations from launching cross-border attacks from Lebanese territory into Israel or any other adjacent territory for the duration of the ceasefire.</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This commitment is an Influence Commitment as defined in Article 1. It does not require Iran to:</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Control, direct, or command any Lebanese party that operates independently of Iran;</w:t>
      </w:r>
    </w:p>
    <w:p>
      <w:pPr>
        <w:pStyle w:val="ListParagraph"/>
        <w:numPr>
          <w:ilvl w:val="0"/>
          <w:numId w:val="2"/>
        </w:numPr>
        <w:spacing w:after="60" w:before="60"/>
      </w:pPr>
      <w:r>
        <w:rPr>
          <w:rFonts w:ascii="Arial" w:cs="Arial" w:eastAsia="Arial" w:hAnsi="Arial"/>
          <w:sz w:val="22"/>
          <w:szCs w:val="22"/>
        </w:rPr>
        <w:t xml:space="preserve">Take responsibility for actions by Lebanese parties that Iran genuinely attempted to prevent through documented good-faith efforts;</w:t>
      </w:r>
    </w:p>
    <w:p>
      <w:pPr>
        <w:pStyle w:val="ListParagraph"/>
        <w:numPr>
          <w:ilvl w:val="0"/>
          <w:numId w:val="2"/>
        </w:numPr>
        <w:spacing w:after="60" w:before="60"/>
      </w:pPr>
      <w:r>
        <w:rPr>
          <w:rFonts w:ascii="Arial" w:cs="Arial" w:eastAsia="Arial" w:hAnsi="Arial"/>
          <w:sz w:val="22"/>
          <w:szCs w:val="22"/>
        </w:rPr>
        <w:t xml:space="preserve">Terminate political, diplomatic, or civilian humanitarian relationships with any Lebanese party;</w:t>
      </w:r>
    </w:p>
    <w:p>
      <w:pPr>
        <w:pStyle w:val="ListParagraph"/>
        <w:numPr>
          <w:ilvl w:val="0"/>
          <w:numId w:val="2"/>
        </w:numPr>
        <w:spacing w:after="60" w:before="60"/>
      </w:pPr>
      <w:r>
        <w:rPr>
          <w:rFonts w:ascii="Arial" w:cs="Arial" w:eastAsia="Arial" w:hAnsi="Arial"/>
          <w:sz w:val="22"/>
          <w:szCs w:val="22"/>
        </w:rPr>
        <w:t xml:space="preserve">Accept legal liability for actions by Lebanese parties beyond the Direct Material Support prohibition of Article 3.4.</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3.3  United States' Influence Commitment on Israeli Operations in Lebanon</w:t>
      </w:r>
    </w:p>
    <w:p>
      <w:pPr>
        <w:spacing w:after="80" w:before="80" w:line="276" w:lineRule="auto"/>
        <w:jc w:val="both"/>
      </w:pPr>
      <w:r>
        <w:rPr>
          <w:rFonts w:ascii="Arial" w:cs="Arial" w:eastAsia="Arial" w:hAnsi="Arial"/>
          <w:b w:val="false"/>
          <w:bCs w:val="false"/>
          <w:i w:val="false"/>
          <w:iCs w:val="false"/>
          <w:color w:val="000000"/>
          <w:sz w:val="22"/>
          <w:szCs w:val="22"/>
        </w:rPr>
        <w:t xml:space="preserve">The United States commits to using its influence — through diplomatic, political, and security-assistance channels — to prevent Israeli military operations in Lebanon that materially undermine the ceasefire, except where such operations are in direct response to an ongoing armed attack originating from Lebanese territory.</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This commitment is an Influence Commitment as defined in Article 1. It does not require the United States to:</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Guarantee Israeli compliance with the ceasefire or override Israeli sovereign military decisions;</w:t>
      </w:r>
    </w:p>
    <w:p>
      <w:pPr>
        <w:pStyle w:val="ListParagraph"/>
        <w:numPr>
          <w:ilvl w:val="0"/>
          <w:numId w:val="2"/>
        </w:numPr>
        <w:spacing w:after="60" w:before="60"/>
      </w:pPr>
      <w:r>
        <w:rPr>
          <w:rFonts w:ascii="Arial" w:cs="Arial" w:eastAsia="Arial" w:hAnsi="Arial"/>
          <w:sz w:val="22"/>
          <w:szCs w:val="22"/>
        </w:rPr>
        <w:t xml:space="preserve">Condition U.S. security assistance to Israel on ceasefire compliance in a manner inconsistent with existing U.S.-Israel security commitments;</w:t>
      </w:r>
    </w:p>
    <w:p>
      <w:pPr>
        <w:pStyle w:val="ListParagraph"/>
        <w:numPr>
          <w:ilvl w:val="0"/>
          <w:numId w:val="2"/>
        </w:numPr>
        <w:spacing w:after="60" w:before="60"/>
      </w:pPr>
      <w:r>
        <w:rPr>
          <w:rFonts w:ascii="Arial" w:cs="Arial" w:eastAsia="Arial" w:hAnsi="Arial"/>
          <w:sz w:val="22"/>
          <w:szCs w:val="22"/>
        </w:rPr>
        <w:t xml:space="preserve">Prevent Israeli self-defense operations under Article 51 of the UN Charter against ongoing armed attacks from Lebanese territory;</w:t>
      </w:r>
    </w:p>
    <w:p>
      <w:pPr>
        <w:pStyle w:val="ListParagraph"/>
        <w:numPr>
          <w:ilvl w:val="0"/>
          <w:numId w:val="2"/>
        </w:numPr>
        <w:spacing w:after="60" w:before="60"/>
      </w:pPr>
      <w:r>
        <w:rPr>
          <w:rFonts w:ascii="Arial" w:cs="Arial" w:eastAsia="Arial" w:hAnsi="Arial"/>
          <w:sz w:val="22"/>
          <w:szCs w:val="22"/>
        </w:rPr>
        <w:t xml:space="preserve">Accept legal liability for Israeli military operations that the United States genuinely attempted to prevent through documented good-faith efforts.</w:t>
      </w:r>
    </w:p>
    <w:p>
      <w:pPr>
        <w:spacing w:after="40" w:before="40"/>
      </w:pPr>
      <w:r>
        <w:t xml:space="preserve"/>
      </w:r>
    </w:p>
    <w:p>
      <w:pPr>
        <w:pBdr>
          <w:left w:val="single" w:color="A0526A" w:sz="8"/>
        </w:pBdr>
        <w:spacing w:after="80" w:before="80"/>
        <w:ind w:left="360"/>
        <w:jc w:val="both"/>
      </w:pPr>
      <w:r>
        <w:rPr>
          <w:rFonts w:ascii="Arial" w:cs="Arial" w:eastAsia="Arial" w:hAnsi="Arial"/>
          <w:color w:val="4A1020"/>
          <w:sz w:val="20"/>
          <w:szCs w:val="20"/>
        </w:rPr>
        <w:t xml:space="preserve">Symmetry Note: The structure of Article 3.2 and Article 3.3 is identical. Iran uses influence over Lebanese parties it does not control. The United States uses influence over Israel, which it does not command. Both obligations are best-efforts, not guarantees. Both sides describe this to their domestic audience in their own vocabulary — the underlying legal obligation is the same.</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3.4  Direct Material Support Prohibition</w:t>
      </w:r>
    </w:p>
    <w:p>
      <w:pPr>
        <w:spacing w:after="80" w:before="80" w:line="276" w:lineRule="auto"/>
        <w:jc w:val="both"/>
      </w:pPr>
      <w:r>
        <w:rPr>
          <w:rFonts w:ascii="Arial" w:cs="Arial" w:eastAsia="Arial" w:hAnsi="Arial"/>
          <w:b w:val="false"/>
          <w:bCs w:val="false"/>
          <w:i w:val="false"/>
          <w:iCs w:val="false"/>
          <w:color w:val="000000"/>
          <w:sz w:val="22"/>
          <w:szCs w:val="22"/>
        </w:rPr>
        <w:t xml:space="preserve">For the duration of the ceasefire, the framework architecture excludes the provision of Direct Material Support by either Party for cross-border attacks from Lebanese territory. This prohibition is absolute and not subject to any influence-commitment qualification. A verified violation of this prohibition is a Tier-2 material disruption under Annex T, subject to step-back but not automatic cross-module suspension.</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3.5  Non-State Actor Acknowledgment</w:t>
      </w:r>
    </w:p>
    <w:p>
      <w:pPr>
        <w:spacing w:after="80" w:before="80" w:line="276" w:lineRule="auto"/>
        <w:jc w:val="both"/>
      </w:pPr>
      <w:r>
        <w:rPr>
          <w:rFonts w:ascii="Arial" w:cs="Arial" w:eastAsia="Arial" w:hAnsi="Arial"/>
          <w:b w:val="false"/>
          <w:bCs w:val="false"/>
          <w:i w:val="false"/>
          <w:iCs w:val="false"/>
          <w:color w:val="000000"/>
          <w:sz w:val="22"/>
          <w:szCs w:val="22"/>
        </w:rPr>
        <w:t xml:space="preserve">The Parties acknowledge that armed non-state actors, including Hezbollah, operate in Lebanon. This instrument does not require Iran to disarm, control, or take responsibility for the actions of any non-state actor beyond the Influence Commitment of Article 3.2 and the Direct Material Support prohibition of Article 3.4. The United States does not hold Iran strictly liable for Lebanese party actions that Iran cannot prevent and does not support. Verification of the boundary between Influence Commitment breach and mere non-state actor conduct is the PCC's determination, not a unilateral finding by either Party.</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3.6  Lebanon Ceasefire Monitoring Body</w:t>
      </w:r>
    </w:p>
    <w:p>
      <w:pPr>
        <w:spacing w:after="80" w:before="80" w:line="276" w:lineRule="auto"/>
        <w:jc w:val="both"/>
      </w:pPr>
      <w:r>
        <w:rPr>
          <w:rFonts w:ascii="Arial" w:cs="Arial" w:eastAsia="Arial" w:hAnsi="Arial"/>
          <w:b w:val="false"/>
          <w:bCs w:val="false"/>
          <w:i w:val="false"/>
          <w:iCs w:val="false"/>
          <w:color w:val="000000"/>
          <w:sz w:val="22"/>
          <w:szCs w:val="22"/>
        </w:rPr>
        <w:t xml:space="preserve">The Lebanon Ceasefire Monitoring Body (LCMB), as defined in Article 1, commences operations within 7 days of MOU signature. The LCMB:</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Receives real-time data feeds from the Shared Digital Registry (Annex U) covering the Lebanese front;</w:t>
      </w:r>
    </w:p>
    <w:p>
      <w:pPr>
        <w:pStyle w:val="ListParagraph"/>
        <w:numPr>
          <w:ilvl w:val="0"/>
          <w:numId w:val="2"/>
        </w:numPr>
        <w:spacing w:after="60" w:before="60"/>
      </w:pPr>
      <w:r>
        <w:rPr>
          <w:rFonts w:ascii="Arial" w:cs="Arial" w:eastAsia="Arial" w:hAnsi="Arial"/>
          <w:sz w:val="22"/>
          <w:szCs w:val="22"/>
        </w:rPr>
        <w:t xml:space="preserve">Reviews compliance reports from both Parties on their Influence Commitment activities within each 30-day ceasefire period;</w:t>
      </w:r>
    </w:p>
    <w:p>
      <w:pPr>
        <w:pStyle w:val="ListParagraph"/>
        <w:numPr>
          <w:ilvl w:val="0"/>
          <w:numId w:val="2"/>
        </w:numPr>
        <w:spacing w:after="60" w:before="60"/>
      </w:pPr>
      <w:r>
        <w:rPr>
          <w:rFonts w:ascii="Arial" w:cs="Arial" w:eastAsia="Arial" w:hAnsi="Arial"/>
          <w:sz w:val="22"/>
          <w:szCs w:val="22"/>
        </w:rPr>
        <w:t xml:space="preserve">Provides technical findings on any alleged breach or impairment claim to the PCC within 48 hours of a request;</w:t>
      </w:r>
    </w:p>
    <w:p>
      <w:pPr>
        <w:pStyle w:val="ListParagraph"/>
        <w:numPr>
          <w:ilvl w:val="0"/>
          <w:numId w:val="2"/>
        </w:numPr>
        <w:spacing w:after="60" w:before="60"/>
      </w:pPr>
      <w:r>
        <w:rPr>
          <w:rFonts w:ascii="Arial" w:cs="Arial" w:eastAsia="Arial" w:hAnsi="Arial"/>
          <w:sz w:val="22"/>
          <w:szCs w:val="22"/>
        </w:rPr>
        <w:t xml:space="preserve">Issues a monthly Lebanon Ceasefire Status Report distributed to both Parties, the PCC Secretariat, and all endorsing guarantor states;</w:t>
      </w:r>
    </w:p>
    <w:p>
      <w:pPr>
        <w:pStyle w:val="ListParagraph"/>
        <w:numPr>
          <w:ilvl w:val="0"/>
          <w:numId w:val="2"/>
        </w:numPr>
        <w:spacing w:after="60" w:before="60"/>
      </w:pPr>
      <w:r>
        <w:rPr>
          <w:rFonts w:ascii="Arial" w:cs="Arial" w:eastAsia="Arial" w:hAnsi="Arial"/>
          <w:sz w:val="22"/>
          <w:szCs w:val="22"/>
        </w:rPr>
        <w:t xml:space="preserve">Facilitates the Round 1 Regional Stabilization session (Days 30–45) with a dedicated Lebanon compliance review agenda.</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LCMB has no enforcement authority. Its findings are advisory to the PCC. The PCC is not bound by LCMB findings but weights them as expert technical evidence in impairment determinations.</w:t>
      </w:r>
    </w:p>
    <w:p>
      <w:r>
        <w:br w:type="page"/>
      </w:r>
    </w:p>
    <w:p>
      <w:pPr>
        <w:pStyle w:val="Heading1"/>
        <w:shd w:fill="4A1020" w:val="clear"/>
        <w:spacing w:after="120" w:before="240"/>
      </w:pPr>
      <w:r>
        <w:rPr>
          <w:rFonts w:ascii="Arial" w:cs="Arial" w:eastAsia="Arial" w:hAnsi="Arial"/>
          <w:b/>
          <w:bCs/>
          <w:color w:val="FFFFFF"/>
          <w:sz w:val="30"/>
          <w:szCs w:val="30"/>
        </w:rPr>
        <w:t xml:space="preserve">Article 4: The Firewall — Nuclear and Maritime Core Independence</w:t>
      </w:r>
    </w:p>
    <w:p>
      <w:pPr>
        <w:shd w:fill="7B2840"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4.1  The Structural Firewall</w:t>
      </w:r>
    </w:p>
    <w:p>
      <w:pPr>
        <w:spacing w:after="80" w:before="80" w:line="276" w:lineRule="auto"/>
        <w:jc w:val="both"/>
      </w:pPr>
      <w:r>
        <w:rPr>
          <w:rFonts w:ascii="Arial" w:cs="Arial" w:eastAsia="Arial" w:hAnsi="Arial"/>
          <w:b w:val="false"/>
          <w:bCs w:val="false"/>
          <w:i w:val="false"/>
          <w:iCs w:val="false"/>
          <w:color w:val="000000"/>
          <w:sz w:val="22"/>
          <w:szCs w:val="22"/>
        </w:rPr>
        <w:t xml:space="preserve">A breach of the ceasefire on any front — including Lebanon — does not automatically breach Articles 2–5 of the MOU (nuclear and maritime cores). The nuclear and maritime cores continue independently regardless of ceasefire status. This firewall is structural: it is not a matter of political discretion and is not subject to waiver by either Party acting unilaterally.</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4.2  The Core Protections Are Absolute</w:t>
      </w:r>
    </w:p>
    <w:p>
      <w:pPr>
        <w:spacing w:after="80" w:before="80" w:line="276" w:lineRule="auto"/>
        <w:jc w:val="both"/>
      </w:pPr>
      <w:r>
        <w:rPr>
          <w:rFonts w:ascii="Arial" w:cs="Arial" w:eastAsia="Arial" w:hAnsi="Arial"/>
          <w:b w:val="false"/>
          <w:bCs w:val="false"/>
          <w:i w:val="false"/>
          <w:iCs w:val="false"/>
          <w:color w:val="000000"/>
          <w:sz w:val="22"/>
          <w:szCs w:val="22"/>
        </w:rPr>
        <w:t xml:space="preserve">The three Core Protections survive all ceasefire breach consequences without exception or qualification:</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Nuclear custody: HEU under dual-lock custody per Annex Y continues without interruption. No ceasefire breach — on Lebanon or any other front — unlocks unilateral Iranian access to the dual-lock material or terminates IAEA monitoring.</w:t>
      </w:r>
    </w:p>
    <w:p>
      <w:pPr>
        <w:pStyle w:val="ListParagraph"/>
        <w:numPr>
          <w:ilvl w:val="0"/>
          <w:numId w:val="2"/>
        </w:numPr>
        <w:spacing w:after="60" w:before="60"/>
      </w:pPr>
      <w:r>
        <w:rPr>
          <w:rFonts w:ascii="Arial" w:cs="Arial" w:eastAsia="Arial" w:hAnsi="Arial"/>
          <w:sz w:val="22"/>
          <w:szCs w:val="22"/>
        </w:rPr>
        <w:t xml:space="preserve">Freedom of navigation: The Hormuz transit corridor remains open to unrestricted commercial transit. No ceasefire breach on any front activates an Iranian interdiction right or suspends the non-interdiction protocol of Annex N.</w:t>
      </w:r>
    </w:p>
    <w:p>
      <w:pPr>
        <w:pStyle w:val="ListParagraph"/>
        <w:numPr>
          <w:ilvl w:val="0"/>
          <w:numId w:val="2"/>
        </w:numPr>
        <w:spacing w:after="60" w:before="60"/>
      </w:pPr>
      <w:r>
        <w:rPr>
          <w:rFonts w:ascii="Arial" w:cs="Arial" w:eastAsia="Arial" w:hAnsi="Arial"/>
          <w:sz w:val="22"/>
          <w:szCs w:val="22"/>
        </w:rPr>
        <w:t xml:space="preserve">Humanitarian escrow releases: The $250M humanitarian tranche, OFAC general licenses for humanitarian trade, and Annex T Humanitarian Firewall elements continue regardless of any ceasefire status.</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4.3  No Self-Judging Suspension of Core Protections</w:t>
      </w:r>
    </w:p>
    <w:p>
      <w:pPr>
        <w:spacing w:after="80" w:before="80" w:line="276" w:lineRule="auto"/>
        <w:jc w:val="both"/>
      </w:pPr>
      <w:r>
        <w:rPr>
          <w:rFonts w:ascii="Arial" w:cs="Arial" w:eastAsia="Arial" w:hAnsi="Arial"/>
          <w:b w:val="false"/>
          <w:bCs w:val="false"/>
          <w:i w:val="false"/>
          <w:iCs w:val="false"/>
          <w:color w:val="000000"/>
          <w:sz w:val="22"/>
          <w:szCs w:val="22"/>
        </w:rPr>
        <w:t xml:space="preserve">Neither Party suspends any Core Protection on the basis of its own determination that a regional breach constitutes material impairment. Core Protection suspension is structurally unavailable; it is not a remedy that exists within this framework. The impairment adjudication process of Article 5 is available only for Non-Core Benefits.</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4.4  Third-Party Action Non-Liability</w:t>
      </w:r>
    </w:p>
    <w:p>
      <w:pPr>
        <w:spacing w:after="80" w:before="80" w:line="276" w:lineRule="auto"/>
        <w:jc w:val="both"/>
      </w:pPr>
      <w:r>
        <w:rPr>
          <w:rFonts w:ascii="Arial" w:cs="Arial" w:eastAsia="Arial" w:hAnsi="Arial"/>
          <w:b w:val="false"/>
          <w:bCs w:val="false"/>
          <w:i w:val="false"/>
          <w:iCs w:val="false"/>
          <w:color w:val="000000"/>
          <w:sz w:val="22"/>
          <w:szCs w:val="22"/>
        </w:rPr>
        <w:t xml:space="preserve">Consistent with MOU Article 6.4, no action by a non-Party — including Israeli military operations in Lebanon — constitutes a breach by Iran under this Annex, provided Iran has not provided Direct Material Support for that action. The Parties do not construe third-party military action as an automatic trigger for either Iran's Influence Commitment to have failed or for the impairment adjudication process to open. Third-party action is a factual input to an impairment analysis, not an automatic impairment event.</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4.5  The Cores Survive Ceasefire Termination</w:t>
      </w:r>
    </w:p>
    <w:p>
      <w:pPr>
        <w:spacing w:after="80" w:before="80" w:line="276" w:lineRule="auto"/>
        <w:jc w:val="both"/>
      </w:pPr>
      <w:r>
        <w:rPr>
          <w:rFonts w:ascii="Arial" w:cs="Arial" w:eastAsia="Arial" w:hAnsi="Arial"/>
          <w:b w:val="false"/>
          <w:bCs w:val="false"/>
          <w:i w:val="false"/>
          <w:iCs w:val="false"/>
          <w:color w:val="000000"/>
          <w:sz w:val="22"/>
          <w:szCs w:val="22"/>
        </w:rPr>
        <w:t xml:space="preserve">Where the rolling ceasefire terminates by non-renewal or mutual termination, Articles 2–5 of the MOU continue in full force. Ceasefire expiry does not affect any nuclear, maritime, economic, or financial obligation under the MOU. The ceasefire and the MOU are temporally linked — both expire if the MOU terminates — but the ceasefire's expiry does not terminate the MOU.</w:t>
      </w:r>
    </w:p>
    <w:p>
      <w:r>
        <w:br w:type="page"/>
      </w:r>
    </w:p>
    <w:p>
      <w:pPr>
        <w:pStyle w:val="Heading1"/>
        <w:shd w:fill="4A1020" w:val="clear"/>
        <w:spacing w:after="120" w:before="240"/>
      </w:pPr>
      <w:r>
        <w:rPr>
          <w:rFonts w:ascii="Arial" w:cs="Arial" w:eastAsia="Arial" w:hAnsi="Arial"/>
          <w:b/>
          <w:bCs/>
          <w:color w:val="FFFFFF"/>
          <w:sz w:val="30"/>
          <w:szCs w:val="30"/>
        </w:rPr>
        <w:t xml:space="preserve">Article 5: Impairment Adjudication Process</w:t>
      </w:r>
    </w:p>
    <w:p>
      <w:pPr>
        <w:shd w:fill="7B2840"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5.1  Purpose</w:t>
      </w:r>
    </w:p>
    <w:p>
      <w:pPr>
        <w:spacing w:after="80" w:before="80" w:line="276" w:lineRule="auto"/>
        <w:jc w:val="both"/>
      </w:pPr>
      <w:r>
        <w:rPr>
          <w:rFonts w:ascii="Arial" w:cs="Arial" w:eastAsia="Arial" w:hAnsi="Arial"/>
          <w:b w:val="false"/>
          <w:bCs w:val="false"/>
          <w:i w:val="false"/>
          <w:iCs w:val="false"/>
          <w:color w:val="000000"/>
          <w:sz w:val="22"/>
          <w:szCs w:val="22"/>
        </w:rPr>
        <w:t xml:space="preserve">The impairment adjudication process is the sole mechanism by which a ceasefire breach on any front translates into a suspension of Non-Core Benefits. It replaces any self-judging suspension right. Neither Party suspends Non-Core Benefits on the basis of its own assessment; all suspensions require a PCC materiality determination.</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5.2  The Five-Step Process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J-4: Impairment Claim Adjudication — Step-by-Step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STEP</w:t>
            </w:r>
          </w:p>
        </w:tc>
        <w:tc>
          <w:tcPr>
            <w:tcW w:type="dxa" w:w="260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ACTION</w:t>
            </w:r>
          </w:p>
        </w:tc>
        <w:tc>
          <w:tcPr>
            <w:tcW w:type="dxa" w:w="260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TIMELINE</w:t>
            </w:r>
          </w:p>
        </w:tc>
        <w:tc>
          <w:tcPr>
            <w:tcW w:type="dxa" w:w="260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OUTCOME IF UNRESOLVED</w:t>
            </w:r>
          </w:p>
        </w:tc>
      </w:tr>
      <w:tr>
        <w:trPr>
          <w:tblHeader w:val="false"/>
        </w:trPr>
        <w:tc>
          <w:tcPr>
            <w:tcW w:type="dxa" w:w="156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1</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Breach detected and verified by Shared Digital Registry (Annex U) or PCC technical monitoring. PCC notified.</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Notification within 6 hours of detection.</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PCC convenes within 24 hours regardless.</w:t>
            </w:r>
          </w:p>
        </w:tc>
      </w:tr>
      <w:tr>
        <w:trPr>
          <w:tblHeader w:val="false"/>
        </w:trPr>
        <w:tc>
          <w:tcPr>
            <w:tcW w:type="dxa" w:w="156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2</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Mandatory PCC consultation session convenes. Both Parties present. Pakistan/Oman facilitation team chairs.</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Within 24 hours of verified breach.</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If Party claims impairment, it presents causation evidence within the session.</w:t>
            </w:r>
          </w:p>
        </w:tc>
      </w:tr>
      <w:tr>
        <w:trPr>
          <w:tblHeader w:val="false"/>
        </w:trPr>
        <w:tc>
          <w:tcPr>
            <w:tcW w:type="dxa" w:w="156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3</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Impaired Party submits specific, direct, non-speculative causation claim to PCC in writing. Claim specifies: the breach; the Article 2–5 obligation directly impaired; the causal mechanism; and the proposed suspension scope.</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Causation submission within 72 hours of breach verification.</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Where submission is untimely, impairment claim lapses for that breach event.</w:t>
            </w:r>
          </w:p>
        </w:tc>
      </w:tr>
      <w:tr>
        <w:trPr>
          <w:tblHeader w:val="false"/>
        </w:trPr>
        <w:tc>
          <w:tcPr>
            <w:tcW w:type="dxa" w:w="156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4</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PCC issues materiality determination: (a) material and directly impairing, (b) material but not directly impairing, or (c) not material. Consensus-minus-one vote.</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PCC determination within 72 hours of causation submission.</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Where PCC issues no determination within 72 hours, outcome (c) — not material — is operative by default.</w:t>
            </w:r>
          </w:p>
        </w:tc>
      </w:tr>
      <w:tr>
        <w:trPr>
          <w:tblHeader w:val="false"/>
        </w:trPr>
        <w:tc>
          <w:tcPr>
            <w:tcW w:type="dxa" w:w="156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5a</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Where PCC finds material and direct impairment: impaired Party suspends non-core benefits for up to 30 days. Nuclear custody, freedom of navigation, and humanitarian escrow releases are excluded from any suspension.</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Suspension operative within 24 hours of PCC determination.</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Suspension automatically lifts on Day 30 absent renewed PCC determination. No extension without mutual agreement.</w:t>
            </w:r>
          </w:p>
        </w:tc>
      </w:tr>
      <w:tr>
        <w:trPr>
          <w:tblHeader w:val="false"/>
        </w:trPr>
        <w:tc>
          <w:tcPr>
            <w:tcW w:type="dxa" w:w="156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5b</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Where PCC finds no material impairment: nuclear and maritime cores continue unchanged. No suspension is available for that breach event.</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Determination operative immediately.</w:t>
            </w:r>
          </w:p>
        </w:tc>
        <w:tc>
          <w:tcPr>
            <w:tcW w:type="dxa" w:w="26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Impaired Party may request a new impairment determination only if new facts emerge that were not available at the time of the original submission.</w:t>
            </w:r>
          </w:p>
        </w:tc>
      </w:tr>
    </w:tbl>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5.3  Causation Standard</w:t>
      </w:r>
    </w:p>
    <w:p>
      <w:pPr>
        <w:spacing w:after="80" w:before="80" w:line="276" w:lineRule="auto"/>
        <w:jc w:val="both"/>
      </w:pPr>
      <w:r>
        <w:rPr>
          <w:rFonts w:ascii="Arial" w:cs="Arial" w:eastAsia="Arial" w:hAnsi="Arial"/>
          <w:b w:val="false"/>
          <w:bCs w:val="false"/>
          <w:i w:val="false"/>
          <w:iCs w:val="false"/>
          <w:color w:val="000000"/>
          <w:sz w:val="22"/>
          <w:szCs w:val="22"/>
        </w:rPr>
        <w:t xml:space="preserve">The causation standard for a material impairment claim is specific, direct, and non-speculative:</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Specific: The impaired Party identifies the particular Article 2–5 obligation it claims is impaired, not a general assertion that "the deal is at risk."</w:t>
      </w:r>
    </w:p>
    <w:p>
      <w:pPr>
        <w:pStyle w:val="ListParagraph"/>
        <w:numPr>
          <w:ilvl w:val="0"/>
          <w:numId w:val="2"/>
        </w:numPr>
        <w:spacing w:after="60" w:before="60"/>
      </w:pPr>
      <w:r>
        <w:rPr>
          <w:rFonts w:ascii="Arial" w:cs="Arial" w:eastAsia="Arial" w:hAnsi="Arial"/>
          <w:sz w:val="22"/>
          <w:szCs w:val="22"/>
        </w:rPr>
        <w:t xml:space="preserve">Direct: The causal link between the breach and the impaired obligation is immediate, not mediated by intermediate actors, political dynamics, or speculative escalation scenarios.</w:t>
      </w:r>
    </w:p>
    <w:p>
      <w:pPr>
        <w:pStyle w:val="ListParagraph"/>
        <w:numPr>
          <w:ilvl w:val="0"/>
          <w:numId w:val="2"/>
        </w:numPr>
        <w:spacing w:after="60" w:before="60"/>
      </w:pPr>
      <w:r>
        <w:rPr>
          <w:rFonts w:ascii="Arial" w:cs="Arial" w:eastAsia="Arial" w:hAnsi="Arial"/>
          <w:sz w:val="22"/>
          <w:szCs w:val="22"/>
        </w:rPr>
        <w:t xml:space="preserve">Non-speculative: The impairment is grounded in demonstrated operational fact, not in a prediction of what might happen if the breach continues.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Examples of claims that meet the standard: a Lebanese party cross-border attack disrupts IAEA inspector transit to a declared facility; military operations on the Lebanese front physically block access routes to a nuclear site covered under Annex O. Examples of claims that do not meet the standard: a Lebanese incident creates domestic political pressure in Iran that makes compliance politically difficult; an Israeli operation in Lebanon triggers Iranian public opinion that the government argues prevents it from maintaining enrichment caps.</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5.4  The 30-Day Suspension Ceiling</w:t>
      </w:r>
    </w:p>
    <w:p>
      <w:pPr>
        <w:spacing w:after="80" w:before="80" w:line="276" w:lineRule="auto"/>
        <w:jc w:val="both"/>
      </w:pPr>
      <w:r>
        <w:rPr>
          <w:rFonts w:ascii="Arial" w:cs="Arial" w:eastAsia="Arial" w:hAnsi="Arial"/>
          <w:b w:val="false"/>
          <w:bCs w:val="false"/>
          <w:i w:val="false"/>
          <w:iCs w:val="false"/>
          <w:color w:val="000000"/>
          <w:sz w:val="22"/>
          <w:szCs w:val="22"/>
        </w:rPr>
        <w:t xml:space="preserve">A Non-Core Benefit suspension under this Article is operative for a maximum of 30 days. At the 30-day mark, the suspension lifts automatically unless the PCC issues a renewed materiality determination based on continuing or new facts. No suspension is self-perpetuating. Renewals require a new causation submission and a new PCC determination; the original finding does not carry forward automatically.</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5.5  Step-Back Integration</w:t>
      </w:r>
    </w:p>
    <w:p>
      <w:pPr>
        <w:spacing w:after="80" w:before="80" w:line="276" w:lineRule="auto"/>
        <w:jc w:val="both"/>
      </w:pPr>
      <w:r>
        <w:rPr>
          <w:rFonts w:ascii="Arial" w:cs="Arial" w:eastAsia="Arial" w:hAnsi="Arial"/>
          <w:b w:val="false"/>
          <w:bCs w:val="false"/>
          <w:i w:val="false"/>
          <w:iCs w:val="false"/>
          <w:color w:val="000000"/>
          <w:sz w:val="22"/>
          <w:szCs w:val="22"/>
        </w:rPr>
        <w:t xml:space="preserve">Where the PCC issues a material impairment determination, the Non-Core Benefit suspension is treated as a Tier-2 step-back under Annex T for compliance accounting purposes. The step-back / earn-back mechanism of Annex T applies: when the breaching Party remedies the ceasefire breach and the impairment is resolved, the impaired Party restores the suspended Non-Core Benefits within 24 hours of PCC certification of remediation. No suspension is permanent.</w:t>
      </w:r>
    </w:p>
    <w:p>
      <w:r>
        <w:br w:type="page"/>
      </w:r>
    </w:p>
    <w:p>
      <w:pPr>
        <w:pStyle w:val="Heading1"/>
        <w:shd w:fill="4A1020" w:val="clear"/>
        <w:spacing w:after="120" w:before="240"/>
      </w:pPr>
      <w:r>
        <w:rPr>
          <w:rFonts w:ascii="Arial" w:cs="Arial" w:eastAsia="Arial" w:hAnsi="Arial"/>
          <w:b/>
          <w:bCs/>
          <w:color w:val="FFFFFF"/>
          <w:sz w:val="30"/>
          <w:szCs w:val="30"/>
        </w:rPr>
        <w:t xml:space="preserve">Article 6: Multi-Front Ceasefire Coverage</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6.1  Front-Specific Architecture</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J-3: Ceasefire Coverage and Front-Specific Rules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80"/>
        <w:gridCol w:w="2480"/>
        <w:gridCol w:w="3400"/>
      </w:tblGrid>
      <w:tr>
        <w:trPr>
          <w:tblHeader/>
        </w:trPr>
        <w:tc>
          <w:tcPr>
            <w:tcW w:type="dxa" w:w="140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FRONT</w:t>
            </w:r>
          </w:p>
        </w:tc>
        <w:tc>
          <w:tcPr>
            <w:tcW w:type="dxa" w:w="208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GOVERNING ANNEX</w:t>
            </w:r>
          </w:p>
        </w:tc>
        <w:tc>
          <w:tcPr>
            <w:tcW w:type="dxa" w:w="248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FREEZE-IN-PLACE</w:t>
            </w:r>
          </w:p>
        </w:tc>
        <w:tc>
          <w:tcPr>
            <w:tcW w:type="dxa" w:w="340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INFLUENCE COMMITMENT</w:t>
            </w:r>
          </w:p>
        </w:tc>
      </w:tr>
      <w:tr>
        <w:trPr>
          <w:tblHeader w:val="false"/>
        </w:trPr>
        <w:tc>
          <w:tcPr>
            <w:tcW w:type="dxa" w:w="14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Lebanon</w:t>
            </w:r>
          </w:p>
        </w:tc>
        <w:tc>
          <w:tcPr>
            <w:tcW w:type="dxa" w:w="20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Annex J (this Annex); Annex M (territorial baseline); Annex U (territorial freeze)</w:t>
            </w:r>
          </w:p>
        </w:tc>
        <w:tc>
          <w:tcPr>
            <w:tcW w:type="dxa" w:w="24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Current military positions frozen per Annex M. Hard Ceiling per Annex U applies where overlap exists.</w:t>
            </w:r>
          </w:p>
        </w:tc>
        <w:tc>
          <w:tcPr>
            <w:tcW w:type="dxa" w:w="34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Iran: best-efforts influence over Lebanese parties with significant relations. US: best-efforts influence to prevent Israeli operations that materially undermine the ceasefire, except in response to ongoing armed attack.</w:t>
            </w:r>
          </w:p>
        </w:tc>
      </w:tr>
      <w:tr>
        <w:trPr>
          <w:tblHeader w:val="false"/>
        </w:trPr>
        <w:tc>
          <w:tcPr>
            <w:tcW w:type="dxa" w:w="14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Gaza</w:t>
            </w:r>
          </w:p>
        </w:tc>
        <w:tc>
          <w:tcPr>
            <w:tcW w:type="dxa" w:w="20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Annex U (territorial freeze); Annex M (baseline)</w:t>
            </w:r>
          </w:p>
        </w:tc>
        <w:tc>
          <w:tcPr>
            <w:tcW w:type="dxa" w:w="24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Hard Ceiling per Annex U. Current Operational Footprint (~60%) is the absolute maximum.</w:t>
            </w:r>
          </w:p>
        </w:tc>
        <w:tc>
          <w:tcPr>
            <w:tcW w:type="dxa" w:w="34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Neither Party provides direct material support for cross-border attacks. Annex U automatic breach mechanism governs territorial violations.</w:t>
            </w:r>
          </w:p>
        </w:tc>
      </w:tr>
      <w:tr>
        <w:trPr>
          <w:tblHeader w:val="false"/>
        </w:trPr>
        <w:tc>
          <w:tcPr>
            <w:tcW w:type="dxa" w:w="14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Syria</w:t>
            </w:r>
          </w:p>
        </w:tc>
        <w:tc>
          <w:tcPr>
            <w:tcW w:type="dxa" w:w="20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Article 13.5 of the MOU (Syria Freedom of Action)</w:t>
            </w:r>
          </w:p>
        </w:tc>
        <w:tc>
          <w:tcPr>
            <w:tcW w:type="dxa" w:w="24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 freeze-in-place. Israeli operations against Iranian/Hezbollah targets in Syria are explicitly outside this instrument's breach architecture.</w:t>
            </w:r>
          </w:p>
        </w:tc>
        <w:tc>
          <w:tcPr>
            <w:tcW w:type="dxa" w:w="34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Round 2 (Days 75–90) of Regional Stabilization Rounds addresses Syrian de-escalation. Participation is good-faith; non-attendance does not breach the ceasefire.</w:t>
            </w:r>
          </w:p>
        </w:tc>
      </w:tr>
      <w:tr>
        <w:trPr>
          <w:tblHeader w:val="false"/>
        </w:trPr>
        <w:tc>
          <w:tcPr>
            <w:tcW w:type="dxa" w:w="14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Yemen</w:t>
            </w:r>
          </w:p>
        </w:tc>
        <w:tc>
          <w:tcPr>
            <w:tcW w:type="dxa" w:w="20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Round 3 (Days 120–135) of Regional Stabilization Rounds</w:t>
            </w:r>
          </w:p>
        </w:tc>
        <w:tc>
          <w:tcPr>
            <w:tcW w:type="dxa" w:w="24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 formal freeze-in-place. Humanitarian access corridors are the primary stabilization mechanism.</w:t>
            </w:r>
          </w:p>
        </w:tc>
        <w:tc>
          <w:tcPr>
            <w:tcW w:type="dxa" w:w="34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Round 3 addresses Yemen humanitarian access. Neither Party is bound to any specific outcome; good-faith participation is the obligation.</w:t>
            </w:r>
          </w:p>
        </w:tc>
      </w:tr>
    </w:tbl>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6.2  Gap Architecture and Collision Resolution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J-1: The Collision and the Bridge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THE COLLISION</w:t>
            </w:r>
          </w:p>
        </w:tc>
        <w:tc>
          <w:tcPr>
            <w:tcW w:type="dxa" w:w="312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IRAN'S POSITION</w:t>
            </w:r>
          </w:p>
        </w:tc>
        <w:tc>
          <w:tcPr>
            <w:tcW w:type="dxa" w:w="312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US POSITION</w:t>
            </w:r>
          </w:p>
        </w:tc>
      </w:tr>
      <w:tr>
        <w:trPr>
          <w:tblHeader w:val="false"/>
        </w:trPr>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Lebanon linkage demand</w:t>
            </w:r>
          </w:p>
        </w:tc>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Lebanon is an "essential condition" and "inseparable part" of any nuclear deal. The ceasefire covering Lebanon is not a separate instrument — it is part of the core bargain.</w:t>
            </w:r>
          </w:p>
        </w:tc>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 Iranian veto over Israeli military action in Lebanon. No formal linkage that lets Hormuz or nuclear compliance be conditioned on Lebanon outcomes.</w:t>
            </w:r>
          </w:p>
        </w:tc>
      </w:tr>
      <w:tr>
        <w:trPr>
          <w:tblHeader w:val="false"/>
        </w:trPr>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Enforcement symmetry demand</w:t>
            </w:r>
          </w:p>
        </w:tc>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Iran holds responsibility for influencing Hezbollah and other Lebanese parties. Iran demands a reciprocal U.S. commitment to restrain Israel, not merely "best efforts."</w:t>
            </w:r>
          </w:p>
        </w:tc>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"Best efforts" is the ceiling on U.S. commitment. The United States does not guarantee Israeli compliance. No U.S. veto over Israeli self-defense.</w:t>
            </w:r>
          </w:p>
        </w:tc>
      </w:tr>
      <w:tr>
        <w:trPr>
          <w:tblHeader w:val="false"/>
        </w:trPr>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Core decoupling</w:t>
            </w:r>
          </w:p>
        </w:tc>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 regional breach — Israeli military action in Lebanon — suspends nuclear cooperation. Iran's leverage on Hormuz and nuclear tracks requires Lebanon protection.</w:t>
            </w:r>
          </w:p>
        </w:tc>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Nuclear custody, freedom of navigation, and humanitarian flows continue regardless of ceasefire status. No regional event automatically breaches Articles 2–5.</w:t>
            </w:r>
          </w:p>
        </w:tc>
      </w:tr>
    </w:tbl>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J-2: The Bridge Architecture — How Both Sides Read the Same Text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ELEMENT</w:t>
            </w:r>
          </w:p>
        </w:tc>
        <w:tc>
          <w:tcPr>
            <w:tcW w:type="dxa" w:w="358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IRAN READS IT AS</w:t>
            </w:r>
          </w:p>
        </w:tc>
        <w:tc>
          <w:tcPr>
            <w:tcW w:type="dxa" w:w="358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US READS IT AS</w:t>
            </w:r>
          </w:p>
        </w:tc>
      </w:tr>
      <w:tr>
        <w:trPr>
          <w:tblHeader w:val="false"/>
        </w:trPr>
        <w:tc>
          <w:tcPr>
            <w:tcW w:type="dxa" w:w="2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Ceasefire explicitly covers Lebanon</w:t>
            </w:r>
          </w:p>
        </w:tc>
        <w:tc>
          <w:tcPr>
            <w:tcW w:type="dxa" w:w="35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Lebanon is named. The ceasefire is not a bilateral US-Iran deal that ignores Lebanon — it explicitly covers the Lebanese front.</w:t>
            </w:r>
          </w:p>
        </w:tc>
        <w:tc>
          <w:tcPr>
            <w:tcW w:type="dxa" w:w="35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Coverage is geographic, not causal. Naming Lebanon in the ceasefire scope does not make Lebanon a legal precondition for nuclear performance.</w:t>
            </w:r>
          </w:p>
        </w:tc>
      </w:tr>
      <w:tr>
        <w:trPr>
          <w:tblHeader w:val="false"/>
        </w:trPr>
        <w:tc>
          <w:tcPr>
            <w:tcW w:type="dxa" w:w="2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Separate enforcement track</w:t>
            </w:r>
          </w:p>
        </w:tc>
        <w:tc>
          <w:tcPr>
            <w:tcW w:type="dxa" w:w="35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 Lebanon breach has real consequences: PCC consultation within 24 hours, and the ability to suspend non-core benefits if direct impairment is proven.</w:t>
            </w:r>
          </w:p>
        </w:tc>
        <w:tc>
          <w:tcPr>
            <w:tcW w:type="dxa" w:w="35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Consequences require PCC determination and proven causation. Automatic suspension of the nuclear or maritime cores is structurally excluded.</w:t>
            </w:r>
          </w:p>
        </w:tc>
      </w:tr>
      <w:tr>
        <w:trPr>
          <w:tblHeader w:val="false"/>
        </w:trPr>
        <w:tc>
          <w:tcPr>
            <w:tcW w:type="dxa" w:w="2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Reciprocal influence commitment</w:t>
            </w:r>
          </w:p>
        </w:tc>
        <w:tc>
          <w:tcPr>
            <w:tcW w:type="dxa" w:w="35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The United States formally commits to using its influence to prevent Israeli military operations that materially undermine the ceasefire. This is a named, reciprocal obligation — not a one-way Iranian duty.</w:t>
            </w:r>
          </w:p>
        </w:tc>
        <w:tc>
          <w:tcPr>
            <w:tcW w:type="dxa" w:w="35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"Influence" is not "guarantee." The US commitment is best-efforts, symmetric with Iran's best-efforts commitment on Hezbollah. No U.S. veto over Israeli self-defense.</w:t>
            </w:r>
          </w:p>
        </w:tc>
      </w:tr>
      <w:tr>
        <w:trPr>
          <w:tblHeader w:val="false"/>
        </w:trPr>
        <w:tc>
          <w:tcPr>
            <w:tcW w:type="dxa" w:w="2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Non-state actor acknowledgment</w:t>
            </w:r>
          </w:p>
        </w:tc>
        <w:tc>
          <w:tcPr>
            <w:tcW w:type="dxa" w:w="35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The instrument acknowledges that Iran does not control Hezbollah. Iran's obligation is influence, not control. This is publicly defensible at home.</w:t>
            </w:r>
          </w:p>
        </w:tc>
        <w:tc>
          <w:tcPr>
            <w:tcW w:type="dxa" w:w="35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Iran is not held strictly liable for Hezbollah actions it cannot prevent. But Iran does not provide direct material support for cross-border attacks.</w:t>
            </w:r>
          </w:p>
        </w:tc>
      </w:tr>
      <w:tr>
        <w:trPr>
          <w:tblHeader w:val="false"/>
        </w:trPr>
        <w:tc>
          <w:tcPr>
            <w:tcW w:type="dxa" w:w="2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Tier-2 ceiling on violations</w:t>
            </w:r>
          </w:p>
        </w:tc>
        <w:tc>
          <w:tcPr>
            <w:tcW w:type="dxa" w:w="35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 Lebanon ceasefire violation is a Tier-2 step-back, not a Tier-3 hostile breach. The deal survives a Lebanese incident without automatic collapse.</w:t>
            </w:r>
          </w:p>
        </w:tc>
        <w:tc>
          <w:tcPr>
            <w:tcW w:type="dxa" w:w="358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Nuclear and maritime cores are insulated from a Tier-2 regional violation. No automatic cross-module contamination without PCC certification.</w:t>
            </w:r>
          </w:p>
        </w:tc>
      </w:tr>
    </w:tbl>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6.3  Syria Freedom of Action Preservation</w:t>
      </w:r>
    </w:p>
    <w:p>
      <w:pPr>
        <w:spacing w:after="80" w:before="80" w:line="276" w:lineRule="auto"/>
        <w:jc w:val="both"/>
      </w:pPr>
      <w:r>
        <w:rPr>
          <w:rFonts w:ascii="Arial" w:cs="Arial" w:eastAsia="Arial" w:hAnsi="Arial"/>
          <w:b w:val="false"/>
          <w:bCs w:val="false"/>
          <w:i w:val="false"/>
          <w:iCs w:val="false"/>
          <w:color w:val="000000"/>
          <w:sz w:val="22"/>
          <w:szCs w:val="22"/>
        </w:rPr>
        <w:t xml:space="preserve">Nothing in this Annex restricts Israeli military operations against Iranian or Hezbollah-affiliated targets in Syria. Such operations do not constitute a breach of this Annex or of MOU Article 6 and are not subject to the impairment adjudication process of Article 5. MOU Article 13.5 (Syria Freedom of Action) applies to all Syrian-front operations. An Israeli strike on a declared IAEA-monitored nuclear facility triggers the 72-hour cooling-off mechanism of MOU Article 13.3 regardless of front designation.</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6.4  Yemen and Gaza — Influence Without Control</w:t>
      </w:r>
    </w:p>
    <w:p>
      <w:pPr>
        <w:spacing w:after="80" w:before="80" w:line="276" w:lineRule="auto"/>
        <w:jc w:val="both"/>
      </w:pPr>
      <w:r>
        <w:rPr>
          <w:rFonts w:ascii="Arial" w:cs="Arial" w:eastAsia="Arial" w:hAnsi="Arial"/>
          <w:b w:val="false"/>
          <w:bCs w:val="false"/>
          <w:i w:val="false"/>
          <w:iCs w:val="false"/>
          <w:color w:val="000000"/>
          <w:sz w:val="22"/>
          <w:szCs w:val="22"/>
        </w:rPr>
        <w:t xml:space="preserve">On the Yemen and Gaza fronts, neither Party has direct command over the relevant non-state actors (Houthi-affiliated forces; Hamas and affiliated factions). The Influence Commitment principle of Article 1 applies: each Party uses available influence without being held strictly liable for actions it does not control and does not support with Direct Material Support. The ceasefire on these fronts is monitored through the Shared Digital Registry (Annex U) and reviewed in the relevant Regional Stabilization Rounds.</w:t>
      </w:r>
    </w:p>
    <w:p>
      <w:r>
        <w:br w:type="page"/>
      </w:r>
    </w:p>
    <w:p>
      <w:pPr>
        <w:pStyle w:val="Heading1"/>
        <w:shd w:fill="4A1020" w:val="clear"/>
        <w:spacing w:after="120" w:before="240"/>
      </w:pPr>
      <w:r>
        <w:rPr>
          <w:rFonts w:ascii="Arial" w:cs="Arial" w:eastAsia="Arial" w:hAnsi="Arial"/>
          <w:b/>
          <w:bCs/>
          <w:color w:val="FFFFFF"/>
          <w:sz w:val="30"/>
          <w:szCs w:val="30"/>
        </w:rPr>
        <w:t xml:space="preserve">Article 7: Regional Stabilization Rounds</w:t>
      </w:r>
    </w:p>
    <w:p>
      <w:pPr>
        <w:shd w:fill="7B2840"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Parties convene Regional Stabilization Rounds on the fixed calendar established in this Article. The Rounds give Lebanon, Syria, Yemen, and broader normalization a structured diplomatic home without compelling any specific outcome. Good-faith participation is the sole obligation; the framework excludes any obligation to agree, make concessions, or alter stated positions as a result of any Round.</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J-5: Regional Stabilization Rounds Schedule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2400"/>
        <w:gridCol w:w="4200"/>
      </w:tblGrid>
      <w:tr>
        <w:trPr>
          <w:tblHeader/>
        </w:trPr>
        <w:tc>
          <w:tcPr>
            <w:tcW w:type="dxa" w:w="120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ROUND</w:t>
            </w:r>
          </w:p>
        </w:tc>
        <w:tc>
          <w:tcPr>
            <w:tcW w:type="dxa" w:w="156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DAYS</w:t>
            </w:r>
          </w:p>
        </w:tc>
        <w:tc>
          <w:tcPr>
            <w:tcW w:type="dxa" w:w="240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TOPIC</w:t>
            </w:r>
          </w:p>
        </w:tc>
        <w:tc>
          <w:tcPr>
            <w:tcW w:type="dxa" w:w="420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STRUCTURE AND OBLIGATION</w:t>
            </w:r>
          </w:p>
        </w:tc>
      </w:tr>
      <w:tr>
        <w:trPr>
          <w:tblHeader w:val="false"/>
        </w:trPr>
        <w:tc>
          <w:tcPr>
            <w:tcW w:type="dxa" w:w="1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Round 1</w:t>
            </w:r>
          </w:p>
        </w:tc>
        <w:tc>
          <w:tcPr>
            <w:tcW w:type="dxa" w:w="156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30–45</w:t>
            </w:r>
          </w:p>
        </w:tc>
        <w:tc>
          <w:tcPr>
            <w:tcW w:type="dxa" w:w="24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Lebanon ceasefire implementation</w:t>
            </w:r>
          </w:p>
        </w:tc>
        <w:tc>
          <w:tcPr>
            <w:tcW w:type="dxa" w:w="4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Facilitated by Pakistan/Oman. Both Parties present senior diplomatic officials. Agenda: freeze-in-place compliance review; influence commitment reporting; humanitarian access in southern Lebanon; Shared Digital Registry data review for Lebanon front. Good-faith participation is the obligation; no outcome is required. Failure to attend waives the right to raise Lebanon-specific grievances until Round 5.</w:t>
            </w:r>
          </w:p>
        </w:tc>
      </w:tr>
      <w:tr>
        <w:trPr>
          <w:tblHeader w:val="false"/>
        </w:trPr>
        <w:tc>
          <w:tcPr>
            <w:tcW w:type="dxa" w:w="1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Round 2</w:t>
            </w:r>
          </w:p>
        </w:tc>
        <w:tc>
          <w:tcPr>
            <w:tcW w:type="dxa" w:w="156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75–90</w:t>
            </w:r>
          </w:p>
        </w:tc>
        <w:tc>
          <w:tcPr>
            <w:tcW w:type="dxa" w:w="24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Syrian de-escalation</w:t>
            </w:r>
          </w:p>
        </w:tc>
        <w:tc>
          <w:tcPr>
            <w:tcW w:type="dxa" w:w="4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Facilitated by Pakistan/Oman with Turkiye observer participation where both Parties consent. Agenda: review of Article 13.5 (Syria Freedom of Action) implementation; any incidents involving Iranian assets or Hezbollah-affiliated positions; humanitarian access in Syria. Non-attendance does not breach the ceasefire.</w:t>
            </w:r>
          </w:p>
        </w:tc>
      </w:tr>
      <w:tr>
        <w:trPr>
          <w:tblHeader w:val="false"/>
        </w:trPr>
        <w:tc>
          <w:tcPr>
            <w:tcW w:type="dxa" w:w="1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Round 3</w:t>
            </w:r>
          </w:p>
        </w:tc>
        <w:tc>
          <w:tcPr>
            <w:tcW w:type="dxa" w:w="156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120–135</w:t>
            </w:r>
          </w:p>
        </w:tc>
        <w:tc>
          <w:tcPr>
            <w:tcW w:type="dxa" w:w="24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Yemen humanitarian access</w:t>
            </w:r>
          </w:p>
        </w:tc>
        <w:tc>
          <w:tcPr>
            <w:tcW w:type="dxa" w:w="4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Facilitated by Oman with UN Office for the Coordination of Humanitarian Affairs observer. Agenda: humanitarian corridor status; any obstruction of aid flows; status of Houthi-affiliated forces. Non-attendance does not breach the ceasefire.</w:t>
            </w:r>
          </w:p>
        </w:tc>
      </w:tr>
      <w:tr>
        <w:trPr>
          <w:tblHeader w:val="false"/>
        </w:trPr>
        <w:tc>
          <w:tcPr>
            <w:tcW w:type="dxa" w:w="1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Round 4</w:t>
            </w:r>
          </w:p>
        </w:tc>
        <w:tc>
          <w:tcPr>
            <w:tcW w:type="dxa" w:w="156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Day 180 onward</w:t>
            </w:r>
          </w:p>
        </w:tc>
        <w:tc>
          <w:tcPr>
            <w:tcW w:type="dxa" w:w="24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Broader normalization — Phase III transition</w:t>
            </w:r>
          </w:p>
        </w:tc>
        <w:tc>
          <w:tcPr>
            <w:tcW w:type="dxa" w:w="4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Opens the written, scheduled track of Part C-3 (Regional Normalization). Agenda: structured regional security talks addressing Lebanon and the wider conflict; Phase III transition conditions. Both Parties commit to attendance; failure to attend delays Phase III transition clock by the number of days of absence, but does not breach the ceasefire.</w:t>
            </w:r>
          </w:p>
        </w:tc>
      </w:tr>
      <w:tr>
        <w:trPr>
          <w:tblHeader w:val="false"/>
        </w:trPr>
        <w:tc>
          <w:tcPr>
            <w:tcW w:type="dxa" w:w="1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Round 5+</w:t>
            </w:r>
          </w:p>
        </w:tc>
        <w:tc>
          <w:tcPr>
            <w:tcW w:type="dxa" w:w="156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Every 30 days thereafter</w:t>
            </w:r>
          </w:p>
        </w:tc>
        <w:tc>
          <w:tcPr>
            <w:tcW w:type="dxa" w:w="24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Rolling review</w:t>
            </w:r>
          </w:p>
        </w:tc>
        <w:tc>
          <w:tcPr>
            <w:tcW w:type="dxa" w:w="420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Each 30-day ceasefire renewal period is accompanied by a Rolling Review session covering all active fronts. Format is abbreviated (4 hours maximum). Either Party raises any front-specific grievance waived in a prior round. Facilitated by Pakistan/Oman.</w:t>
            </w:r>
          </w:p>
        </w:tc>
      </w:tr>
    </w:tbl>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7.1  Attendance Obligation and Consequence of Non-Attendance</w:t>
      </w:r>
    </w:p>
    <w:p>
      <w:pPr>
        <w:spacing w:after="80" w:before="80" w:line="276" w:lineRule="auto"/>
        <w:jc w:val="both"/>
      </w:pPr>
      <w:r>
        <w:rPr>
          <w:rFonts w:ascii="Arial" w:cs="Arial" w:eastAsia="Arial" w:hAnsi="Arial"/>
          <w:b w:val="false"/>
          <w:bCs w:val="false"/>
          <w:i w:val="false"/>
          <w:iCs w:val="false"/>
          <w:color w:val="000000"/>
          <w:sz w:val="22"/>
          <w:szCs w:val="22"/>
        </w:rPr>
        <w:t xml:space="preserve">Both Parties participate in good faith in all Regional Stabilization Rounds. Failure to attend a Round waives the attending Party's right to raise grievances specific to that Round's topic until the next scheduled Round or Rolling Review session. Non-attendance is not a breach of the ceasefire and does not trigger any step-back under Annex T. Repeated non-attendance (three consecutive Rounds without participation) is raised as a compliance matter in the PCC without automatic penalty.</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7.2  No Outcome Required</w:t>
      </w:r>
    </w:p>
    <w:p>
      <w:pPr>
        <w:spacing w:after="80" w:before="80" w:line="276" w:lineRule="auto"/>
        <w:jc w:val="both"/>
      </w:pPr>
      <w:r>
        <w:rPr>
          <w:rFonts w:ascii="Arial" w:cs="Arial" w:eastAsia="Arial" w:hAnsi="Arial"/>
          <w:b w:val="false"/>
          <w:bCs w:val="false"/>
          <w:i w:val="false"/>
          <w:iCs w:val="false"/>
          <w:color w:val="000000"/>
          <w:sz w:val="22"/>
          <w:szCs w:val="22"/>
        </w:rPr>
        <w:t xml:space="preserve">No Regional Stabilization Round produces any binding outcome, agreed text, or legal obligation on any Party. The Rounds are a structured forum for transparency, confidence-building, and the airing of regional grievances. The Phase III normalization track of Part C-3 is the designated home for binding regional agreements; the Rounds feed into and prepare the ground for Phase III, but do not themselves produce Phase III obligations.</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7.3  Facilitation</w:t>
      </w:r>
    </w:p>
    <w:p>
      <w:pPr>
        <w:spacing w:after="80" w:before="80" w:line="276" w:lineRule="auto"/>
        <w:jc w:val="both"/>
      </w:pPr>
      <w:r>
        <w:rPr>
          <w:rFonts w:ascii="Arial" w:cs="Arial" w:eastAsia="Arial" w:hAnsi="Arial"/>
          <w:b w:val="false"/>
          <w:bCs w:val="false"/>
          <w:i w:val="false"/>
          <w:iCs w:val="false"/>
          <w:color w:val="000000"/>
          <w:sz w:val="22"/>
          <w:szCs w:val="22"/>
        </w:rPr>
        <w:t xml:space="preserve">The Pakistan/Oman facilitation team chairs all Regional Stabilization Rounds. Either Party invites relevant third parties — regional states, UN agencies, guarantor states — to observe specific Rounds where both Parties consent. An observer's presence creates no legal obligation on any Party and does not constitute recognition of any Party's position by the observer. The facilitation team issues a non-binding Chair's Summary of each Round within 7 days of its conclusion, distributed to both Parties, the PCC Secretariat, and all guarantor states.</w:t>
      </w:r>
    </w:p>
    <w:p>
      <w:r>
        <w:br w:type="page"/>
      </w:r>
    </w:p>
    <w:p>
      <w:pPr>
        <w:pStyle w:val="Heading1"/>
        <w:shd w:fill="4A1020" w:val="clear"/>
        <w:spacing w:after="120" w:before="240"/>
      </w:pPr>
      <w:r>
        <w:rPr>
          <w:rFonts w:ascii="Arial" w:cs="Arial" w:eastAsia="Arial" w:hAnsi="Arial"/>
          <w:b/>
          <w:bCs/>
          <w:color w:val="FFFFFF"/>
          <w:sz w:val="30"/>
          <w:szCs w:val="30"/>
        </w:rPr>
        <w:t xml:space="preserve">Article 8: Verification of Ceasefire Compliance</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8.1  Primary Verification: Shared Digital Registry</w:t>
      </w:r>
    </w:p>
    <w:p>
      <w:pPr>
        <w:spacing w:after="80" w:before="80" w:line="276" w:lineRule="auto"/>
        <w:jc w:val="both"/>
      </w:pPr>
      <w:r>
        <w:rPr>
          <w:rFonts w:ascii="Arial" w:cs="Arial" w:eastAsia="Arial" w:hAnsi="Arial"/>
          <w:b w:val="false"/>
          <w:bCs w:val="false"/>
          <w:i w:val="false"/>
          <w:iCs w:val="false"/>
          <w:color w:val="000000"/>
          <w:sz w:val="22"/>
          <w:szCs w:val="22"/>
        </w:rPr>
        <w:t xml:space="preserve">The Shared Digital Registry established under Annex U (Article 5) is the primary technical verification mechanism for ceasefire compliance on the Gaza and Lebanon fronts. The Registry's real-time satellite telemetry, unalterable SHA-3 ledger, and automated breach detection algorithm apply to both fronts. Registry data constitutes presumptive evidence in any impairment adjudication proceeding before the PCC.</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8.2  Lebanon Ceasefire Monitoring Body Reports</w:t>
      </w:r>
    </w:p>
    <w:p>
      <w:pPr>
        <w:spacing w:after="80" w:before="80" w:line="276" w:lineRule="auto"/>
        <w:jc w:val="both"/>
      </w:pPr>
      <w:r>
        <w:rPr>
          <w:rFonts w:ascii="Arial" w:cs="Arial" w:eastAsia="Arial" w:hAnsi="Arial"/>
          <w:b w:val="false"/>
          <w:bCs w:val="false"/>
          <w:i w:val="false"/>
          <w:iCs w:val="false"/>
          <w:color w:val="000000"/>
          <w:sz w:val="22"/>
          <w:szCs w:val="22"/>
        </w:rPr>
        <w:t xml:space="preserve">The LCMB's monthly Lebanon Ceasefire Status Reports supplement the Shared Digital Registry with diplomatic reporting, influence commitment assessments, and on-the-ground monitoring data from LCMB field representatives where both Parties consent to their deployment. LCMB reports are advisory; they do not override Registry data on matters of territorial compliance.</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8.3  Influence Commitment Verification</w:t>
      </w:r>
    </w:p>
    <w:p>
      <w:pPr>
        <w:spacing w:after="80" w:before="80" w:line="276" w:lineRule="auto"/>
        <w:jc w:val="both"/>
      </w:pPr>
      <w:r>
        <w:rPr>
          <w:rFonts w:ascii="Arial" w:cs="Arial" w:eastAsia="Arial" w:hAnsi="Arial"/>
          <w:b w:val="false"/>
          <w:bCs w:val="false"/>
          <w:i w:val="false"/>
          <w:iCs w:val="false"/>
          <w:color w:val="000000"/>
          <w:sz w:val="22"/>
          <w:szCs w:val="22"/>
        </w:rPr>
        <w:t xml:space="preserve">Verification of Influence Commitment compliance — whether either Party genuinely attempted to use its influence — is the most difficult verification challenge in this Annex. The PCC approaches it through:</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Documented diplomatic contacts: Each Party maintains a contemporaneous record of diplomatic communications, demarches, and representations made to the relevant third party, submitted to the LCMB monthly.</w:t>
      </w:r>
    </w:p>
    <w:p>
      <w:pPr>
        <w:pStyle w:val="ListParagraph"/>
        <w:numPr>
          <w:ilvl w:val="0"/>
          <w:numId w:val="2"/>
        </w:numPr>
        <w:spacing w:after="60" w:before="60"/>
      </w:pPr>
      <w:r>
        <w:rPr>
          <w:rFonts w:ascii="Arial" w:cs="Arial" w:eastAsia="Arial" w:hAnsi="Arial"/>
          <w:sz w:val="22"/>
          <w:szCs w:val="22"/>
        </w:rPr>
        <w:t xml:space="preserve">Third-party reporting: Guarantor state representatives in Beirut and relevant capitals provide contextual reporting to the LCMB on the diplomatic environment.</w:t>
      </w:r>
    </w:p>
    <w:p>
      <w:pPr>
        <w:pStyle w:val="ListParagraph"/>
        <w:numPr>
          <w:ilvl w:val="0"/>
          <w:numId w:val="2"/>
        </w:numPr>
        <w:spacing w:after="60" w:before="60"/>
      </w:pPr>
      <w:r>
        <w:rPr>
          <w:rFonts w:ascii="Arial" w:cs="Arial" w:eastAsia="Arial" w:hAnsi="Arial"/>
          <w:sz w:val="22"/>
          <w:szCs w:val="22"/>
        </w:rPr>
        <w:t xml:space="preserve">Pattern analysis: A single incident following extensive documented influence attempts is different from a pattern of incidents with no documented influence attempts. The PCC weighs documented effort, not just outcome.</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framework excludes any obligation to disclose intelligence sources, specific communications with non-state actors, or operational details of influence activities that either Party classifies at the highest sensitivity level. The PCC operates on the principle that the Influence Commitment is a best-efforts obligation, not an outcome guarantee, and weights documented effort heavily in any impairment determination involving influence commitment compliance.</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8.4  Escalation Buffer</w:t>
      </w:r>
    </w:p>
    <w:p>
      <w:pPr>
        <w:spacing w:after="80" w:before="80" w:line="276" w:lineRule="auto"/>
        <w:jc w:val="both"/>
      </w:pPr>
      <w:r>
        <w:rPr>
          <w:rFonts w:ascii="Arial" w:cs="Arial" w:eastAsia="Arial" w:hAnsi="Arial"/>
          <w:b w:val="false"/>
          <w:bCs w:val="false"/>
          <w:i w:val="false"/>
          <w:iCs w:val="false"/>
          <w:color w:val="000000"/>
          <w:sz w:val="22"/>
          <w:szCs w:val="22"/>
        </w:rPr>
        <w:t xml:space="preserve">The Escalation Buffer Protocol of Annex R.a applies to the ceasefire architecture of this Annex. On any verified ceasefire breach reaching an automatic breach threshold under Annex U, the 72-hour escalation buffer activates automatically, running in parallel with the impairment adjudication process of Article 5. The buffer does not pause or substitute for the Article 5 process; both run simultaneously.</w:t>
      </w:r>
    </w:p>
    <w:p>
      <w:r>
        <w:br w:type="page"/>
      </w:r>
    </w:p>
    <w:p>
      <w:pPr>
        <w:pStyle w:val="Heading1"/>
        <w:shd w:fill="4A1020" w:val="clear"/>
        <w:spacing w:after="120" w:before="240"/>
      </w:pPr>
      <w:r>
        <w:rPr>
          <w:rFonts w:ascii="Arial" w:cs="Arial" w:eastAsia="Arial" w:hAnsi="Arial"/>
          <w:b/>
          <w:bCs/>
          <w:color w:val="FFFFFF"/>
          <w:sz w:val="30"/>
          <w:szCs w:val="30"/>
        </w:rPr>
        <w:t xml:space="preserve">Article 9: Duration, Renewal, and Expiry</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9.1  Duration</w:t>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remains in force for the duration of the MOU into which it is incorporated. The rolling ceasefire provisions of Article 2 operate on the renewable 30-day cycle established therein. The impairment adjudication process, influence commitments, and Regional Stabilization Rounds remain operative throughout the MOU's duration.</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9.2  Ceasefire Expiry vs. Annex Expiry</w:t>
      </w:r>
    </w:p>
    <w:p>
      <w:pPr>
        <w:spacing w:after="80" w:before="80" w:line="276" w:lineRule="auto"/>
        <w:jc w:val="both"/>
      </w:pPr>
      <w:r>
        <w:rPr>
          <w:rFonts w:ascii="Arial" w:cs="Arial" w:eastAsia="Arial" w:hAnsi="Arial"/>
          <w:b w:val="false"/>
          <w:bCs w:val="false"/>
          <w:i w:val="false"/>
          <w:iCs w:val="false"/>
          <w:color w:val="000000"/>
          <w:sz w:val="22"/>
          <w:szCs w:val="22"/>
        </w:rPr>
        <w:t xml:space="preserve">The rolling ceasefire expires where: (a) either Party gives timely non-renewal notice; or (b) the MOU terminates. Ceasefire expiry does not terminate this Annex's other provisions. The influence commitments, Direct Material Support prohibition, and impairment adjudication framework remain operative for as long as the MOU is in force, regardless of ceasefire status, because those provisions are not contingent on an active ceasefire — they are structural features of the Parties' relationship under the MOU.</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9.3  Phase III Transition</w:t>
      </w:r>
    </w:p>
    <w:p>
      <w:pPr>
        <w:spacing w:after="80" w:before="80" w:line="276" w:lineRule="auto"/>
        <w:jc w:val="both"/>
      </w:pPr>
      <w:r>
        <w:rPr>
          <w:rFonts w:ascii="Arial" w:cs="Arial" w:eastAsia="Arial" w:hAnsi="Arial"/>
          <w:b w:val="false"/>
          <w:bCs w:val="false"/>
          <w:i w:val="false"/>
          <w:iCs w:val="false"/>
          <w:color w:val="000000"/>
          <w:sz w:val="22"/>
          <w:szCs w:val="22"/>
        </w:rPr>
        <w:t xml:space="preserve">On Phase III certification under Part C of the MOU, the Regional Stabilization Rounds transition into the formal Phase III regional security talks of Part C-3. The LCMB's functions are absorbed into the Phase III monitoring architecture. The influence commitments continue in a modified form under Part C-3's normalization architecture. This Annex's operative provisions are superseded on those matters by Part C-3 upon Phase III certification, but remain operative on all matters not addressed in Part C-3.</w:t>
      </w:r>
    </w:p>
    <w:p>
      <w:r>
        <w:br w:type="page"/>
      </w:r>
    </w:p>
    <w:p>
      <w:pPr>
        <w:pStyle w:val="Heading1"/>
        <w:shd w:fill="4A1020" w:val="clear"/>
        <w:spacing w:after="120" w:before="240"/>
      </w:pPr>
      <w:r>
        <w:rPr>
          <w:rFonts w:ascii="Arial" w:cs="Arial" w:eastAsia="Arial" w:hAnsi="Arial"/>
          <w:b/>
          <w:bCs/>
          <w:color w:val="FFFFFF"/>
          <w:sz w:val="30"/>
          <w:szCs w:val="30"/>
        </w:rPr>
        <w:t xml:space="preserve">Article 10: Incorporation by Reference</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is incorporable into any existing or future agreement through the following sentence:</w:t>
      </w:r>
    </w:p>
    <w:p>
      <w:pPr>
        <w:spacing w:after="40" w:before="40"/>
      </w:pPr>
      <w:r>
        <w:t xml:space="preserve"/>
      </w:r>
    </w:p>
    <w:p>
      <w:pPr>
        <w:pBdr>
          <w:left w:val="single" w:color="7B2840" w:sz="8"/>
        </w:pBdr>
        <w:spacing w:after="120" w:before="120"/>
        <w:ind w:left="720"/>
        <w:jc w:val="both"/>
      </w:pPr>
      <w:r>
        <w:rPr>
          <w:rFonts w:ascii="Arial" w:cs="Arial" w:eastAsia="Arial" w:hAnsi="Arial"/>
          <w:sz w:val="22"/>
          <w:szCs w:val="22"/>
        </w:rPr>
        <w:t xml:space="preserve">"The Parties adopt Annex J (Lebanon Linkage: Parallel Binding Ceasefire with Separate Enforcement) as an operative provision of this Agreement. In the event of any inconsistency, Annex J governs with respect to the rolling ceasefire, the Lebanon freeze-in-place, the reciprocal influence commitments, the impairment adjudication process, the Core Protection firewall, and the Regional Stabilization Rounds."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No further amendment of the parent framework is required. This Annex enters into force upon the later of: (a) signature by both Parties; or (b) the effective date of the parent framework incorporating it.</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Relationship to Annex U-1</w:t>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supersedes Annex U-1 (Lebanon Ceasefire Implementation) on all matters within its scope. The stub text of Annex U-1 in the MOU v7.0 is incorporated into and expanded by this Annex. Where a Party cites Annex U-1 in any proceeding, this Annex's provisions on the same matter govern.</w:t>
      </w:r>
    </w:p>
    <w:p>
      <w:r>
        <w:br w:type="page"/>
      </w:r>
    </w:p>
    <w:p>
      <w:pPr>
        <w:pStyle w:val="Heading1"/>
        <w:shd w:fill="4A1020" w:val="clear"/>
        <w:spacing w:after="120" w:before="240"/>
      </w:pPr>
      <w:r>
        <w:rPr>
          <w:rFonts w:ascii="Arial" w:cs="Arial" w:eastAsia="Arial" w:hAnsi="Arial"/>
          <w:b/>
          <w:bCs/>
          <w:color w:val="FFFFFF"/>
          <w:sz w:val="30"/>
          <w:szCs w:val="30"/>
        </w:rPr>
        <w:t xml:space="preserve">Article 11: Provisional Application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Parties apply this Annex provisionally for a period of 90 days pending formal incorporation. The Parties effect provisional application through an exchange of diplomatic notes. During provisional application, all provisions of this Annex are operative and binding, including the full rolling ceasefire, the Core Protection firewall, the impairment adjudication process, and the influence commitments.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Either Party terminates provisional application with 14 days' written notice to the other Party and the PCC Secretariat. Termination of provisional application does not affect any impairment determination, step-back, or ceasefire renewal status that arose during provisional application.</w:t>
      </w:r>
    </w:p>
    <w:p>
      <w:pPr>
        <w:spacing w:after="40" w:before="40"/>
      </w:pPr>
      <w:r>
        <w:t xml:space="preserve"/>
      </w:r>
    </w:p>
    <w:p>
      <w:pPr>
        <w:pBdr>
          <w:left w:val="single" w:color="A0526A" w:sz="8"/>
        </w:pBdr>
        <w:spacing w:after="80" w:before="80"/>
        <w:ind w:left="360"/>
        <w:jc w:val="both"/>
      </w:pPr>
      <w:r>
        <w:rPr>
          <w:rFonts w:ascii="Arial" w:cs="Arial" w:eastAsia="Arial" w:hAnsi="Arial"/>
          <w:color w:val="4A1020"/>
          <w:sz w:val="20"/>
          <w:szCs w:val="20"/>
        </w:rPr>
        <w:t xml:space="preserve">Note: All Humanitarian Firewall elements under Annex T, Article II.4 remain operative during any provisional application termination notice period, consistent with the Core Protection guarantee of Article 4 of this Annex.</w:t>
      </w:r>
    </w:p>
    <w:p>
      <w:r>
        <w:br w:type="page"/>
      </w:r>
    </w:p>
    <w:p>
      <w:pPr>
        <w:pStyle w:val="Heading1"/>
        <w:shd w:fill="4A1020" w:val="clear"/>
        <w:spacing w:after="120" w:before="240"/>
      </w:pPr>
      <w:r>
        <w:rPr>
          <w:rFonts w:ascii="Arial" w:cs="Arial" w:eastAsia="Arial" w:hAnsi="Arial"/>
          <w:b/>
          <w:bCs/>
          <w:color w:val="FFFFFF"/>
          <w:sz w:val="30"/>
          <w:szCs w:val="30"/>
        </w:rPr>
        <w:t xml:space="preserve">Article 12: Why This Stays Within Both Parties' Red Lines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This Article preserves the negotiating record on red-line compliance. It is a reference document for each delegation's internal use.</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12.1  Political Pitch Matrix</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J-6: Political Pitch Matrix — Lebanon Linkage Architecture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TO IRAN</w:t>
            </w:r>
          </w:p>
        </w:tc>
        <w:tc>
          <w:tcPr>
            <w:tcW w:type="dxa" w:w="312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TO THE UNITED STATES</w:t>
            </w:r>
          </w:p>
        </w:tc>
        <w:tc>
          <w:tcPr>
            <w:tcW w:type="dxa" w:w="3120"/>
            <w:tcBorders>
              <w:top w:val="single" w:color="C89098" w:sz="2"/>
              <w:left w:val="single" w:color="C89098" w:sz="2"/>
              <w:bottom w:val="single" w:color="C89098" w:sz="2"/>
              <w:right w:val="single" w:color="C89098" w:sz="2"/>
            </w:tcBorders>
            <w:shd w:fill="7B284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TO THE FACILITATORS</w:t>
            </w:r>
          </w:p>
        </w:tc>
      </w:tr>
      <w:tr>
        <w:trPr>
          <w:tblHeader w:val="false"/>
        </w:trPr>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"Lebanon is explicitly named in the ceasefire. This is not a separate deal that ignores Lebanon — it covers all fronts, including Lebanon, Gaza, Syria, and Yemen."</w:t>
            </w:r>
          </w:p>
        </w:tc>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"The nuclear and maritime cores are legally independent. No regional event automatically breaches Articles 2–5. The firewall is structural, not discretionary."</w:t>
            </w:r>
          </w:p>
        </w:tc>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"Both sides get to describe this in their own terms. Iran says Lebanon is covered. The US says the cores are independent. Both statements are simultaneously true and publicly defensible."</w:t>
            </w:r>
          </w:p>
        </w:tc>
      </w:tr>
      <w:tr>
        <w:trPr>
          <w:tblHeader w:val="false"/>
        </w:trPr>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"The United States formally commits to using its influence to restrain Israeli military operations in Lebanon. This is a named, reciprocal obligation — not a one-way demand."</w:t>
            </w:r>
          </w:p>
        </w:tc>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"'Influence' is not 'guarantee.' The US commitment is best-efforts, identical in structure to Iran's best-efforts commitment on Hezbollah. No US veto over Israeli self-defense."</w:t>
            </w:r>
          </w:p>
        </w:tc>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"The symmetry of the best-efforts language makes this defensible to both domestic audiences. Neither side 'controls' the other's proxies or allies — both 'use influence.'"</w:t>
            </w:r>
          </w:p>
        </w:tc>
      </w:tr>
      <w:tr>
        <w:trPr>
          <w:tblHeader w:val="false"/>
        </w:trPr>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"A Lebanon breach has real teeth: PCC consultation within 24 hours, and non-core benefit suspension if direct impairment is proven. This is not a powerless side letter."</w:t>
            </w:r>
          </w:p>
        </w:tc>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"The causation standard is rigorous: specific, direct, and non-speculative. Vague claims of regional impairment do not unlock suspension. The 72-hour submission window is tight."</w:t>
            </w:r>
          </w:p>
        </w:tc>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"The PCC default rule — no determination within 72 hours means 'not material' — protects against indefinite uncertainty. Both sides get a clear answer quickly."</w:t>
            </w:r>
          </w:p>
        </w:tc>
      </w:tr>
      <w:tr>
        <w:trPr>
          <w:tblHeader w:val="false"/>
        </w:trPr>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"The Tier-2 ceiling means the deal survives a Lebanese incident. A Tier-2 step-back is proportional and reversible. The nuclear cores do not collapse over a regional event."</w:t>
            </w:r>
          </w:p>
        </w:tc>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"No Tier-3 trigger from a Lebanon violation alone. The nuclear and maritime cores survive. The architecture is designed to absorb regional stress without detonating."</w:t>
            </w:r>
          </w:p>
        </w:tc>
        <w:tc>
          <w:tcPr>
            <w:tcW w:type="dxa" w:w="3120"/>
            <w:tcBorders>
              <w:top w:val="single" w:color="C89098" w:sz="2"/>
              <w:left w:val="single" w:color="C89098" w:sz="2"/>
              <w:bottom w:val="single" w:color="C89098" w:sz="2"/>
              <w:right w:val="single" w:color="C890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"The Round 1 consultation structure gives Lebanon its own dedicated diplomatic track. Both sides have a forum to raise concerns without holding the nuclear deal hostage."</w:t>
            </w:r>
          </w:p>
        </w:tc>
      </w:tr>
    </w:tbl>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12.2  United States Red Lines — All Preserved</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Nuclear and maritime cores legally independent: Articles 2–5 continue regardless of ceasefire status. The structural firewall of Article 4 is non-waivable.</w:t>
      </w:r>
    </w:p>
    <w:p>
      <w:pPr>
        <w:pStyle w:val="ListParagraph"/>
        <w:numPr>
          <w:ilvl w:val="0"/>
          <w:numId w:val="2"/>
        </w:numPr>
        <w:spacing w:after="60" w:before="60"/>
      </w:pPr>
      <w:r>
        <w:rPr>
          <w:rFonts w:ascii="Arial" w:cs="Arial" w:eastAsia="Arial" w:hAnsi="Arial"/>
          <w:sz w:val="22"/>
          <w:szCs w:val="22"/>
        </w:rPr>
        <w:t xml:space="preserve">No Iranian veto over Israeli action: Israel's right to self-defense against ongoing armed attacks from Lebanese territory is explicitly preserved in Article 3.3. Israeli operations in Syria are outside this Annex entirely (Article 6.3).</w:t>
      </w:r>
    </w:p>
    <w:p>
      <w:pPr>
        <w:pStyle w:val="ListParagraph"/>
        <w:numPr>
          <w:ilvl w:val="0"/>
          <w:numId w:val="2"/>
        </w:numPr>
        <w:spacing w:after="60" w:before="60"/>
      </w:pPr>
      <w:r>
        <w:rPr>
          <w:rFonts w:ascii="Arial" w:cs="Arial" w:eastAsia="Arial" w:hAnsi="Arial"/>
          <w:sz w:val="22"/>
          <w:szCs w:val="22"/>
        </w:rPr>
        <w:t xml:space="preserve">"Best efforts," not "control": The US Influence Commitment is identical in structure to Iran's — best-efforts, not guarantee. The United States does not undertake to prevent Israeli self-defense.</w:t>
      </w:r>
    </w:p>
    <w:p>
      <w:pPr>
        <w:pStyle w:val="ListParagraph"/>
        <w:numPr>
          <w:ilvl w:val="0"/>
          <w:numId w:val="2"/>
        </w:numPr>
        <w:spacing w:after="60" w:before="60"/>
      </w:pPr>
      <w:r>
        <w:rPr>
          <w:rFonts w:ascii="Arial" w:cs="Arial" w:eastAsia="Arial" w:hAnsi="Arial"/>
          <w:sz w:val="22"/>
          <w:szCs w:val="22"/>
        </w:rPr>
        <w:t xml:space="preserve">Separate enforcement, PCC-gated: Non-Core Benefit suspension requires a PCC materiality determination with a rigorous causation standard. The United States is not exposed to unilateral Iranian suspension decisions.</w:t>
      </w:r>
    </w:p>
    <w:p>
      <w:pPr>
        <w:pStyle w:val="ListParagraph"/>
        <w:numPr>
          <w:ilvl w:val="0"/>
          <w:numId w:val="2"/>
        </w:numPr>
        <w:spacing w:after="60" w:before="60"/>
      </w:pPr>
      <w:r>
        <w:rPr>
          <w:rFonts w:ascii="Arial" w:cs="Arial" w:eastAsia="Arial" w:hAnsi="Arial"/>
          <w:sz w:val="22"/>
          <w:szCs w:val="22"/>
        </w:rPr>
        <w:t xml:space="preserve">Causation standard protects against pretextual claims: The specific, direct, non-speculative standard closes the door on Iran claiming that domestic political pressure from a Lebanese incident impairs its nuclear compliance.</w:t>
      </w:r>
    </w:p>
    <w:p>
      <w:pPr>
        <w:pStyle w:val="ListParagraph"/>
        <w:numPr>
          <w:ilvl w:val="0"/>
          <w:numId w:val="2"/>
        </w:numPr>
        <w:spacing w:after="60" w:before="60"/>
      </w:pPr>
      <w:r>
        <w:rPr>
          <w:rFonts w:ascii="Arial" w:cs="Arial" w:eastAsia="Arial" w:hAnsi="Arial"/>
          <w:sz w:val="22"/>
          <w:szCs w:val="22"/>
        </w:rPr>
        <w:t xml:space="preserve">30-day ceiling: No suspension is permanent. The 30-day automatic lift prevents indefinite leverage from a single regional incident.</w:t>
      </w:r>
    </w:p>
    <w:p>
      <w:pPr>
        <w:spacing w:after="40" w:before="40"/>
      </w:pPr>
      <w:r>
        <w:t xml:space="preserve"/>
      </w:r>
    </w:p>
    <w:p>
      <w:pPr>
        <w:pStyle w:val="Heading2"/>
        <w:shd w:fill="7B2840" w:val="clear"/>
        <w:spacing w:after="100" w:before="200"/>
      </w:pPr>
      <w:r>
        <w:rPr>
          <w:rFonts w:ascii="Arial" w:cs="Arial" w:eastAsia="Arial" w:hAnsi="Arial"/>
          <w:b/>
          <w:bCs/>
          <w:color w:val="FFFFFF"/>
          <w:sz w:val="26"/>
          <w:szCs w:val="26"/>
        </w:rPr>
        <w:t xml:space="preserve">12.3  Iranian Red Lines — All Preserved</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Lebanon is explicitly named: The ceasefire scope explicitly covers Lebanon, Gaza, Syria, and Yemen. No Iranian government defends a deal that is silent on Lebanon; this Annex gives Iran the public text it needs.</w:t>
      </w:r>
    </w:p>
    <w:p>
      <w:pPr>
        <w:pStyle w:val="ListParagraph"/>
        <w:numPr>
          <w:ilvl w:val="0"/>
          <w:numId w:val="2"/>
        </w:numPr>
        <w:spacing w:after="60" w:before="60"/>
      </w:pPr>
      <w:r>
        <w:rPr>
          <w:rFonts w:ascii="Arial" w:cs="Arial" w:eastAsia="Arial" w:hAnsi="Arial"/>
          <w:sz w:val="22"/>
          <w:szCs w:val="22"/>
        </w:rPr>
        <w:t xml:space="preserve">Reciprocal US commitment: Article 3.3 is a named, treaty-level commitment by the United States to use its influence to restrain Israeli operations in Lebanon. This is publicly defensible as a reciprocal obligation, not a one-sided Iranian duty.</w:t>
      </w:r>
    </w:p>
    <w:p>
      <w:pPr>
        <w:pStyle w:val="ListParagraph"/>
        <w:numPr>
          <w:ilvl w:val="0"/>
          <w:numId w:val="2"/>
        </w:numPr>
        <w:spacing w:after="60" w:before="60"/>
      </w:pPr>
      <w:r>
        <w:rPr>
          <w:rFonts w:ascii="Arial" w:cs="Arial" w:eastAsia="Arial" w:hAnsi="Arial"/>
          <w:sz w:val="22"/>
          <w:szCs w:val="22"/>
        </w:rPr>
        <w:t xml:space="preserve">No control over Hezbollah required: Iran's obligation is best-efforts influence, not control. The non-state actor acknowledgment of Article 3.5 explicitly states that Iran is not held strictly liable for Hezbollah actions it cannot prevent.</w:t>
      </w:r>
    </w:p>
    <w:p>
      <w:pPr>
        <w:pStyle w:val="ListParagraph"/>
        <w:numPr>
          <w:ilvl w:val="0"/>
          <w:numId w:val="2"/>
        </w:numPr>
        <w:spacing w:after="60" w:before="60"/>
      </w:pPr>
      <w:r>
        <w:rPr>
          <w:rFonts w:ascii="Arial" w:cs="Arial" w:eastAsia="Arial" w:hAnsi="Arial"/>
          <w:sz w:val="22"/>
          <w:szCs w:val="22"/>
        </w:rPr>
        <w:t xml:space="preserve">Tier-2 ceiling protects the deal: A Lebanon violation is a Tier-2 step-back — proportional and reversible — not a Tier-3 hostile breach that collapses the framework. The deal survives a Lebanese incident.</w:t>
      </w:r>
    </w:p>
    <w:p>
      <w:pPr>
        <w:pStyle w:val="ListParagraph"/>
        <w:numPr>
          <w:ilvl w:val="0"/>
          <w:numId w:val="2"/>
        </w:numPr>
        <w:spacing w:after="60" w:before="60"/>
      </w:pPr>
      <w:r>
        <w:rPr>
          <w:rFonts w:ascii="Arial" w:cs="Arial" w:eastAsia="Arial" w:hAnsi="Arial"/>
          <w:sz w:val="22"/>
          <w:szCs w:val="22"/>
        </w:rPr>
        <w:t xml:space="preserve">LCMB gives Iran a monitoring voice: The Lebanon Ceasefire Monitoring Body includes an Iranian representative. Iran has a formal seat in the compliance review process, not just observer status.</w:t>
      </w:r>
    </w:p>
    <w:p>
      <w:pPr>
        <w:pStyle w:val="ListParagraph"/>
        <w:numPr>
          <w:ilvl w:val="0"/>
          <w:numId w:val="2"/>
        </w:numPr>
        <w:spacing w:after="60" w:before="60"/>
      </w:pPr>
      <w:r>
        <w:rPr>
          <w:rFonts w:ascii="Arial" w:cs="Arial" w:eastAsia="Arial" w:hAnsi="Arial"/>
          <w:sz w:val="22"/>
          <w:szCs w:val="22"/>
        </w:rPr>
        <w:t xml:space="preserve">Phase III door: Round 4 and the Phase III transition of Article 9.3 give Lebanon a guaranteed place on the normalization agenda. Iran states that this instrument opens the door to resolving Lebanon. Article 9.3 makes that statement architecturally true.</w:t>
      </w:r>
    </w:p>
    <w:p>
      <w:r>
        <w:br w:type="page"/>
      </w:r>
    </w:p>
    <w:p>
      <w:pPr>
        <w:pStyle w:val="Heading1"/>
        <w:shd w:fill="4A1020" w:val="clear"/>
        <w:spacing w:after="120" w:before="240"/>
      </w:pPr>
      <w:r>
        <w:rPr>
          <w:rFonts w:ascii="Arial" w:cs="Arial" w:eastAsia="Arial" w:hAnsi="Arial"/>
          <w:b/>
          <w:bCs/>
          <w:color w:val="FFFFFF"/>
          <w:sz w:val="30"/>
          <w:szCs w:val="30"/>
        </w:rPr>
        <w:t xml:space="preserve">Signature Block</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In witness whereof, the undersigned, being duly authorized by their respective governments, have signed this Annex J: Lebanon Linkage — Parallel Binding Ceasefire with Separate Enforcement.</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Done at __________________________, this _______ day of _____________________, 2026, in triplicate in the English language.</w:t>
      </w:r>
    </w:p>
    <w:p>
      <w:pPr>
        <w:spacing w:after="40" w:before="40"/>
      </w:pPr>
      <w:r>
        <w:t xml:space="preserve"/>
      </w:r>
    </w:p>
    <w:p>
      <w:pPr>
        <w:pBdr>
          <w:bottom w:val="single" w:color="4A1020"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For the Islamic Republic of Iran: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Name: 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Title: ________________________________________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pBdr>
          <w:bottom w:val="single" w:color="4A1020"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For the United States of America:</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Name: 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Title: ________________________________________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pBdr>
          <w:bottom w:val="single" w:color="4A1020"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Facilitated by:</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Islamic Republic of Pakistan (Primary Mediator): 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Sultanate of Oman (Co-Facilitator): ____________________________</w:t>
      </w:r>
    </w:p>
    <w:p>
      <w:pPr>
        <w:spacing w:after="40" w:before="40"/>
      </w:pPr>
      <w:r>
        <w:t xml:space="preserve"/>
      </w:r>
    </w:p>
    <w:p>
      <w:pPr>
        <w:pBdr>
          <w:bottom w:val="single" w:color="4A1020"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Witnessed by the Guarantor States: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Qatar</w:t>
            </w:r>
          </w:p>
        </w:tc>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European Union (E3+)</w:t>
            </w:r>
          </w:p>
        </w:tc>
      </w:tr>
      <w:tr>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People's Republic of China</w:t>
            </w:r>
          </w:p>
        </w:tc>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sz w:val="22"/>
                <w:szCs w:val="22"/>
              </w:rPr>
              <w:t xml:space="preserve">Russian Federation</w:t>
            </w:r>
          </w:p>
        </w:tc>
      </w:tr>
    </w:tbl>
    <w:p>
      <w:pPr>
        <w:spacing w:after="40" w:before="40"/>
      </w:pPr>
      <w:r>
        <w:t xml:space="preserve"/>
      </w:r>
    </w:p>
    <w:p>
      <w:pPr>
        <w:spacing w:after="40" w:before="40"/>
      </w:pPr>
      <w:r>
        <w:t xml:space="preserve"/>
      </w:r>
    </w:p>
    <w:p>
      <w:pPr>
        <w:pBdr>
          <w:bottom w:val="single" w:color="4A1020" w:sz="6"/>
        </w:pBdr>
        <w:spacing w:after="100" w:before="100"/>
      </w:pPr>
      <w:r>
        <w:rPr>
          <w:rFonts w:ascii="Arial" w:cs="Arial" w:eastAsia="Arial" w:hAnsi="Arial"/>
          <w:sz w:val="4"/>
          <w:szCs w:val="4"/>
        </w:rPr>
        <w:t xml:space="preserve"/>
      </w:r>
    </w:p>
    <w:p>
      <w:pPr>
        <w:spacing w:after="40" w:before="40"/>
      </w:pPr>
      <w:r>
        <w:t xml:space="preserve"/>
      </w:r>
    </w:p>
    <w:p>
      <w:pPr>
        <w:spacing w:after="40" w:before="80"/>
        <w:jc w:val="center"/>
      </w:pPr>
      <w:r>
        <w:rPr>
          <w:rFonts w:ascii="Arial" w:cs="Arial" w:eastAsia="Arial" w:hAnsi="Arial"/>
          <w:color w:val="7B2840"/>
          <w:sz w:val="20"/>
          <w:szCs w:val="20"/>
        </w:rPr>
        <w:t xml:space="preserve">Annex J — Lebanon Linkage: Parallel Binding Ceasefire with Separate Enforcement — Version 1.0</w:t>
      </w:r>
    </w:p>
    <w:p>
      <w:pPr>
        <w:spacing w:after="80" w:before="40"/>
        <w:jc w:val="center"/>
      </w:pPr>
      <w:r>
        <w:rPr>
          <w:rFonts w:ascii="Arial" w:cs="Arial" w:eastAsia="Arial" w:hAnsi="Arial"/>
          <w:color w:val="7B2840"/>
          <w:sz w:val="20"/>
          <w:szCs w:val="20"/>
        </w:rPr>
        <w:t xml:space="preserve">Diplomatic Working Document — Modular Annex — Closes Gap 5 (Lebanon Linkage)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1020" w:sz="4"/>
      </w:pBdr>
      <w:tabs>
        <w:tab w:val="right" w:pos="9360"/>
      </w:tabs>
      <w:spacing w:after="40" w:before="40"/>
    </w:pPr>
    <w:r>
      <w:rPr>
        <w:rFonts w:ascii="Arial" w:cs="Arial" w:eastAsia="Arial" w:hAnsi="Arial"/>
        <w:b/>
        <w:bCs/>
        <w:color w:val="4A1020"/>
        <w:sz w:val="16"/>
        <w:szCs w:val="16"/>
      </w:rPr>
      <w:t xml:space="preserve">AUTHORIZED NEGOTIATORS ONLY — CONFIDENTIAL — NOT FOR PUBLIC DISTRIBUTION	</w:t>
    </w:r>
    <w:r>
      <w:rPr>
        <w:rFonts w:ascii="Arial" w:cs="Arial" w:eastAsia="Arial" w:hAnsi="Arial"/>
        <w:color w:val="4A102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020" w:sz="4"/>
      </w:pBdr>
      <w:tabs>
        <w:tab w:val="right" w:pos="9360"/>
      </w:tabs>
      <w:spacing w:after="40" w:before="40"/>
    </w:pPr>
    <w:r>
      <w:rPr>
        <w:rFonts w:ascii="Arial" w:cs="Arial" w:eastAsia="Arial" w:hAnsi="Arial"/>
        <w:b/>
        <w:bCs/>
        <w:color w:val="4A1020"/>
        <w:sz w:val="16"/>
        <w:szCs w:val="16"/>
      </w:rPr>
      <w:t xml:space="preserve">DIPLOMATIC WORKING DOCUMENT — MODULAR ANNEX</w:t>
    </w:r>
    <w:r>
      <w:rPr>
        <w:rFonts w:ascii="Arial" w:cs="Arial" w:eastAsia="Arial" w:hAnsi="Arial"/>
        <w:color w:val="A0526A"/>
        <w:sz w:val="15"/>
        <w:szCs w:val="15"/>
      </w:rPr>
      <w:t xml:space="preserve">	Annex J — Lebanon Linkage: Parallel Binding Ceasefire with Separate Enforcement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4A1020" w:val="clear"/>
      <w:spacing w:after="120" w:before="240"/>
      <w:outlineLvl w:val="0"/>
    </w:pPr>
    <w:rPr>
      <w:rFonts w:ascii="Arial" w:cs="Arial" w:eastAsia="Arial" w:hAnsi="Arial"/>
      <w:b/>
      <w:bCs/>
      <w:color w:val="FFFFFF"/>
      <w:sz w:val="30"/>
      <w:szCs w:val="30"/>
    </w:rPr>
  </w:style>
  <w:style w:type="paragraph" w:styleId="Heading2">
    <w:name w:val="Heading 2"/>
    <w:basedOn w:val="Normal"/>
    <w:next w:val="Normal"/>
    <w:qFormat/>
    <w:pPr>
      <w:shd w:fill="7B2840" w:val="clear"/>
      <w:spacing w:after="100" w:before="20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A10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2026-06-07T04:06:43.581Z</dcterms:created>
  <dcterms:modified xsi:type="dcterms:W3CDTF">2026-06-07T04:06:43.582Z</dcterms:modified>
</cp:coreProperties>
</file>

<file path=docProps/custom.xml><?xml version="1.0" encoding="utf-8"?>
<Properties xmlns="http://schemas.openxmlformats.org/officeDocument/2006/custom-properties" xmlns:vt="http://schemas.openxmlformats.org/officeDocument/2006/docPropsVTypes"/>
</file>