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60" w:before="200"/>
        <w:jc w:val="center"/>
      </w:pPr>
      <w:r>
        <w:rPr>
          <w:rFonts w:ascii="Arial" w:cs="Arial" w:eastAsia="Arial" w:hAnsi="Arial"/>
          <w:b/>
          <w:bCs/>
          <w:color w:val="4A7CB5"/>
          <w:sz w:val="20"/>
          <w:szCs w:val="20"/>
        </w:rPr>
        <w:t xml:space="preserve">DIPLOMATIC WORKING DOCUMENT — MODULAR ANNEX</w:t>
      </w:r>
    </w:p>
    <w:p>
      <w:pPr>
        <w:spacing w:after="40" w:before="40"/>
      </w:pPr>
      <w:r>
        <w:t xml:space="preserve"/>
      </w:r>
    </w:p>
    <w:p>
      <w:pPr>
        <w:spacing w:after="60" w:before="200"/>
        <w:jc w:val="center"/>
      </w:pPr>
      <w:r>
        <w:rPr>
          <w:rFonts w:ascii="Arial" w:cs="Arial" w:eastAsia="Arial" w:hAnsi="Arial"/>
          <w:b/>
          <w:bCs/>
          <w:color w:val="1F3864"/>
          <w:sz w:val="60"/>
          <w:szCs w:val="60"/>
        </w:rPr>
        <w:t xml:space="preserve">Annex P</w:t>
      </w:r>
    </w:p>
    <w:p>
      <w:pPr>
        <w:spacing w:after="200" w:before="0"/>
        <w:jc w:val="center"/>
      </w:pPr>
      <w:r>
        <w:rPr>
          <w:rFonts w:ascii="Arial" w:cs="Arial" w:eastAsia="Arial" w:hAnsi="Arial"/>
          <w:b/>
          <w:bCs/>
          <w:color w:val="2E5FA3"/>
          <w:sz w:val="34"/>
          <w:szCs w:val="34"/>
        </w:rPr>
        <w:t xml:space="preserve">Damaged Material Protocol</w:t>
      </w:r>
    </w:p>
    <w:p>
      <w:pPr>
        <w:pBdr>
          <w:bottom w:val="single" w:color="1F3864" w:sz="6"/>
        </w:pBdr>
        <w:spacing w:after="100" w:before="100"/>
      </w:pPr>
      <w:r>
        <w:rPr>
          <w:rFonts w:ascii="Arial" w:cs="Arial" w:eastAsia="Arial" w:hAnsi="Arial"/>
          <w:sz w:val="4"/>
          <w:szCs w:val="4"/>
        </w:rPr>
        <w:t xml:space="preserve"/>
      </w:r>
    </w:p>
    <w:p>
      <w:pPr>
        <w:spacing w:after="40" w:before="40"/>
      </w:pPr>
      <w:r>
        <w:t xml:space="preserve"/>
      </w:r>
    </w:p>
    <w:p>
      <w:pPr>
        <w:spacing w:after="120" w:before="120"/>
        <w:jc w:val="center"/>
      </w:pPr>
      <w:r>
        <w:rPr>
          <w:rFonts w:ascii="Arial" w:cs="Arial" w:eastAsia="Arial" w:hAnsi="Arial"/>
          <w:color w:val="1F3864"/>
          <w:sz w:val="22"/>
          <w:szCs w:val="22"/>
        </w:rPr>
        <w:t xml:space="preserve">May be Incorporated by Reference into Any Existing or Future Framework</w:t>
      </w:r>
    </w:p>
    <w:p>
      <w:pPr>
        <w:spacing w:after="40" w:before="40"/>
      </w:pPr>
      <w:r>
        <w:t xml:space="preserve"/>
      </w:r>
    </w:p>
    <w:p>
      <w:pPr>
        <w:spacing w:after="40" w:before="60"/>
        <w:jc w:val="center"/>
      </w:pPr>
      <w:r>
        <w:rPr>
          <w:rFonts w:ascii="Arial" w:cs="Arial" w:eastAsia="Arial" w:hAnsi="Arial"/>
          <w:color w:val="000000"/>
          <w:sz w:val="22"/>
          <w:szCs w:val="22"/>
        </w:rPr>
        <w:t xml:space="preserve">Version 1.0 — June 2026</w:t>
      </w:r>
    </w:p>
    <w:p>
      <w:pPr>
        <w:spacing w:after="40" w:before="40"/>
        <w:jc w:val="center"/>
      </w:pPr>
      <w:r>
        <w:rPr>
          <w:rFonts w:ascii="Arial" w:cs="Arial" w:eastAsia="Arial" w:hAnsi="Arial"/>
          <w:b/>
          <w:bCs/>
          <w:color w:val="1F3864"/>
          <w:sz w:val="22"/>
          <w:szCs w:val="22"/>
        </w:rPr>
        <w:t xml:space="preserve">Closes Gap 2: Physical Condition of HEU Cylinders</w:t>
      </w:r>
    </w:p>
    <w:p>
      <w:pPr>
        <w:spacing w:after="200" w:before="40"/>
        <w:jc w:val="center"/>
      </w:pPr>
      <w:r>
        <w:rPr>
          <w:rFonts w:ascii="Arial" w:cs="Arial" w:eastAsia="Arial" w:hAnsi="Arial"/>
          <w:color w:val="000000"/>
          <w:sz w:val="22"/>
          <w:szCs w:val="22"/>
        </w:rPr>
        <w:t xml:space="preserve">(In-Situ Downblending Default)</w:t>
      </w:r>
    </w:p>
    <w:p>
      <w:pPr>
        <w:pBdr>
          <w:bottom w:val="single" w:color="1F3864" w:sz="6"/>
        </w:pBdr>
        <w:spacing w:after="100" w:before="100"/>
      </w:pPr>
      <w:r>
        <w:rPr>
          <w:rFonts w:ascii="Arial" w:cs="Arial" w:eastAsia="Arial" w:hAnsi="Arial"/>
          <w:sz w:val="4"/>
          <w:szCs w:val="4"/>
        </w:rPr>
        <w:t xml:space="preserve"/>
      </w:r>
    </w:p>
    <w:p>
      <w:pPr>
        <w:spacing w:after="40" w:before="40"/>
      </w:pPr>
      <w:r>
        <w:t xml:space="preserve"/>
      </w:r>
    </w:p>
    <w:p>
      <w:pPr>
        <w:spacing w:after="200" w:before="120"/>
        <w:jc w:val="center"/>
      </w:pPr>
      <w:r>
        <w:rPr>
          <w:rFonts w:ascii="Arial" w:cs="Arial" w:eastAsia="Arial" w:hAnsi="Arial"/>
          <w:b/>
          <w:bCs/>
          <w:color w:val="1F3864"/>
          <w:sz w:val="24"/>
          <w:szCs w:val="24"/>
        </w:rPr>
        <w:t xml:space="preserve">STANDALONE MODULAR PROTOCOL</w:t>
      </w:r>
    </w:p>
    <w:p>
      <w:pPr>
        <w:spacing w:after="60" w:before="60"/>
        <w:jc w:val="center"/>
      </w:pPr>
      <w:r>
        <w:rPr>
          <w:rFonts w:ascii="Arial" w:cs="Arial" w:eastAsia="Arial" w:hAnsi="Arial"/>
          <w:b/>
          <w:bCs/>
          <w:color w:val="4A7CB5"/>
          <w:sz w:val="18"/>
          <w:szCs w:val="18"/>
        </w:rPr>
        <w:t xml:space="preserve">AUTHORIZED NEGOTIATORS ONLY — CONFIDENTIAL — NOT FOR PUBLIC DISTRIBUTION</w:t>
      </w:r>
    </w:p>
    <w:p>
      <w:r>
        <w:br w:type="page"/>
      </w:r>
    </w:p>
    <w:p>
      <w:pPr>
        <w:pStyle w:val="Heading1"/>
        <w:shd w:fill="1F3864" w:val="clear"/>
        <w:spacing w:after="120" w:before="240"/>
      </w:pPr>
      <w:r>
        <w:rPr>
          <w:rFonts w:ascii="Arial" w:cs="Arial" w:eastAsia="Arial" w:hAnsi="Arial"/>
          <w:b/>
          <w:bCs/>
          <w:color w:val="FFFFFF"/>
          <w:sz w:val="30"/>
          <w:szCs w:val="30"/>
        </w:rPr>
        <w:t xml:space="preserve">Contents</w:t>
      </w:r>
    </w:p>
    <w:p>
      <w:pPr>
        <w:spacing w:after="40" w:before="4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120" w:before="240"/>
      </w:pPr>
      <w:r>
        <w:rPr>
          <w:rFonts w:ascii="Arial" w:cs="Arial" w:eastAsia="Arial" w:hAnsi="Arial"/>
          <w:b/>
          <w:bCs/>
          <w:color w:val="FFFFFF"/>
          <w:sz w:val="30"/>
          <w:szCs w:val="30"/>
        </w:rPr>
        <w:t xml:space="preserve">Preamble</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Purpose</w:t>
      </w:r>
    </w:p>
    <w:p>
      <w:pPr>
        <w:spacing w:after="80" w:before="80" w:line="276" w:lineRule="auto"/>
        <w:jc w:val="both"/>
      </w:pPr>
      <w:r>
        <w:rPr>
          <w:rFonts w:ascii="Arial" w:cs="Arial" w:eastAsia="Arial" w:hAnsi="Arial"/>
          <w:b w:val="false"/>
          <w:bCs w:val="false"/>
          <w:i w:val="false"/>
          <w:iCs w:val="false"/>
          <w:color w:val="000000"/>
          <w:sz w:val="22"/>
          <w:szCs w:val="22"/>
        </w:rPr>
        <w:t xml:space="preserve">To establish a safe, verifiable, and risk-minimizing protocol for the disposition of damaged Highly Enriched Uranium (HEU) cylinders where physical extraction, movement, or transport poses unacceptable safety risks to personnel, facilities, or the surrounding environment. This Annex makes in-situ downblending (Pathway A of the parent framework) the default disposition pathway for damaged cylinders, thereby avoiding risky extraction operations while ensuring that damage conditions do not delay or derail overall compliance timelines.</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Background</w:t>
      </w:r>
    </w:p>
    <w:p>
      <w:pPr>
        <w:spacing w:after="80" w:before="80" w:line="276" w:lineRule="auto"/>
        <w:jc w:val="both"/>
      </w:pPr>
      <w:r>
        <w:rPr>
          <w:rFonts w:ascii="Arial" w:cs="Arial" w:eastAsia="Arial" w:hAnsi="Arial"/>
          <w:b w:val="false"/>
          <w:bCs w:val="false"/>
          <w:i w:val="false"/>
          <w:iCs w:val="false"/>
          <w:color w:val="000000"/>
          <w:sz w:val="22"/>
          <w:szCs w:val="22"/>
        </w:rPr>
        <w:t xml:space="preserve">Military operations and subsequent structural damage at Iranian nuclear facilities have rendered portions of the HEU stockpile physically inaccessible or unsafe to move. Cylinders stored in damaged buildings, collapsed tunnels, or radiation-compromised areas are not subject to standard custody transfer, transport, or removal protocols without significant risk. The parent framework's custody exchange timeline (Article 1.1, 14-day consolidation) assumes cylinders are safely movable to a custody location. Where this assumption fails, an alternative disposition pathway is operative.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fills that gap by establishing in-situ downblending as the default disposition for Categories II (Damaged) and III (Inaccessible) cylinders under Annex O's classification system. In-situ downblending neutralizes the proliferation risk of damaged HEU by converting it to low-enriched uranium (LEU) at or near its current location, without requiring risky physical movement. The IAEA conducts verification using remote or semi-remote methods, with Iranian engineers operating equipment under IAEA oversight.</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Scope</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applies to all HEU cylinders classified as Category II (Damaged but Accessible, including sub-categories II-A and II-B) or Category III (Inaccessible) under Annex O, Article 2.1. It does not apply to Category I (Intact) cylinders, which proceed through the standard parent framework timeline, or Category IV (Missing) cylinders, which are subject to the joint investigation protocol under Annex O, Article 2.1.</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Modularity Clause</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is self-contained and is incorporated into any existing or future agreement between the Parties by a single sentence of adoption. It does not amend or supersede conflicting provisions of any parent framework unless the Parties explicitly so agree. In the event of inconsistency between this Annex and any parent framework or Annex O provision regarding disposition of damaged HEU cylinders, this Annex governs.</w:t>
      </w:r>
    </w:p>
    <w:p>
      <w:pPr>
        <w:spacing w:after="40" w:before="40"/>
      </w:pPr>
      <w:r>
        <w:t xml:space="preserve"/>
      </w:r>
    </w:p>
    <w:p>
      <w:pPr>
        <w:spacing w:after="80" w:before="80" w:line="276" w:lineRule="auto"/>
        <w:jc w:val="both"/>
      </w:pPr>
      <w:r>
        <w:rPr>
          <w:rFonts w:ascii="Arial" w:cs="Arial" w:eastAsia="Arial" w:hAnsi="Arial"/>
          <w:b w:val="false"/>
          <w:bCs w:val="false"/>
          <w:i/>
          <w:iCs/>
          <w:color w:val="000000"/>
          <w:sz w:val="22"/>
          <w:szCs w:val="22"/>
        </w:rPr>
        <w:t xml:space="preserve">Cross-Reference: This Annex operates in conjunction with Annex O (IAEA Access and Site Integrity Protocol). All access rights, damage assessment procedures, personnel protections, data ownership provisions, and dispute resolution mechanisms established in Annex O apply to activities under this Annex unless explicitly modified herein. Parties consult Annex O for protocols governing IAEA access to damaged sites, joint damage assessment, remote sensing verification, and arbitration procedures.</w:t>
      </w:r>
    </w:p>
    <w:p>
      <w:r>
        <w:br w:type="page"/>
      </w:r>
    </w:p>
    <w:p>
      <w:pPr>
        <w:pStyle w:val="Heading1"/>
        <w:shd w:fill="1F3864" w:val="clear"/>
        <w:spacing w:after="120" w:before="240"/>
      </w:pPr>
      <w:r>
        <w:rPr>
          <w:rFonts w:ascii="Arial" w:cs="Arial" w:eastAsia="Arial" w:hAnsi="Arial"/>
          <w:b/>
          <w:bCs/>
          <w:color w:val="FFFFFF"/>
          <w:sz w:val="30"/>
          <w:szCs w:val="30"/>
        </w:rPr>
        <w:t xml:space="preserve">Article 1: Iranian Data Provision on Damaged Cylinders</w:t>
      </w:r>
    </w:p>
    <w:p>
      <w:pPr>
        <w:shd w:fill="2E5FA3"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1.1  Within seven (7) days of the entry into force of this Annex, Iran provides to the IAEA and the Political &amp; Compliance Council (PCC) a comprehensive written report on all HEU cylinders classified as Category II or III under Annex O, Article 2.1.</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1.1  Data Requirements</w:t>
      </w:r>
    </w:p>
    <w:p>
      <w:pPr>
        <w:spacing w:after="80" w:before="80" w:line="276" w:lineRule="auto"/>
        <w:jc w:val="both"/>
      </w:pPr>
      <w:r>
        <w:rPr>
          <w:rFonts w:ascii="Arial" w:cs="Arial" w:eastAsia="Arial" w:hAnsi="Arial"/>
          <w:b w:val="false"/>
          <w:bCs w:val="false"/>
          <w:i w:val="false"/>
          <w:iCs w:val="false"/>
          <w:color w:val="000000"/>
          <w:sz w:val="22"/>
          <w:szCs w:val="22"/>
        </w:rPr>
        <w:t xml:space="preserve">The written report covers, for each damaged or inaccessible cylinder, the following information: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P-1: Required Data Elements for Damaged Cylinder Report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DATA ELEMENT</w:t>
            </w:r>
          </w:p>
        </w:tc>
        <w:tc>
          <w:tcPr>
            <w:tcW w:type="dxa" w:w="358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DESCRIPTION</w:t>
            </w:r>
          </w:p>
        </w:tc>
        <w:tc>
          <w:tcPr>
            <w:tcW w:type="dxa" w:w="358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PURPOSE</w:t>
            </w:r>
          </w:p>
        </w:tc>
      </w:tr>
      <w:tr>
        <w:trPr>
          <w:tblHeader w:val="false"/>
        </w:trPr>
        <w:tc>
          <w:tcPr>
            <w:tcW w:type="dxa" w:w="22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Cylinder Unique Identifier</w:t>
            </w:r>
          </w:p>
        </w:tc>
        <w:tc>
          <w:tcPr>
            <w:tcW w:type="dxa" w:w="35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The official serial number or identifier assigned to the cylinder in Iranian inventory records and IAEA safeguards documentation</w:t>
            </w:r>
          </w:p>
        </w:tc>
        <w:tc>
          <w:tcPr>
            <w:tcW w:type="dxa" w:w="35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Enables cross-reference with IAEA records; ensures no cylinder is omitted from the disposition protocol</w:t>
            </w:r>
          </w:p>
        </w:tc>
      </w:tr>
      <w:tr>
        <w:trPr>
          <w:tblHeader w:val="false"/>
        </w:trPr>
        <w:tc>
          <w:tcPr>
            <w:tcW w:type="dxa" w:w="22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GPS Coordinates</w:t>
            </w:r>
          </w:p>
        </w:tc>
        <w:tc>
          <w:tcPr>
            <w:tcW w:type="dxa" w:w="35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Latitude and longitude of the cylinder's current location within the facility, accurate to within 10 meters</w:t>
            </w:r>
          </w:p>
        </w:tc>
        <w:tc>
          <w:tcPr>
            <w:tcW w:type="dxa" w:w="35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Enables precise targeting of remote sensing and downblending equipment; supports containment verification</w:t>
            </w:r>
          </w:p>
        </w:tc>
      </w:tr>
      <w:tr>
        <w:trPr>
          <w:tblHeader w:val="false"/>
        </w:trPr>
        <w:tc>
          <w:tcPr>
            <w:tcW w:type="dxa" w:w="22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Known or Suspected Damage Type</w:t>
            </w:r>
          </w:p>
        </w:tc>
        <w:tc>
          <w:tcPr>
            <w:tcW w:type="dxa" w:w="35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Classification of damage: structural (dent, crack, deformation), valve compromise, corrosion (external or internal), contamination (surface or airborne), or other</w:t>
            </w:r>
          </w:p>
        </w:tc>
        <w:tc>
          <w:tcPr>
            <w:tcW w:type="dxa" w:w="35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Determines appropriate downblending or engineering approach; informs safety protocol selection</w:t>
            </w:r>
          </w:p>
        </w:tc>
      </w:tr>
      <w:tr>
        <w:trPr>
          <w:tblHeader w:val="false"/>
        </w:trPr>
        <w:tc>
          <w:tcPr>
            <w:tcW w:type="dxa" w:w="22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Accessibility Status</w:t>
            </w:r>
          </w:p>
        </w:tc>
        <w:tc>
          <w:tcPr>
            <w:tcW w:type="dxa" w:w="35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Classification per Annex O: II-A (accessible, minor damage), II-B (visible but requires debris removal/repair), or III (inaccessible due to structural collapse, debris, radiation, or other hazards)</w:t>
            </w:r>
          </w:p>
        </w:tc>
        <w:tc>
          <w:tcPr>
            <w:tcW w:type="dxa" w:w="35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Determines default disposition pathway and timeline under Article 3 of this Annex</w:t>
            </w:r>
          </w:p>
        </w:tc>
      </w:tr>
      <w:tr>
        <w:trPr>
          <w:tblHeader w:val="false"/>
        </w:trPr>
        <w:tc>
          <w:tcPr>
            <w:tcW w:type="dxa" w:w="22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Pre-Incident Condition</w:t>
            </w:r>
          </w:p>
        </w:tc>
        <w:tc>
          <w:tcPr>
            <w:tcW w:type="dxa" w:w="35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Iranian records of cylinder condition prior to military operations, including last IAEA inspection date and results</w:t>
            </w:r>
          </w:p>
        </w:tc>
        <w:tc>
          <w:tcPr>
            <w:tcW w:type="dxa" w:w="35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Establishes baseline for damage assessment; supports determination of whether material has been tampered with</w:t>
            </w:r>
          </w:p>
        </w:tc>
      </w:tr>
      <w:tr>
        <w:trPr>
          <w:tblHeader w:val="false"/>
        </w:trPr>
        <w:tc>
          <w:tcPr>
            <w:tcW w:type="dxa" w:w="22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Existing Iranian Damage Assessments</w:t>
            </w:r>
          </w:p>
        </w:tc>
        <w:tc>
          <w:tcPr>
            <w:tcW w:type="dxa" w:w="35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Any reports, photographs, or technical evaluations prepared by Iranian authorities regarding the cylinder or its storage area</w:t>
            </w:r>
          </w:p>
        </w:tc>
        <w:tc>
          <w:tcPr>
            <w:tcW w:type="dxa" w:w="35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Provides initial technical basis for joint planning; reduces duplication of assessment effort</w:t>
            </w:r>
          </w:p>
        </w:tc>
      </w:tr>
    </w:tbl>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1.2  Format and Delivery</w:t>
      </w:r>
    </w:p>
    <w:p>
      <w:pPr>
        <w:spacing w:after="80" w:before="80" w:line="276" w:lineRule="auto"/>
        <w:jc w:val="both"/>
      </w:pPr>
      <w:r>
        <w:rPr>
          <w:rFonts w:ascii="Arial" w:cs="Arial" w:eastAsia="Arial" w:hAnsi="Arial"/>
          <w:b w:val="false"/>
          <w:bCs w:val="false"/>
          <w:i w:val="false"/>
          <w:iCs w:val="false"/>
          <w:color w:val="000000"/>
          <w:sz w:val="22"/>
          <w:szCs w:val="22"/>
        </w:rPr>
        <w:t xml:space="preserve">The report is delivered in the following manner:</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Format: Written report in English, with Persian-language appendices permitted for technical specifications. Electronic copy (PDF and editable format) plus one hard copy.</w:t>
      </w:r>
    </w:p>
    <w:p>
      <w:pPr>
        <w:pStyle w:val="ListParagraph"/>
        <w:numPr>
          <w:ilvl w:val="0"/>
          <w:numId w:val="2"/>
        </w:numPr>
        <w:spacing w:after="60" w:before="60"/>
      </w:pPr>
      <w:r>
        <w:rPr>
          <w:rFonts w:ascii="Arial" w:cs="Arial" w:eastAsia="Arial" w:hAnsi="Arial"/>
          <w:sz w:val="22"/>
          <w:szCs w:val="22"/>
        </w:rPr>
        <w:t xml:space="preserve">Recipient: IAEA Director General (Vienna) and PCC Secretariat (Geneva), delivered simultaneously.</w:t>
      </w:r>
    </w:p>
    <w:p>
      <w:pPr>
        <w:pStyle w:val="ListParagraph"/>
        <w:numPr>
          <w:ilvl w:val="0"/>
          <w:numId w:val="2"/>
        </w:numPr>
        <w:spacing w:after="60" w:before="60"/>
      </w:pPr>
      <w:r>
        <w:rPr>
          <w:rFonts w:ascii="Arial" w:cs="Arial" w:eastAsia="Arial" w:hAnsi="Arial"/>
          <w:sz w:val="22"/>
          <w:szCs w:val="22"/>
        </w:rPr>
        <w:t xml:space="preserve">Deadline: No later than Day 7 from entry into force of this Annex. A preliminary report covering 50% of damaged cylinders is delivered by Day 4.</w:t>
      </w:r>
    </w:p>
    <w:p>
      <w:pPr>
        <w:pStyle w:val="ListParagraph"/>
        <w:numPr>
          <w:ilvl w:val="0"/>
          <w:numId w:val="2"/>
        </w:numPr>
        <w:spacing w:after="60" w:before="60"/>
      </w:pPr>
      <w:r>
        <w:rPr>
          <w:rFonts w:ascii="Arial" w:cs="Arial" w:eastAsia="Arial" w:hAnsi="Arial"/>
          <w:sz w:val="22"/>
          <w:szCs w:val="22"/>
        </w:rPr>
        <w:t xml:space="preserve">Updates: Iran updates the report within 48 hours of discovering additional damage or reclassifying any cylinder's condition.</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1.3  Verification of Iranian Data</w:t>
      </w:r>
    </w:p>
    <w:p>
      <w:pPr>
        <w:spacing w:after="80" w:before="80" w:line="276" w:lineRule="auto"/>
        <w:jc w:val="both"/>
      </w:pPr>
      <w:r>
        <w:rPr>
          <w:rFonts w:ascii="Arial" w:cs="Arial" w:eastAsia="Arial" w:hAnsi="Arial"/>
          <w:b w:val="false"/>
          <w:bCs w:val="false"/>
          <w:i w:val="false"/>
          <w:iCs w:val="false"/>
          <w:color w:val="000000"/>
          <w:sz w:val="22"/>
          <w:szCs w:val="22"/>
        </w:rPr>
        <w:t xml:space="preserve">The IAEA reviews the Iranian report and:</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Requests clarification or additional technical detail within 72 hours of receipt.</w:t>
      </w:r>
    </w:p>
    <w:p>
      <w:pPr>
        <w:pStyle w:val="ListParagraph"/>
        <w:numPr>
          <w:ilvl w:val="0"/>
          <w:numId w:val="2"/>
        </w:numPr>
        <w:spacing w:after="60" w:before="60"/>
      </w:pPr>
      <w:r>
        <w:rPr>
          <w:rFonts w:ascii="Arial" w:cs="Arial" w:eastAsia="Arial" w:hAnsi="Arial"/>
          <w:sz w:val="22"/>
          <w:szCs w:val="22"/>
        </w:rPr>
        <w:t xml:space="preserve">Conducts independent verification of GPS coordinates using satellite imagery.</w:t>
      </w:r>
    </w:p>
    <w:p>
      <w:pPr>
        <w:pStyle w:val="ListParagraph"/>
        <w:numPr>
          <w:ilvl w:val="0"/>
          <w:numId w:val="2"/>
        </w:numPr>
        <w:spacing w:after="60" w:before="60"/>
      </w:pPr>
      <w:r>
        <w:rPr>
          <w:rFonts w:ascii="Arial" w:cs="Arial" w:eastAsia="Arial" w:hAnsi="Arial"/>
          <w:sz w:val="22"/>
          <w:szCs w:val="22"/>
        </w:rPr>
        <w:t xml:space="preserve">Cross-references cylinder identifiers against IAEA safeguards databases.</w:t>
      </w:r>
    </w:p>
    <w:p>
      <w:pPr>
        <w:pStyle w:val="ListParagraph"/>
        <w:numPr>
          <w:ilvl w:val="0"/>
          <w:numId w:val="2"/>
        </w:numPr>
        <w:spacing w:after="60" w:before="60"/>
      </w:pPr>
      <w:r>
        <w:rPr>
          <w:rFonts w:ascii="Arial" w:cs="Arial" w:eastAsia="Arial" w:hAnsi="Arial"/>
          <w:sz w:val="22"/>
          <w:szCs w:val="22"/>
        </w:rPr>
        <w:t xml:space="preserve">Requests physical access to inspect any cylinder where the reported data appears inconsistent with IAEA records.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Iran responds to all IAEA clarification requests within 48 hours. Failure to provide requested data without credible justification constitutes non-cooperation under Annex O, Article 2.1 (Category IV Non-Cooperation).</w:t>
      </w:r>
    </w:p>
    <w:p>
      <w:r>
        <w:br w:type="page"/>
      </w:r>
    </w:p>
    <w:p>
      <w:pPr>
        <w:pStyle w:val="Heading1"/>
        <w:shd w:fill="1F3864" w:val="clear"/>
        <w:spacing w:after="120" w:before="240"/>
      </w:pPr>
      <w:r>
        <w:rPr>
          <w:rFonts w:ascii="Arial" w:cs="Arial" w:eastAsia="Arial" w:hAnsi="Arial"/>
          <w:b/>
          <w:bCs/>
          <w:color w:val="FFFFFF"/>
          <w:sz w:val="30"/>
          <w:szCs w:val="30"/>
        </w:rPr>
        <w:t xml:space="preserve">Article 2: IAEA Remote Sensing Verification</w:t>
      </w:r>
    </w:p>
    <w:p>
      <w:pPr>
        <w:shd w:fill="2E5FA3"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2.1  Within fourteen (14) days of receiving the Iranian data report under Article 1, the IAEA conducts a remote sensing verification survey of all reported cylinder locations. This survey independently confirms or supplements the Iranian data using the technologies and procedures specified herein.</w:t>
      </w:r>
    </w:p>
    <w:p>
      <w:pPr>
        <w:spacing w:after="40" w:before="40"/>
      </w:pPr>
      <w:r>
        <w:t xml:space="preserve"/>
      </w:r>
    </w:p>
    <w:p>
      <w:pPr>
        <w:spacing w:after="80" w:before="80" w:line="276" w:lineRule="auto"/>
        <w:jc w:val="both"/>
      </w:pPr>
      <w:r>
        <w:rPr>
          <w:rFonts w:ascii="Arial" w:cs="Arial" w:eastAsia="Arial" w:hAnsi="Arial"/>
          <w:b w:val="false"/>
          <w:bCs w:val="false"/>
          <w:i/>
          <w:iCs/>
          <w:color w:val="000000"/>
          <w:sz w:val="22"/>
          <w:szCs w:val="22"/>
        </w:rPr>
        <w:t xml:space="preserve">Cross-Reference: The technologies permitted under this Article are the same as those authorized under Annex O, Article 5 (Permitted Remote Technologies) and listed in Annex O, Table O-7. All provisions of Annex O, Article 5 regarding Iranian obligations for remote deployment, data ownership, and transmission apply to operations under this Annex.</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2.1  Permitted Technologies</w:t>
      </w:r>
    </w:p>
    <w:p>
      <w:pPr>
        <w:spacing w:after="80" w:before="80" w:line="276" w:lineRule="auto"/>
        <w:jc w:val="both"/>
      </w:pPr>
      <w:r>
        <w:rPr>
          <w:rFonts w:ascii="Arial" w:cs="Arial" w:eastAsia="Arial" w:hAnsi="Arial"/>
          <w:b w:val="false"/>
          <w:bCs w:val="false"/>
          <w:i w:val="false"/>
          <w:iCs w:val="false"/>
          <w:color w:val="000000"/>
          <w:sz w:val="22"/>
          <w:szCs w:val="22"/>
        </w:rPr>
        <w:t xml:space="preserve">The IAEA deploys the following remote sensing technologies, either independently or in combination, to verify the condition and location of damaged cylinders: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P-2: Remote Sensing Technologies for Damaged Cylinder Verification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60"/>
        <w:gridCol w:w="2600"/>
      </w:tblGrid>
      <w:tr>
        <w:trPr>
          <w:tblHeader/>
        </w:trPr>
        <w:tc>
          <w:tcPr>
            <w:tcW w:type="dxa" w:w="19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TECHNOLOGY</w:t>
            </w:r>
          </w:p>
        </w:tc>
        <w:tc>
          <w:tcPr>
            <w:tcW w:type="dxa" w:w="24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APPLICATION TO DAMAGED CYLINDERS</w:t>
            </w:r>
          </w:p>
        </w:tc>
        <w:tc>
          <w:tcPr>
            <w:tcW w:type="dxa" w:w="246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DATA OUTPUT</w:t>
            </w:r>
          </w:p>
        </w:tc>
        <w:tc>
          <w:tcPr>
            <w:tcW w:type="dxa" w:w="26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LIMITATIONS</w:t>
            </w:r>
          </w:p>
        </w:tc>
      </w:tr>
      <w:tr>
        <w:trPr>
          <w:tblHeader w:val="false"/>
        </w:trPr>
        <w:tc>
          <w:tcPr>
            <w:tcW w:type="dxa" w:w="19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Satellite Imagery (EO/SAR)</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Pre- and post-strike comparison of storage buildings; detection of structural collapse; identification of debris fields</w:t>
            </w:r>
          </w:p>
        </w:tc>
        <w:tc>
          <w:tcPr>
            <w:tcW w:type="dxa" w:w="24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High-resolution imagery; change detection maps; 3D terrain models</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Cannot see inside buildings; weather dependent for EO; limited resolution for small objects</w:t>
            </w:r>
          </w:p>
        </w:tc>
      </w:tr>
      <w:tr>
        <w:trPr>
          <w:tblHeader w:val="false"/>
        </w:trPr>
        <w:tc>
          <w:tcPr>
            <w:tcW w:type="dxa" w:w="19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Aerial Drones (UAVs)</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Close-range visual inspection of damaged building exteriors; radiation hotspot detection; thermal imaging to identify cylinder locations through heat signatures</w:t>
            </w:r>
          </w:p>
        </w:tc>
        <w:tc>
          <w:tcPr>
            <w:tcW w:type="dxa" w:w="24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HD video; thermal maps; radiation contour plots; GPS-tagged imagery</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Limited flight time; requires safe airspace; cannot penetrate thick concrete or deep debris</w:t>
            </w:r>
          </w:p>
        </w:tc>
      </w:tr>
      <w:tr>
        <w:trPr>
          <w:tblHeader w:val="false"/>
        </w:trPr>
        <w:tc>
          <w:tcPr>
            <w:tcW w:type="dxa" w:w="19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Ground-Based Robotics (UGVs)</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Interior inspection of partially collapsed buildings; close-up video of cylinder condition; environmental sample collection</w:t>
            </w:r>
          </w:p>
        </w:tc>
        <w:tc>
          <w:tcPr>
            <w:tcW w:type="dxa" w:w="24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Close-up video; radiation readings; temperature data; physical measurements</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Debris obstructs movement in heavily collapsed areas; range is limited; line-of-sight or tethered control is operative</w:t>
            </w:r>
          </w:p>
        </w:tc>
      </w:tr>
      <w:tr>
        <w:trPr>
          <w:tblHeader w:val="false"/>
        </w:trPr>
        <w:tc>
          <w:tcPr>
            <w:tcW w:type="dxa" w:w="19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Seismic Sensors</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Detection of structural instability in storage areas; monitoring for unauthorized tunneling or drilling near contained material</w:t>
            </w:r>
          </w:p>
        </w:tc>
        <w:tc>
          <w:tcPr>
            <w:tcW w:type="dxa" w:w="24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Seismic activity logs; structural stability assessments</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Requires baseline calibration; cannot detect non-seismic threats</w:t>
            </w:r>
          </w:p>
        </w:tc>
      </w:tr>
      <w:tr>
        <w:trPr>
          <w:tblHeader w:val="false"/>
        </w:trPr>
        <w:tc>
          <w:tcPr>
            <w:tcW w:type="dxa" w:w="19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Gamma Spectroscopy (Remote)</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Detection of uranium isotopic signatures through building materials; identification of leakage from compromised cylinders</w:t>
            </w:r>
          </w:p>
        </w:tc>
        <w:tc>
          <w:tcPr>
            <w:tcW w:type="dxa" w:w="24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Isotopic identification; enrichment level estimation; contamination mapping</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Signal attenuation through building materials; cannot precisely quantify mass</w:t>
            </w:r>
          </w:p>
        </w:tc>
      </w:tr>
    </w:tbl>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2.2  Verification Timeline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P-3: Remote Sensing Verification Timeline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320"/>
        <w:gridCol w:w="3480"/>
      </w:tblGrid>
      <w:tr>
        <w:trPr>
          <w:tblHeader/>
        </w:trPr>
        <w:tc>
          <w:tcPr>
            <w:tcW w:type="dxa" w:w="156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TIME</w:t>
            </w:r>
          </w:p>
        </w:tc>
        <w:tc>
          <w:tcPr>
            <w:tcW w:type="dxa" w:w="432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ACTION</w:t>
            </w:r>
          </w:p>
        </w:tc>
        <w:tc>
          <w:tcPr>
            <w:tcW w:type="dxa" w:w="348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DELIVERABLE</w:t>
            </w:r>
          </w:p>
        </w:tc>
      </w:tr>
      <w:tr>
        <w:trPr>
          <w:tblHeader w:val="false"/>
        </w:trPr>
        <w:tc>
          <w:tcPr>
            <w:tcW w:type="dxa" w:w="15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T+0 (Day 7)</w:t>
            </w:r>
          </w:p>
        </w:tc>
        <w:tc>
          <w:tcPr>
            <w:tcW w:type="dxa" w:w="432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receives Iranian data report</w:t>
            </w:r>
          </w:p>
        </w:tc>
        <w:tc>
          <w:tcPr>
            <w:tcW w:type="dxa" w:w="34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Acknowledgment of receipt; preliminary review initiated</w:t>
            </w:r>
          </w:p>
        </w:tc>
      </w:tr>
      <w:tr>
        <w:trPr>
          <w:tblHeader w:val="false"/>
        </w:trPr>
        <w:tc>
          <w:tcPr>
            <w:tcW w:type="dxa" w:w="15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T+3 days (Day 10)</w:t>
            </w:r>
          </w:p>
        </w:tc>
        <w:tc>
          <w:tcPr>
            <w:tcW w:type="dxa" w:w="432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deploys satellite imagery analysis and initial drone survey of highest-priority locations</w:t>
            </w:r>
          </w:p>
        </w:tc>
        <w:tc>
          <w:tcPr>
            <w:tcW w:type="dxa" w:w="34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Preliminary satellite assessment; drone flight plan approved by Iran</w:t>
            </w:r>
          </w:p>
        </w:tc>
      </w:tr>
      <w:tr>
        <w:trPr>
          <w:tblHeader w:val="false"/>
        </w:trPr>
        <w:tc>
          <w:tcPr>
            <w:tcW w:type="dxa" w:w="15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T+7 days (Day 14)</w:t>
            </w:r>
          </w:p>
        </w:tc>
        <w:tc>
          <w:tcPr>
            <w:tcW w:type="dxa" w:w="432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Drone and UGV surveys completed at all Category II-A and II-B locations</w:t>
            </w:r>
          </w:p>
        </w:tc>
        <w:tc>
          <w:tcPr>
            <w:tcW w:type="dxa" w:w="34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Raw survey data transmitted to IAEA Vienna; initial findings shared with Iran</w:t>
            </w:r>
          </w:p>
        </w:tc>
      </w:tr>
      <w:tr>
        <w:trPr>
          <w:tblHeader w:val="false"/>
        </w:trPr>
        <w:tc>
          <w:tcPr>
            <w:tcW w:type="dxa" w:w="15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T+10 days (Day 17)</w:t>
            </w:r>
          </w:p>
        </w:tc>
        <w:tc>
          <w:tcPr>
            <w:tcW w:type="dxa" w:w="432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Remote gamma spectroscopy completed at all accessible locations; seismic sensors emplaced at Category III sites</w:t>
            </w:r>
          </w:p>
        </w:tc>
        <w:tc>
          <w:tcPr>
            <w:tcW w:type="dxa" w:w="34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Gamma spectroscopy logs; seismic baseline established</w:t>
            </w:r>
          </w:p>
        </w:tc>
      </w:tr>
      <w:tr>
        <w:trPr>
          <w:tblHeader w:val="false"/>
        </w:trPr>
        <w:tc>
          <w:tcPr>
            <w:tcW w:type="dxa" w:w="15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T+14 days (Day 21)</w:t>
            </w:r>
          </w:p>
        </w:tc>
        <w:tc>
          <w:tcPr>
            <w:tcW w:type="dxa" w:w="432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All verification data compiled; IAEA Remote Sensing Verification Report finalized</w:t>
            </w:r>
          </w:p>
        </w:tc>
        <w:tc>
          <w:tcPr>
            <w:tcW w:type="dxa" w:w="348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Complete Verification Report delivered to IAEA DG, Iran, and PCC</w:t>
            </w:r>
          </w:p>
        </w:tc>
      </w:tr>
    </w:tbl>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2.3  Remote Sensing Verification Report</w:t>
      </w:r>
    </w:p>
    <w:p>
      <w:pPr>
        <w:spacing w:after="80" w:before="80" w:line="276" w:lineRule="auto"/>
        <w:jc w:val="both"/>
      </w:pPr>
      <w:r>
        <w:rPr>
          <w:rFonts w:ascii="Arial" w:cs="Arial" w:eastAsia="Arial" w:hAnsi="Arial"/>
          <w:b w:val="false"/>
          <w:bCs w:val="false"/>
          <w:i w:val="false"/>
          <w:iCs w:val="false"/>
          <w:color w:val="000000"/>
          <w:sz w:val="22"/>
          <w:szCs w:val="22"/>
        </w:rPr>
        <w:t xml:space="preserve">The IAEA Remote Sensing Verification Report is appended to the Site Integrity Report prepared under Annex O, Article 2.3, and contains:</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Independent confirmation or correction of each cylinder's GPS coordinates.</w:t>
      </w:r>
    </w:p>
    <w:p>
      <w:pPr>
        <w:pStyle w:val="ListParagraph"/>
        <w:numPr>
          <w:ilvl w:val="0"/>
          <w:numId w:val="2"/>
        </w:numPr>
        <w:spacing w:after="60" w:before="60"/>
      </w:pPr>
      <w:r>
        <w:rPr>
          <w:rFonts w:ascii="Arial" w:cs="Arial" w:eastAsia="Arial" w:hAnsi="Arial"/>
          <w:sz w:val="22"/>
          <w:szCs w:val="22"/>
        </w:rPr>
        <w:t xml:space="preserve">IAEA assessment of cylinder condition, with classification (I, II-A, II-B, III, IV) where it differs from Iranian classification.</w:t>
      </w:r>
    </w:p>
    <w:p>
      <w:pPr>
        <w:pStyle w:val="ListParagraph"/>
        <w:numPr>
          <w:ilvl w:val="0"/>
          <w:numId w:val="2"/>
        </w:numPr>
        <w:spacing w:after="60" w:before="60"/>
      </w:pPr>
      <w:r>
        <w:rPr>
          <w:rFonts w:ascii="Arial" w:cs="Arial" w:eastAsia="Arial" w:hAnsi="Arial"/>
          <w:sz w:val="22"/>
          <w:szCs w:val="22"/>
        </w:rPr>
        <w:t xml:space="preserve">Photographic and video documentation of all surveyed locations.</w:t>
      </w:r>
    </w:p>
    <w:p>
      <w:pPr>
        <w:pStyle w:val="ListParagraph"/>
        <w:numPr>
          <w:ilvl w:val="0"/>
          <w:numId w:val="2"/>
        </w:numPr>
        <w:spacing w:after="60" w:before="60"/>
      </w:pPr>
      <w:r>
        <w:rPr>
          <w:rFonts w:ascii="Arial" w:cs="Arial" w:eastAsia="Arial" w:hAnsi="Arial"/>
          <w:sz w:val="22"/>
          <w:szCs w:val="22"/>
        </w:rPr>
        <w:t xml:space="preserve">Radiation readings and contamination assessments.</w:t>
      </w:r>
    </w:p>
    <w:p>
      <w:pPr>
        <w:pStyle w:val="ListParagraph"/>
        <w:numPr>
          <w:ilvl w:val="0"/>
          <w:numId w:val="2"/>
        </w:numPr>
        <w:spacing w:after="60" w:before="60"/>
      </w:pPr>
      <w:r>
        <w:rPr>
          <w:rFonts w:ascii="Arial" w:cs="Arial" w:eastAsia="Arial" w:hAnsi="Arial"/>
          <w:sz w:val="22"/>
          <w:szCs w:val="22"/>
        </w:rPr>
        <w:t xml:space="preserve">Structural stability assessment of storage buildings.</w:t>
      </w:r>
    </w:p>
    <w:p>
      <w:pPr>
        <w:pStyle w:val="ListParagraph"/>
        <w:numPr>
          <w:ilvl w:val="0"/>
          <w:numId w:val="2"/>
        </w:numPr>
        <w:spacing w:after="60" w:before="60"/>
      </w:pPr>
      <w:r>
        <w:rPr>
          <w:rFonts w:ascii="Arial" w:cs="Arial" w:eastAsia="Arial" w:hAnsi="Arial"/>
          <w:sz w:val="22"/>
          <w:szCs w:val="22"/>
        </w:rPr>
        <w:t xml:space="preserve">Recommended disposition pathway for each cylinder, with technical justification.</w:t>
      </w:r>
    </w:p>
    <w:p>
      <w:pPr>
        <w:pStyle w:val="ListParagraph"/>
        <w:numPr>
          <w:ilvl w:val="0"/>
          <w:numId w:val="2"/>
        </w:numPr>
        <w:spacing w:after="60" w:before="60"/>
      </w:pPr>
      <w:r>
        <w:rPr>
          <w:rFonts w:ascii="Arial" w:cs="Arial" w:eastAsia="Arial" w:hAnsi="Arial"/>
          <w:sz w:val="22"/>
          <w:szCs w:val="22"/>
        </w:rPr>
        <w:t xml:space="preserve">Any discrepancies between Iranian data and IAEA findings, with requests for clarification.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Report is classified as Confidential and distributed to the same recipients as the Site Integrity Report under Annex O, Article 2.3.</w:t>
      </w:r>
    </w:p>
    <w:p>
      <w:r>
        <w:br w:type="page"/>
      </w:r>
    </w:p>
    <w:p>
      <w:pPr>
        <w:pStyle w:val="Heading1"/>
        <w:shd w:fill="1F3864" w:val="clear"/>
        <w:spacing w:after="120" w:before="240"/>
      </w:pPr>
      <w:r>
        <w:rPr>
          <w:rFonts w:ascii="Arial" w:cs="Arial" w:eastAsia="Arial" w:hAnsi="Arial"/>
          <w:b/>
          <w:bCs/>
          <w:color w:val="FFFFFF"/>
          <w:sz w:val="30"/>
          <w:szCs w:val="30"/>
        </w:rPr>
        <w:t xml:space="preserve">Article 3: In-Situ Downblending as Default Disposition</w:t>
      </w:r>
    </w:p>
    <w:p>
      <w:pPr>
        <w:shd w:fill="2E5FA3"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3.1  For all HEU cylinders classified as Category II (Damaged) or Category III (Inaccessible) under Annex O, in-situ downblending in accordance with Pathway A of the parent framework is the default disposition pathway. Physical extraction and movement of damaged cylinders occurs only where both the IAEA and Iran jointly determine that movement is safer than in-situ downblending.</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3.1  Default Disposition by Category</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P-4: Default Disposition Pathways by Cylinder Category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CATEGORY</w:t>
            </w:r>
          </w:p>
        </w:tc>
        <w:tc>
          <w:tcPr>
            <w:tcW w:type="dxa" w:w="26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CONDITION</w:t>
            </w:r>
          </w:p>
        </w:tc>
        <w:tc>
          <w:tcPr>
            <w:tcW w:type="dxa" w:w="26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DEFAULT DISPOSITION</w:t>
            </w:r>
          </w:p>
        </w:tc>
        <w:tc>
          <w:tcPr>
            <w:tcW w:type="dxa" w:w="26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EXTRACTION EXCEPTION</w:t>
            </w:r>
          </w:p>
        </w:tc>
      </w:tr>
      <w:tr>
        <w:trPr>
          <w:tblHeader w:val="false"/>
        </w:trPr>
        <w:tc>
          <w:tcPr>
            <w:tcW w:type="dxa" w:w="15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II-A (Minor Damage)</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Damaged but movable with standard handling</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Extraction is available where the IAEA determines movement is safe; otherwise in-situ downblending is the default</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Extraction proceeds upon IAEA safety certification; standard custody transfer applies</w:t>
            </w:r>
          </w:p>
        </w:tc>
      </w:tr>
      <w:tr>
        <w:trPr>
          <w:tblHeader w:val="false"/>
        </w:trPr>
        <w:tc>
          <w:tcPr>
            <w:tcW w:type="dxa" w:w="15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II-B (Requires Debris Removal or Repair)</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Damaged, visible, but not safely movable without prior debris clearance or cylinder repair</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In-situ downblending is the default disposition</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Extraction occurs only where the IAEA and Iran jointly determine it is safer than in-situ operations; a written Joint Safety Determination is required</w:t>
            </w:r>
          </w:p>
        </w:tc>
      </w:tr>
      <w:tr>
        <w:trPr>
          <w:tblHeader w:val="false"/>
        </w:trPr>
        <w:tc>
          <w:tcPr>
            <w:tcW w:type="dxa" w:w="15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III (Inaccessible)</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Cannot be safely accessed due to structural collapse, debris, radiation, or other hazards</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In-situ downblending is the default disposition</w:t>
            </w:r>
          </w:p>
        </w:tc>
        <w:tc>
          <w:tcPr>
            <w:tcW w:type="dxa" w:w="26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Extraction occurs only where access later becomes feasible and both Parties jointly agree; otherwise permanent monitored containment applies per Article 4.2(d)</w:t>
            </w:r>
          </w:p>
        </w:tc>
      </w:tr>
    </w:tbl>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Definition of In-Situ Downblending: For purposes of this Annex, "in-situ downblending" means the process of diluting HEU to low-enriched uranium (LEU, 19.75% U-235 or lower) at or near the cylinder's current location, using portable or remotely operated downblending equipment, without requiring physical movement of the cylinder to a separate processing facility. The process proceeds under continuous IAEA monitoring and verification.</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3.2  In-Situ Downblending Procedures</w:t>
      </w:r>
    </w:p>
    <w:p>
      <w:pPr>
        <w:spacing w:after="80" w:before="80" w:line="276" w:lineRule="auto"/>
        <w:jc w:val="both"/>
      </w:pPr>
      <w:r>
        <w:rPr>
          <w:rFonts w:ascii="Arial" w:cs="Arial" w:eastAsia="Arial" w:hAnsi="Arial"/>
          <w:b w:val="false"/>
          <w:bCs w:val="false"/>
          <w:i w:val="false"/>
          <w:iCs w:val="false"/>
          <w:color w:val="000000"/>
          <w:sz w:val="22"/>
          <w:szCs w:val="22"/>
        </w:rPr>
        <w:t xml:space="preserve">The following procedures govern all in-situ downblending operations:</w:t>
      </w:r>
    </w:p>
    <w:p>
      <w:pPr>
        <w:spacing w:after="40" w:before="40"/>
      </w:pPr>
      <w:r>
        <w:t xml:space="preserve"/>
      </w:r>
    </w:p>
    <w:p>
      <w:pPr>
        <w:pStyle w:val="Heading3"/>
        <w:pBdr>
          <w:bottom w:val="single" w:color="4A7CB5" w:sz="4"/>
        </w:pBdr>
        <w:spacing w:after="80" w:before="160"/>
      </w:pPr>
      <w:r>
        <w:rPr>
          <w:rFonts w:ascii="Arial" w:cs="Arial" w:eastAsia="Arial" w:hAnsi="Arial"/>
          <w:b/>
          <w:bCs/>
          <w:color w:val="1F3864"/>
          <w:sz w:val="24"/>
          <w:szCs w:val="24"/>
        </w:rPr>
        <w:t xml:space="preserve">3.2-A. Equipment and Personnel</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Equipment: Downblending proceeds using portable downblending units (PDU) or mobile downblending systems (MDS) approved by the IAEA. Equipment is sourced from IAEA, Iranian, or third-party suppliers as jointly agreed. All equipment is subject to IAEA seal verification before and after deployment.</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Personnel: Iranian engineers operate all downblending equipment as active partners. The IAEA provides technical oversight, including: a Lead Inspector present at all times during active operations; a Radiation Safety Officer with authority to halt operations for safety reasons; and technical advisors available remotely from IAEA Vienna.</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Access: Iran provides safe access routes to the downblending location, including debris clearance, temporary structural support, and ventilation as the Joint Safety Plan requires.</w:t>
      </w:r>
    </w:p>
    <w:p>
      <w:pPr>
        <w:spacing w:after="40" w:before="40"/>
      </w:pPr>
      <w:r>
        <w:t xml:space="preserve"/>
      </w:r>
    </w:p>
    <w:p>
      <w:pPr>
        <w:pStyle w:val="Heading3"/>
        <w:pBdr>
          <w:bottom w:val="single" w:color="4A7CB5" w:sz="4"/>
        </w:pBdr>
        <w:spacing w:after="80" w:before="160"/>
      </w:pPr>
      <w:r>
        <w:rPr>
          <w:rFonts w:ascii="Arial" w:cs="Arial" w:eastAsia="Arial" w:hAnsi="Arial"/>
          <w:b/>
          <w:bCs/>
          <w:color w:val="1F3864"/>
          <w:sz w:val="24"/>
          <w:szCs w:val="24"/>
        </w:rPr>
        <w:t xml:space="preserve">3.2-B. Joint Safety Plan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Before any in-situ downblending operation commences, both Parties jointly develop and sign a written Joint Safety Plan covering:</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Radiation exposure limits for all personnel (ALARA principle).</w:t>
      </w:r>
    </w:p>
    <w:p>
      <w:pPr>
        <w:pStyle w:val="ListParagraph"/>
        <w:numPr>
          <w:ilvl w:val="0"/>
          <w:numId w:val="2"/>
        </w:numPr>
        <w:spacing w:after="60" w:before="60"/>
      </w:pPr>
      <w:r>
        <w:rPr>
          <w:rFonts w:ascii="Arial" w:cs="Arial" w:eastAsia="Arial" w:hAnsi="Arial"/>
          <w:sz w:val="22"/>
          <w:szCs w:val="22"/>
        </w:rPr>
        <w:t xml:space="preserve">Personal protective equipment (PPE) requirements.</w:t>
      </w:r>
    </w:p>
    <w:p>
      <w:pPr>
        <w:pStyle w:val="ListParagraph"/>
        <w:numPr>
          <w:ilvl w:val="0"/>
          <w:numId w:val="2"/>
        </w:numPr>
        <w:spacing w:after="60" w:before="60"/>
      </w:pPr>
      <w:r>
        <w:rPr>
          <w:rFonts w:ascii="Arial" w:cs="Arial" w:eastAsia="Arial" w:hAnsi="Arial"/>
          <w:sz w:val="22"/>
          <w:szCs w:val="22"/>
        </w:rPr>
        <w:t xml:space="preserve">Emergency evacuation procedures and routes.</w:t>
      </w:r>
    </w:p>
    <w:p>
      <w:pPr>
        <w:pStyle w:val="ListParagraph"/>
        <w:numPr>
          <w:ilvl w:val="0"/>
          <w:numId w:val="2"/>
        </w:numPr>
        <w:spacing w:after="60" w:before="60"/>
      </w:pPr>
      <w:r>
        <w:rPr>
          <w:rFonts w:ascii="Arial" w:cs="Arial" w:eastAsia="Arial" w:hAnsi="Arial"/>
          <w:sz w:val="22"/>
          <w:szCs w:val="22"/>
        </w:rPr>
        <w:t xml:space="preserve">UF6 leak detection and response protocols.</w:t>
      </w:r>
    </w:p>
    <w:p>
      <w:pPr>
        <w:pStyle w:val="ListParagraph"/>
        <w:numPr>
          <w:ilvl w:val="0"/>
          <w:numId w:val="2"/>
        </w:numPr>
        <w:spacing w:after="60" w:before="60"/>
      </w:pPr>
      <w:r>
        <w:rPr>
          <w:rFonts w:ascii="Arial" w:cs="Arial" w:eastAsia="Arial" w:hAnsi="Arial"/>
          <w:sz w:val="22"/>
          <w:szCs w:val="22"/>
        </w:rPr>
        <w:t xml:space="preserve">Structural stability monitoring during operations.</w:t>
      </w:r>
    </w:p>
    <w:p>
      <w:pPr>
        <w:pStyle w:val="ListParagraph"/>
        <w:numPr>
          <w:ilvl w:val="0"/>
          <w:numId w:val="2"/>
        </w:numPr>
        <w:spacing w:after="60" w:before="60"/>
      </w:pPr>
      <w:r>
        <w:rPr>
          <w:rFonts w:ascii="Arial" w:cs="Arial" w:eastAsia="Arial" w:hAnsi="Arial"/>
          <w:sz w:val="22"/>
          <w:szCs w:val="22"/>
        </w:rPr>
        <w:t xml:space="preserve">Fire suppression and emergency cooling measures.</w:t>
      </w:r>
    </w:p>
    <w:p>
      <w:pPr>
        <w:pStyle w:val="ListParagraph"/>
        <w:numPr>
          <w:ilvl w:val="0"/>
          <w:numId w:val="2"/>
        </w:numPr>
        <w:spacing w:after="60" w:before="60"/>
      </w:pPr>
      <w:r>
        <w:rPr>
          <w:rFonts w:ascii="Arial" w:cs="Arial" w:eastAsia="Arial" w:hAnsi="Arial"/>
          <w:sz w:val="22"/>
          <w:szCs w:val="22"/>
        </w:rPr>
        <w:t xml:space="preserve">Communication protocols between field team and IAEA Vienna.</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Either Party requests modifications to the Joint Safety Plan based on changed conditions. No modifications take effect without written agreement of both the IAEA Team Leader and Iranian Facility Director.</w:t>
      </w:r>
    </w:p>
    <w:p>
      <w:pPr>
        <w:spacing w:after="40" w:before="40"/>
      </w:pPr>
      <w:r>
        <w:t xml:space="preserve"/>
      </w:r>
    </w:p>
    <w:p>
      <w:pPr>
        <w:pStyle w:val="Heading3"/>
        <w:pBdr>
          <w:bottom w:val="single" w:color="4A7CB5" w:sz="4"/>
        </w:pBdr>
        <w:spacing w:after="80" w:before="160"/>
      </w:pPr>
      <w:r>
        <w:rPr>
          <w:rFonts w:ascii="Arial" w:cs="Arial" w:eastAsia="Arial" w:hAnsi="Arial"/>
          <w:b/>
          <w:bCs/>
          <w:color w:val="1F3864"/>
          <w:sz w:val="24"/>
          <w:szCs w:val="24"/>
        </w:rPr>
        <w:t xml:space="preserve">3.2-C. Operational Timeline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P-5: In-Situ Downblending Operational Timeline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60"/>
        <w:gridCol w:w="6000"/>
      </w:tblGrid>
      <w:tr>
        <w:trPr>
          <w:tblHeader/>
        </w:trPr>
        <w:tc>
          <w:tcPr>
            <w:tcW w:type="dxa" w:w="20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PHASE</w:t>
            </w:r>
          </w:p>
        </w:tc>
        <w:tc>
          <w:tcPr>
            <w:tcW w:type="dxa" w:w="136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TIMELINE</w:t>
            </w:r>
          </w:p>
        </w:tc>
        <w:tc>
          <w:tcPr>
            <w:tcW w:type="dxa" w:w="60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ACTIVITIES</w:t>
            </w:r>
          </w:p>
        </w:tc>
      </w:tr>
      <w:tr>
        <w:trPr>
          <w:tblHeader w:val="false"/>
        </w:trPr>
        <w:tc>
          <w:tcPr>
            <w:tcW w:type="dxa" w:w="20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Phase 1: Site Preparation</w:t>
            </w:r>
          </w:p>
        </w:tc>
        <w:tc>
          <w:tcPr>
            <w:tcW w:type="dxa" w:w="13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Days 1–7</w:t>
            </w:r>
          </w:p>
        </w:tc>
        <w:tc>
          <w:tcPr>
            <w:tcW w:type="dxa" w:w="60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Iran clears debris and provides safe access; the IAEA verifies site readiness; downblending equipment is transported and installed; both Parties finalize and sign the Joint Safety Plan; the IAEA applies seals to equipment.</w:t>
            </w:r>
          </w:p>
        </w:tc>
      </w:tr>
      <w:tr>
        <w:trPr>
          <w:tblHeader w:val="false"/>
        </w:trPr>
        <w:tc>
          <w:tcPr>
            <w:tcW w:type="dxa" w:w="20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Phase 2: Pre-Operation Verification</w:t>
            </w:r>
          </w:p>
        </w:tc>
        <w:tc>
          <w:tcPr>
            <w:tcW w:type="dxa" w:w="13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Days 8–10</w:t>
            </w:r>
          </w:p>
        </w:tc>
        <w:tc>
          <w:tcPr>
            <w:tcW w:type="dxa" w:w="60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The IAEA verifies cylinder identity and isotopic composition using non-destructive assay; baseline measurements are recorded; continuous monitoring equipment is installed and tested; video transmission to Vienna is confirmed.</w:t>
            </w:r>
          </w:p>
        </w:tc>
      </w:tr>
      <w:tr>
        <w:trPr>
          <w:tblHeader w:val="false"/>
        </w:trPr>
        <w:tc>
          <w:tcPr>
            <w:tcW w:type="dxa" w:w="20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Phase 3: Active Downblending</w:t>
            </w:r>
          </w:p>
        </w:tc>
        <w:tc>
          <w:tcPr>
            <w:tcW w:type="dxa" w:w="13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Days 11–60</w:t>
            </w:r>
          </w:p>
        </w:tc>
        <w:tc>
          <w:tcPr>
            <w:tcW w:type="dxa" w:w="60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HEU dilutes to LEU (19.75% U-235 or lower) using approved procedures; the IAEA conducts continuous monitoring; Iranian engineers operate equipment under IAEA oversight; daily operations reports are filed with the PCC.</w:t>
            </w:r>
          </w:p>
        </w:tc>
      </w:tr>
      <w:tr>
        <w:trPr>
          <w:tblHeader w:val="false"/>
        </w:trPr>
        <w:tc>
          <w:tcPr>
            <w:tcW w:type="dxa" w:w="20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Phase 4: Post-Operation Verification</w:t>
            </w:r>
          </w:p>
        </w:tc>
        <w:tc>
          <w:tcPr>
            <w:tcW w:type="dxa" w:w="13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Days 61–70</w:t>
            </w:r>
          </w:p>
        </w:tc>
        <w:tc>
          <w:tcPr>
            <w:tcW w:type="dxa" w:w="60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The IAEA verifies final isotopic composition of downblended material; mass balance calculations are completed; MUF analysis is conducted; all monitoring data is compiled and transmitted to Vienna.</w:t>
            </w:r>
          </w:p>
        </w:tc>
      </w:tr>
      <w:tr>
        <w:trPr>
          <w:tblHeader w:val="false"/>
        </w:trPr>
        <w:tc>
          <w:tcPr>
            <w:tcW w:type="dxa" w:w="20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Phase 5: Certification</w:t>
            </w:r>
          </w:p>
        </w:tc>
        <w:tc>
          <w:tcPr>
            <w:tcW w:type="dxa" w:w="13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Days 71–75</w:t>
            </w:r>
          </w:p>
        </w:tc>
        <w:tc>
          <w:tcPr>
            <w:tcW w:type="dxa" w:w="60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The IAEA issues a Downblending Completion Certificate; the material is reclassified as LEU in the IAEA inventory; continuous monitoring continues at PCC discretion; the site is secured per the Joint Safety Plan.</w:t>
            </w:r>
          </w:p>
        </w:tc>
      </w:tr>
    </w:tbl>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Total timeline: Up to 75 days from site preparation to certification. Timeline extensions are available by mutual written agreement of the IAEA Director General and the AEOI Head under the flexibility mechanism in Annex O, Article 10.4.</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3.3  Verification of Downblending Completion</w:t>
      </w:r>
    </w:p>
    <w:p>
      <w:pPr>
        <w:spacing w:after="80" w:before="80" w:line="276" w:lineRule="auto"/>
        <w:jc w:val="both"/>
      </w:pPr>
      <w:r>
        <w:rPr>
          <w:rFonts w:ascii="Arial" w:cs="Arial" w:eastAsia="Arial" w:hAnsi="Arial"/>
          <w:b w:val="false"/>
          <w:bCs w:val="false"/>
          <w:i w:val="false"/>
          <w:iCs w:val="false"/>
          <w:color w:val="000000"/>
          <w:sz w:val="22"/>
          <w:szCs w:val="22"/>
        </w:rPr>
        <w:t xml:space="preserve">Upon completion of in-situ downblending, the IAEA issues a Downblending Completion Certificate certifying that:</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The cylinder's contents are verified by mass spectrometry to contain 19.75% U-235 or lower.</w:t>
      </w:r>
    </w:p>
    <w:p>
      <w:pPr>
        <w:pStyle w:val="ListParagraph"/>
        <w:numPr>
          <w:ilvl w:val="0"/>
          <w:numId w:val="2"/>
        </w:numPr>
        <w:spacing w:after="60" w:before="60"/>
      </w:pPr>
      <w:r>
        <w:rPr>
          <w:rFonts w:ascii="Arial" w:cs="Arial" w:eastAsia="Arial" w:hAnsi="Arial"/>
          <w:sz w:val="22"/>
          <w:szCs w:val="22"/>
        </w:rPr>
        <w:t xml:space="preserve">The total mass of downblended material is consistent with the pre-operation NDA measurement (within acceptable MUF thresholds).</w:t>
      </w:r>
    </w:p>
    <w:p>
      <w:pPr>
        <w:pStyle w:val="ListParagraph"/>
        <w:numPr>
          <w:ilvl w:val="0"/>
          <w:numId w:val="2"/>
        </w:numPr>
        <w:spacing w:after="60" w:before="60"/>
      </w:pPr>
      <w:r>
        <w:rPr>
          <w:rFonts w:ascii="Arial" w:cs="Arial" w:eastAsia="Arial" w:hAnsi="Arial"/>
          <w:sz w:val="22"/>
          <w:szCs w:val="22"/>
        </w:rPr>
        <w:t xml:space="preserve">All operations were conducted in accordance with the Joint Safety Plan.</w:t>
      </w:r>
    </w:p>
    <w:p>
      <w:pPr>
        <w:pStyle w:val="ListParagraph"/>
        <w:numPr>
          <w:ilvl w:val="0"/>
          <w:numId w:val="2"/>
        </w:numPr>
        <w:spacing w:after="60" w:before="60"/>
      </w:pPr>
      <w:r>
        <w:rPr>
          <w:rFonts w:ascii="Arial" w:cs="Arial" w:eastAsia="Arial" w:hAnsi="Arial"/>
          <w:sz w:val="22"/>
          <w:szCs w:val="22"/>
        </w:rPr>
        <w:t xml:space="preserve">Continuous monitoring data was successfully transmitted to IAEA Vienna throughout the operation.</w:t>
      </w:r>
    </w:p>
    <w:p>
      <w:pPr>
        <w:pStyle w:val="ListParagraph"/>
        <w:numPr>
          <w:ilvl w:val="0"/>
          <w:numId w:val="2"/>
        </w:numPr>
        <w:spacing w:after="60" w:before="60"/>
      </w:pPr>
      <w:r>
        <w:rPr>
          <w:rFonts w:ascii="Arial" w:cs="Arial" w:eastAsia="Arial" w:hAnsi="Arial"/>
          <w:sz w:val="22"/>
          <w:szCs w:val="22"/>
        </w:rPr>
        <w:t xml:space="preserve">No safety incidents occurred, or all incidents were properly documented and resolved.</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Certificate is transmitted to Iran, the PCC, and all guarantor states within 5 days of Phase 5 completion. The downblended material is reclassified as LEU in the IAEA inventory system and no longer counts against Iran's HEU stockpile for parent framework compliance purposes.</w:t>
      </w:r>
    </w:p>
    <w:p>
      <w:r>
        <w:br w:type="page"/>
      </w:r>
    </w:p>
    <w:p>
      <w:pPr>
        <w:pStyle w:val="Heading1"/>
        <w:shd w:fill="1F3864" w:val="clear"/>
        <w:spacing w:after="120" w:before="240"/>
      </w:pPr>
      <w:r>
        <w:rPr>
          <w:rFonts w:ascii="Arial" w:cs="Arial" w:eastAsia="Arial" w:hAnsi="Arial"/>
          <w:b/>
          <w:bCs/>
          <w:color w:val="FFFFFF"/>
          <w:sz w:val="30"/>
          <w:szCs w:val="30"/>
        </w:rPr>
        <w:t xml:space="preserve">Article 4: Joint Engineering Solution</w:t>
      </w:r>
    </w:p>
    <w:p>
      <w:pPr>
        <w:shd w:fill="2E5FA3"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4.1  Where in-situ downblending is technically infeasible for a specific cylinder or group of cylinders, both Parties commit to developing and implementing an alternative joint engineering solution. A determination of infeasibility is made jointly by the IAEA Team Leader and Iranian Facility Director, with technical justification documented in writing.</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4.1  Determination of Infeasibility</w:t>
      </w:r>
    </w:p>
    <w:p>
      <w:pPr>
        <w:spacing w:after="80" w:before="80" w:line="276" w:lineRule="auto"/>
        <w:jc w:val="both"/>
      </w:pPr>
      <w:r>
        <w:rPr>
          <w:rFonts w:ascii="Arial" w:cs="Arial" w:eastAsia="Arial" w:hAnsi="Arial"/>
          <w:b w:val="false"/>
          <w:bCs w:val="false"/>
          <w:i w:val="false"/>
          <w:iCs w:val="false"/>
          <w:color w:val="000000"/>
          <w:sz w:val="22"/>
          <w:szCs w:val="22"/>
        </w:rPr>
        <w:t xml:space="preserve">In-situ downblending is deemed infeasible only on the following grounds, supported by technical evidence:</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Physical access impossible: The cylinder location is not reachable even by robotic equipment due to complete structural collapse or extreme radiation levels.</w:t>
      </w:r>
    </w:p>
    <w:p>
      <w:pPr>
        <w:pStyle w:val="ListParagraph"/>
        <w:numPr>
          <w:ilvl w:val="0"/>
          <w:numId w:val="2"/>
        </w:numPr>
        <w:spacing w:after="60" w:before="60"/>
      </w:pPr>
      <w:r>
        <w:rPr>
          <w:rFonts w:ascii="Arial" w:cs="Arial" w:eastAsia="Arial" w:hAnsi="Arial"/>
          <w:sz w:val="22"/>
          <w:szCs w:val="22"/>
        </w:rPr>
        <w:t xml:space="preserve">Cylinder integrity compromised: The cylinder has ruptured or leaked, dispersing UF6 into the environment, making controlled downblending impossible.</w:t>
      </w:r>
    </w:p>
    <w:p>
      <w:pPr>
        <w:pStyle w:val="ListParagraph"/>
        <w:numPr>
          <w:ilvl w:val="0"/>
          <w:numId w:val="2"/>
        </w:numPr>
        <w:spacing w:after="60" w:before="60"/>
      </w:pPr>
      <w:r>
        <w:rPr>
          <w:rFonts w:ascii="Arial" w:cs="Arial" w:eastAsia="Arial" w:hAnsi="Arial"/>
          <w:sz w:val="22"/>
          <w:szCs w:val="22"/>
        </w:rPr>
        <w:t xml:space="preserve">Equipment incompatibility: No available downblending equipment can operate in the physical conditions at the site (temperature, pressure, space constraints).</w:t>
      </w:r>
    </w:p>
    <w:p>
      <w:pPr>
        <w:pStyle w:val="ListParagraph"/>
        <w:numPr>
          <w:ilvl w:val="0"/>
          <w:numId w:val="2"/>
        </w:numPr>
        <w:spacing w:after="60" w:before="60"/>
      </w:pPr>
      <w:r>
        <w:rPr>
          <w:rFonts w:ascii="Arial" w:cs="Arial" w:eastAsia="Arial" w:hAnsi="Arial"/>
          <w:sz w:val="22"/>
          <w:szCs w:val="22"/>
        </w:rPr>
        <w:t xml:space="preserve">Safety risk unacceptable: Independent safety assessment by both IAEA and Iranian radiation safety officers concludes that downblending poses unacceptable risk to personnel even with full protective measures.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Either Party challenges an infeasibility determination by referring the matter to the PCC for technical review. The PCC renders a binding technical determination within 72 hours. The burden of proof rests on the Party asserting infeasibility.</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4.2  Alternative Engineering Options</w:t>
      </w:r>
    </w:p>
    <w:p>
      <w:pPr>
        <w:spacing w:after="80" w:before="80" w:line="276" w:lineRule="auto"/>
        <w:jc w:val="both"/>
      </w:pPr>
      <w:r>
        <w:rPr>
          <w:rFonts w:ascii="Arial" w:cs="Arial" w:eastAsia="Arial" w:hAnsi="Arial"/>
          <w:b w:val="false"/>
          <w:bCs w:val="false"/>
          <w:i w:val="false"/>
          <w:iCs w:val="false"/>
          <w:color w:val="000000"/>
          <w:sz w:val="22"/>
          <w:szCs w:val="22"/>
        </w:rPr>
        <w:t xml:space="preserve">Where in-situ downblending is determined infeasible, the following alternative engineering options are considered, in order of preference: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P-6: Alternative Engineering Options for Infeasible Cylinders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630"/>
        <w:gridCol w:w="2630"/>
      </w:tblGrid>
      <w:tr>
        <w:trPr>
          <w:tblHeader/>
        </w:trPr>
        <w:tc>
          <w:tcPr>
            <w:tcW w:type="dxa" w:w="14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OPTION</w:t>
            </w:r>
          </w:p>
        </w:tc>
        <w:tc>
          <w:tcPr>
            <w:tcW w:type="dxa" w:w="27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DESCRIPTION</w:t>
            </w:r>
          </w:p>
        </w:tc>
        <w:tc>
          <w:tcPr>
            <w:tcW w:type="dxa" w:w="263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APPLICABILITY</w:t>
            </w:r>
          </w:p>
        </w:tc>
        <w:tc>
          <w:tcPr>
            <w:tcW w:type="dxa" w:w="263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VERIFICATION METHOD</w:t>
            </w:r>
          </w:p>
        </w:tc>
      </w:tr>
      <w:tr>
        <w:trPr>
          <w:tblHeader w:val="false"/>
        </w:trPr>
        <w:tc>
          <w:tcPr>
            <w:tcW w:type="dxa" w:w="1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(a) Remote Robotics Extraction</w:t>
            </w:r>
          </w:p>
        </w:tc>
        <w:tc>
          <w:tcPr>
            <w:tcW w:type="dxa" w:w="27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Remote-controlled cutting, inerting, or encapsulation of cylinder contents using robotic manipulators</w:t>
            </w:r>
          </w:p>
        </w:tc>
        <w:tc>
          <w:tcPr>
            <w:tcW w:type="dxa" w:w="263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Partially accessible cylinders where robotics can reach but human entry is unsafe</w:t>
            </w:r>
          </w:p>
        </w:tc>
        <w:tc>
          <w:tcPr>
            <w:tcW w:type="dxa" w:w="263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Continuous video to IAEA Vienna; NDA of extracted material; mass balance verification</w:t>
            </w:r>
          </w:p>
        </w:tc>
      </w:tr>
      <w:tr>
        <w:trPr>
          <w:tblHeader w:val="false"/>
        </w:trPr>
        <w:tc>
          <w:tcPr>
            <w:tcW w:type="dxa" w:w="1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(b) Chemical Inerting</w:t>
            </w:r>
          </w:p>
        </w:tc>
        <w:tc>
          <w:tcPr>
            <w:tcW w:type="dxa" w:w="27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Introduction of chemical agents to render uranium compounds non-volatile and non-proliferative</w:t>
            </w:r>
          </w:p>
        </w:tc>
        <w:tc>
          <w:tcPr>
            <w:tcW w:type="dxa" w:w="263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Leaked or ruptured cylinders where UF6 has escaped containment</w:t>
            </w:r>
          </w:p>
        </w:tc>
        <w:tc>
          <w:tcPr>
            <w:tcW w:type="dxa" w:w="263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Chemical analysis of treated material; environmental sampling; stability testing over 30 days</w:t>
            </w:r>
          </w:p>
        </w:tc>
      </w:tr>
      <w:tr>
        <w:trPr>
          <w:tblHeader w:val="false"/>
        </w:trPr>
        <w:tc>
          <w:tcPr>
            <w:tcW w:type="dxa" w:w="1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(c) Physical Encapsulation</w:t>
            </w:r>
          </w:p>
        </w:tc>
        <w:tc>
          <w:tcPr>
            <w:tcW w:type="dxa" w:w="27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Encasement of cylinder or contaminated area in concrete, lead, or other stable matrix</w:t>
            </w:r>
          </w:p>
        </w:tc>
        <w:tc>
          <w:tcPr>
            <w:tcW w:type="dxa" w:w="263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Inaccessible locations where neither downblending nor extraction is feasible</w:t>
            </w:r>
          </w:p>
        </w:tc>
        <w:tc>
          <w:tcPr>
            <w:tcW w:type="dxa" w:w="263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Radiation surveys confirming encapsulation integrity; seismic monitoring; long-term stability assessment</w:t>
            </w:r>
          </w:p>
        </w:tc>
      </w:tr>
      <w:tr>
        <w:trPr>
          <w:tblHeader w:val="false"/>
        </w:trPr>
        <w:tc>
          <w:tcPr>
            <w:tcW w:type="dxa" w:w="1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(d) Permanent Monitored Containment</w:t>
            </w:r>
          </w:p>
        </w:tc>
        <w:tc>
          <w:tcPr>
            <w:tcW w:type="dxa" w:w="27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Installation of permanent monitoring equipment and sealing of the affected area</w:t>
            </w:r>
          </w:p>
        </w:tc>
        <w:tc>
          <w:tcPr>
            <w:tcW w:type="dxa" w:w="263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Last resort for cylinders that cannot be safely processed by any other method</w:t>
            </w:r>
          </w:p>
        </w:tc>
        <w:tc>
          <w:tcPr>
            <w:tcW w:type="dxa" w:w="263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Continuous seismic, radiation, and camera monitoring; quarterly environmental sampling; annual IAEA review</w:t>
            </w:r>
          </w:p>
        </w:tc>
      </w:tr>
    </w:tbl>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Options are considered in the order listed. A lower-preference option is selected only where all higher-preference options have been evaluated and determined infeasible, with technical justification documented.</w:t>
      </w:r>
    </w:p>
    <w:p>
      <w:pPr>
        <w:spacing w:after="40" w:before="40"/>
      </w:pPr>
      <w:r>
        <w:t xml:space="preserve"/>
      </w:r>
    </w:p>
    <w:p>
      <w:pPr>
        <w:spacing w:after="80" w:before="80" w:line="276" w:lineRule="auto"/>
        <w:jc w:val="both"/>
      </w:pPr>
      <w:r>
        <w:rPr>
          <w:rFonts w:ascii="Arial" w:cs="Arial" w:eastAsia="Arial" w:hAnsi="Arial"/>
          <w:b w:val="false"/>
          <w:bCs w:val="false"/>
          <w:i/>
          <w:iCs/>
          <w:color w:val="000000"/>
          <w:sz w:val="22"/>
          <w:szCs w:val="22"/>
        </w:rPr>
        <w:t xml:space="preserve">Cross-Reference: Option (d) Permanent Monitored Containment is equivalent to the "Contained in Place" regime established under Annex O, Article 3.3 (Unrecoverable Material — In-Situ Containment). All provisions of Annex O, Article 3.3 regarding monitoring equipment, material designation, and annual review apply to cylinders subject to Option (d) under this Annex.</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4.3  Engineering Plan Requirements</w:t>
      </w:r>
    </w:p>
    <w:p>
      <w:pPr>
        <w:spacing w:after="80" w:before="80" w:line="276" w:lineRule="auto"/>
        <w:jc w:val="both"/>
      </w:pPr>
      <w:r>
        <w:rPr>
          <w:rFonts w:ascii="Arial" w:cs="Arial" w:eastAsia="Arial" w:hAnsi="Arial"/>
          <w:b w:val="false"/>
          <w:bCs w:val="false"/>
          <w:i w:val="false"/>
          <w:iCs w:val="false"/>
          <w:color w:val="000000"/>
          <w:sz w:val="22"/>
          <w:szCs w:val="22"/>
        </w:rPr>
        <w:t xml:space="preserve">Within thirty (30) days of a determination that in-situ downblending is infeasible, both Parties jointly develop and sign a written Joint Engineering Plan specifying:</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The selected engineering option with detailed technical specifications.</w:t>
      </w:r>
    </w:p>
    <w:p>
      <w:pPr>
        <w:pStyle w:val="ListParagraph"/>
        <w:numPr>
          <w:ilvl w:val="0"/>
          <w:numId w:val="2"/>
        </w:numPr>
        <w:spacing w:after="60" w:before="60"/>
      </w:pPr>
      <w:r>
        <w:rPr>
          <w:rFonts w:ascii="Arial" w:cs="Arial" w:eastAsia="Arial" w:hAnsi="Arial"/>
          <w:sz w:val="22"/>
          <w:szCs w:val="22"/>
        </w:rPr>
        <w:t xml:space="preserve">Equipment requirements and sourcing arrangements.</w:t>
      </w:r>
    </w:p>
    <w:p>
      <w:pPr>
        <w:pStyle w:val="ListParagraph"/>
        <w:numPr>
          <w:ilvl w:val="0"/>
          <w:numId w:val="2"/>
        </w:numPr>
        <w:spacing w:after="60" w:before="60"/>
      </w:pPr>
      <w:r>
        <w:rPr>
          <w:rFonts w:ascii="Arial" w:cs="Arial" w:eastAsia="Arial" w:hAnsi="Arial"/>
          <w:sz w:val="22"/>
          <w:szCs w:val="22"/>
        </w:rPr>
        <w:t xml:space="preserve">Personnel roles and qualifications.</w:t>
      </w:r>
    </w:p>
    <w:p>
      <w:pPr>
        <w:pStyle w:val="ListParagraph"/>
        <w:numPr>
          <w:ilvl w:val="0"/>
          <w:numId w:val="2"/>
        </w:numPr>
        <w:spacing w:after="60" w:before="60"/>
      </w:pPr>
      <w:r>
        <w:rPr>
          <w:rFonts w:ascii="Arial" w:cs="Arial" w:eastAsia="Arial" w:hAnsi="Arial"/>
          <w:sz w:val="22"/>
          <w:szCs w:val="22"/>
        </w:rPr>
        <w:t xml:space="preserve">Safety protocols and emergency procedures.</w:t>
      </w:r>
    </w:p>
    <w:p>
      <w:pPr>
        <w:pStyle w:val="ListParagraph"/>
        <w:numPr>
          <w:ilvl w:val="0"/>
          <w:numId w:val="2"/>
        </w:numPr>
        <w:spacing w:after="60" w:before="60"/>
      </w:pPr>
      <w:r>
        <w:rPr>
          <w:rFonts w:ascii="Arial" w:cs="Arial" w:eastAsia="Arial" w:hAnsi="Arial"/>
          <w:sz w:val="22"/>
          <w:szCs w:val="22"/>
        </w:rPr>
        <w:t xml:space="preserve">Implementation timeline with milestones.</w:t>
      </w:r>
    </w:p>
    <w:p>
      <w:pPr>
        <w:pStyle w:val="ListParagraph"/>
        <w:numPr>
          <w:ilvl w:val="0"/>
          <w:numId w:val="2"/>
        </w:numPr>
        <w:spacing w:after="60" w:before="60"/>
      </w:pPr>
      <w:r>
        <w:rPr>
          <w:rFonts w:ascii="Arial" w:cs="Arial" w:eastAsia="Arial" w:hAnsi="Arial"/>
          <w:sz w:val="22"/>
          <w:szCs w:val="22"/>
        </w:rPr>
        <w:t xml:space="preserve">Verification and certification criteria.</w:t>
      </w:r>
    </w:p>
    <w:p>
      <w:pPr>
        <w:pStyle w:val="ListParagraph"/>
        <w:numPr>
          <w:ilvl w:val="0"/>
          <w:numId w:val="2"/>
        </w:numPr>
        <w:spacing w:after="60" w:before="60"/>
      </w:pPr>
      <w:r>
        <w:rPr>
          <w:rFonts w:ascii="Arial" w:cs="Arial" w:eastAsia="Arial" w:hAnsi="Arial"/>
          <w:sz w:val="22"/>
          <w:szCs w:val="22"/>
        </w:rPr>
        <w:t xml:space="preserve">Cost allocation (if applicable).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Engineering Plan is:</w:t>
      </w:r>
    </w:p>
    <w:p>
      <w:pPr>
        <w:pStyle w:val="ListParagraph"/>
        <w:numPr>
          <w:ilvl w:val="0"/>
          <w:numId w:val="2"/>
        </w:numPr>
        <w:spacing w:after="60" w:before="60"/>
      </w:pPr>
      <w:r>
        <w:rPr>
          <w:rFonts w:ascii="Arial" w:cs="Arial" w:eastAsia="Arial" w:hAnsi="Arial"/>
          <w:sz w:val="22"/>
          <w:szCs w:val="22"/>
        </w:rPr>
        <w:t xml:space="preserve">Jointly agreed in writing by the IAEA Team Leader and Iranian Facility Director.</w:t>
      </w:r>
    </w:p>
    <w:p>
      <w:pPr>
        <w:pStyle w:val="ListParagraph"/>
        <w:numPr>
          <w:ilvl w:val="0"/>
          <w:numId w:val="2"/>
        </w:numPr>
        <w:spacing w:after="60" w:before="60"/>
      </w:pPr>
      <w:r>
        <w:rPr>
          <w:rFonts w:ascii="Arial" w:cs="Arial" w:eastAsia="Arial" w:hAnsi="Arial"/>
          <w:sz w:val="22"/>
          <w:szCs w:val="22"/>
        </w:rPr>
        <w:t xml:space="preserve">Approved by the IAEA Radiation Safety Officer and Iranian nuclear safety authorities.</w:t>
      </w:r>
    </w:p>
    <w:p>
      <w:pPr>
        <w:pStyle w:val="ListParagraph"/>
        <w:numPr>
          <w:ilvl w:val="0"/>
          <w:numId w:val="2"/>
        </w:numPr>
        <w:spacing w:after="60" w:before="60"/>
      </w:pPr>
      <w:r>
        <w:rPr>
          <w:rFonts w:ascii="Arial" w:cs="Arial" w:eastAsia="Arial" w:hAnsi="Arial"/>
          <w:sz w:val="22"/>
          <w:szCs w:val="22"/>
        </w:rPr>
        <w:t xml:space="preserve">Documented by continuous video transmission to IAEA Vienna throughout all implementation phases.</w:t>
      </w:r>
    </w:p>
    <w:p>
      <w:pPr>
        <w:pStyle w:val="ListParagraph"/>
        <w:numPr>
          <w:ilvl w:val="0"/>
          <w:numId w:val="2"/>
        </w:numPr>
        <w:spacing w:after="60" w:before="60"/>
      </w:pPr>
      <w:r>
        <w:rPr>
          <w:rFonts w:ascii="Arial" w:cs="Arial" w:eastAsia="Arial" w:hAnsi="Arial"/>
          <w:sz w:val="22"/>
          <w:szCs w:val="22"/>
        </w:rPr>
        <w:t xml:space="preserve">Submitted to the PCC for information within 48 hours of signature.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Disagreements over the content of the Engineering Plan are referred to PCA arbitration under Annex O, Article 6, with an expedited 5-day timeline for safety-related disputes.</w:t>
      </w:r>
    </w:p>
    <w:p>
      <w:r>
        <w:br w:type="page"/>
      </w:r>
    </w:p>
    <w:p>
      <w:pPr>
        <w:pStyle w:val="Heading1"/>
        <w:shd w:fill="1F3864" w:val="clear"/>
        <w:spacing w:after="120" w:before="240"/>
      </w:pPr>
      <w:r>
        <w:rPr>
          <w:rFonts w:ascii="Arial" w:cs="Arial" w:eastAsia="Arial" w:hAnsi="Arial"/>
          <w:b/>
          <w:bCs/>
          <w:color w:val="FFFFFF"/>
          <w:sz w:val="30"/>
          <w:szCs w:val="30"/>
        </w:rPr>
        <w:t xml:space="preserve">Article 5: No Delay of Compliance</w:t>
      </w:r>
    </w:p>
    <w:p>
      <w:pPr>
        <w:shd w:fill="2E5FA3"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5.1  Operations under this Annex for damaged or inaccessible cylinders run in parallel with, not in sequence to, all other compliance obligations under the parent framework. Accessible cylinders proceed on the parent framework timeline regardless of the status of in-situ downblending or joint engineering operations.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Accessible Cylinders (Category I and II-A)</w:t>
      </w:r>
    </w:p>
    <w:p>
      <w:pPr>
        <w:spacing w:after="80" w:before="80" w:line="276" w:lineRule="auto"/>
        <w:jc w:val="both"/>
      </w:pPr>
      <w:r>
        <w:rPr>
          <w:rFonts w:ascii="Arial" w:cs="Arial" w:eastAsia="Arial" w:hAnsi="Arial"/>
          <w:b w:val="false"/>
          <w:bCs w:val="false"/>
          <w:i w:val="false"/>
          <w:iCs w:val="false"/>
          <w:color w:val="000000"/>
          <w:sz w:val="22"/>
          <w:szCs w:val="22"/>
        </w:rPr>
        <w:t xml:space="preserve">All Category I (Intact) and Category II-A (Minor Damage) cylinders that are safely movable proceed with custody transfer and downblending on the standard 14-day timeline established in the parent framework Article 1.1. The status of in-situ operations for damaged cylinders does not affect, delay, or condition the timeline for accessible cylinders.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Day 45 Disposition Default</w:t>
      </w:r>
    </w:p>
    <w:p>
      <w:pPr>
        <w:spacing w:after="80" w:before="80" w:line="276" w:lineRule="auto"/>
        <w:jc w:val="both"/>
      </w:pPr>
      <w:r>
        <w:rPr>
          <w:rFonts w:ascii="Arial" w:cs="Arial" w:eastAsia="Arial" w:hAnsi="Arial"/>
          <w:b w:val="false"/>
          <w:bCs w:val="false"/>
          <w:i w:val="false"/>
          <w:iCs w:val="false"/>
          <w:color w:val="000000"/>
          <w:sz w:val="22"/>
          <w:szCs w:val="22"/>
        </w:rPr>
        <w:t xml:space="preserve">The Day 45 Disposition Default circuit breaker (parent framework Article 1.6) is calculated based solely on accessible material. In-situ downblending operations for Category II-B and III cylinders are excluded from the Day 45 calculation unless the PCC determines by majority vote that the infeasibility determination was made in bad faith.</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Parallel Processing</w:t>
      </w:r>
    </w:p>
    <w:p>
      <w:pPr>
        <w:spacing w:after="80" w:before="80" w:line="276" w:lineRule="auto"/>
        <w:jc w:val="both"/>
      </w:pPr>
      <w:r>
        <w:rPr>
          <w:rFonts w:ascii="Arial" w:cs="Arial" w:eastAsia="Arial" w:hAnsi="Arial"/>
          <w:b w:val="false"/>
          <w:bCs w:val="false"/>
          <w:i w:val="false"/>
          <w:iCs w:val="false"/>
          <w:color w:val="000000"/>
          <w:sz w:val="22"/>
          <w:szCs w:val="22"/>
        </w:rPr>
        <w:t xml:space="preserve">In-situ downblending and joint engineering operations proceed on the timelines established in this Annex independently of the parent framework's tranche release schedule. Successful completion of in-situ downblending triggers the same sanctions relief milestones as standard downblending, subject to IAEA certification.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Sanctions Relief Equivalence</w:t>
      </w:r>
    </w:p>
    <w:p>
      <w:pPr>
        <w:spacing w:after="80" w:before="80" w:line="276" w:lineRule="auto"/>
        <w:jc w:val="both"/>
      </w:pPr>
      <w:r>
        <w:rPr>
          <w:rFonts w:ascii="Arial" w:cs="Arial" w:eastAsia="Arial" w:hAnsi="Arial"/>
          <w:b w:val="false"/>
          <w:bCs w:val="false"/>
          <w:i w:val="false"/>
          <w:iCs w:val="false"/>
          <w:color w:val="000000"/>
          <w:sz w:val="22"/>
          <w:szCs w:val="22"/>
        </w:rPr>
        <w:t xml:space="preserve">Completion of in-situ downblending for a Category II or III cylinder, verified by IAEA Downblending Completion Certificate, counts as equivalent to downblending under Pathway A for purposes of sanctions relief tranche triggers. The PCC treats IAEA-certified in-situ downblending completion identically to standard Pathway A completion for all compliance assessments.</w:t>
      </w:r>
    </w:p>
    <w:p>
      <w:pPr>
        <w:spacing w:after="40" w:before="40"/>
      </w:pPr>
      <w:r>
        <w:t xml:space="preserve"/>
      </w:r>
    </w:p>
    <w:p>
      <w:pPr>
        <w:spacing w:after="80" w:before="80" w:line="276" w:lineRule="auto"/>
        <w:jc w:val="both"/>
      </w:pPr>
      <w:r>
        <w:rPr>
          <w:rFonts w:ascii="Arial" w:cs="Arial" w:eastAsia="Arial" w:hAnsi="Arial"/>
          <w:b w:val="false"/>
          <w:bCs w:val="false"/>
          <w:i/>
          <w:iCs/>
          <w:color w:val="000000"/>
          <w:sz w:val="22"/>
          <w:szCs w:val="22"/>
        </w:rPr>
        <w:t xml:space="preserve">Cross-Reference: This Article supplements and does not replace Annex O, Article 4 (No Delay of Custody Transfer or Downblending). Where Annex O, Article 4 addresses delays caused by damaged conditions, this Article establishes the parallel processing mechanism that prevents such delays from affecting the overall compliance timeline.</w:t>
      </w:r>
    </w:p>
    <w:p>
      <w:r>
        <w:br w:type="page"/>
      </w:r>
    </w:p>
    <w:p>
      <w:pPr>
        <w:pStyle w:val="Heading1"/>
        <w:shd w:fill="1F3864" w:val="clear"/>
        <w:spacing w:after="120" w:before="240"/>
      </w:pPr>
      <w:r>
        <w:rPr>
          <w:rFonts w:ascii="Arial" w:cs="Arial" w:eastAsia="Arial" w:hAnsi="Arial"/>
          <w:b/>
          <w:bCs/>
          <w:color w:val="FFFFFF"/>
          <w:sz w:val="30"/>
          <w:szCs w:val="30"/>
        </w:rPr>
        <w:t xml:space="preserve">Article 6: Dispute Resolution</w:t>
      </w:r>
    </w:p>
    <w:p>
      <w:pPr>
        <w:shd w:fill="2E5FA3"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6.1  Any dispute arising under this Annex is resolved through the dispute resolution mechanisms established in Annex O, Article 6, with the modifications specified herein.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Disputes Subject to This Article include, but are not limited to:</w:t>
      </w:r>
    </w:p>
    <w:p>
      <w:pPr>
        <w:pStyle w:val="ListParagraph"/>
        <w:numPr>
          <w:ilvl w:val="0"/>
          <w:numId w:val="2"/>
        </w:numPr>
        <w:spacing w:after="60" w:before="60"/>
      </w:pPr>
      <w:r>
        <w:rPr>
          <w:rFonts w:ascii="Arial" w:cs="Arial" w:eastAsia="Arial" w:hAnsi="Arial"/>
          <w:sz w:val="22"/>
          <w:szCs w:val="22"/>
        </w:rPr>
        <w:t xml:space="preserve">Whether a specific cylinder qualifies for the in-situ downblending default under Article 3.1.</w:t>
      </w:r>
    </w:p>
    <w:p>
      <w:pPr>
        <w:pStyle w:val="ListParagraph"/>
        <w:numPr>
          <w:ilvl w:val="0"/>
          <w:numId w:val="2"/>
        </w:numPr>
        <w:spacing w:after="60" w:before="60"/>
      </w:pPr>
      <w:r>
        <w:rPr>
          <w:rFonts w:ascii="Arial" w:cs="Arial" w:eastAsia="Arial" w:hAnsi="Arial"/>
          <w:sz w:val="22"/>
          <w:szCs w:val="22"/>
        </w:rPr>
        <w:t xml:space="preserve">Whether in-situ downblending is technically feasible or infeasible for a specific cylinder.</w:t>
      </w:r>
    </w:p>
    <w:p>
      <w:pPr>
        <w:pStyle w:val="ListParagraph"/>
        <w:numPr>
          <w:ilvl w:val="0"/>
          <w:numId w:val="2"/>
        </w:numPr>
        <w:spacing w:after="60" w:before="60"/>
      </w:pPr>
      <w:r>
        <w:rPr>
          <w:rFonts w:ascii="Arial" w:cs="Arial" w:eastAsia="Arial" w:hAnsi="Arial"/>
          <w:sz w:val="22"/>
          <w:szCs w:val="22"/>
        </w:rPr>
        <w:t xml:space="preserve">The content, safety, or adequacy of a Joint Engineering Plan under Article 4.3.</w:t>
      </w:r>
    </w:p>
    <w:p>
      <w:pPr>
        <w:pStyle w:val="ListParagraph"/>
        <w:numPr>
          <w:ilvl w:val="0"/>
          <w:numId w:val="2"/>
        </w:numPr>
        <w:spacing w:after="60" w:before="60"/>
      </w:pPr>
      <w:r>
        <w:rPr>
          <w:rFonts w:ascii="Arial" w:cs="Arial" w:eastAsia="Arial" w:hAnsi="Arial"/>
          <w:sz w:val="22"/>
          <w:szCs w:val="22"/>
        </w:rPr>
        <w:t xml:space="preserve">Alleged delay or pretextual obstruction of in-situ downblending operations.</w:t>
      </w:r>
    </w:p>
    <w:p>
      <w:pPr>
        <w:pStyle w:val="ListParagraph"/>
        <w:numPr>
          <w:ilvl w:val="0"/>
          <w:numId w:val="2"/>
        </w:numPr>
        <w:spacing w:after="60" w:before="60"/>
      </w:pPr>
      <w:r>
        <w:rPr>
          <w:rFonts w:ascii="Arial" w:cs="Arial" w:eastAsia="Arial" w:hAnsi="Arial"/>
          <w:sz w:val="22"/>
          <w:szCs w:val="22"/>
        </w:rPr>
        <w:t xml:space="preserve">Disagreement over the classification of a cylinder's condition (II-A, II-B, or III).</w:t>
      </w:r>
    </w:p>
    <w:p>
      <w:pPr>
        <w:pStyle w:val="ListParagraph"/>
        <w:numPr>
          <w:ilvl w:val="0"/>
          <w:numId w:val="2"/>
        </w:numPr>
        <w:spacing w:after="60" w:before="60"/>
      </w:pPr>
      <w:r>
        <w:rPr>
          <w:rFonts w:ascii="Arial" w:cs="Arial" w:eastAsia="Arial" w:hAnsi="Arial"/>
          <w:sz w:val="22"/>
          <w:szCs w:val="22"/>
        </w:rPr>
        <w:t xml:space="preserve">Disputes over the adequacy of Iranian data provided under Article 1.</w:t>
      </w:r>
    </w:p>
    <w:p>
      <w:pPr>
        <w:pStyle w:val="ListParagraph"/>
        <w:numPr>
          <w:ilvl w:val="0"/>
          <w:numId w:val="2"/>
        </w:numPr>
        <w:spacing w:after="60" w:before="60"/>
      </w:pPr>
      <w:r>
        <w:rPr>
          <w:rFonts w:ascii="Arial" w:cs="Arial" w:eastAsia="Arial" w:hAnsi="Arial"/>
          <w:sz w:val="22"/>
          <w:szCs w:val="22"/>
        </w:rPr>
        <w:t xml:space="preserve">Disputes over the interpretation or application of remote sensing findings under Article 2.</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Pre-Arbitration Consultation Period</w:t>
      </w:r>
    </w:p>
    <w:p>
      <w:pPr>
        <w:spacing w:after="80" w:before="80" w:line="276" w:lineRule="auto"/>
        <w:jc w:val="both"/>
      </w:pPr>
      <w:r>
        <w:rPr>
          <w:rFonts w:ascii="Arial" w:cs="Arial" w:eastAsia="Arial" w:hAnsi="Arial"/>
          <w:b w:val="false"/>
          <w:bCs w:val="false"/>
          <w:i w:val="false"/>
          <w:iCs w:val="false"/>
          <w:color w:val="000000"/>
          <w:sz w:val="22"/>
          <w:szCs w:val="22"/>
        </w:rPr>
        <w:t xml:space="preserve">Before filing a dispute under this Annex, the requesting Party notifies the PCC. A seven (7) day consultation period follows, during which the PCC facilitates a technical solution through joint expert assessment. Arbitration commences only after this period, unless the IAEA certifies imminent proliferation risk as defined in Annex O, Article 6.1-B.</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Expedited Arbitration for Safety Disputes</w:t>
      </w:r>
    </w:p>
    <w:p>
      <w:pPr>
        <w:spacing w:after="80" w:before="80" w:line="276" w:lineRule="auto"/>
        <w:jc w:val="both"/>
      </w:pPr>
      <w:r>
        <w:rPr>
          <w:rFonts w:ascii="Arial" w:cs="Arial" w:eastAsia="Arial" w:hAnsi="Arial"/>
          <w:b w:val="false"/>
          <w:bCs w:val="false"/>
          <w:i w:val="false"/>
          <w:iCs w:val="false"/>
          <w:color w:val="000000"/>
          <w:sz w:val="22"/>
          <w:szCs w:val="22"/>
        </w:rPr>
        <w:t xml:space="preserve">Disputes involving imminent safety risks (radiation exposure, structural collapse, chemical hazard) are subject to expedited arbitration with a ruling within five (5) days of filing. The PCA Panel issues provisional safety orders within 48 hours of filing, including mandatory halts to operations or mandatory access for safety inspections.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Standard Arbitration Timeline</w:t>
      </w:r>
    </w:p>
    <w:p>
      <w:pPr>
        <w:spacing w:after="80" w:before="80" w:line="276" w:lineRule="auto"/>
        <w:jc w:val="both"/>
      </w:pPr>
      <w:r>
        <w:rPr>
          <w:rFonts w:ascii="Arial" w:cs="Arial" w:eastAsia="Arial" w:hAnsi="Arial"/>
          <w:b w:val="false"/>
          <w:bCs w:val="false"/>
          <w:i w:val="false"/>
          <w:iCs w:val="false"/>
          <w:color w:val="000000"/>
          <w:sz w:val="22"/>
          <w:szCs w:val="22"/>
        </w:rPr>
        <w:t xml:space="preserve">All other disputes under this Annex are resolved through standard PCA arbitration under Annex O, Article 6, with a ruling within seven (7) days of filing.</w:t>
      </w:r>
    </w:p>
    <w:p>
      <w:pPr>
        <w:spacing w:after="40" w:before="40"/>
      </w:pPr>
      <w:r>
        <w:t xml:space="preserve"/>
      </w:r>
    </w:p>
    <w:p>
      <w:pPr>
        <w:spacing w:after="80" w:before="80" w:line="276" w:lineRule="auto"/>
        <w:jc w:val="both"/>
      </w:pPr>
      <w:r>
        <w:rPr>
          <w:rFonts w:ascii="Arial" w:cs="Arial" w:eastAsia="Arial" w:hAnsi="Arial"/>
          <w:b w:val="false"/>
          <w:bCs w:val="false"/>
          <w:i/>
          <w:iCs/>
          <w:color w:val="000000"/>
          <w:sz w:val="22"/>
          <w:szCs w:val="22"/>
        </w:rPr>
        <w:t xml:space="preserve">Cross-Reference: All provisions of Annex O, Article 6 regarding PCA panel composition, seat, language, provisional measures, binding effect, and consequences of access denial apply to disputes under this Annex, except as explicitly modified above.</w:t>
      </w:r>
    </w:p>
    <w:p>
      <w:r>
        <w:br w:type="page"/>
      </w:r>
    </w:p>
    <w:p>
      <w:pPr>
        <w:pStyle w:val="Heading1"/>
        <w:shd w:fill="1F3864" w:val="clear"/>
        <w:spacing w:after="120" w:before="240"/>
      </w:pPr>
      <w:r>
        <w:rPr>
          <w:rFonts w:ascii="Arial" w:cs="Arial" w:eastAsia="Arial" w:hAnsi="Arial"/>
          <w:b/>
          <w:bCs/>
          <w:color w:val="FFFFFF"/>
          <w:sz w:val="30"/>
          <w:szCs w:val="30"/>
        </w:rPr>
        <w:t xml:space="preserve">Article 7: Relationship to Annex O and Parent Framework</w:t>
      </w:r>
    </w:p>
    <w:p>
      <w:pPr>
        <w:shd w:fill="2E5FA3"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7.1  Annex O access rights, damage assessment protocols, recovery procedures, personnel protections, data ownership provisions, and arbitration mechanisms remain in full force and apply to all activities under this Annex unless explicitly modified herein.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7.2  Where this Annex and Annex O conflict on the disposition of damaged HEU cylinders, this Annex governs. Where this Annex and the parent framework conflict on the disposition of damaged HEU cylinders, this Annex governs.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7.3  All other provisions of Annex O and the parent framework remain in full force and are not affected by this Annex.</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P-7: Hierarchy of Governing Provisions for Damaged Cylinder Disposition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ISSUE</w:t>
            </w:r>
          </w:p>
        </w:tc>
        <w:tc>
          <w:tcPr>
            <w:tcW w:type="dxa" w:w="24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PRIMARY GOVERNING PROVISION</w:t>
            </w:r>
          </w:p>
        </w:tc>
        <w:tc>
          <w:tcPr>
            <w:tcW w:type="dxa" w:w="24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SECONDARY REFERENCE</w:t>
            </w:r>
          </w:p>
        </w:tc>
        <w:tc>
          <w:tcPr>
            <w:tcW w:type="dxa" w:w="2400"/>
            <w:tcBorders>
              <w:top w:val="single" w:color="AABABC" w:sz="2"/>
              <w:left w:val="single" w:color="AABABC" w:sz="2"/>
              <w:bottom w:val="single" w:color="AABABC" w:sz="2"/>
              <w:right w:val="single" w:color="AABABC" w:sz="2"/>
            </w:tcBorders>
            <w:shd w:fill="2E5FA3"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TERTIARY REFERENCE</w:t>
            </w:r>
          </w:p>
        </w:tc>
      </w:tr>
      <w:tr>
        <w:trPr>
          <w:tblHeader w:val="false"/>
        </w:trPr>
        <w:tc>
          <w:tcPr>
            <w:tcW w:type="dxa" w:w="21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access to damaged sites</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O, Article 1</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O, Article 5 (remote sensing)</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Parent framework Article 1.1</w:t>
            </w:r>
          </w:p>
        </w:tc>
      </w:tr>
      <w:tr>
        <w:trPr>
          <w:tblHeader w:val="false"/>
        </w:trPr>
        <w:tc>
          <w:tcPr>
            <w:tcW w:type="dxa" w:w="21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Damage assessment and classification</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O, Article 2</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This Annex, Article 2 (remote sensing verification)</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O, Article 3 (recovery)</w:t>
            </w:r>
          </w:p>
        </w:tc>
      </w:tr>
      <w:tr>
        <w:trPr>
          <w:tblHeader w:val="false"/>
        </w:trPr>
        <w:tc>
          <w:tcPr>
            <w:tcW w:type="dxa" w:w="21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Disposition of damaged cylinders</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This Annex, Article 3 (in-situ default)</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This Annex, Article 4 (engineering alternatives)</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Parent framework Article 1.5 (Pathway A)</w:t>
            </w:r>
          </w:p>
        </w:tc>
      </w:tr>
      <w:tr>
        <w:trPr>
          <w:tblHeader w:val="false"/>
        </w:trPr>
        <w:tc>
          <w:tcPr>
            <w:tcW w:type="dxa" w:w="21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Compliance timeline treatment</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This Annex, Article 5</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O, Article 4 (no delay)</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Parent framework Article 1.6 (Day 45)</w:t>
            </w:r>
          </w:p>
        </w:tc>
      </w:tr>
      <w:tr>
        <w:trPr>
          <w:tblHeader w:val="false"/>
        </w:trPr>
        <w:tc>
          <w:tcPr>
            <w:tcW w:type="dxa" w:w="21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Dispute resolution</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This Annex, Article 6</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O, Article 6 (PCA arbitration)</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Parent framework Article 13 (tiers)</w:t>
            </w:r>
          </w:p>
        </w:tc>
      </w:tr>
      <w:tr>
        <w:trPr>
          <w:tblHeader w:val="false"/>
        </w:trPr>
        <w:tc>
          <w:tcPr>
            <w:tcW w:type="dxa" w:w="216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Personnel safety and data</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O, Article 1.4 (protections)</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O, Article 5.3 (data ownership)</w:t>
            </w:r>
          </w:p>
        </w:tc>
        <w:tc>
          <w:tcPr>
            <w:tcW w:type="dxa" w:w="2400"/>
            <w:tcBorders>
              <w:top w:val="single" w:color="AABABC" w:sz="2"/>
              <w:left w:val="single" w:color="AABABC" w:sz="2"/>
              <w:bottom w:val="single" w:color="AABABC" w:sz="2"/>
              <w:right w:val="single" w:color="AABABC"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This Annex, Article 3.2-B (Joint Safety Plan)</w:t>
            </w:r>
          </w:p>
        </w:tc>
      </w:tr>
    </w:tbl>
    <w:p>
      <w:r>
        <w:br w:type="page"/>
      </w:r>
    </w:p>
    <w:p>
      <w:pPr>
        <w:pStyle w:val="Heading1"/>
        <w:shd w:fill="1F3864" w:val="clear"/>
        <w:spacing w:after="120" w:before="240"/>
      </w:pPr>
      <w:r>
        <w:rPr>
          <w:rFonts w:ascii="Arial" w:cs="Arial" w:eastAsia="Arial" w:hAnsi="Arial"/>
          <w:b/>
          <w:bCs/>
          <w:color w:val="FFFFFF"/>
          <w:sz w:val="30"/>
          <w:szCs w:val="30"/>
        </w:rPr>
        <w:t xml:space="preserve">Article 8: Incorporation by Reference</w:t>
      </w:r>
    </w:p>
    <w:p>
      <w:pPr>
        <w:shd w:fill="2E5FA3"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8.1  This Annex is incorporated into any existing or future agreement between the Parties by the following adoption sentence:</w:t>
      </w:r>
    </w:p>
    <w:p>
      <w:pPr>
        <w:spacing w:after="40" w:before="40"/>
      </w:pPr>
      <w:r>
        <w:t xml:space="preserve"/>
      </w:r>
    </w:p>
    <w:p>
      <w:pPr>
        <w:pBdr>
          <w:left w:val="single" w:color="2E5FA3" w:sz="8"/>
        </w:pBdr>
        <w:spacing w:after="120" w:before="120"/>
        <w:ind w:left="720"/>
        <w:jc w:val="both"/>
      </w:pPr>
      <w:r>
        <w:rPr>
          <w:rFonts w:ascii="Arial" w:cs="Arial" w:eastAsia="Arial" w:hAnsi="Arial"/>
          <w:sz w:val="22"/>
          <w:szCs w:val="22"/>
        </w:rPr>
        <w:t xml:space="preserve">"The Parties adopt Annex P (Damaged Material Protocol) as an operative provision of this Agreement. In the event of any inconsistency, Annex P governs with respect to disposition of damaged HEU cylinders."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8.2  No further amendment of the parent framework is required. This Annex enters into force upon the later of: (a) signature by both Parties; or (b) the effective date of the parent framework into which it is incorporated.</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Article 8-A: Relationship to Annex O Entry into Force</w:t>
      </w:r>
    </w:p>
    <w:p>
      <w:pPr>
        <w:spacing w:after="80" w:before="80" w:line="276" w:lineRule="auto"/>
        <w:jc w:val="both"/>
      </w:pPr>
      <w:r>
        <w:rPr>
          <w:rFonts w:ascii="Arial" w:cs="Arial" w:eastAsia="Arial" w:hAnsi="Arial"/>
          <w:b w:val="false"/>
          <w:bCs w:val="false"/>
          <w:i w:val="false"/>
          <w:iCs w:val="false"/>
          <w:color w:val="000000"/>
          <w:sz w:val="22"/>
          <w:szCs w:val="22"/>
        </w:rPr>
        <w:t xml:space="preserve">If Annex O (IAEA Access and Site Integrity Protocol) has already entered into force, this Annex P enters into force upon signature by both Parties. If Annex O has not yet entered into force, this Annex P enters into force simultaneously with Annex O.</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This provision ensures that Annex P is never operative without the access and verification infrastructure that Annex O provides. Annex P depends on Annex O for access rights, damage assessment, remote sensing, and arbitration; it cannot function as a standalone instrument.</w:t>
      </w:r>
    </w:p>
    <w:p>
      <w:r>
        <w:br w:type="page"/>
      </w:r>
    </w:p>
    <w:p>
      <w:pPr>
        <w:pStyle w:val="Heading1"/>
        <w:shd w:fill="1F3864" w:val="clear"/>
        <w:spacing w:after="120" w:before="240"/>
      </w:pPr>
      <w:r>
        <w:rPr>
          <w:rFonts w:ascii="Arial" w:cs="Arial" w:eastAsia="Arial" w:hAnsi="Arial"/>
          <w:b/>
          <w:bCs/>
          <w:color w:val="FFFFFF"/>
          <w:sz w:val="30"/>
          <w:szCs w:val="30"/>
        </w:rPr>
        <w:t xml:space="preserve">Article 9: Provisional Application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9.1  The Parties agree to apply this Annex provisionally for a period of ninety (90) days, pending formal ratification or incorporation into a parent framework.</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9.2  Provisional application is effected by an exchange of diplomatic notes between the Parties, copied to the Joint Secretariat and all guarantor states.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9.3  During provisional application, all provisions of this Annex are operative and binding. Iran provides the data report required under Article 1; the IAEA conducts remote sensing verification under Article 2; and in-situ downblending planning commences under Article 3.</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9.4  Either Party terminates provisional application with fourteen (14) days' written notice to the other Party, the Joint Secretariat, and the IAEA Director General.</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9.5  Termination of provisional application by Iran triggers immediate PCC review and simultaneous notification to all guarantor states under the procedures specified in Annex O, Article 8.5. All consequences specified in Annex O, Article 8.5 apply to termination of this Annex.</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9.6  Termination of provisional application does not relieve either Party of obligations under the IAEA Statute or existing Safeguards Agreement. All IAEA safeguards rights and Iran's safeguards obligations continue in full force regardless of the status of this Annex.</w:t>
      </w:r>
    </w:p>
    <w:p>
      <w:r>
        <w:br w:type="page"/>
      </w:r>
    </w:p>
    <w:p>
      <w:pPr>
        <w:pStyle w:val="Heading1"/>
        <w:shd w:fill="1F3864" w:val="clear"/>
        <w:spacing w:after="120" w:before="240"/>
      </w:pPr>
      <w:r>
        <w:rPr>
          <w:rFonts w:ascii="Arial" w:cs="Arial" w:eastAsia="Arial" w:hAnsi="Arial"/>
          <w:b/>
          <w:bCs/>
          <w:color w:val="FFFFFF"/>
          <w:sz w:val="30"/>
          <w:szCs w:val="30"/>
        </w:rPr>
        <w:t xml:space="preserve">Article 10: Duration and Withdrawal</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10.1  This Annex remains in force indefinitely, unless: (a) both Parties agree in writing to terminate it; or (b) the parent framework into which it is incorporated terminates, and the Parties do not reaffirm this Annex within ninety (90) days of such termination.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10.2  Withdrawal from this Annex without withdrawal from the parent framework is not permitted. This Annex is integral to the disposition architecture for damaged nuclear material and is not severable unilaterally.</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10.3  If the parent framework terminates and this Annex is not reaffirmed within ninety (90) days, all obligations under this Annex expire, but IAEA monitoring data collected during this Annex's operation remains the property of the IAEA and is available for safeguards purposes under the IAEA Statute and applicable safeguards agreements.</w:t>
      </w:r>
    </w:p>
    <w:p>
      <w:pPr>
        <w:spacing w:after="40" w:before="40"/>
      </w:pPr>
      <w:r>
        <w:t xml:space="preserve"/>
      </w:r>
    </w:p>
    <w:p>
      <w:pPr>
        <w:pStyle w:val="Heading2"/>
        <w:shd w:fill="2E5FA3" w:val="clear"/>
        <w:spacing w:after="100" w:before="200"/>
      </w:pPr>
      <w:r>
        <w:rPr>
          <w:rFonts w:ascii="Arial" w:cs="Arial" w:eastAsia="Arial" w:hAnsi="Arial"/>
          <w:b/>
          <w:bCs/>
          <w:color w:val="FFFFFF"/>
          <w:sz w:val="26"/>
          <w:szCs w:val="26"/>
        </w:rPr>
        <w:t xml:space="preserve">10.4  Implementation Flexibility</w:t>
      </w:r>
    </w:p>
    <w:p>
      <w:pPr>
        <w:spacing w:after="80" w:before="80" w:line="276" w:lineRule="auto"/>
        <w:jc w:val="both"/>
      </w:pPr>
      <w:r>
        <w:rPr>
          <w:rFonts w:ascii="Arial" w:cs="Arial" w:eastAsia="Arial" w:hAnsi="Arial"/>
          <w:b w:val="false"/>
          <w:bCs w:val="false"/>
          <w:i w:val="false"/>
          <w:iCs w:val="false"/>
          <w:color w:val="000000"/>
          <w:sz w:val="22"/>
          <w:szCs w:val="22"/>
        </w:rPr>
        <w:t xml:space="preserve">The Parties recognize that damaged nuclear sites present unforeseen conditions not contemplated in this Annex. Timelines and technical requirements in this Annex are adjustable by mutual written agreement of the IAEA Director General and the Head of the Iranian Atomic Energy Organization (AEOI), with notification to the PCC. Unilateral extension or modification is not permitted. Any mutually agreed adjustment specifies: the revised timeline or requirement; the technical justification; the conditions for return to the original timeline; and the notification provided to the PCC.</w:t>
      </w:r>
    </w:p>
    <w:p>
      <w:pPr>
        <w:spacing w:after="40" w:before="40"/>
      </w:pPr>
      <w:r>
        <w:t xml:space="preserve"/>
      </w:r>
    </w:p>
    <w:p>
      <w:pPr>
        <w:pStyle w:val="Heading3"/>
        <w:pBdr>
          <w:bottom w:val="single" w:color="4A7CB5" w:sz="4"/>
        </w:pBdr>
        <w:spacing w:after="80" w:before="160"/>
      </w:pPr>
      <w:r>
        <w:rPr>
          <w:rFonts w:ascii="Arial" w:cs="Arial" w:eastAsia="Arial" w:hAnsi="Arial"/>
          <w:b/>
          <w:bCs/>
          <w:color w:val="1F3864"/>
          <w:sz w:val="24"/>
          <w:szCs w:val="24"/>
        </w:rPr>
        <w:t xml:space="preserve">10.4-A. Guarantor Oversight of Mutual Adjustments</w:t>
      </w:r>
    </w:p>
    <w:p>
      <w:pPr>
        <w:spacing w:after="80" w:before="80" w:line="276" w:lineRule="auto"/>
        <w:jc w:val="both"/>
      </w:pPr>
      <w:r>
        <w:rPr>
          <w:rFonts w:ascii="Arial" w:cs="Arial" w:eastAsia="Arial" w:hAnsi="Arial"/>
          <w:b w:val="false"/>
          <w:bCs w:val="false"/>
          <w:i w:val="false"/>
          <w:iCs w:val="false"/>
          <w:color w:val="000000"/>
          <w:sz w:val="22"/>
          <w:szCs w:val="22"/>
        </w:rPr>
        <w:t xml:space="preserve">Any mutual agreement under Article 10.4 is also submitted to all guarantor states simultaneously with notification to the PCC. If three or more guarantor states object in writing within seven (7) calendar days of receipt, the adjustment is suspended pending PCC review. The PCC reinstates the adjustment only by a two-thirds majority vote of all PCC members. The burden of demonstrating that the adjustment is technical, not political, and that it does not materially delay the parent framework's objectives rests on the Parties requesting the adjustment. This provision does not apply to day-to-day operational coordination, which requires only PCC notification.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This provision is not a general escape clause; it is a limited flexibility mechanism for genuinely unforeseen circumstances at damaged facilities. The burden of demonstrating that circumstances are unforeseen and material rests on the Party requesting the adjustment.</w:t>
      </w:r>
    </w:p>
    <w:p>
      <w:r>
        <w:br w:type="page"/>
      </w:r>
    </w:p>
    <w:p>
      <w:pPr>
        <w:pStyle w:val="Heading1"/>
        <w:shd w:fill="1F3864" w:val="clear"/>
        <w:spacing w:after="120" w:before="240"/>
      </w:pPr>
      <w:r>
        <w:rPr>
          <w:rFonts w:ascii="Arial" w:cs="Arial" w:eastAsia="Arial" w:hAnsi="Arial"/>
          <w:b/>
          <w:bCs/>
          <w:color w:val="FFFFFF"/>
          <w:sz w:val="30"/>
          <w:szCs w:val="30"/>
        </w:rPr>
        <w:t xml:space="preserve">Signature Block</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In witness whereof, the undersigned, being duly authorized by their respective governments, have signed this Annex P: Damaged Material Protocol.</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Done at __________________________, this _______ day of _____________________, 2026, in triplicate in the English language.</w:t>
      </w:r>
    </w:p>
    <w:p>
      <w:pPr>
        <w:spacing w:after="40" w:before="40"/>
      </w:pPr>
      <w:r>
        <w:t xml:space="preserve"/>
      </w:r>
    </w:p>
    <w:p>
      <w:pPr>
        <w:pBdr>
          <w:bottom w:val="single" w:color="1F3864"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Islamic Republic of Iran: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Title: ________________________________________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1F3864"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International Atomic Energy Agency (IAEA):</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Rafael Mariano Grossi, Director General</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1F3864"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United States of America (as endorsing Party, if parent framework applies):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Title: ________________________________________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1F3864"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Witnessed by the Guarantor States: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Oman</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Pakistan</w:t>
            </w:r>
          </w:p>
        </w:tc>
      </w:tr>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Qatar</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European Union (E3+)</w:t>
            </w:r>
          </w:p>
        </w:tc>
      </w:tr>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People's Republic of China</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Russian Federation</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pBdr>
      <w:tabs>
        <w:tab w:val="right" w:pos="9360"/>
      </w:tabs>
      <w:spacing w:after="40" w:before="40"/>
    </w:pPr>
    <w:r>
      <w:rPr>
        <w:rFonts w:ascii="Arial" w:cs="Arial" w:eastAsia="Arial" w:hAnsi="Arial"/>
        <w:b/>
        <w:bCs/>
        <w:color w:val="1F3864"/>
        <w:sz w:val="16"/>
        <w:szCs w:val="16"/>
      </w:rPr>
      <w:t xml:space="preserve">AUTHORIZED NEGOTIATORS ONLY — CONFIDENTIAL — NOT FOR PUBLIC DISTRIBUTION	</w:t>
    </w:r>
    <w:r>
      <w:rPr>
        <w:rFonts w:ascii="Arial" w:cs="Arial" w:eastAsia="Arial" w:hAnsi="Arial"/>
        <w:color w:val="1F38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tabs>
        <w:tab w:val="right" w:pos="9360"/>
      </w:tabs>
      <w:spacing w:after="40" w:before="40"/>
    </w:pPr>
    <w:r>
      <w:rPr>
        <w:rFonts w:ascii="Arial" w:cs="Arial" w:eastAsia="Arial" w:hAnsi="Arial"/>
        <w:b/>
        <w:bCs/>
        <w:color w:val="1F3864"/>
        <w:sz w:val="16"/>
        <w:szCs w:val="16"/>
      </w:rPr>
      <w:t xml:space="preserve">DIPLOMATIC WORKING DOCUMENT — MODULAR ANNEX</w:t>
    </w:r>
    <w:r>
      <w:rPr>
        <w:rFonts w:ascii="Arial" w:cs="Arial" w:eastAsia="Arial" w:hAnsi="Arial"/>
        <w:color w:val="4A7CB5"/>
        <w:sz w:val="16"/>
        <w:szCs w:val="16"/>
      </w:rPr>
      <w:t xml:space="preserve">	Annex P — Damaged Material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120" w:before="240"/>
      <w:outlineLvl w:val="0"/>
    </w:pPr>
    <w:rPr>
      <w:rFonts w:ascii="Arial" w:cs="Arial" w:eastAsia="Arial" w:hAnsi="Arial"/>
      <w:b/>
      <w:bCs/>
      <w:color w:val="FFFFFF"/>
      <w:sz w:val="30"/>
      <w:szCs w:val="30"/>
    </w:rPr>
  </w:style>
  <w:style w:type="paragraph" w:styleId="Heading2">
    <w:name w:val="Heading 2"/>
    <w:basedOn w:val="Normal"/>
    <w:next w:val="Normal"/>
    <w:qFormat/>
    <w:pPr>
      <w:shd w:fill="2E5FA3" w:val="clear"/>
      <w:spacing w:after="100" w:before="20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2026-06-07T02:17:20.422Z</dcterms:created>
  <dcterms:modified xsi:type="dcterms:W3CDTF">2026-06-07T02:17:20.422Z</dcterms:modified>
</cp:coreProperties>
</file>

<file path=docProps/custom.xml><?xml version="1.0" encoding="utf-8"?>
<Properties xmlns="http://schemas.openxmlformats.org/officeDocument/2006/custom-properties" xmlns:vt="http://schemas.openxmlformats.org/officeDocument/2006/docPropsVTypes"/>
</file>