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0c4225fd874414e"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18"/>
        </w:rPr>
        <w:t>DIPLOMATIC WORKING DOCUMENT - MODULAR ANNEX</w:t>
      </w:r>
    </w:p>
    <w:p>
      <w:pPr>
        <w:spacing w:before="200" w:after="200"/>
        <w:jc w:val="center"/>
      </w:pPr>
      <w:r>
        <w:rPr>
          <w:b/>
          <w:color w:val="1E3A5F"/>
          <w:sz w:val="48"/>
        </w:rPr>
        <w:t>Annex Q</w:t>
      </w:r>
    </w:p>
    <w:p>
      <w:pPr>
        <w:spacing w:before="0" w:after="100"/>
        <w:jc w:val="center"/>
      </w:pPr>
      <w:r>
        <w:rPr>
          <w:b/>
          <w:color w:val="1E3A5F"/>
          <w:sz w:val="32"/>
        </w:rPr>
        <w:t>IRGC Access Compliance Protocol</w:t>
      </w:r>
    </w:p>
    <w:p>
      <w:pPr>
        <w:spacing w:before="200" w:after="60"/>
        <w:jc w:val="center"/>
      </w:pPr>
      <w:r>
        <w:rPr>
          <w:color w:val="4a4a4a"/>
          <w:sz w:val="18"/>
        </w:rPr>
        <w:t>Incorporated by Reference into Any Existing or Future Framework</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200"/>
        <w:jc w:val="center"/>
      </w:pPr>
      <w:r>
        <w:rPr>
          <w:color w:val="4a4a4a"/>
          <w:sz w:val="18"/>
        </w:rPr>
        <w:t>and the Provisional Steps Framework (v1.8)</w:t>
      </w:r>
    </w:p>
    <w:p>
      <w:pPr>
        <w:spacing w:before="200" w:after="100"/>
        <w:jc w:val="center"/>
      </w:pPr>
      <w:r>
        <w:rPr>
          <w:color w:val="1a1a1a"/>
          <w:sz w:val="20"/>
        </w:rPr>
        <w:t>Version 1.0 - June 2026</w:t>
      </w:r>
    </w:p>
    <w:p>
      <w:pPr>
        <w:spacing w:before="0" w:after="200"/>
        <w:jc w:val="center"/>
      </w:pPr>
      <w:r>
        <w:rPr>
          <w:color w:val="4a4a4a"/>
          <w:sz w:val="18"/>
        </w:rPr>
        <w:t>Closes Gap 1: IRGC Control of Access to Nuclear Sites</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pStyle w:val="Heading2"/>
      </w:pPr>
      <w:r>
        <w:t>Purpose</w:t>
      </w:r>
    </w:p>
    <w:p>
      <w:pPr>
        <w:spacing w:before="60" w:after="120"/>
      </w:pPr>
      <w:r>
        <w:rPr>
          <w:sz w:val="21"/>
        </w:rPr>
        <w:t>This Annex addresses the operational reality that the Islamic Revolutionary Guard Corps (IRGC) exercises control over access to certain declared Iranian nuclear facilities, independent of the Atomic Energy Organization of Iran (AEOI). This Annex establishes that the national government of Iran bears sole responsibility for ensuring IRGC compliance with IAEA access rights under Annex O. It creates a single chain of accountability, designates a National Access Coordinator with authority to compel IRGC cooperation, and provides expedited consequences for IRGC-led access denials.</w:t>
      </w:r>
    </w:p>
    <w:p>
      <w:pPr>
        <w:pStyle w:val="Heading2"/>
      </w:pPr>
      <w:r>
        <w:t>Background</w:t>
      </w:r>
    </w:p>
    <w:p>
      <w:pPr>
        <w:spacing w:before="60" w:after="120"/>
      </w:pPr>
      <w:r>
        <w:rPr>
          <w:sz w:val="21"/>
        </w:rPr>
        <w:t>The IRGC's role in Iran's nuclear infrastructure is well-documented. At multiple declared facilities, IRGC personnel control perimeter security, internal checkpoints, tunnel access, and building entry. This creates a structural gap between Iran's diplomatic commitments to IAEA access and the operational reality on the ground. The IAEA has encountered situations where IRGC personnel denied or delayed inspector access independently of AEOI authorization. This Annex closes that gap by establishing that IRGC actions are attributable to the Iranian state, creating binding mechanisms to compel IRGC cooperation, and providing accelerated consequences when the IRGC interferes with verification.</w:t>
      </w:r>
    </w:p>
    <w:p>
      <w:pPr>
        <w:pStyle w:val="Heading2"/>
      </w:pPr>
      <w:r>
        <w:t>Core Principles</w:t>
      </w:r>
    </w:p>
    <w:p>
      <w:pPr>
        <w:spacing w:before="60" w:after="120"/>
      </w:pPr>
      <w:r>
        <w:rPr>
          <w:sz w:val="21"/>
        </w:rPr>
        <w:t>This Annex operates on three foundational principles:</w:t>
      </w:r>
    </w:p>
    <w:p>
      <w:pPr>
        <w:numPr>
          <w:ilvl w:val="0"/>
          <w:numId w:val="1"/>
        </w:numPr>
        <w:spacing w:before="40" w:after="80"/>
      </w:pPr>
      <w:r>
        <w:rPr>
          <w:sz w:val="21"/>
        </w:rPr>
        <w:t>Attributability. The IRGC is an arm of the Iranian state. Actions by IRGC personnel at nuclear facilities are attributable to Iran. No legal or factual distinction exists between access denied by the IRGC and access denied by any other Iranian authority.</w:t>
      </w:r>
    </w:p>
    <w:p>
      <w:pPr>
        <w:numPr>
          <w:ilvl w:val="0"/>
          <w:numId w:val="1"/>
        </w:numPr>
        <w:spacing w:before="40" w:after="80"/>
      </w:pPr>
      <w:r>
        <w:rPr>
          <w:sz w:val="21"/>
        </w:rPr>
        <w:t>Accountability. The national government of Iran bears the sole and non-delegable responsibility for ensuring IAEA access, including at IRGC-controlled facilities. How Iran achieves compliance internally is a matter of Iranian domestic law, not a basis for excusing non-performance.</w:t>
      </w:r>
    </w:p>
    <w:p>
      <w:pPr>
        <w:numPr>
          <w:ilvl w:val="0"/>
          <w:numId w:val="1"/>
        </w:numPr>
        <w:spacing w:before="40" w:after="80"/>
      </w:pPr>
      <w:r>
        <w:rPr>
          <w:sz w:val="21"/>
        </w:rPr>
        <w:t>Expedited Consequences. IRGC-led access denials trigger accelerated breach consequences because IRGC control is a known structural risk, not an unforeseeable event. The standard pre-arbitration consultation period does not apply to IRGC-led denials.</w:t>
      </w:r>
    </w:p>
    <w:p>
      <w:pPr>
        <w:pStyle w:val="Heading2"/>
      </w:pPr>
      <w:r>
        <w:t>Modularity Clause</w:t>
      </w:r>
    </w:p>
    <w:p>
      <w:pPr>
        <w:spacing w:before="60" w:after="120"/>
      </w:pPr>
      <w:r>
        <w:rPr>
          <w:sz w:val="21"/>
        </w:rPr>
        <w:t>This Annex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between this Annex and any parent framework or Annex O provision regarding access denial by the IRGC, this Annex governs.</w:t>
      </w:r>
    </w:p>
    <w:p>
      <w:pPr>
        <w:pStyle w:val="Heading2"/>
      </w:pPr>
      <w:r>
        <w:t>Cross-Reference</w:t>
      </w:r>
    </w:p>
    <w:p>
      <w:pPr>
        <w:spacing w:before="60" w:after="120"/>
      </w:pPr>
      <w:r>
        <w:rPr>
          <w:sz w:val="21"/>
        </w:rPr>
        <w:t>This Annex operates in conjunction with Annex O (IAEA Access and Site Integrity Protocol) and Annex P (Damaged Material Protocol). All access rights, damage assessment procedures, personnel protections, data ownership provisions, and dispute resolution mechanisms established in Annex O apply to activities under this Annex unless explicitly modified herein.</w:t>
      </w:r>
    </w:p>
    <w:p>
      <w:r>
        <w:br w:type="page"/>
      </w:r>
    </w:p>
    <w:p>
      <w:pPr>
        <w:pStyle w:val="Heading1"/>
      </w:pPr>
      <w:r>
        <w:t>ARTICLE 1: RECOGNITION OF IRGC CONTROL</w:t>
      </w:r>
    </w:p>
    <w:p>
      <w:pPr>
        <w:pStyle w:val="Heading2"/>
      </w:pPr>
      <w:r>
        <w:t>1.1 IRGC-Controlled Facilities</w:t>
      </w:r>
    </w:p>
    <w:p>
      <w:pPr>
        <w:spacing w:before="60" w:after="120"/>
      </w:pPr>
      <w:r>
        <w:rPr>
          <w:sz w:val="21"/>
        </w:rPr>
        <w:t>The Parties formally recognize that the IRGC exercises operational control over access to certain declared nuclear facilities, independent of the AEOI. This recognition is factual, not normative. It does not legitimize IRGC control but acknowledges its operational reality for the purpose of designing effective verification mechanisms.</w:t>
      </w:r>
    </w:p>
    <w:p>
      <w:pPr>
        <w:spacing w:before="60" w:after="120"/>
      </w:pPr>
      <w:r>
        <w:rPr>
          <w:sz w:val="21"/>
        </w:rPr>
        <w:t>Iran provides to the IAEA and the PCC a complete list of IRGC-controlled access points within thirty (30) days of entry into force of this Annex. The list updates within seven (7) days of any change.</w:t>
      </w:r>
    </w:p>
    <w:p>
      <w:pPr>
        <w:spacing w:before="60" w:after="120"/>
      </w:pPr>
      <w:r>
        <w:rPr>
          <w:sz w:val="21"/>
        </w:rPr>
        <w:t>IRGC-controlled facilities include, but are not limited to, the following declared nuclear sites:</w:t>
      </w:r>
    </w:p>
    <w:tbl>
      <w:tblPr>
        <w:tblW w:w="5000" w:type="pct"/>
        <w:tblBorders>
          <w:top w:val="single" w:color="1E3A5F" w:sz="8"/>
          <w:left w:val="nil"/>
          <w:bottom w:val="single" w:color="1E3A5F" w:sz="8"/>
          <w:right w:val="nil"/>
          <w:insideH w:val="single" w:color="CCCCCC" w:sz="4"/>
          <w:insideV w:val="nil"/>
        </w:tblBorders>
      </w:tblPr>
      <w:tblGrid>
        <w:gridCol w:w="2200"/>
        <w:gridCol w:w="2000"/>
        <w:gridCol w:w="2600"/>
        <w:gridCol w:w="2200"/>
      </w:tblGrid>
      <w:tr>
        <w:trPr>
          <w:tblHeader/>
        </w:trPr>
        <w:tc>
          <w:tcPr>
            <w:tcW w:w="2200" w:type="dxa"/>
            <w:shd w:val="clear" w:fill="E8EDF2"/>
          </w:tcPr>
          <w:p>
            <w:pPr>
              <w:spacing w:before="40" w:after="40"/>
            </w:pPr>
            <w:r>
              <w:rPr>
                <w:b/>
                <w:color w:val="1a1a1a"/>
                <w:sz w:val="19"/>
              </w:rPr>
              <w:t>Facility</w:t>
            </w:r>
          </w:p>
        </w:tc>
        <w:tc>
          <w:tcPr>
            <w:tcW w:w="2000" w:type="dxa"/>
            <w:shd w:val="clear" w:fill="E8EDF2"/>
          </w:tcPr>
          <w:p>
            <w:pPr>
              <w:spacing w:before="40" w:after="40"/>
            </w:pPr>
            <w:r>
              <w:rPr>
                <w:b/>
                <w:color w:val="1a1a1a"/>
                <w:sz w:val="19"/>
              </w:rPr>
              <w:t>IRGC Control Point</w:t>
            </w:r>
          </w:p>
        </w:tc>
        <w:tc>
          <w:tcPr>
            <w:tcW w:w="2600" w:type="dxa"/>
            <w:shd w:val="clear" w:fill="E8EDF2"/>
          </w:tcPr>
          <w:p>
            <w:pPr>
              <w:spacing w:before="40" w:after="40"/>
            </w:pPr>
            <w:r>
              <w:rPr>
                <w:b/>
                <w:color w:val="1a1a1a"/>
                <w:sz w:val="19"/>
              </w:rPr>
              <w:t>IAEA Access Impact</w:t>
            </w:r>
          </w:p>
        </w:tc>
        <w:tc>
          <w:tcPr>
            <w:tcW w:w="2200" w:type="dxa"/>
            <w:shd w:val="clear" w:fill="E8EDF2"/>
          </w:tcPr>
          <w:p>
            <w:pPr>
              <w:spacing w:before="40" w:after="40"/>
            </w:pPr>
            <w:r>
              <w:rPr>
                <w:b/>
                <w:color w:val="1a1a1a"/>
                <w:sz w:val="19"/>
              </w:rPr>
              <w:t>Mitigation Required</w:t>
            </w:r>
          </w:p>
        </w:tc>
      </w:tr>
      <w:tr>
        <w:tc>
          <w:tcPr>
            <w:tcW w:w="2200" w:type="dxa"/>
          </w:tcPr>
          <w:p>
            <w:pPr>
              <w:spacing w:before="40" w:after="40"/>
            </w:pPr>
            <w:r>
              <w:rPr>
                <w:color w:val="4a4a4a"/>
                <w:sz w:val="19"/>
              </w:rPr>
              <w:t>Natanz Enrichment Plant</w:t>
            </w:r>
          </w:p>
        </w:tc>
        <w:tc>
          <w:tcPr>
            <w:tcW w:w="2000" w:type="dxa"/>
          </w:tcPr>
          <w:p>
            <w:pPr>
              <w:spacing w:before="40" w:after="40"/>
            </w:pPr>
            <w:r>
              <w:rPr>
                <w:color w:val="4a4a4a"/>
                <w:sz w:val="19"/>
              </w:rPr>
              <w:t>Perimeter security; internal checkpoints; above-ground hall entry controls</w:t>
            </w:r>
          </w:p>
        </w:tc>
        <w:tc>
          <w:tcPr>
            <w:tcW w:w="2600" w:type="dxa"/>
          </w:tcPr>
          <w:p>
            <w:pPr>
              <w:spacing w:before="40" w:after="40"/>
            </w:pPr>
            <w:r>
              <w:rPr>
                <w:color w:val="4a4a4a"/>
                <w:sz w:val="19"/>
              </w:rPr>
              <w:t>Inspector movement within facility is subject to delay or denial at IRGC checkpoints</w:t>
            </w:r>
          </w:p>
        </w:tc>
        <w:tc>
          <w:tcPr>
            <w:tcW w:w="2200" w:type="dxa"/>
          </w:tcPr>
          <w:p>
            <w:pPr>
              <w:spacing w:before="40" w:after="40"/>
            </w:pPr>
            <w:r>
              <w:rPr>
                <w:color w:val="4a4a4a"/>
                <w:sz w:val="19"/>
              </w:rPr>
              <w:t>NAC pre-clearance; IRGC standing inspector credentials recognized</w:t>
            </w:r>
          </w:p>
        </w:tc>
      </w:tr>
      <w:tr>
        <w:tc>
          <w:tcPr>
            <w:tcW w:w="2200" w:type="dxa"/>
          </w:tcPr>
          <w:p>
            <w:pPr>
              <w:spacing w:before="40" w:after="40"/>
            </w:pPr>
            <w:r>
              <w:rPr>
                <w:color w:val="4a4a4a"/>
                <w:sz w:val="19"/>
              </w:rPr>
              <w:t>Fordow Enrichment Plant</w:t>
            </w:r>
          </w:p>
        </w:tc>
        <w:tc>
          <w:tcPr>
            <w:tcW w:w="2000" w:type="dxa"/>
          </w:tcPr>
          <w:p>
            <w:pPr>
              <w:spacing w:before="40" w:after="40"/>
            </w:pPr>
            <w:r>
              <w:rPr>
                <w:color w:val="4a4a4a"/>
                <w:sz w:val="19"/>
              </w:rPr>
              <w:t>Tunnel entrance security; underground access zones; shaft entry controls</w:t>
            </w:r>
          </w:p>
        </w:tc>
        <w:tc>
          <w:tcPr>
            <w:tcW w:w="2600" w:type="dxa"/>
          </w:tcPr>
          <w:p>
            <w:pPr>
              <w:spacing w:before="40" w:after="40"/>
            </w:pPr>
            <w:r>
              <w:rPr>
                <w:color w:val="4a4a4a"/>
                <w:sz w:val="19"/>
              </w:rPr>
              <w:t>Access to deep tunnels requires IRGC approval; underground movement restricted</w:t>
            </w:r>
          </w:p>
        </w:tc>
        <w:tc>
          <w:tcPr>
            <w:tcW w:w="2200" w:type="dxa"/>
          </w:tcPr>
          <w:p>
            <w:pPr>
              <w:spacing w:before="40" w:after="40"/>
            </w:pPr>
            <w:r>
              <w:rPr>
                <w:color w:val="4a4a4a"/>
                <w:sz w:val="19"/>
              </w:rPr>
              <w:t>NAC tunnel access authorization; IRGC escort protocols; emergency egress procedures</w:t>
            </w:r>
          </w:p>
        </w:tc>
      </w:tr>
      <w:tr>
        <w:tc>
          <w:tcPr>
            <w:tcW w:w="2200" w:type="dxa"/>
          </w:tcPr>
          <w:p>
            <w:pPr>
              <w:spacing w:before="40" w:after="40"/>
            </w:pPr>
            <w:r>
              <w:rPr>
                <w:color w:val="4a4a4a"/>
                <w:sz w:val="19"/>
              </w:rPr>
              <w:t>Esfahan Technology Center</w:t>
            </w:r>
          </w:p>
        </w:tc>
        <w:tc>
          <w:tcPr>
            <w:tcW w:w="2000" w:type="dxa"/>
          </w:tcPr>
          <w:p>
            <w:pPr>
              <w:spacing w:before="40" w:after="40"/>
            </w:pPr>
            <w:r>
              <w:rPr>
                <w:color w:val="4a4a4a"/>
                <w:sz w:val="19"/>
              </w:rPr>
              <w:t>Certain building perimeters; selected storage area controls; cylinder movement checkpoints</w:t>
            </w:r>
          </w:p>
        </w:tc>
        <w:tc>
          <w:tcPr>
            <w:tcW w:w="2600" w:type="dxa"/>
          </w:tcPr>
          <w:p>
            <w:pPr>
              <w:spacing w:before="40" w:after="40"/>
            </w:pPr>
            <w:r>
              <w:rPr>
                <w:color w:val="4a4a4a"/>
                <w:sz w:val="19"/>
              </w:rPr>
              <w:t>Storage areas are subject to blocking; cylinder inspection is subject to delay</w:t>
            </w:r>
          </w:p>
        </w:tc>
        <w:tc>
          <w:tcPr>
            <w:tcW w:w="2200" w:type="dxa"/>
          </w:tcPr>
          <w:p>
            <w:pPr>
              <w:spacing w:before="40" w:after="40"/>
            </w:pPr>
            <w:r>
              <w:rPr>
                <w:color w:val="4a4a4a"/>
                <w:sz w:val="19"/>
              </w:rPr>
              <w:t>NAC building access orders; IRGC coordination with AEOI facility managers</w:t>
            </w:r>
          </w:p>
        </w:tc>
      </w:tr>
      <w:tr>
        <w:tc>
          <w:tcPr>
            <w:tcW w:w="2200" w:type="dxa"/>
          </w:tcPr>
          <w:p>
            <w:pPr>
              <w:spacing w:before="40" w:after="40"/>
            </w:pPr>
            <w:r>
              <w:rPr>
                <w:color w:val="4a4a4a"/>
                <w:sz w:val="19"/>
              </w:rPr>
              <w:t>Other Designated Facilities</w:t>
            </w:r>
          </w:p>
        </w:tc>
        <w:tc>
          <w:tcPr>
            <w:tcW w:w="2000" w:type="dxa"/>
          </w:tcPr>
          <w:p>
            <w:pPr>
              <w:spacing w:before="40" w:after="40"/>
            </w:pPr>
            <w:r>
              <w:rPr>
                <w:color w:val="4a4a4a"/>
                <w:sz w:val="19"/>
              </w:rPr>
              <w:t>As specified in the confidential annex or as notified by Iran under Section 1.2</w:t>
            </w:r>
          </w:p>
        </w:tc>
        <w:tc>
          <w:tcPr>
            <w:tcW w:w="2600" w:type="dxa"/>
          </w:tcPr>
          <w:p>
            <w:pPr>
              <w:spacing w:before="40" w:after="40"/>
            </w:pPr>
            <w:r>
              <w:rPr>
                <w:color w:val="4a4a4a"/>
                <w:sz w:val="19"/>
              </w:rPr>
              <w:t>Per facility assessment</w:t>
            </w:r>
          </w:p>
        </w:tc>
        <w:tc>
          <w:tcPr>
            <w:tcW w:w="2200" w:type="dxa"/>
          </w:tcPr>
          <w:p>
            <w:pPr>
              <w:spacing w:before="40" w:after="40"/>
            </w:pPr>
            <w:r>
              <w:rPr>
                <w:color w:val="4a4a4a"/>
                <w:sz w:val="19"/>
              </w:rPr>
              <w:t>Tailored access protocols developed jointly by IAEA, NAC, and facility commanders</w:t>
            </w:r>
          </w:p>
        </w:tc>
      </w:tr>
    </w:tbl>
    <w:p>
      <w:pPr>
        <w:spacing w:before="60" w:after="120"/>
      </w:pPr>
      <w:r>
        <w:rPr>
          <w:sz w:val="21"/>
        </w:rPr>
        <w:t>Confidential Annex: Iran designates additional facilities or access points as IRGC-controlled through a confidential annex to this Annex Q, shared only with the IAEA Director General and PCC leadership. The confidential annex reviews and updates every 90 days.</w:t>
      </w:r>
    </w:p>
    <w:p>
      <w:pPr>
        <w:pStyle w:val="Heading2"/>
      </w:pPr>
      <w:r>
        <w:t>1.2 Notification Requirements</w:t>
      </w:r>
    </w:p>
    <w:p>
      <w:pPr>
        <w:spacing w:before="60" w:after="120"/>
      </w:pPr>
      <w:r>
        <w:rPr>
          <w:sz w:val="21"/>
        </w:rPr>
        <w:t>Within thirty (30) days of entry into force, Iran delivers to the IAEA and the PCC:</w:t>
      </w:r>
    </w:p>
    <w:p>
      <w:pPr>
        <w:numPr>
          <w:ilvl w:val="0"/>
          <w:numId w:val="2"/>
        </w:numPr>
        <w:spacing w:before="20" w:after="40"/>
      </w:pPr>
      <w:r>
        <w:rPr>
          <w:sz w:val="21"/>
        </w:rPr>
        <w:t>A complete list of all IRGC-controlled access points at declared nuclear facilities;</w:t>
      </w:r>
    </w:p>
    <w:p>
      <w:pPr>
        <w:numPr>
          <w:ilvl w:val="0"/>
          <w:numId w:val="2"/>
        </w:numPr>
        <w:spacing w:before="20" w:after="40"/>
      </w:pPr>
      <w:r>
        <w:rPr>
          <w:sz w:val="21"/>
        </w:rPr>
        <w:t>The name and rank of the IRGC commander responsible for each access point;</w:t>
      </w:r>
    </w:p>
    <w:p>
      <w:pPr>
        <w:numPr>
          <w:ilvl w:val="0"/>
          <w:numId w:val="2"/>
        </w:numPr>
        <w:spacing w:before="20" w:after="40"/>
      </w:pPr>
      <w:r>
        <w:rPr>
          <w:sz w:val="21"/>
        </w:rPr>
        <w:t>The chain of command from the facility-level IRGC commander to the NAC;</w:t>
      </w:r>
    </w:p>
    <w:p>
      <w:pPr>
        <w:numPr>
          <w:ilvl w:val="0"/>
          <w:numId w:val="2"/>
        </w:numPr>
        <w:spacing w:before="20" w:after="40"/>
      </w:pPr>
      <w:r>
        <w:rPr>
          <w:sz w:val="21"/>
        </w:rPr>
        <w:t>Any standing orders or protocols currently governing IAEA inspector access at each point;</w:t>
      </w:r>
    </w:p>
    <w:p>
      <w:pPr>
        <w:numPr>
          <w:ilvl w:val="0"/>
          <w:numId w:val="2"/>
        </w:numPr>
        <w:spacing w:before="20" w:after="40"/>
      </w:pPr>
      <w:r>
        <w:rPr>
          <w:sz w:val="21"/>
        </w:rPr>
        <w:t>A map or diagram showing the location of IRGC checkpoints within each facility.</w:t>
      </w:r>
    </w:p>
    <w:p>
      <w:pPr>
        <w:spacing w:before="60" w:after="120"/>
      </w:pPr>
      <w:r>
        <w:rPr>
          <w:sz w:val="21"/>
        </w:rPr>
        <w:t>Iran updates this information within seven (7) days of any change, including: changes in IRGC command personnel; new IRGC-controlled access points; changes in standing orders or protocols; and closure or consolidation of previously controlled points.</w:t>
      </w:r>
    </w:p>
    <w:p>
      <w:pPr>
        <w:spacing w:before="60" w:after="120"/>
      </w:pPr>
      <w:r>
        <w:rPr>
          <w:sz w:val="21"/>
        </w:rPr>
        <w:t>Failure to provide the initial list within 30 days, or to update within 7 days of a change, constitutes a Tier 1 technical dispute under MOU Article 7.3.</w:t>
      </w:r>
    </w:p>
    <w:p>
      <w:r>
        <w:br w:type="page"/>
      </w:r>
    </w:p>
    <w:p>
      <w:pPr>
        <w:pStyle w:val="Heading1"/>
      </w:pPr>
      <w:r>
        <w:t>ARTICLE 2: NATIONAL GOVERNMENT RESPONSIBILITY FOR IRGC COMPLIANCE</w:t>
      </w:r>
    </w:p>
    <w:p>
      <w:pPr>
        <w:pStyle w:val="Heading2"/>
      </w:pPr>
      <w:r>
        <w:t>2.1 Binding Directives</w:t>
      </w:r>
    </w:p>
    <w:p>
      <w:pPr>
        <w:spacing w:before="60" w:after="120"/>
      </w:pPr>
      <w:r>
        <w:rPr>
          <w:sz w:val="21"/>
        </w:rPr>
        <w:t>The national government of Iran, including the Presidency, the Supreme National Security Council (SNSC), and the AEOI, ensures IRGC compliance with IAEA access rights under Annex O. Iran's obligations under Annex O extend to the IRGC as an arm of the state.</w:t>
      </w:r>
    </w:p>
    <w:p>
      <w:pPr>
        <w:spacing w:before="60" w:after="120"/>
      </w:pPr>
      <w:r>
        <w:rPr>
          <w:sz w:val="21"/>
        </w:rPr>
        <w:t>The national government of Iran issues binding directives to the IRGC requiring full cooperation with IAEA inspectors and remote sensing deployments. These directives, at a minimum:</w:t>
      </w:r>
    </w:p>
    <w:p>
      <w:pPr>
        <w:numPr>
          <w:ilvl w:val="0"/>
          <w:numId w:val="2"/>
        </w:numPr>
        <w:spacing w:before="20" w:after="40"/>
      </w:pPr>
      <w:r>
        <w:rPr>
          <w:sz w:val="21"/>
        </w:rPr>
        <w:t>Require IRGC personnel at all declared nuclear facilities to permit unfettered IAEA inspector access in accordance with Annex O, Article 1;</w:t>
      </w:r>
    </w:p>
    <w:p>
      <w:pPr>
        <w:numPr>
          <w:ilvl w:val="0"/>
          <w:numId w:val="2"/>
        </w:numPr>
        <w:spacing w:before="20" w:after="40"/>
      </w:pPr>
      <w:r>
        <w:rPr>
          <w:sz w:val="21"/>
        </w:rPr>
        <w:t>Mandate that IRGC checkpoints recognize IAEA inspector credentials as valid authorization for entry;</w:t>
      </w:r>
    </w:p>
    <w:p>
      <w:pPr>
        <w:numPr>
          <w:ilvl w:val="0"/>
          <w:numId w:val="2"/>
        </w:numPr>
        <w:spacing w:before="20" w:after="40"/>
      </w:pPr>
      <w:r>
        <w:rPr>
          <w:sz w:val="21"/>
        </w:rPr>
        <w:t>Prohibit IRGC personnel from denying, delaying, or restricting IAEA access on any grounds other than verified radiation safety or structural stability concerns certified by the NAC;</w:t>
      </w:r>
    </w:p>
    <w:p>
      <w:pPr>
        <w:numPr>
          <w:ilvl w:val="0"/>
          <w:numId w:val="2"/>
        </w:numPr>
        <w:spacing w:before="20" w:after="40"/>
      </w:pPr>
      <w:r>
        <w:rPr>
          <w:sz w:val="21"/>
        </w:rPr>
        <w:t>Require IRGC commanders to comply with access orders issued by the NAC within the timeframes specified in Article 3;</w:t>
      </w:r>
    </w:p>
    <w:p>
      <w:pPr>
        <w:numPr>
          <w:ilvl w:val="0"/>
          <w:numId w:val="2"/>
        </w:numPr>
        <w:spacing w:before="20" w:after="40"/>
      </w:pPr>
      <w:r>
        <w:rPr>
          <w:sz w:val="21"/>
        </w:rPr>
        <w:t>Direct IRGC personnel to cooperate with IAEA remote sensing deployments, including drone overflight, ground vehicle access, and sensor emplacement;</w:t>
      </w:r>
    </w:p>
    <w:p>
      <w:pPr>
        <w:numPr>
          <w:ilvl w:val="0"/>
          <w:numId w:val="2"/>
        </w:numPr>
        <w:spacing w:before="20" w:after="40"/>
      </w:pPr>
      <w:r>
        <w:rPr>
          <w:sz w:val="21"/>
        </w:rPr>
        <w:t>Establish that interference with IAEA activities by IRGC personnel is a violation of Iranian national policy and subject to Iranian military discipline.</w:t>
      </w:r>
    </w:p>
    <w:p>
      <w:pPr>
        <w:spacing w:before="60" w:after="120"/>
      </w:pPr>
      <w:r>
        <w:rPr>
          <w:sz w:val="21"/>
        </w:rPr>
        <w:t>Iran provides written confirmation to the PCC, copied to the IAEA Director General, that such directives have been issued to all relevant IRGC commands, within seven (7) days of entry into force of this Annex. The confirmation includes the date of issuance, the authority that issued the directives (Presidential order, SNSC decision, or equivalent), and the IRGC commands to which the directives were addressed.</w:t>
      </w:r>
    </w:p>
    <w:p>
      <w:pPr>
        <w:spacing w:before="60" w:after="120"/>
      </w:pPr>
      <w:r>
        <w:rPr>
          <w:sz w:val="21"/>
        </w:rPr>
        <w:t>The PCC retains the right to request a copy of the directives (in Persian with English translation) to verify their scope and binding nature. Iran provides such copies within 48 hours of request.</w:t>
      </w:r>
    </w:p>
    <w:p>
      <w:pPr>
        <w:pStyle w:val="Heading2"/>
      </w:pPr>
      <w:r>
        <w:t>2.2 No Distinction Between IRGC and Iran</w:t>
      </w:r>
    </w:p>
    <w:p>
      <w:pPr>
        <w:spacing w:before="60" w:after="120"/>
      </w:pPr>
      <w:r>
        <w:rPr>
          <w:sz w:val="21"/>
        </w:rPr>
        <w:t>For purposes of all obligations under this Annex, Annex O, and the parent framework:</w:t>
      </w:r>
    </w:p>
    <w:p>
      <w:pPr>
        <w:numPr>
          <w:ilvl w:val="0"/>
          <w:numId w:val="2"/>
        </w:numPr>
        <w:spacing w:before="20" w:after="40"/>
      </w:pPr>
      <w:r>
        <w:rPr>
          <w:sz w:val="21"/>
        </w:rPr>
        <w:t>The IRGC is an organ of the Iranian state. All actions by IRGC personnel at declared nuclear facilities are attributable to Iran.</w:t>
      </w:r>
    </w:p>
    <w:p>
      <w:pPr>
        <w:numPr>
          <w:ilvl w:val="0"/>
          <w:numId w:val="2"/>
        </w:numPr>
        <w:spacing w:before="20" w:after="40"/>
      </w:pPr>
      <w:r>
        <w:rPr>
          <w:sz w:val="21"/>
        </w:rPr>
        <w:t>Iran is prohibited from asserting as a defense to an access denial that the IRGC acted independently of the national government.</w:t>
      </w:r>
    </w:p>
    <w:p>
      <w:pPr>
        <w:numPr>
          <w:ilvl w:val="0"/>
          <w:numId w:val="2"/>
        </w:numPr>
        <w:spacing w:before="20" w:after="40"/>
      </w:pPr>
      <w:r>
        <w:rPr>
          <w:sz w:val="21"/>
        </w:rPr>
        <w:t>Iran is prohibited from asserting as a defense that the AEOI lacked authority over the IRGC.</w:t>
      </w:r>
    </w:p>
    <w:p>
      <w:pPr>
        <w:numPr>
          <w:ilvl w:val="0"/>
          <w:numId w:val="2"/>
        </w:numPr>
        <w:spacing w:before="20" w:after="40"/>
      </w:pPr>
      <w:r>
        <w:rPr>
          <w:sz w:val="21"/>
        </w:rPr>
        <w:t>Iran is prohibited from asserting as a defense that the government is negotiating with the IRGC or that internal consultations are ongoing.</w:t>
      </w:r>
    </w:p>
    <w:p>
      <w:pPr>
        <w:numPr>
          <w:ilvl w:val="0"/>
          <w:numId w:val="2"/>
        </w:numPr>
        <w:spacing w:before="20" w:after="40"/>
      </w:pPr>
      <w:r>
        <w:rPr>
          <w:sz w:val="21"/>
        </w:rPr>
        <w:t>Any similar argument seeking to distance the national government from IRGC actions is rejected as a basis for excusing non-performance.</w:t>
      </w:r>
    </w:p>
    <w:p>
      <w:pPr>
        <w:spacing w:before="60" w:after="120"/>
      </w:pPr>
      <w:r>
        <w:rPr>
          <w:sz w:val="21"/>
        </w:rPr>
        <w:t>The sole responsibility of Iran under this Annex is to ensure IAEA access to all declared facilities, including those controlled by the IRGC. How Iran achieves compliance internally - whether through presidential directives, SNSC orders, military chain-of-command, or other mechanisms - is a matter of Iranian domestic law and internal governance, not a basis for delaying or excusing performance under this Annex.</w:t>
      </w:r>
    </w:p>
    <w:p>
      <w:r>
        <w:br w:type="page"/>
      </w:r>
    </w:p>
    <w:p>
      <w:pPr>
        <w:pStyle w:val="Heading1"/>
      </w:pPr>
      <w:r>
        <w:t>ARTICLE 3: NATIONAL ACCESS COORDINATOR</w:t>
      </w:r>
    </w:p>
    <w:p>
      <w:pPr>
        <w:pStyle w:val="Heading2"/>
      </w:pPr>
      <w:r>
        <w:t>3.1 Designation and Authority</w:t>
      </w:r>
    </w:p>
    <w:p>
      <w:pPr>
        <w:spacing w:before="60" w:after="120"/>
      </w:pPr>
      <w:r>
        <w:rPr>
          <w:sz w:val="21"/>
        </w:rPr>
        <w:t>Iran designates a single National Access Coordinator (NAC) with explicit authority to issue binding access orders to IRGC commanders at all declared nuclear facilities. The NAC serves as the single point of contact for all IAEA inspector access matters involving the IRGC.</w:t>
      </w:r>
    </w:p>
    <w:p>
      <w:pPr>
        <w:spacing w:before="60" w:after="120"/>
      </w:pPr>
      <w:r>
        <w:rPr>
          <w:sz w:val="21"/>
        </w:rPr>
        <w:t>The NAC is:</w:t>
      </w:r>
    </w:p>
    <w:p>
      <w:pPr>
        <w:numPr>
          <w:ilvl w:val="0"/>
          <w:numId w:val="2"/>
        </w:numPr>
        <w:spacing w:before="20" w:after="40"/>
      </w:pPr>
      <w:r>
        <w:rPr>
          <w:sz w:val="21"/>
        </w:rPr>
        <w:t>A senior official within the AEOI (Deputy Director level or above) or the Office of the President;</w:t>
      </w:r>
    </w:p>
    <w:p>
      <w:pPr>
        <w:numPr>
          <w:ilvl w:val="0"/>
          <w:numId w:val="2"/>
        </w:numPr>
        <w:spacing w:before="20" w:after="40"/>
      </w:pPr>
      <w:r>
        <w:rPr>
          <w:sz w:val="21"/>
        </w:rPr>
        <w:t>Designated by name and title in writing to the IAEA Director General and PCC Secretariat within seven (7) days of entry into force;</w:t>
      </w:r>
    </w:p>
    <w:p>
      <w:pPr>
        <w:numPr>
          <w:ilvl w:val="0"/>
          <w:numId w:val="2"/>
        </w:numPr>
        <w:spacing w:before="20" w:after="40"/>
      </w:pPr>
      <w:r>
        <w:rPr>
          <w:sz w:val="21"/>
        </w:rPr>
        <w:t>Invested by the Iranian government with explicit, documented authority to issue binding access orders to IRGC commanders at all declared nuclear facilities;</w:t>
      </w:r>
    </w:p>
    <w:p>
      <w:pPr>
        <w:numPr>
          <w:ilvl w:val="0"/>
          <w:numId w:val="2"/>
        </w:numPr>
        <w:spacing w:before="20" w:after="40"/>
      </w:pPr>
      <w:r>
        <w:rPr>
          <w:sz w:val="21"/>
        </w:rPr>
        <w:t>Fluent in English or provided with a certified interpreter available on two (2) hours' notice;</w:t>
      </w:r>
    </w:p>
    <w:p>
      <w:pPr>
        <w:numPr>
          <w:ilvl w:val="0"/>
          <w:numId w:val="2"/>
        </w:numPr>
        <w:spacing w:before="20" w:after="40"/>
      </w:pPr>
      <w:r>
        <w:rPr>
          <w:sz w:val="21"/>
        </w:rPr>
        <w:t>Contactable 24 hours per day, 7 days per week through secure communication channels.</w:t>
      </w:r>
    </w:p>
    <w:p>
      <w:pPr>
        <w:spacing w:before="60" w:after="120"/>
      </w:pPr>
      <w:r>
        <w:rPr>
          <w:sz w:val="21"/>
        </w:rPr>
        <w:t>The NAC's authority includes:</w:t>
      </w:r>
    </w:p>
    <w:p>
      <w:pPr>
        <w:numPr>
          <w:ilvl w:val="0"/>
          <w:numId w:val="2"/>
        </w:numPr>
        <w:spacing w:before="20" w:after="40"/>
      </w:pPr>
      <w:r>
        <w:rPr>
          <w:sz w:val="21"/>
        </w:rPr>
        <w:t>Issuing binding orders to IRGC facility commanders to permit IAEA inspector access;</w:t>
      </w:r>
    </w:p>
    <w:p>
      <w:pPr>
        <w:numPr>
          <w:ilvl w:val="0"/>
          <w:numId w:val="2"/>
        </w:numPr>
        <w:spacing w:before="20" w:after="40"/>
      </w:pPr>
      <w:r>
        <w:rPr>
          <w:sz w:val="21"/>
        </w:rPr>
        <w:t>Overruling IRGC access denials at declared nuclear facilities;</w:t>
      </w:r>
    </w:p>
    <w:p>
      <w:pPr>
        <w:numPr>
          <w:ilvl w:val="0"/>
          <w:numId w:val="2"/>
        </w:numPr>
        <w:spacing w:before="20" w:after="40"/>
      </w:pPr>
      <w:r>
        <w:rPr>
          <w:sz w:val="21"/>
        </w:rPr>
        <w:t>Coordinating with AEOI facility directors and IRGC security officers to resolve access disputes;</w:t>
      </w:r>
    </w:p>
    <w:p>
      <w:pPr>
        <w:numPr>
          <w:ilvl w:val="0"/>
          <w:numId w:val="2"/>
        </w:numPr>
        <w:spacing w:before="20" w:after="40"/>
      </w:pPr>
      <w:r>
        <w:rPr>
          <w:sz w:val="21"/>
        </w:rPr>
        <w:t>Authorizing emergency access for safety inspections or radiation monitoring;</w:t>
      </w:r>
    </w:p>
    <w:p>
      <w:pPr>
        <w:numPr>
          <w:ilvl w:val="0"/>
          <w:numId w:val="2"/>
        </w:numPr>
        <w:spacing w:before="20" w:after="40"/>
      </w:pPr>
      <w:r>
        <w:rPr>
          <w:sz w:val="21"/>
        </w:rPr>
        <w:t>Referring unresolved disputes to the PCC under the escalation protocol in Article 3.2.</w:t>
      </w:r>
    </w:p>
    <w:p>
      <w:pPr>
        <w:pStyle w:val="Heading2"/>
      </w:pPr>
      <w:r>
        <w:t>3.2 NAC Response Protocol</w:t>
      </w:r>
    </w:p>
    <w:p>
      <w:pPr>
        <w:spacing w:before="60" w:after="120"/>
      </w:pPr>
      <w:r>
        <w:rPr>
          <w:sz w:val="21"/>
        </w:rPr>
        <w:t>The NAC responds to any access complaint within two (2) hours during daytime (0600-2200 local time) and six (6) hours overnight (2200-0600 local time). If the NAC fails to resolve an access issue within twelve (12) hours, the dispute automatically escalates to the PCC.</w:t>
      </w:r>
    </w:p>
    <w:p>
      <w:pPr>
        <w:spacing w:before="60" w:after="120"/>
      </w:pPr>
      <w:r>
        <w:rPr>
          <w:sz w:val="21"/>
        </w:rPr>
        <w:t>The following protocol governs all NAC interactions with IAEA inspectors and the escalation of access disputes:</w:t>
      </w:r>
    </w:p>
    <w:tbl>
      <w:tblPr>
        <w:tblW w:w="5000" w:type="pct"/>
        <w:tblBorders>
          <w:top w:val="single" w:color="1E3A5F" w:sz="8"/>
          <w:left w:val="nil"/>
          <w:bottom w:val="single" w:color="1E3A5F" w:sz="8"/>
          <w:right w:val="nil"/>
          <w:insideH w:val="single" w:color="CCCCCC" w:sz="4"/>
          <w:insideV w:val="nil"/>
        </w:tblBorders>
      </w:tblPr>
      <w:tblGrid>
        <w:gridCol w:w="1600"/>
        <w:gridCol w:w="3600"/>
        <w:gridCol w:w="2800"/>
      </w:tblGrid>
      <w:tr>
        <w:trPr>
          <w:tblHeader/>
        </w:trPr>
        <w:tc>
          <w:tcPr>
            <w:tcW w:w="1600" w:type="dxa"/>
            <w:shd w:val="clear" w:fill="E8EDF2"/>
          </w:tcPr>
          <w:p>
            <w:pPr>
              <w:spacing w:before="40" w:after="40"/>
            </w:pPr>
            <w:r>
              <w:rPr>
                <w:b/>
                <w:color w:val="1a1a1a"/>
                <w:sz w:val="19"/>
              </w:rPr>
              <w:t>Time from Complaint</w:t>
            </w:r>
          </w:p>
        </w:tc>
        <w:tc>
          <w:tcPr>
            <w:tcW w:w="3600" w:type="dxa"/>
            <w:shd w:val="clear" w:fill="E8EDF2"/>
          </w:tcPr>
          <w:p>
            <w:pPr>
              <w:spacing w:before="40" w:after="40"/>
            </w:pPr>
            <w:r>
              <w:rPr>
                <w:b/>
                <w:color w:val="1a1a1a"/>
                <w:sz w:val="19"/>
              </w:rPr>
              <w:t>Action Required</w:t>
            </w:r>
          </w:p>
        </w:tc>
        <w:tc>
          <w:tcPr>
            <w:tcW w:w="2800" w:type="dxa"/>
            <w:shd w:val="clear" w:fill="E8EDF2"/>
          </w:tcPr>
          <w:p>
            <w:pPr>
              <w:spacing w:before="40" w:after="40"/>
            </w:pPr>
            <w:r>
              <w:rPr>
                <w:b/>
                <w:color w:val="1a1a1a"/>
                <w:sz w:val="19"/>
              </w:rPr>
              <w:t>Responsible Party</w:t>
            </w:r>
          </w:p>
        </w:tc>
      </w:tr>
      <w:tr>
        <w:tc>
          <w:tcPr>
            <w:tcW w:w="1600" w:type="dxa"/>
          </w:tcPr>
          <w:p>
            <w:pPr>
              <w:spacing w:before="40" w:after="40"/>
            </w:pPr>
            <w:r>
              <w:rPr>
                <w:color w:val="4a4a4a"/>
                <w:sz w:val="19"/>
              </w:rPr>
              <w:t>T+0</w:t>
            </w:r>
          </w:p>
        </w:tc>
        <w:tc>
          <w:tcPr>
            <w:tcW w:w="3600" w:type="dxa"/>
          </w:tcPr>
          <w:p>
            <w:pPr>
              <w:spacing w:before="40" w:after="40"/>
            </w:pPr>
            <w:r>
              <w:rPr>
                <w:color w:val="4a4a4a"/>
                <w:sz w:val="19"/>
              </w:rPr>
              <w:t>IAEA inspector or team leader contacts NAC via designated hotline, secure phone, or encrypted communication channel</w:t>
            </w:r>
          </w:p>
        </w:tc>
        <w:tc>
          <w:tcPr>
            <w:tcW w:w="2800" w:type="dxa"/>
          </w:tcPr>
          <w:p>
            <w:pPr>
              <w:spacing w:before="40" w:after="40"/>
            </w:pPr>
            <w:r>
              <w:rPr>
                <w:color w:val="4a4a4a"/>
                <w:sz w:val="19"/>
              </w:rPr>
              <w:t>IAEA inspection team</w:t>
            </w:r>
          </w:p>
        </w:tc>
      </w:tr>
      <w:tr>
        <w:tc>
          <w:tcPr>
            <w:tcW w:w="1600" w:type="dxa"/>
          </w:tcPr>
          <w:p>
            <w:pPr>
              <w:spacing w:before="40" w:after="40"/>
            </w:pPr>
            <w:r>
              <w:rPr>
                <w:color w:val="4a4a4a"/>
                <w:sz w:val="19"/>
              </w:rPr>
              <w:t>T+30 minutes</w:t>
            </w:r>
          </w:p>
        </w:tc>
        <w:tc>
          <w:tcPr>
            <w:tcW w:w="3600" w:type="dxa"/>
          </w:tcPr>
          <w:p>
            <w:pPr>
              <w:spacing w:before="40" w:after="40"/>
            </w:pPr>
            <w:r>
              <w:rPr>
                <w:color w:val="4a4a4a"/>
                <w:sz w:val="19"/>
              </w:rPr>
              <w:t>NAC acknowledges receipt of complaint; records nature of access issue, facility location, and IRGC personnel involved</w:t>
            </w:r>
          </w:p>
        </w:tc>
        <w:tc>
          <w:tcPr>
            <w:tcW w:w="2800" w:type="dxa"/>
          </w:tcPr>
          <w:p>
            <w:pPr>
              <w:spacing w:before="40" w:after="40"/>
            </w:pPr>
            <w:r>
              <w:rPr>
                <w:color w:val="4a4a4a"/>
                <w:sz w:val="19"/>
              </w:rPr>
              <w:t>NAC duty officer</w:t>
            </w:r>
          </w:p>
        </w:tc>
      </w:tr>
      <w:tr>
        <w:tc>
          <w:tcPr>
            <w:tcW w:w="1600" w:type="dxa"/>
          </w:tcPr>
          <w:p>
            <w:pPr>
              <w:spacing w:before="40" w:after="40"/>
            </w:pPr>
            <w:r>
              <w:rPr>
                <w:color w:val="4a4a4a"/>
                <w:sz w:val="19"/>
              </w:rPr>
              <w:t>T+2 hours (daytime)</w:t>
            </w:r>
          </w:p>
        </w:tc>
        <w:tc>
          <w:tcPr>
            <w:tcW w:w="3600" w:type="dxa"/>
          </w:tcPr>
          <w:p>
            <w:pPr>
              <w:spacing w:before="40" w:after="40"/>
            </w:pPr>
            <w:r>
              <w:rPr>
                <w:color w:val="4a4a4a"/>
                <w:sz w:val="19"/>
              </w:rPr>
              <w:t>NAC issues binding access order to IRGC facility commander; confirms order transmitted in writing</w:t>
            </w:r>
          </w:p>
        </w:tc>
        <w:tc>
          <w:tcPr>
            <w:tcW w:w="2800" w:type="dxa"/>
          </w:tcPr>
          <w:p>
            <w:pPr>
              <w:spacing w:before="40" w:after="40"/>
            </w:pPr>
            <w:r>
              <w:rPr>
                <w:color w:val="4a4a4a"/>
                <w:sz w:val="19"/>
              </w:rPr>
              <w:t>NAC</w:t>
            </w:r>
          </w:p>
        </w:tc>
      </w:tr>
      <w:tr>
        <w:tc>
          <w:tcPr>
            <w:tcW w:w="1600" w:type="dxa"/>
          </w:tcPr>
          <w:p>
            <w:pPr>
              <w:spacing w:before="40" w:after="40"/>
            </w:pPr>
            <w:r>
              <w:rPr>
                <w:color w:val="4a4a4a"/>
                <w:sz w:val="19"/>
              </w:rPr>
              <w:t>T+6 hours (overnight)</w:t>
            </w:r>
          </w:p>
        </w:tc>
        <w:tc>
          <w:tcPr>
            <w:tcW w:w="3600" w:type="dxa"/>
          </w:tcPr>
          <w:p>
            <w:pPr>
              <w:spacing w:before="40" w:after="40"/>
            </w:pPr>
            <w:r>
              <w:rPr>
                <w:color w:val="4a4a4a"/>
                <w:sz w:val="19"/>
              </w:rPr>
              <w:t>Same as above for complaints filed between 2200 and 0600 local time</w:t>
            </w:r>
          </w:p>
        </w:tc>
        <w:tc>
          <w:tcPr>
            <w:tcW w:w="2800" w:type="dxa"/>
          </w:tcPr>
          <w:p>
            <w:pPr>
              <w:spacing w:before="40" w:after="40"/>
            </w:pPr>
            <w:r>
              <w:rPr>
                <w:color w:val="4a4a4a"/>
                <w:sz w:val="19"/>
              </w:rPr>
              <w:t>NAC</w:t>
            </w:r>
          </w:p>
        </w:tc>
      </w:tr>
      <w:tr>
        <w:tc>
          <w:tcPr>
            <w:tcW w:w="1600" w:type="dxa"/>
          </w:tcPr>
          <w:p>
            <w:pPr>
              <w:spacing w:before="40" w:after="40"/>
            </w:pPr>
            <w:r>
              <w:rPr>
                <w:color w:val="4a4a4a"/>
                <w:sz w:val="19"/>
              </w:rPr>
              <w:t>T+4 hours</w:t>
            </w:r>
          </w:p>
        </w:tc>
        <w:tc>
          <w:tcPr>
            <w:tcW w:w="3600" w:type="dxa"/>
          </w:tcPr>
          <w:p>
            <w:pPr>
              <w:spacing w:before="40" w:after="40"/>
            </w:pPr>
            <w:r>
              <w:rPr>
                <w:color w:val="4a4a4a"/>
                <w:sz w:val="19"/>
              </w:rPr>
              <w:t>IRGC facility commander confirms receipt of NAC order and reports compliance or raises documented safety concern</w:t>
            </w:r>
          </w:p>
        </w:tc>
        <w:tc>
          <w:tcPr>
            <w:tcW w:w="2800" w:type="dxa"/>
          </w:tcPr>
          <w:p>
            <w:pPr>
              <w:spacing w:before="40" w:after="40"/>
            </w:pPr>
            <w:r>
              <w:rPr>
                <w:color w:val="4a4a4a"/>
                <w:sz w:val="19"/>
              </w:rPr>
              <w:t>IRGC facility commander</w:t>
            </w:r>
          </w:p>
        </w:tc>
      </w:tr>
      <w:tr>
        <w:tc>
          <w:tcPr>
            <w:tcW w:w="1600" w:type="dxa"/>
          </w:tcPr>
          <w:p>
            <w:pPr>
              <w:spacing w:before="40" w:after="40"/>
            </w:pPr>
            <w:r>
              <w:rPr>
                <w:color w:val="4a4a4a"/>
                <w:sz w:val="19"/>
              </w:rPr>
              <w:t>T+12 hours</w:t>
            </w:r>
          </w:p>
        </w:tc>
        <w:tc>
          <w:tcPr>
            <w:tcW w:w="3600" w:type="dxa"/>
          </w:tcPr>
          <w:p>
            <w:pPr>
              <w:spacing w:before="40" w:after="40"/>
            </w:pPr>
            <w:r>
              <w:rPr>
                <w:color w:val="4a4a4a"/>
                <w:sz w:val="19"/>
              </w:rPr>
              <w:t>If access not resolved, NAC escalates to PCC with full incident report</w:t>
            </w:r>
          </w:p>
        </w:tc>
        <w:tc>
          <w:tcPr>
            <w:tcW w:w="2800" w:type="dxa"/>
          </w:tcPr>
          <w:p>
            <w:pPr>
              <w:spacing w:before="40" w:after="40"/>
            </w:pPr>
            <w:r>
              <w:rPr>
                <w:color w:val="4a4a4a"/>
                <w:sz w:val="19"/>
              </w:rPr>
              <w:t>NAC (mandatory)</w:t>
            </w:r>
          </w:p>
        </w:tc>
      </w:tr>
      <w:tr>
        <w:tc>
          <w:tcPr>
            <w:tcW w:w="1600" w:type="dxa"/>
          </w:tcPr>
          <w:p>
            <w:pPr>
              <w:spacing w:before="40" w:after="40"/>
            </w:pPr>
            <w:r>
              <w:rPr>
                <w:color w:val="4a4a4a"/>
                <w:sz w:val="19"/>
              </w:rPr>
              <w:t>T+12 hours</w:t>
            </w:r>
          </w:p>
        </w:tc>
        <w:tc>
          <w:tcPr>
            <w:tcW w:w="3600" w:type="dxa"/>
          </w:tcPr>
          <w:p>
            <w:pPr>
              <w:spacing w:before="40" w:after="40"/>
            </w:pPr>
            <w:r>
              <w:rPr>
                <w:color w:val="4a4a4a"/>
                <w:sz w:val="19"/>
              </w:rPr>
              <w:t>PCC convenes emergency consultation; contacts Iranian government and IRGC central command</w:t>
            </w:r>
          </w:p>
        </w:tc>
        <w:tc>
          <w:tcPr>
            <w:tcW w:w="2800" w:type="dxa"/>
          </w:tcPr>
          <w:p>
            <w:pPr>
              <w:spacing w:before="40" w:after="40"/>
            </w:pPr>
            <w:r>
              <w:rPr>
                <w:color w:val="4a4a4a"/>
                <w:sz w:val="19"/>
              </w:rPr>
              <w:t>PCC Secretariat</w:t>
            </w:r>
          </w:p>
        </w:tc>
      </w:tr>
      <w:tr>
        <w:tc>
          <w:tcPr>
            <w:tcW w:w="1600" w:type="dxa"/>
          </w:tcPr>
          <w:p>
            <w:pPr>
              <w:spacing w:before="40" w:after="40"/>
            </w:pPr>
            <w:r>
              <w:rPr>
                <w:color w:val="4a4a4a"/>
                <w:sz w:val="19"/>
              </w:rPr>
              <w:t>T+24 hours</w:t>
            </w:r>
          </w:p>
        </w:tc>
        <w:tc>
          <w:tcPr>
            <w:tcW w:w="3600" w:type="dxa"/>
          </w:tcPr>
          <w:p>
            <w:pPr>
              <w:spacing w:before="40" w:after="40"/>
            </w:pPr>
            <w:r>
              <w:rPr>
                <w:color w:val="4a4a4a"/>
                <w:sz w:val="19"/>
              </w:rPr>
              <w:t>If still unresolved, IAEA certifies access denial; expedited consequences under Article 6 activate</w:t>
            </w:r>
          </w:p>
        </w:tc>
        <w:tc>
          <w:tcPr>
            <w:tcW w:w="2800" w:type="dxa"/>
          </w:tcPr>
          <w:p>
            <w:pPr>
              <w:spacing w:before="40" w:after="40"/>
            </w:pPr>
            <w:r>
              <w:rPr>
                <w:color w:val="4a4a4a"/>
                <w:sz w:val="19"/>
              </w:rPr>
              <w:t>IAEA Director General</w:t>
            </w:r>
          </w:p>
        </w:tc>
      </w:tr>
    </w:tbl>
    <w:p>
      <w:pPr>
        <w:spacing w:before="60" w:after="120"/>
      </w:pPr>
      <w:r>
        <w:rPr>
          <w:sz w:val="21"/>
        </w:rPr>
        <w:t>NAC Hotline: The NAC maintains a dedicated, secure communication line staffed 24/7. Contact details are provided to all IAEA inspection teams, the PCC Secretariat, and guarantor states. The IAEA tests the hotline monthly; Iran confirms operational status within 24 hours of any test.</w:t>
      </w:r>
    </w:p>
    <w:p>
      <w:pPr>
        <w:pStyle w:val="Heading2"/>
      </w:pPr>
      <w:r>
        <w:t>3.3 Replacement of NAC</w:t>
      </w:r>
    </w:p>
    <w:p>
      <w:pPr>
        <w:spacing w:before="60" w:after="120"/>
      </w:pPr>
      <w:r>
        <w:rPr>
          <w:sz w:val="21"/>
        </w:rPr>
        <w:t>Iran replaces the NAC at any time by providing forty-eight (48) hours' written notice to the IAEA Director General and PCC Secretariat. The notice includes the name and qualifications of the replacement, who meets all criteria specified in Article 3.1.</w:t>
      </w:r>
    </w:p>
    <w:p>
      <w:pPr>
        <w:spacing w:before="60" w:after="120"/>
      </w:pPr>
      <w:r>
        <w:rPr>
          <w:sz w:val="21"/>
        </w:rPr>
        <w:t>During any transition period between NACs, the outgoing NAC remains available for consultation. Iran designates an interim NAC within 12 hours of a vacancy to ensure continuous coverage.</w:t>
      </w:r>
    </w:p>
    <w:p>
      <w:pPr>
        <w:spacing w:before="60" w:after="120"/>
      </w:pPr>
      <w:r>
        <w:rPr>
          <w:sz w:val="21"/>
        </w:rPr>
        <w:t>The IAEA requests the replacement of the NAC if it determines, by written assessment to the PCC, that the NAC has failed to perform the functions of the office on three or more occasions within a 90-day period. The PCC reviews the request within 72 hours and recommends replacement to Iran. Iran is not bound by the PCC recommendation but provides a written response within 48 hours.</w:t>
      </w:r>
    </w:p>
    <w:p>
      <w:r>
        <w:br w:type="page"/>
      </w:r>
    </w:p>
    <w:p>
      <w:pPr>
        <w:pStyle w:val="Heading1"/>
      </w:pPr>
      <w:r>
        <w:t>ARTICLE 4: IRGC DENIAL EQUALS IRANIAN DENIAL</w:t>
      </w:r>
    </w:p>
    <w:p>
      <w:pPr>
        <w:spacing w:before="60" w:after="120"/>
      </w:pPr>
      <w:r>
        <w:rPr>
          <w:sz w:val="21"/>
        </w:rPr>
        <w:t>For purposes of Annex O, Article 6.2 (Consequences of Access Denial), any denial, delay, or restriction imposed by IRGC personnel at a declared nuclear facility constitutes denial by Iran. Iran is prohibited from asserting any defense seeking to distance the national government from IRGC actions.</w:t>
      </w:r>
    </w:p>
    <w:p>
      <w:pPr>
        <w:pStyle w:val="Heading2"/>
      </w:pPr>
      <w:r>
        <w:t>4.1 Attribution Standard</w:t>
      </w:r>
    </w:p>
    <w:p>
      <w:pPr>
        <w:spacing w:before="60" w:after="120"/>
      </w:pPr>
      <w:r>
        <w:rPr>
          <w:sz w:val="21"/>
        </w:rPr>
        <w:t>An access denial is attributable to the IRGC, and therefore to Iran, if any of the following conditions are met:</w:t>
      </w:r>
    </w:p>
    <w:p>
      <w:pPr>
        <w:numPr>
          <w:ilvl w:val="0"/>
          <w:numId w:val="2"/>
        </w:numPr>
        <w:spacing w:before="20" w:after="40"/>
      </w:pPr>
      <w:r>
        <w:rPr>
          <w:sz w:val="21"/>
        </w:rPr>
        <w:t>IRGC personnel physically blocked, restrained, or turned away IAEA inspectors;</w:t>
      </w:r>
    </w:p>
    <w:p>
      <w:pPr>
        <w:numPr>
          <w:ilvl w:val="0"/>
          <w:numId w:val="2"/>
        </w:numPr>
        <w:spacing w:before="20" w:after="40"/>
      </w:pPr>
      <w:r>
        <w:rPr>
          <w:sz w:val="21"/>
        </w:rPr>
        <w:t>IRGC personnel refused to recognize IAEA inspector credentials or authorization;</w:t>
      </w:r>
    </w:p>
    <w:p>
      <w:pPr>
        <w:numPr>
          <w:ilvl w:val="0"/>
          <w:numId w:val="2"/>
        </w:numPr>
        <w:spacing w:before="20" w:after="40"/>
      </w:pPr>
      <w:r>
        <w:rPr>
          <w:sz w:val="21"/>
        </w:rPr>
        <w:t>An IRGC commander issued an order denying or delaying IAEA access;</w:t>
      </w:r>
    </w:p>
    <w:p>
      <w:pPr>
        <w:numPr>
          <w:ilvl w:val="0"/>
          <w:numId w:val="2"/>
        </w:numPr>
        <w:spacing w:before="20" w:after="40"/>
      </w:pPr>
      <w:r>
        <w:rPr>
          <w:sz w:val="21"/>
        </w:rPr>
        <w:t>IRGC-controlled checkpoints refused entry to IAEA inspectors or equipment;</w:t>
      </w:r>
    </w:p>
    <w:p>
      <w:pPr>
        <w:numPr>
          <w:ilvl w:val="0"/>
          <w:numId w:val="2"/>
        </w:numPr>
        <w:spacing w:before="20" w:after="40"/>
      </w:pPr>
      <w:r>
        <w:rPr>
          <w:sz w:val="21"/>
        </w:rPr>
        <w:t>IRGC personnel interfered with IAEA remote sensing operations (drone jamming, sensor disablement, signal spoofing);</w:t>
      </w:r>
    </w:p>
    <w:p>
      <w:pPr>
        <w:numPr>
          <w:ilvl w:val="0"/>
          <w:numId w:val="2"/>
        </w:numPr>
        <w:spacing w:before="20" w:after="40"/>
      </w:pPr>
      <w:r>
        <w:rPr>
          <w:sz w:val="21"/>
        </w:rPr>
        <w:t>IRGC personnel threatened or intimidated IAEA inspectors.</w:t>
      </w:r>
    </w:p>
    <w:p>
      <w:pPr>
        <w:pStyle w:val="Heading2"/>
      </w:pPr>
      <w:r>
        <w:t>4.2 Prohibited Defenses</w:t>
      </w:r>
    </w:p>
    <w:p>
      <w:pPr>
        <w:spacing w:before="60" w:after="120"/>
      </w:pPr>
      <w:r>
        <w:rPr>
          <w:sz w:val="21"/>
        </w:rPr>
        <w:t>Iran is prohibited from asserting, and the PCC and any arbitral panel reject, the following defenses to an IRGC-led access denial:</w:t>
      </w:r>
    </w:p>
    <w:p>
      <w:pPr>
        <w:numPr>
          <w:ilvl w:val="0"/>
          <w:numId w:val="2"/>
        </w:numPr>
        <w:spacing w:before="20" w:after="40"/>
      </w:pPr>
      <w:r>
        <w:rPr>
          <w:sz w:val="21"/>
        </w:rPr>
        <w:t>"The IRGC acted independently of the national government";</w:t>
      </w:r>
    </w:p>
    <w:p>
      <w:pPr>
        <w:numPr>
          <w:ilvl w:val="0"/>
          <w:numId w:val="2"/>
        </w:numPr>
        <w:spacing w:before="20" w:after="40"/>
      </w:pPr>
      <w:r>
        <w:rPr>
          <w:sz w:val="21"/>
        </w:rPr>
        <w:t>"The AEOI lacked authority over the IRGC at that facility";</w:t>
      </w:r>
    </w:p>
    <w:p>
      <w:pPr>
        <w:numPr>
          <w:ilvl w:val="0"/>
          <w:numId w:val="2"/>
        </w:numPr>
        <w:spacing w:before="20" w:after="40"/>
      </w:pPr>
      <w:r>
        <w:rPr>
          <w:sz w:val="21"/>
        </w:rPr>
        <w:t>"The government is negotiating with the IRGC to resolve the issue";</w:t>
      </w:r>
    </w:p>
    <w:p>
      <w:pPr>
        <w:numPr>
          <w:ilvl w:val="0"/>
          <w:numId w:val="2"/>
        </w:numPr>
        <w:spacing w:before="20" w:after="40"/>
      </w:pPr>
      <w:r>
        <w:rPr>
          <w:sz w:val="21"/>
        </w:rPr>
        <w:t>"The IRGC has its own chain of command";</w:t>
      </w:r>
    </w:p>
    <w:p>
      <w:pPr>
        <w:numPr>
          <w:ilvl w:val="0"/>
          <w:numId w:val="2"/>
        </w:numPr>
        <w:spacing w:before="20" w:after="40"/>
      </w:pPr>
      <w:r>
        <w:rPr>
          <w:sz w:val="21"/>
        </w:rPr>
        <w:t>"The access denial was an isolated act by a local commander";</w:t>
      </w:r>
    </w:p>
    <w:p>
      <w:pPr>
        <w:numPr>
          <w:ilvl w:val="0"/>
          <w:numId w:val="2"/>
        </w:numPr>
        <w:spacing w:before="20" w:after="40"/>
      </w:pPr>
      <w:r>
        <w:rPr>
          <w:sz w:val="21"/>
        </w:rPr>
        <w:t>"The government was not informed of the denial in time to respond";</w:t>
      </w:r>
    </w:p>
    <w:p>
      <w:pPr>
        <w:numPr>
          <w:ilvl w:val="0"/>
          <w:numId w:val="2"/>
        </w:numPr>
        <w:spacing w:before="20" w:after="40"/>
      </w:pPr>
      <w:r>
        <w:rPr>
          <w:sz w:val="21"/>
        </w:rPr>
        <w:t>Any other argument seeking to characterize the IRGC as an independent actor not subject to Iranian government authority.</w:t>
      </w:r>
    </w:p>
    <w:p>
      <w:pPr>
        <w:pStyle w:val="Heading2"/>
      </w:pPr>
      <w:r>
        <w:t>4.3 Irrelevance of Internal Process</w:t>
      </w:r>
    </w:p>
    <w:p>
      <w:pPr>
        <w:spacing w:before="60" w:after="120"/>
      </w:pPr>
      <w:r>
        <w:rPr>
          <w:sz w:val="21"/>
        </w:rPr>
        <w:t>How Iran organizes its internal governance, including the relationship between the Presidency, SNSC, AEOI, and IRGC, is a matter of Iranian domestic law. The structure of Iran's government does not affect Iran's international obligations under this Annex. The sole question in any compliance assessment is whether IAEA inspectors were granted the access to which they are entitled under Annex O. If access was denied by IRGC personnel, Iran has failed to meet its obligation, regardless of internal chain-of-command structures.</w:t>
      </w:r>
    </w:p>
    <w:p>
      <w:pPr>
        <w:pStyle w:val="Heading2"/>
      </w:pPr>
      <w:r>
        <w:t>4.4 Tier Classification for IRGC-Led Denials</w:t>
      </w:r>
    </w:p>
    <w:p>
      <w:pPr>
        <w:spacing w:before="60" w:after="120"/>
      </w:pPr>
      <w:r>
        <w:rPr>
          <w:sz w:val="21"/>
        </w:rPr>
        <w:t>An IRGC-led access denial that persists beyond 24 hours constitutes a Tier 2 material disruption under MOU Article 7.3. An IRGC-led denial that persists beyond 72 hours automatically escalates to Tier 3. See Article 6 for the complete expedited consequences timeline.</w:t>
      </w:r>
    </w:p>
    <w:p>
      <w:r>
        <w:br w:type="page"/>
      </w:r>
    </w:p>
    <w:p>
      <w:pPr>
        <w:pStyle w:val="Heading1"/>
      </w:pPr>
      <w:r>
        <w:t>ARTICLE 5: GUARANTOR STATE VERIFICATION VIA NATIONAL TECHNICAL MEANS</w:t>
      </w:r>
    </w:p>
    <w:p>
      <w:pPr>
        <w:pStyle w:val="Heading2"/>
      </w:pPr>
      <w:r>
        <w:t>5.1 NTM Collection and Sharing</w:t>
      </w:r>
    </w:p>
    <w:p>
      <w:pPr>
        <w:spacing w:before="60" w:after="120"/>
      </w:pPr>
      <w:r>
        <w:rPr>
          <w:sz w:val="21"/>
        </w:rPr>
        <w:t>Guarantor states independently verify whether an access denial was IRGC-led using their national technical means (NTM). NTM data is shared with the IAEA, PCC, or other guarantor states at the discretion of the collecting state.</w:t>
      </w:r>
    </w:p>
    <w:p>
      <w:pPr>
        <w:spacing w:before="60" w:after="120"/>
      </w:pPr>
      <w:r>
        <w:rPr>
          <w:sz w:val="21"/>
        </w:rPr>
        <w:t>A finding by three or more guarantor states that an access denial was IRGC-led creates a presumption to that effect in any PCC or PCA proceeding, rebuttable only by clear and convincing evidence from Iran.</w:t>
      </w:r>
    </w:p>
    <w:p>
      <w:pPr>
        <w:spacing w:before="60" w:after="120"/>
      </w:pPr>
      <w:r>
        <w:rPr>
          <w:sz w:val="21"/>
        </w:rPr>
        <w:t>The right of guarantor states to collect and use NTM data is established under Annex O, Article 5.3 (National Technical Means Saving Clause). All provisions of that clause apply to NTM activities under this Annex.</w:t>
      </w:r>
    </w:p>
    <w:p>
      <w:pPr>
        <w:pStyle w:val="Heading2"/>
      </w:pPr>
      <w:r>
        <w:t>5.2 Permitted NTM Applications for IRGC Verification</w:t>
      </w:r>
    </w:p>
    <w:tbl>
      <w:tblPr>
        <w:tblW w:w="5000" w:type="pct"/>
        <w:tblBorders>
          <w:top w:val="single" w:color="1E3A5F" w:sz="8"/>
          <w:left w:val="nil"/>
          <w:bottom w:val="single" w:color="1E3A5F" w:sz="8"/>
          <w:right w:val="nil"/>
          <w:insideH w:val="single" w:color="CCCCCC" w:sz="4"/>
          <w:insideV w:val="nil"/>
        </w:tblBorders>
      </w:tblPr>
      <w:tblGrid>
        <w:gridCol w:w="1800"/>
        <w:gridCol w:w="3000"/>
        <w:gridCol w:w="3200"/>
      </w:tblGrid>
      <w:tr>
        <w:trPr>
          <w:tblHeader/>
        </w:trPr>
        <w:tc>
          <w:tcPr>
            <w:tcW w:w="1800" w:type="dxa"/>
            <w:shd w:val="clear" w:fill="E8EDF2"/>
          </w:tcPr>
          <w:p>
            <w:pPr>
              <w:spacing w:before="40" w:after="40"/>
            </w:pPr>
            <w:r>
              <w:rPr>
                <w:b/>
                <w:color w:val="1a1a1a"/>
                <w:sz w:val="19"/>
              </w:rPr>
              <w:t>NTM Source</w:t>
            </w:r>
          </w:p>
        </w:tc>
        <w:tc>
          <w:tcPr>
            <w:tcW w:w="3000" w:type="dxa"/>
            <w:shd w:val="clear" w:fill="E8EDF2"/>
          </w:tcPr>
          <w:p>
            <w:pPr>
              <w:spacing w:before="40" w:after="40"/>
            </w:pPr>
            <w:r>
              <w:rPr>
                <w:b/>
                <w:color w:val="1a1a1a"/>
                <w:sz w:val="19"/>
              </w:rPr>
              <w:t>What It Verifies</w:t>
            </w:r>
          </w:p>
        </w:tc>
        <w:tc>
          <w:tcPr>
            <w:tcW w:w="3200" w:type="dxa"/>
            <w:shd w:val="clear" w:fill="E8EDF2"/>
          </w:tcPr>
          <w:p>
            <w:pPr>
              <w:spacing w:before="40" w:after="40"/>
            </w:pPr>
            <w:r>
              <w:rPr>
                <w:b/>
                <w:color w:val="1a1a1a"/>
                <w:sz w:val="19"/>
              </w:rPr>
              <w:t>Limitations and Considerations</w:t>
            </w:r>
          </w:p>
        </w:tc>
      </w:tr>
      <w:tr>
        <w:tc>
          <w:tcPr>
            <w:tcW w:w="1800" w:type="dxa"/>
          </w:tcPr>
          <w:p>
            <w:pPr>
              <w:spacing w:before="40" w:after="40"/>
            </w:pPr>
            <w:r>
              <w:rPr>
                <w:color w:val="4a4a4a"/>
                <w:sz w:val="19"/>
              </w:rPr>
              <w:t>Satellite Imagery (EO/SAR)</w:t>
            </w:r>
          </w:p>
        </w:tc>
        <w:tc>
          <w:tcPr>
            <w:tcW w:w="3000" w:type="dxa"/>
          </w:tcPr>
          <w:p>
            <w:pPr>
              <w:spacing w:before="40" w:after="40"/>
            </w:pPr>
            <w:r>
              <w:rPr>
                <w:color w:val="4a4a4a"/>
                <w:sz w:val="19"/>
              </w:rPr>
              <w:t>Presence of IRGC vehicles or personnel at facility access points; movement patterns; blockades at checkpoints</w:t>
            </w:r>
          </w:p>
        </w:tc>
        <w:tc>
          <w:tcPr>
            <w:tcW w:w="3200" w:type="dxa"/>
          </w:tcPr>
          <w:p>
            <w:pPr>
              <w:spacing w:before="40" w:after="40"/>
            </w:pPr>
            <w:r>
              <w:rPr>
                <w:color w:val="4a4a4a"/>
                <w:sz w:val="19"/>
              </w:rPr>
              <w:t>Weather dependent for EO; limited ability to identify individual personnel; does not capture real-time denial event</w:t>
            </w:r>
          </w:p>
        </w:tc>
      </w:tr>
      <w:tr>
        <w:tc>
          <w:tcPr>
            <w:tcW w:w="1800" w:type="dxa"/>
          </w:tcPr>
          <w:p>
            <w:pPr>
              <w:spacing w:before="40" w:after="40"/>
            </w:pPr>
            <w:r>
              <w:rPr>
                <w:color w:val="4a4a4a"/>
                <w:sz w:val="19"/>
              </w:rPr>
              <w:t>Signals Intelligence (SIGINT)</w:t>
            </w:r>
          </w:p>
        </w:tc>
        <w:tc>
          <w:tcPr>
            <w:tcW w:w="3000" w:type="dxa"/>
          </w:tcPr>
          <w:p>
            <w:pPr>
              <w:spacing w:before="40" w:after="40"/>
            </w:pPr>
            <w:r>
              <w:rPr>
                <w:color w:val="4a4a4a"/>
                <w:sz w:val="19"/>
              </w:rPr>
              <w:t>IRGC communications preceding or following access denial; command-level intercepts; orders to facility personnel</w:t>
            </w:r>
          </w:p>
        </w:tc>
        <w:tc>
          <w:tcPr>
            <w:tcW w:w="3200" w:type="dxa"/>
          </w:tcPr>
          <w:p>
            <w:pPr>
              <w:spacing w:before="40" w:after="40"/>
            </w:pPr>
            <w:r>
              <w:rPr>
                <w:color w:val="4a4a4a"/>
                <w:sz w:val="19"/>
              </w:rPr>
              <w:t>Subject to classification by collecting state; chain of custody for signals encryption limits access</w:t>
            </w:r>
          </w:p>
        </w:tc>
      </w:tr>
      <w:tr>
        <w:tc>
          <w:tcPr>
            <w:tcW w:w="1800" w:type="dxa"/>
          </w:tcPr>
          <w:p>
            <w:pPr>
              <w:spacing w:before="40" w:after="40"/>
            </w:pPr>
            <w:r>
              <w:rPr>
                <w:color w:val="4a4a4a"/>
                <w:sz w:val="19"/>
              </w:rPr>
              <w:t>Human Intelligence (HUMINT)</w:t>
            </w:r>
          </w:p>
        </w:tc>
        <w:tc>
          <w:tcPr>
            <w:tcW w:w="3000" w:type="dxa"/>
          </w:tcPr>
          <w:p>
            <w:pPr>
              <w:spacing w:before="40" w:after="40"/>
            </w:pPr>
            <w:r>
              <w:rPr>
                <w:color w:val="4a4a4a"/>
                <w:sz w:val="19"/>
              </w:rPr>
              <w:t>Direct observation of IRGC personnel denying access; verbal orders; on-site reporting from sources</w:t>
            </w:r>
          </w:p>
        </w:tc>
        <w:tc>
          <w:tcPr>
            <w:tcW w:w="3200" w:type="dxa"/>
          </w:tcPr>
          <w:p>
            <w:pPr>
              <w:spacing w:before="40" w:after="40"/>
            </w:pPr>
            <w:r>
              <w:rPr>
                <w:color w:val="4a4a4a"/>
                <w:sz w:val="19"/>
              </w:rPr>
              <w:t>Source protection considerations; reliability assessment required; is not shareable without compromising sources</w:t>
            </w:r>
          </w:p>
        </w:tc>
      </w:tr>
      <w:tr>
        <w:tc>
          <w:tcPr>
            <w:tcW w:w="1800" w:type="dxa"/>
          </w:tcPr>
          <w:p>
            <w:pPr>
              <w:spacing w:before="40" w:after="40"/>
            </w:pPr>
            <w:r>
              <w:rPr>
                <w:color w:val="4a4a4a"/>
                <w:sz w:val="19"/>
              </w:rPr>
              <w:t>Open-Source Intelligence (OSINT)</w:t>
            </w:r>
          </w:p>
        </w:tc>
        <w:tc>
          <w:tcPr>
            <w:tcW w:w="3000" w:type="dxa"/>
          </w:tcPr>
          <w:p>
            <w:pPr>
              <w:spacing w:before="40" w:after="40"/>
            </w:pPr>
            <w:r>
              <w:rPr>
                <w:color w:val="4a4a4a"/>
                <w:sz w:val="19"/>
              </w:rPr>
              <w:t>Social media posts by IRGC personnel; public statements; facility worker reports</w:t>
            </w:r>
          </w:p>
        </w:tc>
        <w:tc>
          <w:tcPr>
            <w:tcW w:w="3200" w:type="dxa"/>
          </w:tcPr>
          <w:p>
            <w:pPr>
              <w:spacing w:before="40" w:after="40"/>
            </w:pPr>
            <w:r>
              <w:rPr>
                <w:color w:val="4a4a4a"/>
                <w:sz w:val="19"/>
              </w:rPr>
              <w:t>Verification of authenticity required; carries risk of being planted or manipulated; corroboration needed</w:t>
            </w:r>
          </w:p>
        </w:tc>
      </w:tr>
    </w:tbl>
    <w:p>
      <w:pPr>
        <w:pStyle w:val="Heading2"/>
      </w:pPr>
      <w:r>
        <w:t>5.3 Sharing and Discretion</w:t>
      </w:r>
    </w:p>
    <w:p>
      <w:pPr>
        <w:spacing w:before="60" w:after="120"/>
      </w:pPr>
      <w:r>
        <w:rPr>
          <w:sz w:val="21"/>
        </w:rPr>
        <w:t>NTM data collected by a guarantor state is the property of that state. Sharing with the IAEA, PCC, or other guarantor states is at the sole discretion of the collecting state. No Party demands disclosure of NTM data from a guarantor state. If NTM data is shared, the collecting state imposes classification and handling requirements, including restrictions on further dissemination.</w:t>
      </w:r>
    </w:p>
    <w:p>
      <w:pPr>
        <w:pStyle w:val="Heading2"/>
      </w:pPr>
      <w:r>
        <w:t>5.4 Presumption of IRGC-Led Denial</w:t>
      </w:r>
    </w:p>
    <w:p>
      <w:pPr>
        <w:spacing w:before="60" w:after="120"/>
      </w:pPr>
      <w:r>
        <w:rPr>
          <w:sz w:val="21"/>
        </w:rPr>
        <w:t>If three or more guarantor states independently determine, based on their NTM, that an access denial was IRGC-led, this creates a rebuttable presumption in any PCC or PCA proceeding. Iran rebuts this presumption only by presenting clear and convincing evidence that:</w:t>
      </w:r>
    </w:p>
    <w:p>
      <w:pPr>
        <w:numPr>
          <w:ilvl w:val="0"/>
          <w:numId w:val="2"/>
        </w:numPr>
        <w:spacing w:before="20" w:after="40"/>
      </w:pPr>
      <w:r>
        <w:rPr>
          <w:sz w:val="21"/>
        </w:rPr>
        <w:t>The denial was not made by IRGC personnel, or</w:t>
      </w:r>
    </w:p>
    <w:p>
      <w:pPr>
        <w:numPr>
          <w:ilvl w:val="0"/>
          <w:numId w:val="2"/>
        </w:numPr>
        <w:spacing w:before="20" w:after="40"/>
      </w:pPr>
      <w:r>
        <w:rPr>
          <w:sz w:val="21"/>
        </w:rPr>
        <w:t>The denial was justified by a verified radiation safety or structural stability concern certified by the NAC, or</w:t>
      </w:r>
    </w:p>
    <w:p>
      <w:pPr>
        <w:numPr>
          <w:ilvl w:val="0"/>
          <w:numId w:val="2"/>
        </w:numPr>
        <w:spacing w:before="20" w:after="40"/>
      </w:pPr>
      <w:r>
        <w:rPr>
          <w:sz w:val="21"/>
        </w:rPr>
        <w:t>The denial was made in error by non-IRGC personnel and was corrected within 12 hours of discovery.</w:t>
      </w:r>
    </w:p>
    <w:p>
      <w:pPr>
        <w:spacing w:before="60" w:after="120"/>
      </w:pPr>
      <w:r>
        <w:rPr>
          <w:sz w:val="21"/>
        </w:rPr>
        <w:t>The burden of rebuttal rests entirely on Iran. The standard of proof is "clear and convincing evidence," which is higher than the preponderance standard but lower than beyond reasonable doubt.</w:t>
      </w:r>
    </w:p>
    <w:p>
      <w:r>
        <w:br w:type="page"/>
      </w:r>
    </w:p>
    <w:p>
      <w:pPr>
        <w:pStyle w:val="Heading1"/>
      </w:pPr>
      <w:r>
        <w:t>ARTICLE 6: EXPEDITED CONSEQUENCES FOR IRGC-LED DENIALS</w:t>
      </w:r>
    </w:p>
    <w:p>
      <w:pPr>
        <w:pStyle w:val="Heading2"/>
      </w:pPr>
      <w:r>
        <w:t>6.1 Accelerated Timeline</w:t>
      </w:r>
    </w:p>
    <w:p>
      <w:pPr>
        <w:spacing w:before="60" w:after="120"/>
      </w:pPr>
      <w:r>
        <w:rPr>
          <w:sz w:val="21"/>
        </w:rPr>
        <w:t>IRGC-led access denials trigger accelerated breach consequences. The 7-day pre-arbitration consultation period established in Annex O, Article 6.1-A does not apply to denials determined to be IRGC-led. Instead, the following expedited timeline applies.</w:t>
      </w:r>
    </w:p>
    <w:p>
      <w:pPr>
        <w:pStyle w:val="Heading2"/>
      </w:pPr>
      <w:r>
        <w:t>6.2 Tier Classification</w:t>
      </w:r>
    </w:p>
    <w:p>
      <w:pPr>
        <w:spacing w:before="60" w:after="120"/>
      </w:pPr>
      <w:r>
        <w:rPr>
          <w:sz w:val="21"/>
        </w:rPr>
        <w:t>Each 24-hour period of IRGC-led denial, commencing 24 hours after the initial access request, constitutes one Tier 2 material disruption. After 72 hours, the breach automatically escalates to Tier 3.</w:t>
      </w:r>
    </w:p>
    <w:tbl>
      <w:tblPr>
        <w:tblW w:w="5000" w:type="pct"/>
        <w:tblBorders>
          <w:top w:val="single" w:color="1E3A5F" w:sz="8"/>
          <w:left w:val="nil"/>
          <w:bottom w:val="single" w:color="1E3A5F" w:sz="8"/>
          <w:right w:val="nil"/>
          <w:insideH w:val="single" w:color="CCCCCC" w:sz="4"/>
          <w:insideV w:val="nil"/>
        </w:tblBorders>
      </w:tblPr>
      <w:tblGrid>
        <w:gridCol w:w="1600"/>
        <w:gridCol w:w="3400"/>
        <w:gridCol w:w="3000"/>
      </w:tblGrid>
      <w:tr>
        <w:trPr>
          <w:tblHeader/>
        </w:trPr>
        <w:tc>
          <w:tcPr>
            <w:tcW w:w="1600" w:type="dxa"/>
            <w:shd w:val="clear" w:fill="E8EDF2"/>
          </w:tcPr>
          <w:p>
            <w:pPr>
              <w:spacing w:before="40" w:after="40"/>
            </w:pPr>
            <w:r>
              <w:rPr>
                <w:b/>
                <w:color w:val="1a1a1a"/>
                <w:sz w:val="19"/>
              </w:rPr>
              <w:t>Time Period</w:t>
            </w:r>
          </w:p>
        </w:tc>
        <w:tc>
          <w:tcPr>
            <w:tcW w:w="3400" w:type="dxa"/>
            <w:shd w:val="clear" w:fill="E8EDF2"/>
          </w:tcPr>
          <w:p>
            <w:pPr>
              <w:spacing w:before="40" w:after="40"/>
            </w:pPr>
            <w:r>
              <w:rPr>
                <w:b/>
                <w:color w:val="1a1a1a"/>
                <w:sz w:val="19"/>
              </w:rPr>
              <w:t>Action</w:t>
            </w:r>
          </w:p>
        </w:tc>
        <w:tc>
          <w:tcPr>
            <w:tcW w:w="3000" w:type="dxa"/>
            <w:shd w:val="clear" w:fill="E8EDF2"/>
          </w:tcPr>
          <w:p>
            <w:pPr>
              <w:spacing w:before="40" w:after="40"/>
            </w:pPr>
            <w:r>
              <w:rPr>
                <w:b/>
                <w:color w:val="1a1a1a"/>
                <w:sz w:val="19"/>
              </w:rPr>
              <w:t>Consequence</w:t>
            </w:r>
          </w:p>
        </w:tc>
      </w:tr>
      <w:tr>
        <w:tc>
          <w:tcPr>
            <w:tcW w:w="1600" w:type="dxa"/>
          </w:tcPr>
          <w:p>
            <w:pPr>
              <w:spacing w:before="40" w:after="40"/>
            </w:pPr>
            <w:r>
              <w:rPr>
                <w:color w:val="4a4a4a"/>
                <w:sz w:val="19"/>
              </w:rPr>
              <w:t>0-2 hours</w:t>
            </w:r>
          </w:p>
        </w:tc>
        <w:tc>
          <w:tcPr>
            <w:tcW w:w="3400" w:type="dxa"/>
          </w:tcPr>
          <w:p>
            <w:pPr>
              <w:spacing w:before="40" w:after="40"/>
            </w:pPr>
            <w:r>
              <w:rPr>
                <w:color w:val="4a4a4a"/>
                <w:sz w:val="19"/>
              </w:rPr>
              <w:t>IAEA inspector contacts NAC; NAC acknowledges and begins resolution</w:t>
            </w:r>
          </w:p>
        </w:tc>
        <w:tc>
          <w:tcPr>
            <w:tcW w:w="3000" w:type="dxa"/>
          </w:tcPr>
          <w:p>
            <w:pPr>
              <w:spacing w:before="40" w:after="40"/>
            </w:pPr>
            <w:r>
              <w:rPr>
                <w:color w:val="4a4a4a"/>
                <w:sz w:val="19"/>
              </w:rPr>
              <w:t>NAC has 2 hours to resolve the issue through binding order to IRGC commander</w:t>
            </w:r>
          </w:p>
        </w:tc>
      </w:tr>
      <w:tr>
        <w:tc>
          <w:tcPr>
            <w:tcW w:w="1600" w:type="dxa"/>
          </w:tcPr>
          <w:p>
            <w:pPr>
              <w:spacing w:before="40" w:after="40"/>
            </w:pPr>
            <w:r>
              <w:rPr>
                <w:color w:val="4a4a4a"/>
                <w:sz w:val="19"/>
              </w:rPr>
              <w:t>2-12 hours</w:t>
            </w:r>
          </w:p>
        </w:tc>
        <w:tc>
          <w:tcPr>
            <w:tcW w:w="3400" w:type="dxa"/>
          </w:tcPr>
          <w:p>
            <w:pPr>
              <w:spacing w:before="40" w:after="40"/>
            </w:pPr>
            <w:r>
              <w:rPr>
                <w:color w:val="4a4a4a"/>
                <w:sz w:val="19"/>
              </w:rPr>
              <w:t>If unresolved, IAEA notifies PCC; PCC contacts NAC and IRGC central command</w:t>
            </w:r>
          </w:p>
        </w:tc>
        <w:tc>
          <w:tcPr>
            <w:tcW w:w="3000" w:type="dxa"/>
          </w:tcPr>
          <w:p>
            <w:pPr>
              <w:spacing w:before="40" w:after="40"/>
            </w:pPr>
            <w:r>
              <w:rPr>
                <w:color w:val="4a4a4a"/>
                <w:sz w:val="19"/>
              </w:rPr>
              <w:t>PCC emergency consultation activated; NAC and Iranian government put on formal notice</w:t>
            </w:r>
          </w:p>
        </w:tc>
      </w:tr>
      <w:tr>
        <w:tc>
          <w:tcPr>
            <w:tcW w:w="1600" w:type="dxa"/>
          </w:tcPr>
          <w:p>
            <w:pPr>
              <w:spacing w:before="40" w:after="40"/>
            </w:pPr>
            <w:r>
              <w:rPr>
                <w:color w:val="4a4a4a"/>
                <w:sz w:val="19"/>
              </w:rPr>
              <w:t>12-24 hours</w:t>
            </w:r>
          </w:p>
        </w:tc>
        <w:tc>
          <w:tcPr>
            <w:tcW w:w="3400" w:type="dxa"/>
          </w:tcPr>
          <w:p>
            <w:pPr>
              <w:spacing w:before="40" w:after="40"/>
            </w:pPr>
            <w:r>
              <w:rPr>
                <w:color w:val="4a4a4a"/>
                <w:sz w:val="19"/>
              </w:rPr>
              <w:t>If still unresolved, IAEA certifies access denial to PCC with full documentation</w:t>
            </w:r>
          </w:p>
        </w:tc>
        <w:tc>
          <w:tcPr>
            <w:tcW w:w="3000" w:type="dxa"/>
          </w:tcPr>
          <w:p>
            <w:pPr>
              <w:spacing w:before="40" w:after="40"/>
            </w:pPr>
            <w:r>
              <w:rPr>
                <w:color w:val="4a4a4a"/>
                <w:sz w:val="19"/>
              </w:rPr>
              <w:t>7-day pre-arbitration consultation period under Annex O, Article 6.1-A is waived for IRGC-led denials</w:t>
            </w:r>
          </w:p>
        </w:tc>
      </w:tr>
      <w:tr>
        <w:tc>
          <w:tcPr>
            <w:tcW w:w="1600" w:type="dxa"/>
          </w:tcPr>
          <w:p>
            <w:pPr>
              <w:spacing w:before="40" w:after="40"/>
            </w:pPr>
            <w:r>
              <w:rPr>
                <w:color w:val="4a4a4a"/>
                <w:sz w:val="19"/>
              </w:rPr>
              <w:t>24+ hours</w:t>
            </w:r>
          </w:p>
        </w:tc>
        <w:tc>
          <w:tcPr>
            <w:tcW w:w="3400" w:type="dxa"/>
          </w:tcPr>
          <w:p>
            <w:pPr>
              <w:spacing w:before="40" w:after="40"/>
            </w:pPr>
            <w:r>
              <w:rPr>
                <w:color w:val="4a4a4a"/>
                <w:sz w:val="19"/>
              </w:rPr>
              <w:t>Each 24-hour period of continued IRGC-led denial</w:t>
            </w:r>
          </w:p>
        </w:tc>
        <w:tc>
          <w:tcPr>
            <w:tcW w:w="3000" w:type="dxa"/>
          </w:tcPr>
          <w:p>
            <w:pPr>
              <w:spacing w:before="40" w:after="40"/>
            </w:pPr>
            <w:r>
              <w:rPr>
                <w:color w:val="4a4a4a"/>
                <w:sz w:val="19"/>
              </w:rPr>
              <w:t>Each period constitutes one (1) Tier 2 material disruption under MOU Article 7.3</w:t>
            </w:r>
          </w:p>
        </w:tc>
      </w:tr>
      <w:tr>
        <w:tc>
          <w:tcPr>
            <w:tcW w:w="1600" w:type="dxa"/>
          </w:tcPr>
          <w:p>
            <w:pPr>
              <w:spacing w:before="40" w:after="40"/>
            </w:pPr>
            <w:r>
              <w:rPr>
                <w:color w:val="4a4a4a"/>
                <w:sz w:val="19"/>
              </w:rPr>
              <w:t>72+ hours</w:t>
            </w:r>
          </w:p>
        </w:tc>
        <w:tc>
          <w:tcPr>
            <w:tcW w:w="3400" w:type="dxa"/>
          </w:tcPr>
          <w:p>
            <w:pPr>
              <w:spacing w:before="40" w:after="40"/>
            </w:pPr>
            <w:r>
              <w:rPr>
                <w:color w:val="4a4a4a"/>
                <w:sz w:val="19"/>
              </w:rPr>
              <w:t>Automatic escalation after 72 hours of continuous denial</w:t>
            </w:r>
          </w:p>
        </w:tc>
        <w:tc>
          <w:tcPr>
            <w:tcW w:w="3000" w:type="dxa"/>
          </w:tcPr>
          <w:p>
            <w:pPr>
              <w:spacing w:before="40" w:after="40"/>
            </w:pPr>
            <w:r>
              <w:rPr>
                <w:color w:val="4a4a4a"/>
                <w:sz w:val="19"/>
              </w:rPr>
              <w:t>Escalates to Tier 3 automatically; no separate PCC vote required for escalation</w:t>
            </w:r>
          </w:p>
        </w:tc>
      </w:tr>
    </w:tbl>
    <w:p>
      <w:pPr>
        <w:pStyle w:val="Heading2"/>
      </w:pPr>
      <w:r>
        <w:t>6.3 Tier 3 Downgrade Exception</w:t>
      </w:r>
    </w:p>
    <w:p>
      <w:pPr>
        <w:spacing w:before="60" w:after="120"/>
      </w:pPr>
      <w:r>
        <w:rPr>
          <w:sz w:val="21"/>
        </w:rPr>
        <w:t>The PCC votes to downgrade a Tier 3 IRGC-led denial back to Tier 2 by a two-thirds majority vote, but only if Iran demonstrates credible, documented good-faith resolution efforts, including: the NAC issued binding orders to the IRGC; senior Iranian officials (Presidency or SNSC level) intervened directly with IRGC leadership; and concrete steps were taken to resolve the denial within 72 hours. The downgrade does not erase the Tier 2 breaches accrued during the denial period.</w:t>
      </w:r>
    </w:p>
    <w:p>
      <w:pPr>
        <w:pStyle w:val="Heading2"/>
      </w:pPr>
      <w:r>
        <w:t>6.4 Expedited Arbitration</w:t>
      </w:r>
    </w:p>
    <w:p>
      <w:pPr>
        <w:spacing w:before="60" w:after="120"/>
      </w:pPr>
      <w:r>
        <w:rPr>
          <w:sz w:val="21"/>
        </w:rPr>
        <w:t>PCA arbitration for IRGC-led denials begins within forty-eight (48) hours of the first Tier 2 breach certification, unless Iran demonstrates that the denial has been fully resolved (IAEA inspectors granted access and verification completed) before the 48-hour deadline.</w:t>
      </w:r>
    </w:p>
    <w:p>
      <w:pPr>
        <w:pStyle w:val="Heading2"/>
      </w:pPr>
      <w:r>
        <w:t>6.5 Guarantor State Proportional Consequences</w:t>
      </w:r>
    </w:p>
    <w:p>
      <w:pPr>
        <w:spacing w:before="60" w:after="120"/>
      </w:pPr>
      <w:r>
        <w:rPr>
          <w:sz w:val="21"/>
        </w:rPr>
        <w:t>Guarantor states impose proportional consequences under MOU Article 9 without awaiting PCC or PCA determination, provided they report such actions to the PCC within 24 hours. Permitted proportional consequences include: suspension of economic benefits; travel restrictions on designated IRGC officials; financial sanctions on IRGC-linked entities; and other measures consistent with the guarantor state's domestic law.</w:t>
      </w:r>
    </w:p>
    <w:p>
      <w:pPr>
        <w:pStyle w:val="Heading2"/>
      </w:pPr>
      <w:r>
        <w:t>6.6 Automatic Escalation Note</w:t>
      </w:r>
    </w:p>
    <w:p>
      <w:pPr>
        <w:spacing w:before="60" w:after="120"/>
      </w:pPr>
      <w:r>
        <w:rPr>
          <w:sz w:val="21"/>
        </w:rPr>
        <w:t>The automatic Tier 3 escalation at 72 hours is a structural feature of this Annex, not a punitive measure. It reflects the principle that IRGC control of nuclear facility access is a known risk that Iran has accepted responsibility for managing. A 72-hour failure to resolve an IRGC-led denial indicates a systemic compliance failure by Iran, not an isolated incident.</w:t>
      </w:r>
    </w:p>
    <w:p>
      <w:r>
        <w:br w:type="page"/>
      </w:r>
    </w:p>
    <w:p>
      <w:pPr>
        <w:pStyle w:val="Heading1"/>
      </w:pPr>
      <w:r>
        <w:t>ARTICLE 7: DISPUTE RESOLUTION</w:t>
      </w:r>
    </w:p>
    <w:p>
      <w:pPr>
        <w:spacing w:before="60" w:after="120"/>
      </w:pPr>
      <w:r>
        <w:rPr>
          <w:sz w:val="21"/>
        </w:rPr>
        <w:t>Disputes under this Annex resolve through the dispute resolution mechanisms established in Annex O, Article 6, with the modifications specified herein.</w:t>
      </w:r>
    </w:p>
    <w:p>
      <w:pPr>
        <w:spacing w:before="60" w:after="120"/>
      </w:pPr>
      <w:r>
        <w:rPr>
          <w:sz w:val="21"/>
        </w:rPr>
        <w:t>For IRGC-led access denials, the pre-arbitration consultation period is waived and the expedited timeline in Article 6 applies. For all other disputes under this Annex, the standard 7-day consultation period applies.</w:t>
      </w:r>
    </w:p>
    <w:p>
      <w:pPr>
        <w:pStyle w:val="Heading2"/>
      </w:pPr>
      <w:r>
        <w:t>7.1 Disputes Subject to This Article</w:t>
      </w:r>
    </w:p>
    <w:p>
      <w:pPr>
        <w:spacing w:before="60" w:after="120"/>
      </w:pPr>
      <w:r>
        <w:rPr>
          <w:sz w:val="21"/>
        </w:rPr>
        <w:t>Disputes include, but are not limited to:</w:t>
      </w:r>
    </w:p>
    <w:p>
      <w:pPr>
        <w:numPr>
          <w:ilvl w:val="0"/>
          <w:numId w:val="2"/>
        </w:numPr>
        <w:spacing w:before="20" w:after="40"/>
      </w:pPr>
      <w:r>
        <w:rPr>
          <w:sz w:val="21"/>
        </w:rPr>
        <w:t>Whether an access denial was IRGC-led or attributable to another cause;</w:t>
      </w:r>
    </w:p>
    <w:p>
      <w:pPr>
        <w:numPr>
          <w:ilvl w:val="0"/>
          <w:numId w:val="2"/>
        </w:numPr>
        <w:spacing w:before="20" w:after="40"/>
      </w:pPr>
      <w:r>
        <w:rPr>
          <w:sz w:val="21"/>
        </w:rPr>
        <w:t>Whether the NAC has the requisite authority or is performing adequately;</w:t>
      </w:r>
    </w:p>
    <w:p>
      <w:pPr>
        <w:numPr>
          <w:ilvl w:val="0"/>
          <w:numId w:val="2"/>
        </w:numPr>
        <w:spacing w:before="20" w:after="40"/>
      </w:pPr>
      <w:r>
        <w:rPr>
          <w:sz w:val="21"/>
        </w:rPr>
        <w:t>Whether Iran has issued the required binding directives to the IRGC;</w:t>
      </w:r>
    </w:p>
    <w:p>
      <w:pPr>
        <w:numPr>
          <w:ilvl w:val="0"/>
          <w:numId w:val="2"/>
        </w:numPr>
        <w:spacing w:before="20" w:after="40"/>
      </w:pPr>
      <w:r>
        <w:rPr>
          <w:sz w:val="21"/>
        </w:rPr>
        <w:t>Disputes over the interpretation or weight of NTM evidence;</w:t>
      </w:r>
    </w:p>
    <w:p>
      <w:pPr>
        <w:numPr>
          <w:ilvl w:val="0"/>
          <w:numId w:val="2"/>
        </w:numPr>
        <w:spacing w:before="20" w:after="40"/>
      </w:pPr>
      <w:r>
        <w:rPr>
          <w:sz w:val="21"/>
        </w:rPr>
        <w:t>Whether the IRGC-controlled facilities list under Article 1 is complete and accurate;</w:t>
      </w:r>
    </w:p>
    <w:p>
      <w:pPr>
        <w:numPr>
          <w:ilvl w:val="0"/>
          <w:numId w:val="2"/>
        </w:numPr>
        <w:spacing w:before="20" w:after="40"/>
      </w:pPr>
      <w:r>
        <w:rPr>
          <w:sz w:val="21"/>
        </w:rPr>
        <w:t>Whether the expedited consequences timeline was properly applied;</w:t>
      </w:r>
    </w:p>
    <w:p>
      <w:pPr>
        <w:numPr>
          <w:ilvl w:val="0"/>
          <w:numId w:val="2"/>
        </w:numPr>
        <w:spacing w:before="20" w:after="40"/>
      </w:pPr>
      <w:r>
        <w:rPr>
          <w:sz w:val="21"/>
        </w:rPr>
        <w:t>Any other matter preventing IAEA access due to IRGC actions or inactions.</w:t>
      </w:r>
    </w:p>
    <w:p>
      <w:pPr>
        <w:pStyle w:val="Heading2"/>
      </w:pPr>
      <w:r>
        <w:t>7.2 Expedited Timeline for IRGC-Led Denial Disputes</w:t>
      </w:r>
    </w:p>
    <w:p>
      <w:pPr>
        <w:numPr>
          <w:ilvl w:val="0"/>
          <w:numId w:val="2"/>
        </w:numPr>
        <w:spacing w:before="20" w:after="40"/>
      </w:pPr>
      <w:r>
        <w:rPr>
          <w:sz w:val="21"/>
        </w:rPr>
        <w:t>PCA ruling: Within five (5) days of filing (not seven days);</w:t>
      </w:r>
    </w:p>
    <w:p>
      <w:pPr>
        <w:numPr>
          <w:ilvl w:val="0"/>
          <w:numId w:val="2"/>
        </w:numPr>
        <w:spacing w:before="20" w:after="40"/>
      </w:pPr>
      <w:r>
        <w:rPr>
          <w:sz w:val="21"/>
        </w:rPr>
        <w:t>Provisional measures: The panel orders mandatory access within forty-eight (48) hours of filing, including specific orders directed to IRGC commanders;</w:t>
      </w:r>
    </w:p>
    <w:p>
      <w:pPr>
        <w:numPr>
          <w:ilvl w:val="0"/>
          <w:numId w:val="2"/>
        </w:numPr>
        <w:spacing w:before="20" w:after="40"/>
      </w:pPr>
      <w:r>
        <w:rPr>
          <w:sz w:val="21"/>
        </w:rPr>
        <w:t>No 7-day consultation period: The standard pre-arbitration consultation is waived per Article 6;</w:t>
      </w:r>
    </w:p>
    <w:p>
      <w:pPr>
        <w:numPr>
          <w:ilvl w:val="0"/>
          <w:numId w:val="2"/>
        </w:numPr>
        <w:spacing w:before="20" w:after="40"/>
      </w:pPr>
      <w:r>
        <w:rPr>
          <w:sz w:val="21"/>
        </w:rPr>
        <w:t>NTM evidence admissible: NTM-derived evidence submitted by guarantor states is admissible in proceedings under this Article, subject to the collecting state's consent to disclosure.</w:t>
      </w:r>
    </w:p>
    <w:p>
      <w:pPr>
        <w:pStyle w:val="Heading2"/>
      </w:pPr>
      <w:r>
        <w:t>7.3 Standard Timeline for Non-IRGC Disputes</w:t>
      </w:r>
    </w:p>
    <w:p>
      <w:pPr>
        <w:spacing w:before="60" w:after="120"/>
      </w:pPr>
      <w:r>
        <w:rPr>
          <w:sz w:val="21"/>
        </w:rPr>
        <w:t>For disputes under this Annex that do not involve IRGC-led denials (e.g., NAC authority disputes, facility list completeness), the standard 7-day pre-arbitration consultation period under Annex O, Article 6.1-A applies. PCA ruling issues within seven (7) days of filing. All other Annex O, Article 6 provisions apply without modification.</w:t>
      </w:r>
    </w:p>
    <w:p>
      <w:pPr>
        <w:pStyle w:val="Heading2"/>
      </w:pPr>
      <w:r>
        <w:t>7.4 Cross-Reference</w:t>
      </w:r>
    </w:p>
    <w:p>
      <w:pPr>
        <w:spacing w:before="60" w:after="120"/>
      </w:pPr>
      <w:r>
        <w:rPr>
          <w:sz w:val="21"/>
        </w:rPr>
        <w:t>All provisions of Annex O, Article 6 regarding PCA panel composition (three members), seat (The Hague), language (English), provisional measures, binding effect, and burden of justification apply to disputes under this Annex, except as explicitly modified above.</w:t>
      </w:r>
    </w:p>
    <w:p>
      <w:r>
        <w:br w:type="page"/>
      </w:r>
    </w:p>
    <w:p>
      <w:pPr>
        <w:pStyle w:val="Heading1"/>
      </w:pPr>
      <w:r>
        <w:t>ARTICLE 8: RELATIONSHIP TO ANNEX O AND PARENT FRAMEWORK</w:t>
      </w:r>
    </w:p>
    <w:p>
      <w:pPr>
        <w:spacing w:before="60" w:after="120"/>
      </w:pPr>
      <w:r>
        <w:rPr>
          <w:sz w:val="21"/>
        </w:rPr>
        <w:t>Annex O access rights, damage assessment protocols, remote sensing procedures, data ownership provisions, personnel protections, and arbitration mechanisms remain in full force and apply to all activities under this Annex unless explicitly modified herein.</w:t>
      </w:r>
    </w:p>
    <w:p>
      <w:pPr>
        <w:spacing w:before="60" w:after="120"/>
      </w:pPr>
      <w:r>
        <w:rPr>
          <w:sz w:val="21"/>
        </w:rPr>
        <w:t>Where this Annex and Annex O conflict on the treatment of access denials involving the IRGC, this Annex governs. Specifically, this Annex supersedes Annex O on: the expedited consequences timeline (Article 6); the attribution of IRGC actions to Iran (Article 4); the role of the NAC (Article 3); and the use of NTM evidence (Article 5).</w:t>
      </w:r>
    </w:p>
    <w:p>
      <w:pPr>
        <w:spacing w:before="60" w:after="120"/>
      </w:pPr>
      <w:r>
        <w:rPr>
          <w:sz w:val="21"/>
        </w:rPr>
        <w:t>All other provisions of Annex O and the parent framework remain unaffected by this Annex.</w:t>
      </w:r>
    </w:p>
    <w:p>
      <w:pPr>
        <w:pStyle w:val="Heading2"/>
      </w:pPr>
      <w:r>
        <w:t>8.1 Hierarchy of Governing Provisions for IRGC-Related Issues</w:t>
      </w:r>
    </w:p>
    <w:tbl>
      <w:tblPr>
        <w:tblW w:w="5000" w:type="pct"/>
        <w:tblBorders>
          <w:top w:val="single" w:color="1E3A5F" w:sz="8"/>
          <w:left w:val="nil"/>
          <w:bottom w:val="single" w:color="1E3A5F" w:sz="8"/>
          <w:right w:val="nil"/>
          <w:insideH w:val="single" w:color="CCCCCC" w:sz="4"/>
          <w:insideV w:val="nil"/>
        </w:tblBorders>
      </w:tblPr>
      <w:tblGrid>
        <w:gridCol w:w="2400"/>
        <w:gridCol w:w="2400"/>
        <w:gridCol w:w="2400"/>
        <w:gridCol w:w="2400"/>
      </w:tblGrid>
      <w:tr>
        <w:trPr>
          <w:tblHeader/>
        </w:trPr>
        <w:tc>
          <w:tcPr>
            <w:tcW w:w="2400" w:type="dxa"/>
            <w:shd w:val="clear" w:fill="E8EDF2"/>
          </w:tcPr>
          <w:p>
            <w:pPr>
              <w:spacing w:before="40" w:after="40"/>
            </w:pPr>
            <w:r>
              <w:rPr>
                <w:b/>
                <w:color w:val="1a1a1a"/>
                <w:sz w:val="19"/>
              </w:rPr>
              <w:t>Issue</w:t>
            </w:r>
          </w:p>
        </w:tc>
        <w:tc>
          <w:tcPr>
            <w:tcW w:w="2400" w:type="dxa"/>
            <w:shd w:val="clear" w:fill="E8EDF2"/>
          </w:tcPr>
          <w:p>
            <w:pPr>
              <w:spacing w:before="40" w:after="40"/>
            </w:pPr>
            <w:r>
              <w:rPr>
                <w:b/>
                <w:color w:val="1a1a1a"/>
                <w:sz w:val="19"/>
              </w:rPr>
              <w:t>Primary Governing Provision</w:t>
            </w:r>
          </w:p>
        </w:tc>
        <w:tc>
          <w:tcPr>
            <w:tcW w:w="2400" w:type="dxa"/>
            <w:shd w:val="clear" w:fill="E8EDF2"/>
          </w:tcPr>
          <w:p>
            <w:pPr>
              <w:spacing w:before="40" w:after="40"/>
            </w:pPr>
            <w:r>
              <w:rPr>
                <w:b/>
                <w:color w:val="1a1a1a"/>
                <w:sz w:val="19"/>
              </w:rPr>
              <w:t>Secondary Reference</w:t>
            </w:r>
          </w:p>
        </w:tc>
        <w:tc>
          <w:tcPr>
            <w:tcW w:w="2400" w:type="dxa"/>
            <w:shd w:val="clear" w:fill="E8EDF2"/>
          </w:tcPr>
          <w:p>
            <w:pPr>
              <w:spacing w:before="40" w:after="40"/>
            </w:pPr>
            <w:r>
              <w:rPr>
                <w:b/>
                <w:color w:val="1a1a1a"/>
                <w:sz w:val="19"/>
              </w:rPr>
              <w:t>Tertiary Reference</w:t>
            </w:r>
          </w:p>
        </w:tc>
      </w:tr>
      <w:tr>
        <w:tc>
          <w:tcPr>
            <w:tcW w:w="2400" w:type="dxa"/>
          </w:tcPr>
          <w:p>
            <w:pPr>
              <w:spacing w:before="40" w:after="40"/>
            </w:pPr>
            <w:r>
              <w:rPr>
                <w:color w:val="4a4a4a"/>
                <w:sz w:val="19"/>
              </w:rPr>
              <w:t>IRGC attribution to Iran</w:t>
            </w:r>
          </w:p>
        </w:tc>
        <w:tc>
          <w:tcPr>
            <w:tcW w:w="2400" w:type="dxa"/>
          </w:tcPr>
          <w:p>
            <w:pPr>
              <w:spacing w:before="40" w:after="40"/>
            </w:pPr>
            <w:r>
              <w:rPr>
                <w:color w:val="4a4a4a"/>
                <w:sz w:val="19"/>
              </w:rPr>
              <w:t>This Annex, Article 4</w:t>
            </w:r>
          </w:p>
        </w:tc>
        <w:tc>
          <w:tcPr>
            <w:tcW w:w="2400" w:type="dxa"/>
          </w:tcPr>
          <w:p>
            <w:pPr>
              <w:spacing w:before="40" w:after="40"/>
            </w:pPr>
            <w:r>
              <w:rPr>
                <w:color w:val="4a4a4a"/>
                <w:sz w:val="19"/>
              </w:rPr>
              <w:t>Annex O, Article 6.2</w:t>
            </w:r>
          </w:p>
        </w:tc>
        <w:tc>
          <w:tcPr>
            <w:tcW w:w="2400" w:type="dxa"/>
          </w:tcPr>
          <w:p>
            <w:pPr>
              <w:spacing w:before="40" w:after="40"/>
            </w:pPr>
            <w:r>
              <w:rPr>
                <w:color w:val="4a4a4a"/>
                <w:sz w:val="19"/>
              </w:rPr>
              <w:t>MOU Article 7.3 (tiers)</w:t>
            </w:r>
          </w:p>
        </w:tc>
      </w:tr>
      <w:tr>
        <w:tc>
          <w:tcPr>
            <w:tcW w:w="2400" w:type="dxa"/>
          </w:tcPr>
          <w:p>
            <w:pPr>
              <w:spacing w:before="40" w:after="40"/>
            </w:pPr>
            <w:r>
              <w:rPr>
                <w:color w:val="4a4a4a"/>
                <w:sz w:val="19"/>
              </w:rPr>
              <w:t>Expedited consequences</w:t>
            </w:r>
          </w:p>
        </w:tc>
        <w:tc>
          <w:tcPr>
            <w:tcW w:w="2400" w:type="dxa"/>
          </w:tcPr>
          <w:p>
            <w:pPr>
              <w:spacing w:before="40" w:after="40"/>
            </w:pPr>
            <w:r>
              <w:rPr>
                <w:color w:val="4a4a4a"/>
                <w:sz w:val="19"/>
              </w:rPr>
              <w:t>This Annex, Article 6</w:t>
            </w:r>
          </w:p>
        </w:tc>
        <w:tc>
          <w:tcPr>
            <w:tcW w:w="2400" w:type="dxa"/>
          </w:tcPr>
          <w:p>
            <w:pPr>
              <w:spacing w:before="40" w:after="40"/>
            </w:pPr>
            <w:r>
              <w:rPr>
                <w:color w:val="4a4a4a"/>
                <w:sz w:val="19"/>
              </w:rPr>
              <w:t>Annex O, Article 6.1-A</w:t>
            </w:r>
          </w:p>
        </w:tc>
        <w:tc>
          <w:tcPr>
            <w:tcW w:w="2400" w:type="dxa"/>
          </w:tcPr>
          <w:p>
            <w:pPr>
              <w:spacing w:before="40" w:after="40"/>
            </w:pPr>
            <w:r>
              <w:rPr>
                <w:color w:val="4a4a4a"/>
                <w:sz w:val="19"/>
              </w:rPr>
              <w:t>MOU Article 7.3 (tiers)</w:t>
            </w:r>
          </w:p>
        </w:tc>
      </w:tr>
      <w:tr>
        <w:tc>
          <w:tcPr>
            <w:tcW w:w="2400" w:type="dxa"/>
          </w:tcPr>
          <w:p>
            <w:pPr>
              <w:spacing w:before="40" w:after="40"/>
            </w:pPr>
            <w:r>
              <w:rPr>
                <w:color w:val="4a4a4a"/>
                <w:sz w:val="19"/>
              </w:rPr>
              <w:t>NAC authority and role</w:t>
            </w:r>
          </w:p>
        </w:tc>
        <w:tc>
          <w:tcPr>
            <w:tcW w:w="2400" w:type="dxa"/>
          </w:tcPr>
          <w:p>
            <w:pPr>
              <w:spacing w:before="40" w:after="40"/>
            </w:pPr>
            <w:r>
              <w:rPr>
                <w:color w:val="4a4a4a"/>
                <w:sz w:val="19"/>
              </w:rPr>
              <w:t>This Annex, Article 3</w:t>
            </w:r>
          </w:p>
        </w:tc>
        <w:tc>
          <w:tcPr>
            <w:tcW w:w="2400" w:type="dxa"/>
          </w:tcPr>
          <w:p>
            <w:pPr>
              <w:spacing w:before="40" w:after="40"/>
            </w:pPr>
            <w:r>
              <w:rPr>
                <w:color w:val="4a4a4a"/>
                <w:sz w:val="19"/>
              </w:rPr>
              <w:t>Annex O, Article 1.4</w:t>
            </w:r>
          </w:p>
        </w:tc>
        <w:tc>
          <w:tcPr>
            <w:tcW w:w="2400" w:type="dxa"/>
          </w:tcPr>
          <w:p>
            <w:pPr>
              <w:spacing w:before="40" w:after="40"/>
            </w:pPr>
            <w:r>
              <w:rPr>
                <w:color w:val="4a4a4a"/>
                <w:sz w:val="19"/>
              </w:rPr>
              <w:t>This Annex, Article 2.1</w:t>
            </w:r>
          </w:p>
        </w:tc>
      </w:tr>
      <w:tr>
        <w:tc>
          <w:tcPr>
            <w:tcW w:w="2400" w:type="dxa"/>
          </w:tcPr>
          <w:p>
            <w:pPr>
              <w:spacing w:before="40" w:after="40"/>
            </w:pPr>
            <w:r>
              <w:rPr>
                <w:color w:val="4a4a4a"/>
                <w:sz w:val="19"/>
              </w:rPr>
              <w:t>NTM evidence</w:t>
            </w:r>
          </w:p>
        </w:tc>
        <w:tc>
          <w:tcPr>
            <w:tcW w:w="2400" w:type="dxa"/>
          </w:tcPr>
          <w:p>
            <w:pPr>
              <w:spacing w:before="40" w:after="40"/>
            </w:pPr>
            <w:r>
              <w:rPr>
                <w:color w:val="4a4a4a"/>
                <w:sz w:val="19"/>
              </w:rPr>
              <w:t>This Annex, Article 5</w:t>
            </w:r>
          </w:p>
        </w:tc>
        <w:tc>
          <w:tcPr>
            <w:tcW w:w="2400" w:type="dxa"/>
          </w:tcPr>
          <w:p>
            <w:pPr>
              <w:spacing w:before="40" w:after="40"/>
            </w:pPr>
            <w:r>
              <w:rPr>
                <w:color w:val="4a4a4a"/>
                <w:sz w:val="19"/>
              </w:rPr>
              <w:t>Annex O, Article 5.3</w:t>
            </w:r>
          </w:p>
        </w:tc>
        <w:tc>
          <w:tcPr>
            <w:tcW w:w="2400" w:type="dxa"/>
          </w:tcPr>
          <w:p>
            <w:pPr>
              <w:spacing w:before="40" w:after="40"/>
            </w:pPr>
            <w:r>
              <w:rPr>
                <w:color w:val="4a4a4a"/>
                <w:sz w:val="19"/>
              </w:rPr>
              <w:t>This Annex, Article 7</w:t>
            </w:r>
          </w:p>
        </w:tc>
      </w:tr>
      <w:tr>
        <w:tc>
          <w:tcPr>
            <w:tcW w:w="2400" w:type="dxa"/>
          </w:tcPr>
          <w:p>
            <w:pPr>
              <w:spacing w:before="40" w:after="40"/>
            </w:pPr>
            <w:r>
              <w:rPr>
                <w:color w:val="4a4a4a"/>
                <w:sz w:val="19"/>
              </w:rPr>
              <w:t>Dispute resolution</w:t>
            </w:r>
          </w:p>
        </w:tc>
        <w:tc>
          <w:tcPr>
            <w:tcW w:w="2400" w:type="dxa"/>
          </w:tcPr>
          <w:p>
            <w:pPr>
              <w:spacing w:before="40" w:after="40"/>
            </w:pPr>
            <w:r>
              <w:rPr>
                <w:color w:val="4a4a4a"/>
                <w:sz w:val="19"/>
              </w:rPr>
              <w:t>This Annex, Article 7</w:t>
            </w:r>
          </w:p>
        </w:tc>
        <w:tc>
          <w:tcPr>
            <w:tcW w:w="2400" w:type="dxa"/>
          </w:tcPr>
          <w:p>
            <w:pPr>
              <w:spacing w:before="40" w:after="40"/>
            </w:pPr>
            <w:r>
              <w:rPr>
                <w:color w:val="4a4a4a"/>
                <w:sz w:val="19"/>
              </w:rPr>
              <w:t>Annex O, Article 6</w:t>
            </w:r>
          </w:p>
        </w:tc>
        <w:tc>
          <w:tcPr>
            <w:tcW w:w="2400" w:type="dxa"/>
          </w:tcPr>
          <w:p>
            <w:pPr>
              <w:spacing w:before="40" w:after="40"/>
            </w:pPr>
            <w:r>
              <w:rPr>
                <w:color w:val="4a4a4a"/>
                <w:sz w:val="19"/>
              </w:rPr>
              <w:t>MOU Article 7.3</w:t>
            </w:r>
          </w:p>
        </w:tc>
      </w:tr>
      <w:tr>
        <w:tc>
          <w:tcPr>
            <w:tcW w:w="2400" w:type="dxa"/>
          </w:tcPr>
          <w:p>
            <w:pPr>
              <w:spacing w:before="40" w:after="40"/>
            </w:pPr>
            <w:r>
              <w:rPr>
                <w:color w:val="4a4a4a"/>
                <w:sz w:val="19"/>
              </w:rPr>
              <w:t>Physical access to facilities</w:t>
            </w:r>
          </w:p>
        </w:tc>
        <w:tc>
          <w:tcPr>
            <w:tcW w:w="2400" w:type="dxa"/>
          </w:tcPr>
          <w:p>
            <w:pPr>
              <w:spacing w:before="40" w:after="40"/>
            </w:pPr>
            <w:r>
              <w:rPr>
                <w:color w:val="4a4a4a"/>
                <w:sz w:val="19"/>
              </w:rPr>
              <w:t>Annex O, Article 1</w:t>
            </w:r>
          </w:p>
        </w:tc>
        <w:tc>
          <w:tcPr>
            <w:tcW w:w="2400" w:type="dxa"/>
          </w:tcPr>
          <w:p>
            <w:pPr>
              <w:spacing w:before="40" w:after="40"/>
            </w:pPr>
            <w:r>
              <w:rPr>
                <w:color w:val="4a4a4a"/>
                <w:sz w:val="19"/>
              </w:rPr>
              <w:t>Annex O, Article 5</w:t>
            </w:r>
          </w:p>
        </w:tc>
        <w:tc>
          <w:tcPr>
            <w:tcW w:w="2400" w:type="dxa"/>
          </w:tcPr>
          <w:p>
            <w:pPr>
              <w:spacing w:before="40" w:after="40"/>
            </w:pPr>
            <w:r>
              <w:rPr>
                <w:color w:val="4a4a4a"/>
                <w:sz w:val="19"/>
              </w:rPr>
              <w:t>This Annex, Article 1.2</w:t>
            </w:r>
          </w:p>
        </w:tc>
      </w:tr>
    </w:tbl>
    <w:p>
      <w:r>
        <w:br w:type="page"/>
      </w:r>
    </w:p>
    <w:p>
      <w:pPr>
        <w:pStyle w:val="Heading1"/>
      </w:pPr>
      <w:r>
        <w:t>ARTICLE 9: INCORPORATION BY REFERENCE</w:t>
      </w:r>
    </w:p>
    <w:p>
      <w:pPr>
        <w:spacing w:before="60" w:after="120"/>
      </w:pPr>
      <w:r>
        <w:rPr>
          <w:sz w:val="21"/>
        </w:rPr>
        <w:t>This Annex Q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Q (IRGC Access Compliance Protocol) as an operative provision of this Agreement. In the event of any inconsistency, Annex Q governs with respect to access denials arising from IRGC control of nuclear facilities."</w:t>
      </w:r>
    </w:p>
    <w:p>
      <w:pPr>
        <w:spacing w:before="60" w:after="120"/>
      </w:pPr>
      <w:r>
        <w:rPr>
          <w:sz w:val="21"/>
        </w:rPr>
        <w:t>No further amendment of the parent framework is required. This Annex Q enters into force upon the later of: (a) signature by both Parties; or (b) the effective date of the parent framework into which it is incorporated.</w:t>
      </w:r>
    </w:p>
    <w:p>
      <w:pPr>
        <w:pStyle w:val="Heading2"/>
      </w:pPr>
      <w:r>
        <w:t>9.1 Relationship to Annex O Entry into Force</w:t>
      </w:r>
    </w:p>
    <w:p>
      <w:pPr>
        <w:spacing w:before="60" w:after="120"/>
      </w:pPr>
      <w:r>
        <w:rPr>
          <w:sz w:val="21"/>
        </w:rPr>
        <w:t>If Annex O (IAEA Access and Site Integrity Protocol) has already entered into force, this Annex Q enters into force upon signature by both Parties. If Annex O has not yet entered into force, this Annex Q enters into force simultaneously with Annex O.</w:t>
      </w:r>
    </w:p>
    <w:p>
      <w:pPr>
        <w:spacing w:before="60" w:after="120"/>
      </w:pPr>
      <w:r>
        <w:rPr>
          <w:sz w:val="21"/>
        </w:rPr>
        <w:t>This provision ensures that Annex Q is never operative without the underlying access and verification infrastructure that Annex O provides. Annex Q depends on Annex O for the definition of access rights, damage assessment, remote sensing, and arbitration; it cannot function as a standalone instrument.</w:t>
      </w:r>
    </w:p>
    <w:p>
      <w:pPr>
        <w:pStyle w:val="Heading1"/>
      </w:pPr>
      <w:r>
        <w:t>ARTICLE 10: PROVISIONAL APPLICATION</w:t>
      </w:r>
    </w:p>
    <w:p>
      <w:pPr>
        <w:spacing w:before="60" w:after="120"/>
      </w:pPr>
      <w:r>
        <w:rPr>
          <w:sz w:val="21"/>
        </w:rPr>
        <w:t>The Parties apply this Annex Q provisionally for a period of ninety (90) days, pending formal ratification or incorporation into a parent framework.</w:t>
      </w:r>
    </w:p>
    <w:p>
      <w:pPr>
        <w:spacing w:before="60" w:after="120"/>
      </w:pPr>
      <w:r>
        <w:rPr>
          <w:sz w:val="21"/>
        </w:rPr>
        <w:t>Provisional application is effected by an exchange of diplomatic notes between the Parties, copied to the PCC Secretariat and all guarantor states.</w:t>
      </w:r>
    </w:p>
    <w:p>
      <w:pPr>
        <w:spacing w:before="60" w:after="120"/>
      </w:pPr>
      <w:r>
        <w:rPr>
          <w:sz w:val="21"/>
        </w:rPr>
        <w:t>During provisional application, all provisions of this Annex Q are operative and binding. Iran designates the NAC and issues IRGC directives within the timelines specified in Articles 2 and 3.</w:t>
      </w:r>
    </w:p>
    <w:p>
      <w:pPr>
        <w:spacing w:before="60" w:after="120"/>
      </w:pPr>
      <w:r>
        <w:rPr>
          <w:sz w:val="21"/>
        </w:rPr>
        <w:t>Either Party terminates provisional application with fourteen (14) days' written notice to the other Party, the PCC Secretariat, and the IAEA Director General.</w:t>
      </w:r>
    </w:p>
    <w:p>
      <w:pPr>
        <w:pStyle w:val="Heading2"/>
      </w:pPr>
      <w:r>
        <w:t>10.1 Post-Termination Review</w:t>
      </w:r>
    </w:p>
    <w:p>
      <w:pPr>
        <w:spacing w:before="60" w:after="120"/>
      </w:pPr>
      <w:r>
        <w:rPr>
          <w:sz w:val="21"/>
        </w:rPr>
        <w:t>Termination of provisional application by Iran triggers immediate PCC review and simultaneous notification to all guarantor states.</w:t>
      </w:r>
    </w:p>
    <w:p>
      <w:pPr>
        <w:pStyle w:val="Heading2"/>
      </w:pPr>
      <w:r>
        <w:t>10.2 Safeguards Continuity</w:t>
      </w:r>
    </w:p>
    <w:p>
      <w:pPr>
        <w:spacing w:before="60" w:after="120"/>
      </w:pPr>
      <w:r>
        <w:rPr>
          <w:sz w:val="21"/>
        </w:rPr>
        <w:t>Termination of provisional application does not relieve either Party of obligations under the IAEA Statute or existing Safeguards Agreement. All IAEA safeguards rights and Iran's safeguards obligations continue in full force regardless of the status of this Annex.</w:t>
      </w:r>
    </w:p>
    <w:p>
      <w:pPr>
        <w:pStyle w:val="Heading1"/>
      </w:pPr>
      <w:r>
        <w:t>ARTICLE 11: DURATION AND WITHDRAWAL</w:t>
      </w:r>
    </w:p>
    <w:p>
      <w:pPr>
        <w:spacing w:before="60" w:after="120"/>
      </w:pPr>
      <w:r>
        <w:rPr>
          <w:sz w:val="21"/>
        </w:rPr>
        <w:t>This Annex Q remains in force indefinitely, unless: (a) both Parties agree in writing to terminate it; or (b) the parent framework into which it is incorporated terminates, and the Parties do not reaffirm this Annex within ninety (90) days of such termination.</w:t>
      </w:r>
    </w:p>
    <w:p>
      <w:pPr>
        <w:spacing w:before="60" w:after="120"/>
      </w:pPr>
      <w:r>
        <w:rPr>
          <w:sz w:val="21"/>
        </w:rPr>
        <w:t>Withdrawal from this Annex without withdrawal from the parent framework is not permitted. This Annex is integral to the access compliance architecture for nuclear facilities under IRGC control and does not sever unilaterally.</w:t>
      </w:r>
    </w:p>
    <w:p>
      <w:pPr>
        <w:spacing w:before="60" w:after="120"/>
      </w:pPr>
      <w:r>
        <w:rPr>
          <w:sz w:val="21"/>
        </w:rPr>
        <w:t>If the parent framework terminates and this Annex is not reaffirmed within ninety (90) days, all obligations under this Annex expire, but IAEA monitoring data collected during this Annex's operation remains the property of the IAEA and is used for safeguards purposes under the IAEA Statute and applicable safeguards agreements.</w:t>
      </w:r>
    </w:p>
    <w:p>
      <w:pPr>
        <w:pStyle w:val="Heading2"/>
      </w:pPr>
      <w:r>
        <w:t>11.1 Implementation Flexibility</w:t>
      </w:r>
    </w:p>
    <w:p>
      <w:pPr>
        <w:spacing w:before="60" w:after="120"/>
      </w:pPr>
      <w:r>
        <w:rPr>
          <w:sz w:val="21"/>
        </w:rPr>
        <w:t>The Parties recognize that IRGC organizational structures change over time. Timelines and technical requirements in this Annex adjust by mutual written agreement of the IAEA Director General and the Head of the Iranian Atomic Energy Organization (AEOI), with notification to the PCC. Unilateral extension or modification is not permitted. Any mutually agreed adjustment specifies: the revised timeline or requirement; the technical justification; the conditions for return to the original timeline; and the notification provided to the PCC.</w:t>
      </w:r>
    </w:p>
    <w:p>
      <w:pPr>
        <w:pStyle w:val="Heading2"/>
      </w:pPr>
      <w:r>
        <w:t>11.2 Guarantor Oversight of Mutual Adjustments</w:t>
      </w:r>
    </w:p>
    <w:p>
      <w:pPr>
        <w:spacing w:before="60" w:after="120"/>
      </w:pPr>
      <w:r>
        <w:rPr>
          <w:sz w:val="21"/>
        </w:rPr>
        <w:t>Any mutual agreement under Article 11.1 is also submitted to all guarantor states simultaneously with notification to the PCC. If three or more guarantor states object in writing within seven (7) calendar days of receipt, the adjustment suspends pending PCC review. The PCC reinstates the adjustment only by a two-thirds majority vote of all PCC members. The burden of demonstrating that the adjustment is technical, not political, and that it does not materially delay the parent framework's objectives rests on the Parties requesting the adjustment. This provision does not apply to day-to-day operational coordination, which requires only PCC notification.</w:t>
      </w:r>
    </w:p>
    <w:p>
      <w:pPr>
        <w:spacing w:before="60" w:after="120"/>
      </w:pPr>
      <w:r>
        <w:rPr>
          <w:sz w:val="21"/>
        </w:rPr>
        <w:t>This provision is not a general escape clause; it is a limited flexibility mechanism for genuinely unforeseen changes in IRGC organizational structure. The burden of demonstrating that circumstances are unforeseen and material rests on the Party requesting the adjustment.</w:t>
      </w:r>
    </w:p>
    <w:p>
      <w:r>
        <w:br w:type="page"/>
      </w:r>
    </w:p>
    <w:p>
      <w:pPr>
        <w:pStyle w:val="Heading1"/>
      </w:pPr>
      <w:r>
        <w:t>SIGNATURE BLOCK</w:t>
      </w:r>
    </w:p>
    <w:p>
      <w:pPr>
        <w:spacing w:before="60" w:after="120"/>
      </w:pPr>
      <w:r>
        <w:rPr>
          <w:sz w:val="21"/>
        </w:rPr>
        <w:t>In witness whereof, the undersigned, being duly authorized by their respective governments, have signed this Annex Q: IRGC Access Compliance Protocol.</w:t>
      </w:r>
    </w:p>
    <w:p>
      <w:pPr>
        <w:spacing w:before="60" w:after="120"/>
      </w:pPr>
      <w:r>
        <w:rPr>
          <w:sz w:val="21"/>
        </w:rPr>
        <w:t>Done at ____________________, this _______ day of _____________________, 2026, in triplicate in the English language.</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Witnessed by (if applicable):</w:t>
      </w:r>
    </w:p>
    <w:p>
      <w:pPr>
        <w:spacing w:before="60" w:after="120"/>
      </w:pPr>
      <w:r>
        <w:rPr>
          <w:sz w:val="21"/>
        </w:rPr>
        <w:t>Sultanate of Oman</w:t>
      </w:r>
    </w:p>
    <w:p>
      <w:pPr>
        <w:spacing w:before="60" w:after="120"/>
      </w:pPr>
      <w:r>
        <w:rPr>
          <w:sz w:val="21"/>
        </w:rPr>
        <w:t>Islamic Republic of Pakistan</w:t>
      </w:r>
    </w:p>
    <w:p>
      <w:pPr>
        <w:spacing w:before="60" w:after="120"/>
      </w:pPr>
      <w:r>
        <w:rPr>
          <w:sz w:val="21"/>
        </w:rPr>
        <w:t>Other guarantor states (specify)</w:t>
      </w:r>
    </w:p>
    <w:sectPr>
      <w:headerReference w:type="default" r:id="R58ebd40d28344d88"/>
      <w:footerReference w:type="default" r:id="R48f0f23aedd546d4"/>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Q: IRGC Access Compliance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5740ddbd0ef7498f" /><Relationship Type="http://schemas.openxmlformats.org/officeDocument/2006/relationships/numbering" Target="numbering.xml" Id="Rfe137b7ddeb94607" /><Relationship Type="http://schemas.openxmlformats.org/officeDocument/2006/relationships/header" Target="header1.xml" Id="R58ebd40d28344d88" /><Relationship Type="http://schemas.openxmlformats.org/officeDocument/2006/relationships/footer" Target="footer1.xml" Id="R48f0f23aedd546d4" /><Relationship Type="http://schemas.openxmlformats.org/officeDocument/2006/relationships/settings" Target="settings.xml" Id="R2588ffcc23934f3d" /></Relationships>
</file>