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3db5ba37f89485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32d95b7212f462a"/>
                    <a:stretch>
                      <a:fillRect/>
                    </a:stretch>
                  </pic:blipFill>
                  <pic:spPr>
                    <a:xfrm>
                      <a:off x="0" y="0"/>
                      <a:ext cx="7560000" cy="10692000"/>
                    </a:xfrm>
                    <a:prstGeom prst="rect"/>
                  </pic:spPr>
                </pic:pic>
              </a:graphicData>
            </a:graphic>
          </wp:anchor>
        </w:drawing>
      </w:r>
    </w:p>
    <w:p>
      <w:pPr>
        <w:spacing w:before="4800"/>
      </w:pPr>
      <w:r/>
    </w:p>
    <w:p>
      <w:pPr>
        <w:spacing w:after="600"/>
        <w:jc w:val="center"/>
      </w:pPr>
      <w:r>
        <w:rPr>
          <w:rFonts w:ascii="Cambria" w:hAnsi="Cambria"/>
          <w:color w:val="b8860b"/>
          <w:spacing w:val="60"/>
          <w:sz w:val="20"/>
        </w:rPr>
        <w:t>DIPLOMATIC WORKING DOCUMENT — MODULAR ANNEX</w:t>
      </w:r>
    </w:p>
    <w:p>
      <w:pPr>
        <w:spacing w:after="200"/>
        <w:jc w:val="center"/>
      </w:pPr>
      <w:r>
        <w:rPr>
          <w:rFonts w:ascii="Cambria" w:hAnsi="Cambria"/>
          <w:b/>
          <w:color w:val="e0e6ed"/>
          <w:spacing w:val="30"/>
          <w:sz w:val="72"/>
        </w:rPr>
        <w:t>Annex R.b</w:t>
      </w:r>
    </w:p>
    <w:p>
      <w:pPr>
        <w:spacing w:after="120"/>
        <w:jc w:val="center"/>
      </w:pPr>
      <w:r>
        <w:rPr>
          <w:rFonts w:ascii="Cambria" w:hAnsi="Cambria"/>
          <w:color w:val="e0e6ed"/>
          <w:spacing w:val="20"/>
          <w:sz w:val="36"/>
        </w:rPr>
        <w:t>Narrative Dispute Resolution</w:t>
      </w:r>
    </w:p>
    <w:p>
      <w:pPr>
        <w:spacing w:after="400"/>
        <w:jc w:val="center"/>
      </w:pPr>
      <w:r>
        <w:rPr>
          <w:rFonts w:ascii="Cambria" w:hAnsi="Cambria"/>
          <w:i/>
          <w:color w:val="8d99ae"/>
          <w:sz w:val="22"/>
        </w:rPr>
        <w:t>Political Process for Framing Conflicts</w:t>
      </w:r>
    </w:p>
    <w:p>
      <w:pPr>
        <w:spacing w:after="600"/>
        <w:jc w:val="center"/>
      </w:pPr>
      <w:r>
        <w:rPr>
          <w:color w:val="b8860b"/>
          <w:sz w:val="18"/>
        </w:rPr>
        <w:t>————————————————————</w:t>
      </w:r>
    </w:p>
    <w:p>
      <w:pPr>
        <w:spacing w:after="80"/>
        <w:jc w:val="center"/>
      </w:pPr>
      <w:r>
        <w:rPr>
          <w:color w:val="8d99ae"/>
          <w:spacing w:val="40"/>
          <w:sz w:val="20"/>
        </w:rPr>
        <w:t>Modular  •  Incorporable by Reference  •  No Penalties</w:t>
      </w:r>
    </w:p>
    <w:p>
      <w:pPr>
        <w:spacing w:after="2400"/>
        <w:jc w:val="center"/>
      </w:pPr>
      <w:r>
        <w:rPr>
          <w:color w:val="8d99ae"/>
          <w:sz w:val="20"/>
        </w:rPr>
        <w:t>Version 1.0  —  June 2026</w:t>
      </w:r>
    </w:p>
    <w:p>
      <w:pPr>
        <w:jc w:val="center"/>
      </w:pPr>
      <w:r>
        <w:rPr>
          <w:color w:val="b8860b"/>
          <w:sz w:val="18"/>
        </w:rPr>
        <w:t>AUTHORIZED NEGOTIATORS ONLY — CONFIDENTIAL — NOT FOR PUBLIC DISTRIBUTION</w:t>
      </w:r>
    </w:p>
    <w:p>
      <w:pPr>
        <w:sectPr>
          <w:type w:val="nextPage"/>
          <w:pgSz w:w="11906" w:h="16838"/>
          <w:pgMar w:top="0" w:right="0" w:bottom="0" w:left="0" w:header="0" w:footer="0"/>
          <w:titlePg/>
        </w:sectPr>
      </w:pPr>
    </w:p>
    <w:p>
      <w:pPr>
        <w:spacing w:before="400" w:after="200"/>
        <w:jc w:val="left"/>
      </w:pPr>
      <w:r>
        <w:rPr>
          <w:rFonts w:ascii="Cambria" w:hAnsi="Cambria"/>
          <w:b/>
          <w:color w:val="3d5a80"/>
          <w:sz w:val="32"/>
        </w:rPr>
        <w:t>Contents</w:t>
      </w:r>
    </w:p>
    <w:p>
      <w:pPr>
        <w:spacing w:after="300"/>
      </w:pPr>
      <w:r>
        <w:rPr>
          <w:i/>
          <w:color w:val="8d99a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Purpose, Background, and Process Clause</w:t>
      </w:r>
      <w:r>
        <w:tab/>
      </w:r>
      <w:r>
        <w:t>1</w:t>
      </w:r>
    </w:p>
    <w:p>
      <w:pPr>
        <w:pStyle w:val="TOC1"/>
      </w:pPr>
      <w:r>
        <w:t>Article 1: When a Narrative Dispute Arises</w:t>
      </w:r>
      <w:r>
        <w:tab/>
      </w:r>
      <w:r>
        <w:t>2</w:t>
      </w:r>
    </w:p>
    <w:p>
      <w:pPr>
        <w:pStyle w:val="TOC2"/>
      </w:pPr>
      <w:r>
        <w:t>1.1 Permitted Framing (No Dispute)</w:t>
      </w:r>
      <w:r>
        <w:tab/>
      </w:r>
      <w:r>
        <w:t>2</w:t>
      </w:r>
    </w:p>
    <w:p>
      <w:pPr>
        <w:pStyle w:val="TOC2"/>
      </w:pPr>
      <w:r>
        <w:t>1.2 Actionable Misrepresentation</w:t>
      </w:r>
      <w:r>
        <w:tab/>
      </w:r>
      <w:r>
        <w:t>2</w:t>
      </w:r>
    </w:p>
    <w:p>
      <w:pPr>
        <w:pStyle w:val="TOC1"/>
      </w:pPr>
      <w:r>
        <w:t>Article 2: Initiation and Consultation</w:t>
      </w:r>
      <w:r>
        <w:tab/>
      </w:r>
      <w:r>
        <w:t>3</w:t>
      </w:r>
    </w:p>
    <w:p>
      <w:pPr>
        <w:pStyle w:val="TOC2"/>
      </w:pPr>
      <w:r>
        <w:t>2.1 Request for Clarification</w:t>
      </w:r>
      <w:r>
        <w:tab/>
      </w:r>
      <w:r>
        <w:t>3</w:t>
      </w:r>
    </w:p>
    <w:p>
      <w:pPr>
        <w:pStyle w:val="TOC2"/>
      </w:pPr>
      <w:r>
        <w:t>2.2 Good-Faith Consultation</w:t>
      </w:r>
      <w:r>
        <w:tab/>
      </w:r>
      <w:r>
        <w:t>3</w:t>
      </w:r>
    </w:p>
    <w:p>
      <w:pPr>
        <w:pStyle w:val="TOC1"/>
      </w:pPr>
      <w:r>
        <w:t>Article 3: Facilitated Narrative Resolution</w:t>
      </w:r>
      <w:r>
        <w:tab/>
      </w:r>
      <w:r>
        <w:t>4</w:t>
      </w:r>
    </w:p>
    <w:p>
      <w:pPr>
        <w:pStyle w:val="TOC2"/>
      </w:pPr>
      <w:r>
        <w:t>3.1 Swiss Mediation</w:t>
      </w:r>
      <w:r>
        <w:tab/>
      </w:r>
      <w:r>
        <w:t>4</w:t>
      </w:r>
    </w:p>
    <w:p>
      <w:pPr>
        <w:pStyle w:val="TOC2"/>
      </w:pPr>
      <w:r>
        <w:t>3.2 Session Rules</w:t>
      </w:r>
      <w:r>
        <w:tab/>
      </w:r>
      <w:r>
        <w:t>4</w:t>
      </w:r>
    </w:p>
    <w:p>
      <w:pPr>
        <w:pStyle w:val="TOC2"/>
      </w:pPr>
      <w:r>
        <w:t>3.3 Mediator's Non-Binding Finding</w:t>
      </w:r>
      <w:r>
        <w:tab/>
      </w:r>
      <w:r>
        <w:t>5</w:t>
      </w:r>
    </w:p>
    <w:p>
      <w:pPr>
        <w:pStyle w:val="TOC1"/>
      </w:pPr>
      <w:r>
        <w:t>Article 4: Compliance with Clarifying Statement</w:t>
      </w:r>
      <w:r>
        <w:tab/>
      </w:r>
      <w:r>
        <w:t>5</w:t>
      </w:r>
    </w:p>
    <w:p>
      <w:pPr>
        <w:pStyle w:val="TOC2"/>
      </w:pPr>
      <w:r>
        <w:t>4.1 Voluntary Clarification</w:t>
      </w:r>
      <w:r>
        <w:tab/>
      </w:r>
      <w:r>
        <w:t>5</w:t>
      </w:r>
    </w:p>
    <w:p>
      <w:pPr>
        <w:pStyle w:val="TOC2"/>
      </w:pPr>
      <w:r>
        <w:t>4.2 No Penalties</w:t>
      </w:r>
      <w:r>
        <w:tab/>
      </w:r>
      <w:r>
        <w:t>5</w:t>
      </w:r>
    </w:p>
    <w:p>
      <w:pPr>
        <w:pStyle w:val="TOC2"/>
      </w:pPr>
      <w:r>
        <w:t>4.3 Pattern Referral</w:t>
      </w:r>
      <w:r>
        <w:tab/>
      </w:r>
      <w:r>
        <w:t>6</w:t>
      </w:r>
    </w:p>
    <w:p>
      <w:pPr>
        <w:pStyle w:val="TOC1"/>
      </w:pPr>
      <w:r>
        <w:t>Article 5: Relationship to Other Annexes</w:t>
      </w:r>
      <w:r>
        <w:tab/>
      </w:r>
      <w:r>
        <w:t>6</w:t>
      </w:r>
    </w:p>
    <w:p>
      <w:pPr>
        <w:pStyle w:val="TOC1"/>
      </w:pPr>
      <w:r>
        <w:t>Article 6: Incorporation by Reference</w:t>
      </w:r>
      <w:r>
        <w:tab/>
      </w:r>
      <w:r>
        <w:t>7</w:t>
      </w:r>
    </w:p>
    <w:p>
      <w:pPr>
        <w:pStyle w:val="TOC1"/>
      </w:pPr>
      <w:r>
        <w:t>Signature Block</w:t>
      </w:r>
      <w:r>
        <w:tab/>
      </w:r>
      <w:r>
        <w:t>7</w:t>
      </w:r>
    </w:p>
    <w:p>
      <w:r>
        <w:fldChar w:fldCharType="end"/>
      </w:r>
    </w:p>
    <w:p>
      <w:pPr>
        <w:sectPr>
          <w:type w:val="nextPage"/>
          <w:pgSz w:w="11906" w:h="16838"/>
          <w:pgMar w:top="1800" w:right="1440" w:bottom="1440" w:left="1440" w:header="720" w:footer="720"/>
        </w:sectPr>
      </w:pPr>
    </w:p>
    <w:p>
      <w:pPr>
        <w:pStyle w:val="Heading1"/>
      </w:pPr>
      <w:r>
        <w:t xml:space="preserve">Preamble</w:t>
      </w:r>
    </w:p>
    <w:p>
      <w:pPr>
        <w:pStyle w:val="Heading2"/>
      </w:pPr>
      <w:r>
        <w:t xml:space="preserve">Purpose</w:t>
      </w:r>
    </w:p>
    <w:p>
      <w:pPr>
        <w:ind w:firstLine="480"/>
      </w:pPr>
      <w:r>
        <w:t xml:space="preserve">The Memorandum of Understanding Pertaining to PEACE grants each Party full autonomy to describe the agreement to its domestic audience using its own terminology (MOU Article 1.7 — Domestic Framing Autonomy). Neither Party requires the other to adopt specific labels such as "concession," "surrender," or "victory."</w:t>
      </w:r>
    </w:p>
    <w:p>
      <w:pPr>
        <w:ind w:firstLine="480"/>
      </w:pPr>
      <w:r>
        <w:t xml:space="preserve">However, framing that materially misrepresents a verified technical fact — as recorded in the Shared Digital Registry (Annex U) or IAEA certification — undermines public confidence in the MOU or creates confusion about actual obligations. This Annex establishes a political, non-penal process to resolve such narrative disputes while preserving framing autonomy.</w:t>
      </w:r>
    </w:p>
    <w:p>
      <w:pPr>
        <w:ind w:firstLine="480"/>
      </w:pPr>
      <w:r>
        <w:t xml:space="preserve">All obligations execute in the active present tense. No penalties attach to any finding under this Annex. The process is political, not legal; findings are non-binding recommendations.</w:t>
      </w:r>
    </w:p>
    <w:p>
      <w:pPr>
        <w:pStyle w:val="Heading2"/>
      </w:pPr>
      <w:r>
        <w:t xml:space="preserve">Background</w:t>
      </w:r>
    </w:p>
    <w:p>
      <w:pPr>
        <w:ind w:firstLine="480"/>
      </w:pPr>
      <w:r>
        <w:t xml:space="preserve">The parent framework — the MOU Pertaining to PEACE — establishes in Article 1.7 that each Party describes this instrument to its own public in its own terminology. Neither Party requires the other to adopt a specific label. The MOU also provides in Article 1.7 that a narrative dispute-resolution process handles any framing that materially misrepresents a verified technical fact.</w:t>
      </w:r>
    </w:p>
    <w:p>
      <w:pPr>
        <w:ind w:firstLine="480"/>
      </w:pPr>
      <w:r>
        <w:t xml:space="preserve">This Annex R.b operationalizes that provision. It creates a lightweight political process — request, consultation, facilitated mediation, voluntary clarification — with no penalties and no binding rulings. The Annex constitutes a self-contained, modular instrument.</w:t>
      </w:r>
    </w:p>
    <w:p>
      <w:pPr>
        <w:pStyle w:val="Heading2"/>
      </w:pPr>
      <w:r>
        <w:t xml:space="preserve">Relationship to Parent Framework</w:t>
      </w:r>
    </w:p>
    <w:p>
      <w:pPr>
        <w:ind w:firstLine="480"/>
      </w:pPr>
      <w:r>
        <w:t xml:space="preserve">This Annex supplements MOU Article 1.7. Where this Annex provides specific procedures for narrative dispute resolution, the provisions of this Annex govern. This Annex does not limit, override, or condition any other provision of the parent framework.</w:t>
      </w:r>
    </w:p>
    <w:p>
      <w:pPr>
        <w:pStyle w:val="Heading2"/>
      </w:pPr>
      <w:r>
        <w:t xml:space="preserve">Process Clause</w:t>
      </w:r>
    </w:p>
    <w:p>
      <w:pPr>
        <w:ind w:firstLine="480"/>
      </w:pPr>
      <w:r>
        <w:t xml:space="preserve">This Annex is purely political and procedural. It creates no legal obligations, no enforceable duties, and no penalties. The Swiss mediator issues non-binding findings. The only consequence of a pattern of actionable misrepresentation is a public notation on the Swiss Dashboard, with no sanctions attached.</w:t>
      </w:r>
    </w:p>
    <w:p>
      <w:pPr>
        <w:pStyle w:val="Heading1"/>
      </w:pPr>
      <w:r>
        <w:t xml:space="preserve">Article 1: When a Narrative Dispute Arises</w:t>
      </w:r>
    </w:p>
    <w:p>
      <w:pPr>
        <w:spacing w:before="80" w:after="160"/>
      </w:pPr>
      <w:r>
        <w:rPr>
          <w:rFonts w:ascii="Cambria" w:hAnsi="Cambria"/>
          <w:b/>
          <w:color w:val="457b9d"/>
          <w:sz w:val="20"/>
        </w:rPr>
        <w:t>OPERATIVE AND BINDING</w:t>
      </w:r>
    </w:p>
    <w:p>
      <w:pPr>
        <w:pStyle w:val="Heading2"/>
      </w:pPr>
      <w:r>
        <w:t xml:space="preserve">1.1 Permitted Framing (No Dispute)</w:t>
      </w:r>
    </w:p>
    <w:p>
      <w:pPr>
        <w:ind w:firstLine="480"/>
      </w:pPr>
      <w:r>
        <w:t xml:space="preserve">The following types of framing are always permitted and do not give rise to a dispute under this Annex:</w:t>
      </w:r>
    </w:p>
    <w:p>
      <w:pPr>
        <w:spacing w:after="80"/>
        <w:ind w:left="480" w:hanging="360"/>
      </w:pPr>
      <w:r>
        <w:rPr>
          <w:b/>
          <w:color w:val="3d5a80"/>
        </w:rPr>
        <w:t xml:space="preserve">1. </w:t>
      </w:r>
      <w:r>
        <w:t xml:space="preserve">Characterizing the MOU as a victory, a concession, a technical arrangement, or any other political description.</w:t>
      </w:r>
    </w:p>
    <w:p>
      <w:pPr>
        <w:spacing w:after="80"/>
        <w:ind w:left="480" w:hanging="360"/>
      </w:pPr>
      <w:r>
        <w:rPr>
          <w:b/>
          <w:color w:val="3d5a80"/>
        </w:rPr>
        <w:t xml:space="preserve">2. </w:t>
      </w:r>
      <w:r>
        <w:t xml:space="preserve">Emphasizing or downplaying specific provisions for domestic consumption.</w:t>
      </w:r>
    </w:p>
    <w:p>
      <w:pPr>
        <w:spacing w:after="80"/>
        <w:ind w:left="480" w:hanging="360"/>
      </w:pPr>
      <w:r>
        <w:rPr>
          <w:b/>
          <w:color w:val="3d5a80"/>
        </w:rPr>
        <w:t xml:space="preserve">3. </w:t>
      </w:r>
      <w:r>
        <w:t xml:space="preserve">Using domestically resonant language (for example: "maximum pressure succeeded" for the United States; "resistance bore fruit" for Iran).</w:t>
      </w:r>
    </w:p>
    <w:p>
      <w:pPr>
        <w:spacing w:after="80"/>
        <w:ind w:left="480" w:hanging="360"/>
      </w:pPr>
      <w:r>
        <w:rPr>
          <w:b/>
          <w:color w:val="3d5a80"/>
        </w:rPr>
        <w:t xml:space="preserve">4. </w:t>
      </w:r>
      <w:r>
        <w:t xml:space="preserve">Criticizing the other Party's compliance record, provided the criticism is based on facts recorded in the Shared Digital Registry.</w:t>
      </w:r>
    </w:p>
    <w:p>
      <w:pPr>
        <w:pStyle w:val="Heading2"/>
      </w:pPr>
      <w:r>
        <w:t xml:space="preserve">1.2 Actionable Misrepresentation</w:t>
      </w:r>
    </w:p>
    <w:p>
      <w:pPr>
        <w:ind w:firstLine="480"/>
      </w:pPr>
      <w:r>
        <w:t xml:space="preserve">A Party initiates a narrative dispute only if the other Party's public statement meets all of the following criteria:</w:t>
      </w:r>
    </w:p>
    <w:p>
      <w:pPr>
        <w:spacing w:after="80"/>
        <w:ind w:left="480" w:hanging="360"/>
      </w:pPr>
      <w:r>
        <w:rPr>
          <w:b/>
          <w:color w:val="3d5a80"/>
        </w:rPr>
        <w:t xml:space="preserve">1. </w:t>
      </w:r>
      <w:r>
        <w:t xml:space="preserve">The statement contradicts a verified technical fact recorded in the Shared Digital Registry (for example: claiming enrichment is above 3.67% when IAEA telemetry shows compliance; claiming the Strait of Hormuz is closed when telemetry confirms open transit).</w:t>
      </w:r>
    </w:p>
    <w:p>
      <w:pPr>
        <w:spacing w:after="80"/>
        <w:ind w:left="480" w:hanging="360"/>
      </w:pPr>
      <w:r>
        <w:rPr>
          <w:b/>
          <w:color w:val="3d5a80"/>
        </w:rPr>
        <w:t xml:space="preserve">2. </w:t>
      </w:r>
      <w:r>
        <w:t xml:space="preserve">The statement creates material confusion about the other Party's obligations or performance, to the extent that such confusion could reasonably affect implementation or public support.</w:t>
      </w:r>
    </w:p>
    <w:p>
      <w:pPr>
        <w:spacing w:after="80"/>
        <w:ind w:left="480" w:hanging="360"/>
      </w:pPr>
      <w:r>
        <w:rPr>
          <w:b/>
          <w:color w:val="3d5a80"/>
        </w:rPr>
        <w:t xml:space="preserve">3. </w:t>
      </w:r>
      <w:r>
        <w:t xml:space="preserve">The statement is deliberate or reckless — isolated errors corrected within 48 hours are not actionable.</w:t>
      </w:r>
    </w:p>
    <w:p>
      <w:pPr>
        <w:ind w:firstLine="480"/>
      </w:pPr>
      <w:r>
        <w:t xml:space="preserve">Examples of actionable misrepresentation:</w:t>
      </w:r>
    </w:p>
    <w:p>
      <w:pPr>
        <w:spacing w:after="60"/>
        <w:ind w:left="720" w:hanging="240"/>
      </w:pPr>
      <w:r>
        <w:rPr>
          <w:color w:val="457b9d"/>
        </w:rPr>
        <w:t xml:space="preserve">— </w:t>
      </w:r>
      <w:r>
        <w:t xml:space="preserve">"Iran has secretly enriched to 20%" (when IAEA reports 3.67%).</w:t>
      </w:r>
    </w:p>
    <w:p>
      <w:pPr>
        <w:spacing w:after="60"/>
        <w:ind w:left="720" w:hanging="240"/>
      </w:pPr>
      <w:r>
        <w:rPr>
          <w:color w:val="457b9d"/>
        </w:rPr>
        <w:t xml:space="preserve">— </w:t>
      </w:r>
      <w:r>
        <w:t xml:space="preserve">"The US has not released any frozen assets" (when the Swiss escrow ledger shows releases).</w:t>
      </w:r>
    </w:p>
    <w:p>
      <w:pPr>
        <w:ind w:firstLine="480"/>
      </w:pPr>
      <w:r>
        <w:t xml:space="preserve">Examples of protected framing (not actionable):</w:t>
      </w:r>
    </w:p>
    <w:p>
      <w:pPr>
        <w:spacing w:after="60"/>
        <w:ind w:left="720" w:hanging="240"/>
      </w:pPr>
      <w:r>
        <w:rPr>
          <w:color w:val="457b9d"/>
        </w:rPr>
        <w:t xml:space="preserve">— </w:t>
      </w:r>
      <w:r>
        <w:t xml:space="preserve">"Iran won economic relief" versus "The US secured nuclear rollback."</w:t>
      </w:r>
    </w:p>
    <w:p>
      <w:pPr>
        <w:spacing w:after="60"/>
        <w:ind w:left="720" w:hanging="240"/>
      </w:pPr>
      <w:r>
        <w:rPr>
          <w:color w:val="457b9d"/>
        </w:rPr>
        <w:t xml:space="preserve">— </w:t>
      </w:r>
      <w:r>
        <w:t xml:space="preserve">"This is a surrender" versus "This is a victory."</w:t>
      </w:r>
    </w:p>
    <w:p>
      <w:pPr>
        <w:pStyle w:val="Heading1"/>
      </w:pPr>
      <w:r>
        <w:t xml:space="preserve">Article 2: Initiation and Consultation</w:t>
      </w:r>
    </w:p>
    <w:p>
      <w:pPr>
        <w:spacing w:before="80" w:after="160"/>
      </w:pPr>
      <w:r>
        <w:rPr>
          <w:rFonts w:ascii="Cambria" w:hAnsi="Cambria"/>
          <w:b/>
          <w:color w:val="457b9d"/>
          <w:sz w:val="20"/>
        </w:rPr>
        <w:t>OPERATIVE AND BINDING</w:t>
      </w:r>
    </w:p>
    <w:p>
      <w:pPr>
        <w:pStyle w:val="Heading2"/>
      </w:pPr>
      <w:r>
        <w:t xml:space="preserve">2.1 Request for Clarification</w:t>
      </w:r>
    </w:p>
    <w:p>
      <w:pPr>
        <w:ind w:firstLine="480"/>
      </w:pPr>
      <w:r>
        <w:t xml:space="preserve">A Party that believes the other Party has made an actionable misrepresentation sends a written Request for Clarification to the PCC, copied to the Swiss facilitator. The request contains:</w:t>
      </w:r>
    </w:p>
    <w:p>
      <w:pPr>
        <w:spacing w:after="80"/>
        <w:ind w:left="480" w:hanging="360"/>
      </w:pPr>
      <w:r>
        <w:rPr>
          <w:b/>
          <w:color w:val="3d5a80"/>
        </w:rPr>
        <w:t xml:space="preserve">1. </w:t>
      </w:r>
      <w:r>
        <w:t xml:space="preserve">A verbatim quotation of the specific statement(s) at issue.</w:t>
      </w:r>
    </w:p>
    <w:p>
      <w:pPr>
        <w:spacing w:after="80"/>
        <w:ind w:left="480" w:hanging="360"/>
      </w:pPr>
      <w:r>
        <w:rPr>
          <w:b/>
          <w:color w:val="3d5a80"/>
        </w:rPr>
        <w:t xml:space="preserve">2. </w:t>
      </w:r>
      <w:r>
        <w:t xml:space="preserve">A citation of the verified technical fact(s) from the Shared Digital Registry or IAEA certification that the statement contradicts.</w:t>
      </w:r>
    </w:p>
    <w:p>
      <w:pPr>
        <w:spacing w:after="80"/>
        <w:ind w:left="480" w:hanging="360"/>
      </w:pPr>
      <w:r>
        <w:rPr>
          <w:b/>
          <w:color w:val="3d5a80"/>
        </w:rPr>
        <w:t xml:space="preserve">3. </w:t>
      </w:r>
      <w:r>
        <w:t xml:space="preserve">An explanation of how the statement materially misrepresents the facts and why the discrepancy matters.</w:t>
      </w:r>
    </w:p>
    <w:p>
      <w:pPr>
        <w:pStyle w:val="Heading2"/>
      </w:pPr>
      <w:r>
        <w:t xml:space="preserve">2.2 Good-Faith Consultation</w:t>
      </w:r>
    </w:p>
    <w:p>
      <w:pPr>
        <w:ind w:firstLine="480"/>
      </w:pPr>
      <w:r>
        <w:t xml:space="preserve">Within 7 days of receiving the Request, both Parties consult through the PCC. The PCC facilitates but does not adjudicate. The consultation is confidential. The objective is for the responding Party to either acknowledge the discrepancy and issue a clarifying statement (without retracting the original framing), or demonstrate that the statement is consistent with the technical facts.</w:t>
      </w:r>
    </w:p>
    <w:p>
      <w:pPr>
        <w:ind w:firstLine="480"/>
      </w:pPr>
      <w:r>
        <w:t xml:space="preserve">If the Parties resolve the dispute, they jointly notify the PCC, and no further action occurs.</w:t>
      </w:r>
    </w:p>
    <w:p>
      <w:pPr>
        <w:pStyle w:val="Heading1"/>
      </w:pPr>
      <w:r>
        <w:t xml:space="preserve">Article 3: Facilitated Narrative Resolution</w:t>
      </w:r>
    </w:p>
    <w:p>
      <w:pPr>
        <w:spacing w:before="80" w:after="160"/>
      </w:pPr>
      <w:r>
        <w:rPr>
          <w:rFonts w:ascii="Cambria" w:hAnsi="Cambria"/>
          <w:b/>
          <w:color w:val="457b9d"/>
          <w:sz w:val="20"/>
        </w:rPr>
        <w:t>OPERATIVE AND BINDING</w:t>
      </w:r>
    </w:p>
    <w:p>
      <w:pPr>
        <w:pStyle w:val="Heading2"/>
      </w:pPr>
      <w:r>
        <w:t xml:space="preserve">3.1 Swiss Mediation</w:t>
      </w:r>
    </w:p>
    <w:p>
      <w:pPr>
        <w:ind w:firstLine="480"/>
      </w:pPr>
      <w:r>
        <w:t xml:space="preserve">If consultation does not resolve the dispute within 7 days, either Party requests facilitated resolution by the Swiss mediator (the same neutral facilitator used elsewhere in the MOU). The Swiss mediator convenes a Narrative Resolution Session within 14 days.</w:t>
      </w:r>
    </w:p>
    <w:p>
      <w:pPr>
        <w:pStyle w:val="Heading2"/>
      </w:pPr>
      <w:r>
        <w:t xml:space="preserve">3.2 Session Rules</w:t>
      </w:r>
    </w:p>
    <w:p>
      <w:pPr>
        <w:ind w:firstLine="480"/>
      </w:pPr>
      <w:r>
        <w:t xml:space="preserve">The Narrative Resolution Session operates under the following rules:</w:t>
      </w:r>
    </w:p>
    <w:tbl>
      <w:tblPr>
        <w:tblW w:w="5000" w:type="pct"/>
        <w:tblBorders>
          <w:top w:val="single" w:color="3d5a80" w:sz="12"/>
          <w:left w:val="nil"/>
          <w:bottom w:val="single" w:color="3d5a80" w:sz="12"/>
          <w:right w:val="nil"/>
          <w:insideH w:val="single" w:color="c8d6e5" w:sz="4"/>
          <w:insideV w:val="nil"/>
        </w:tblBorders>
      </w:tblPr>
      <w:tblGrid>
        <w:gridCol w:w="2800"/>
        <w:gridCol w:w="6200"/>
      </w:tblGrid>
      <w:tr>
        <w:trPr>
          <w:tblHeader/>
        </w:trPr>
        <w:tc>
          <w:tcPr>
            <w:tcW w:w="2800" w:type="dxa"/>
            <w:shd w:val="clear" w:fill="e8f0f8"/>
          </w:tcPr>
          <w:p>
            <w:pPr>
              <w:spacing w:before="60" w:after="60" w:line="240" w:lineRule="auto"/>
            </w:pPr>
            <w:r>
              <w:rPr>
                <w:b/>
                <w:color w:val="1d3557"/>
                <w:sz w:val="20"/>
              </w:rPr>
              <w:t xml:space="preserve">Parameter</w:t>
            </w:r>
          </w:p>
        </w:tc>
        <w:tc>
          <w:tcPr>
            <w:tcW w:w="6200" w:type="dxa"/>
            <w:shd w:val="clear" w:fill="e8f0f8"/>
          </w:tcPr>
          <w:p>
            <w:pPr>
              <w:spacing w:before="60" w:after="60" w:line="240" w:lineRule="auto"/>
            </w:pPr>
            <w:r>
              <w:rPr>
                <w:b/>
                <w:color w:val="1d3557"/>
                <w:sz w:val="20"/>
              </w:rPr>
              <w:t xml:space="preserve">Specification</w:t>
            </w:r>
          </w:p>
        </w:tc>
      </w:tr>
      <w:tr>
        <w:tc>
          <w:tcPr>
            <w:tcW w:w="2800" w:type="dxa"/>
          </w:tcPr>
          <w:p>
            <w:pPr>
              <w:spacing w:before="60" w:after="60" w:line="240" w:lineRule="auto"/>
              <w:jc w:val="left"/>
            </w:pPr>
            <w:r>
              <w:rPr>
                <w:color w:val="457b9d"/>
                <w:sz w:val="20"/>
              </w:rPr>
              <w:t xml:space="preserve">Participants</w:t>
            </w:r>
          </w:p>
        </w:tc>
        <w:tc>
          <w:tcPr>
            <w:tcW w:w="6200" w:type="dxa"/>
          </w:tcPr>
          <w:p>
            <w:pPr>
              <w:spacing w:before="60" w:after="60" w:line="240" w:lineRule="auto"/>
              <w:jc w:val="left"/>
            </w:pPr>
            <w:r>
              <w:rPr>
                <w:color w:val="457b9d"/>
                <w:sz w:val="20"/>
              </w:rPr>
              <w:t xml:space="preserve">Senior communications advisors from both Parties (not lawyers or technical negotiators). Each Party brings up to three participants.</w:t>
            </w:r>
          </w:p>
        </w:tc>
      </w:tr>
      <w:tr>
        <w:tc>
          <w:tcPr>
            <w:tcW w:w="2800" w:type="dxa"/>
          </w:tcPr>
          <w:p>
            <w:pPr>
              <w:spacing w:before="60" w:after="60" w:line="240" w:lineRule="auto"/>
              <w:jc w:val="left"/>
            </w:pPr>
            <w:r>
              <w:rPr>
                <w:color w:val="457b9d"/>
                <w:sz w:val="20"/>
              </w:rPr>
              <w:t xml:space="preserve">Location</w:t>
            </w:r>
          </w:p>
        </w:tc>
        <w:tc>
          <w:tcPr>
            <w:tcW w:w="6200" w:type="dxa"/>
          </w:tcPr>
          <w:p>
            <w:pPr>
              <w:spacing w:before="60" w:after="60" w:line="240" w:lineRule="auto"/>
              <w:jc w:val="left"/>
            </w:pPr>
            <w:r>
              <w:rPr>
                <w:color w:val="457b9d"/>
                <w:sz w:val="20"/>
              </w:rPr>
              <w:t xml:space="preserve">Geneva or secure video conference.</w:t>
            </w:r>
          </w:p>
        </w:tc>
      </w:tr>
      <w:tr>
        <w:tc>
          <w:tcPr>
            <w:tcW w:w="2800" w:type="dxa"/>
          </w:tcPr>
          <w:p>
            <w:pPr>
              <w:spacing w:before="60" w:after="60" w:line="240" w:lineRule="auto"/>
              <w:jc w:val="left"/>
            </w:pPr>
            <w:r>
              <w:rPr>
                <w:color w:val="457b9d"/>
                <w:sz w:val="20"/>
              </w:rPr>
              <w:t xml:space="preserve">Duration</w:t>
            </w:r>
          </w:p>
        </w:tc>
        <w:tc>
          <w:tcPr>
            <w:tcW w:w="6200" w:type="dxa"/>
          </w:tcPr>
          <w:p>
            <w:pPr>
              <w:spacing w:before="60" w:after="60" w:line="240" w:lineRule="auto"/>
              <w:jc w:val="left"/>
            </w:pPr>
            <w:r>
              <w:rPr>
                <w:color w:val="457b9d"/>
                <w:sz w:val="20"/>
              </w:rPr>
              <w:t xml:space="preserve">Limited to 4 hours.</w:t>
            </w:r>
          </w:p>
        </w:tc>
      </w:tr>
      <w:tr>
        <w:tc>
          <w:tcPr>
            <w:tcW w:w="2800" w:type="dxa"/>
          </w:tcPr>
          <w:p>
            <w:pPr>
              <w:spacing w:before="60" w:after="60" w:line="240" w:lineRule="auto"/>
              <w:jc w:val="left"/>
            </w:pPr>
            <w:r>
              <w:rPr>
                <w:color w:val="457b9d"/>
                <w:sz w:val="20"/>
              </w:rPr>
              <w:t xml:space="preserve">Language</w:t>
            </w:r>
          </w:p>
        </w:tc>
        <w:tc>
          <w:tcPr>
            <w:tcW w:w="6200" w:type="dxa"/>
          </w:tcPr>
          <w:p>
            <w:pPr>
              <w:spacing w:before="60" w:after="60" w:line="240" w:lineRule="auto"/>
              <w:jc w:val="left"/>
            </w:pPr>
            <w:r>
              <w:rPr>
                <w:color w:val="457b9d"/>
                <w:sz w:val="20"/>
              </w:rPr>
              <w:t xml:space="preserve">English, with Farsi interpretation available.</w:t>
            </w:r>
          </w:p>
        </w:tc>
      </w:tr>
      <w:tr>
        <w:tc>
          <w:tcPr>
            <w:tcW w:w="2800" w:type="dxa"/>
          </w:tcPr>
          <w:p>
            <w:pPr>
              <w:spacing w:before="60" w:after="60" w:line="240" w:lineRule="auto"/>
              <w:jc w:val="left"/>
            </w:pPr>
            <w:r>
              <w:rPr>
                <w:color w:val="457b9d"/>
                <w:sz w:val="20"/>
              </w:rPr>
              <w:t xml:space="preserve">Confidentiality</w:t>
            </w:r>
          </w:p>
        </w:tc>
        <w:tc>
          <w:tcPr>
            <w:tcW w:w="6200" w:type="dxa"/>
          </w:tcPr>
          <w:p>
            <w:pPr>
              <w:spacing w:before="60" w:after="60" w:line="240" w:lineRule="auto"/>
              <w:jc w:val="left"/>
            </w:pPr>
            <w:r>
              <w:rPr>
                <w:color w:val="457b9d"/>
                <w:sz w:val="20"/>
              </w:rPr>
              <w:t xml:space="preserve">All statements remain off-the-record. No participant uses any statement in another dispute resolution forum (for example: Annex T step-back, PCA arbitration).</w:t>
            </w:r>
          </w:p>
        </w:tc>
      </w:tr>
    </w:tbl>
    <w:p>
      <w:pPr>
        <w:pStyle w:val="Heading2"/>
      </w:pPr>
      <w:r>
        <w:t xml:space="preserve">3.3 Mediator's Non-Binding Finding</w:t>
      </w:r>
    </w:p>
    <w:p>
      <w:pPr>
        <w:ind w:firstLine="480"/>
      </w:pPr>
      <w:r>
        <w:t xml:space="preserve">Within 7 days of the session, the Swiss mediator issues a non-binding finding that:</w:t>
      </w:r>
    </w:p>
    <w:p>
      <w:pPr>
        <w:spacing w:after="80"/>
        <w:ind w:left="480" w:hanging="360"/>
      </w:pPr>
      <w:r>
        <w:rPr>
          <w:b/>
          <w:color w:val="3d5a80"/>
        </w:rPr>
        <w:t xml:space="preserve">1. </w:t>
      </w:r>
      <w:r>
        <w:t xml:space="preserve">Identifies which specific statements, if any, exceed protected framing autonomy.</w:t>
      </w:r>
    </w:p>
    <w:p>
      <w:pPr>
        <w:spacing w:after="80"/>
        <w:ind w:left="480" w:hanging="360"/>
      </w:pPr>
      <w:r>
        <w:rPr>
          <w:b/>
          <w:color w:val="3d5a80"/>
        </w:rPr>
        <w:t xml:space="preserve">2. </w:t>
      </w:r>
      <w:r>
        <w:t xml:space="preserve">Describes the verified technical facts that the statements contradict.</w:t>
      </w:r>
    </w:p>
    <w:p>
      <w:pPr>
        <w:spacing w:after="80"/>
        <w:ind w:left="480" w:hanging="360"/>
      </w:pPr>
      <w:r>
        <w:rPr>
          <w:b/>
          <w:color w:val="3d5a80"/>
        </w:rPr>
        <w:t xml:space="preserve">3. </w:t>
      </w:r>
      <w:r>
        <w:t xml:space="preserve">Recommends a clarifying statement (for example: "Iran's enrichment remains at 3.67% as verified by the IAEA").</w:t>
      </w:r>
    </w:p>
    <w:p>
      <w:pPr>
        <w:spacing w:after="80"/>
        <w:ind w:left="480" w:hanging="360"/>
      </w:pPr>
      <w:r>
        <w:rPr>
          <w:b/>
          <w:color w:val="3d5a80"/>
        </w:rPr>
        <w:t xml:space="preserve">4. </w:t>
      </w:r>
      <w:r>
        <w:t xml:space="preserve">Does not require the Party to retract its original framing — only to add clarifying language.</w:t>
      </w:r>
    </w:p>
    <w:p>
      <w:pPr>
        <w:ind w:firstLine="480"/>
      </w:pPr>
      <w:r>
        <w:t xml:space="preserve">The mediator publishes the finding on the Swiss Dashboard (Annex U) and marks it as "narrative guidance — no legal effect."</w:t>
      </w:r>
    </w:p>
    <w:p>
      <w:pPr>
        <w:pStyle w:val="Heading1"/>
      </w:pPr>
      <w:r>
        <w:t xml:space="preserve">Article 4: Compliance with Clarifying Statement</w:t>
      </w:r>
    </w:p>
    <w:p>
      <w:pPr>
        <w:spacing w:before="80" w:after="160"/>
      </w:pPr>
      <w:r>
        <w:rPr>
          <w:rFonts w:ascii="Cambria" w:hAnsi="Cambria"/>
          <w:b/>
          <w:color w:val="457b9d"/>
          <w:sz w:val="20"/>
        </w:rPr>
        <w:t>OPERATIVE AND BINDING</w:t>
      </w:r>
    </w:p>
    <w:p>
      <w:pPr>
        <w:pStyle w:val="Heading2"/>
      </w:pPr>
      <w:r>
        <w:t xml:space="preserve">4.1 Voluntary Clarification</w:t>
      </w:r>
    </w:p>
    <w:p>
      <w:pPr>
        <w:ind w:firstLine="480"/>
      </w:pPr>
      <w:r>
        <w:t xml:space="preserve">The Party that made the actionable misrepresentation issues the recommended clarifying statement within 14 days of the mediator's finding. The statement is not apologetic; it only states the technical fact.</w:t>
      </w:r>
    </w:p>
    <w:p>
      <w:pPr>
        <w:pStyle w:val="Heading2"/>
      </w:pPr>
      <w:r>
        <w:t xml:space="preserve">4.2 No Penalties</w:t>
      </w:r>
    </w:p>
    <w:p>
      <w:pPr>
        <w:ind w:firstLine="480"/>
      </w:pPr>
      <w:r>
        <w:t xml:space="preserve">There are no penalties for failing to issue a clarifying statement. This Annex is political, not legal. The mediator's finding is non-binding. The only consequence of repeated failures is a referral to the PCC as a "pattern of communications that undermine good faith," which the PCC logs but which does not trigger step-back.</w:t>
      </w:r>
    </w:p>
    <w:p>
      <w:pPr>
        <w:pStyle w:val="Heading2"/>
      </w:pPr>
      <w:r>
        <w:t xml:space="preserve">4.3 Pattern Referral</w:t>
      </w:r>
    </w:p>
    <w:p>
      <w:pPr>
        <w:ind w:firstLine="480"/>
      </w:pPr>
      <w:r>
        <w:t xml:space="preserve">If the same Party receives three or more mediator findings of actionable misrepresentation within any 180-day period, the PCC notes a pattern. The PCC publishes such notation on the Swiss Dashboard. The PCC imposes no sanctions, but the notation informs other political interactions.</w:t>
      </w:r>
    </w:p>
    <w:p>
      <w:pPr>
        <w:pStyle w:val="Heading1"/>
      </w:pPr>
      <w:r>
        <w:t xml:space="preserve">Article 5: Relationship to Other Annexes</w:t>
      </w:r>
    </w:p>
    <w:p>
      <w:pPr>
        <w:spacing w:before="80" w:after="160"/>
      </w:pPr>
      <w:r>
        <w:rPr>
          <w:rFonts w:ascii="Cambria" w:hAnsi="Cambria"/>
          <w:b/>
          <w:color w:val="457b9d"/>
          <w:sz w:val="20"/>
        </w:rPr>
        <w:t>OPERATIVE AND BINDING</w:t>
      </w:r>
    </w:p>
    <w:p>
      <w:pPr>
        <w:ind w:firstLine="480"/>
      </w:pPr>
      <w:r>
        <w:t xml:space="preserve">This Annex operates in conjunction with the following provisions of the parent framework and its annexes:</w:t>
      </w:r>
    </w:p>
    <w:tbl>
      <w:tblPr>
        <w:tblW w:w="5000" w:type="pct"/>
        <w:tblBorders>
          <w:top w:val="single" w:color="3d5a80" w:sz="12"/>
          <w:left w:val="nil"/>
          <w:bottom w:val="single" w:color="3d5a80" w:sz="12"/>
          <w:right w:val="nil"/>
          <w:insideH w:val="single" w:color="c8d6e5" w:sz="4"/>
          <w:insideV w:val="nil"/>
        </w:tblBorders>
      </w:tblPr>
      <w:tblGrid>
        <w:gridCol w:w="2600"/>
        <w:gridCol w:w="6400"/>
      </w:tblGrid>
      <w:tr>
        <w:trPr>
          <w:tblHeader/>
        </w:trPr>
        <w:tc>
          <w:tcPr>
            <w:tcW w:w="2600" w:type="dxa"/>
            <w:shd w:val="clear" w:fill="e8f0f8"/>
          </w:tcPr>
          <w:p>
            <w:pPr>
              <w:spacing w:before="60" w:after="60" w:line="240" w:lineRule="auto"/>
            </w:pPr>
            <w:r>
              <w:rPr>
                <w:b/>
                <w:color w:val="1d3557"/>
                <w:sz w:val="20"/>
              </w:rPr>
              <w:t xml:space="preserve">Annex / Provision</w:t>
            </w:r>
          </w:p>
        </w:tc>
        <w:tc>
          <w:tcPr>
            <w:tcW w:w="6400" w:type="dxa"/>
            <w:shd w:val="clear" w:fill="e8f0f8"/>
          </w:tcPr>
          <w:p>
            <w:pPr>
              <w:spacing w:before="60" w:after="60" w:line="240" w:lineRule="auto"/>
            </w:pPr>
            <w:r>
              <w:rPr>
                <w:b/>
                <w:color w:val="1d3557"/>
                <w:sz w:val="20"/>
              </w:rPr>
              <w:t xml:space="preserve">Relationship</w:t>
            </w:r>
          </w:p>
        </w:tc>
      </w:tr>
      <w:tr>
        <w:tc>
          <w:tcPr>
            <w:tcW w:w="2600" w:type="dxa"/>
          </w:tcPr>
          <w:p>
            <w:pPr>
              <w:spacing w:before="60" w:after="60" w:line="240" w:lineRule="auto"/>
              <w:jc w:val="left"/>
            </w:pPr>
            <w:r>
              <w:rPr>
                <w:color w:val="457b9d"/>
                <w:sz w:val="20"/>
              </w:rPr>
              <w:t xml:space="preserve">MOU Article 1.7 (Framing Autonomy)</w:t>
            </w:r>
          </w:p>
        </w:tc>
        <w:tc>
          <w:tcPr>
            <w:tcW w:w="6400" w:type="dxa"/>
          </w:tcPr>
          <w:p>
            <w:pPr>
              <w:spacing w:before="60" w:after="60" w:line="240" w:lineRule="auto"/>
              <w:jc w:val="left"/>
            </w:pPr>
            <w:r>
              <w:rPr>
                <w:color w:val="457b9d"/>
                <w:sz w:val="20"/>
              </w:rPr>
              <w:t xml:space="preserve">This Annex does not override or limit framing autonomy. It provides a political process for resolving disputes when framing crosses into factual misrepresentation.</w:t>
            </w:r>
          </w:p>
        </w:tc>
      </w:tr>
      <w:tr>
        <w:tc>
          <w:tcPr>
            <w:tcW w:w="2600" w:type="dxa"/>
          </w:tcPr>
          <w:p>
            <w:pPr>
              <w:spacing w:before="60" w:after="60" w:line="240" w:lineRule="auto"/>
              <w:jc w:val="left"/>
            </w:pPr>
            <w:r>
              <w:rPr>
                <w:color w:val="457b9d"/>
                <w:sz w:val="20"/>
              </w:rPr>
              <w:t xml:space="preserve">Annex R / R.a (Escalation Buffer)</w:t>
            </w:r>
          </w:p>
        </w:tc>
        <w:tc>
          <w:tcPr>
            <w:tcW w:w="6400" w:type="dxa"/>
          </w:tcPr>
          <w:p>
            <w:pPr>
              <w:spacing w:before="60" w:after="60" w:line="240" w:lineRule="auto"/>
              <w:jc w:val="left"/>
            </w:pPr>
            <w:r>
              <w:rPr>
                <w:color w:val="457b9d"/>
                <w:sz w:val="20"/>
              </w:rPr>
              <w:t xml:space="preserve">Narrative disputes do not trigger escalation buffers or kinetic consequences.</w:t>
            </w:r>
          </w:p>
        </w:tc>
      </w:tr>
      <w:tr>
        <w:tc>
          <w:tcPr>
            <w:tcW w:w="2600" w:type="dxa"/>
          </w:tcPr>
          <w:p>
            <w:pPr>
              <w:spacing w:before="60" w:after="60" w:line="240" w:lineRule="auto"/>
              <w:jc w:val="left"/>
            </w:pPr>
            <w:r>
              <w:rPr>
                <w:color w:val="457b9d"/>
                <w:sz w:val="20"/>
              </w:rPr>
              <w:t xml:space="preserve">Annex T (Step-Back)</w:t>
            </w:r>
          </w:p>
        </w:tc>
        <w:tc>
          <w:tcPr>
            <w:tcW w:w="6400" w:type="dxa"/>
          </w:tcPr>
          <w:p>
            <w:pPr>
              <w:spacing w:before="60" w:after="60" w:line="240" w:lineRule="auto"/>
              <w:jc w:val="left"/>
            </w:pPr>
            <w:r>
              <w:rPr>
                <w:color w:val="457b9d"/>
                <w:sz w:val="20"/>
              </w:rPr>
              <w:t xml:space="preserve">No step-back penalties apply to narrative disputes.</w:t>
            </w:r>
          </w:p>
        </w:tc>
      </w:tr>
      <w:tr>
        <w:tc>
          <w:tcPr>
            <w:tcW w:w="2600" w:type="dxa"/>
          </w:tcPr>
          <w:p>
            <w:pPr>
              <w:spacing w:before="60" w:after="60" w:line="240" w:lineRule="auto"/>
              <w:jc w:val="left"/>
            </w:pPr>
            <w:r>
              <w:rPr>
                <w:color w:val="457b9d"/>
                <w:sz w:val="20"/>
              </w:rPr>
              <w:t xml:space="preserve">Annex U (Shared Digital Registry)</w:t>
            </w:r>
          </w:p>
        </w:tc>
        <w:tc>
          <w:tcPr>
            <w:tcW w:w="6400" w:type="dxa"/>
          </w:tcPr>
          <w:p>
            <w:pPr>
              <w:spacing w:before="60" w:after="60" w:line="240" w:lineRule="auto"/>
              <w:jc w:val="left"/>
            </w:pPr>
            <w:r>
              <w:rPr>
                <w:color w:val="457b9d"/>
                <w:sz w:val="20"/>
              </w:rPr>
              <w:t xml:space="preserve">The mediator publishes findings on the Dashboard as narrative guidance only.</w:t>
            </w:r>
          </w:p>
        </w:tc>
      </w:tr>
    </w:tbl>
    <w:p>
      <w:pPr>
        <w:pStyle w:val="Heading1"/>
      </w:pPr>
      <w:r>
        <w:t xml:space="preserve">Article 6: Incorporation by Reference</w:t>
      </w:r>
    </w:p>
    <w:p>
      <w:pPr>
        <w:spacing w:before="80" w:after="160"/>
      </w:pPr>
      <w:r>
        <w:rPr>
          <w:rFonts w:ascii="Cambria" w:hAnsi="Cambria"/>
          <w:b/>
          <w:color w:val="457b9d"/>
          <w:sz w:val="20"/>
        </w:rPr>
        <w:t>OPERATIVE AND BINDING</w:t>
      </w:r>
    </w:p>
    <w:p>
      <w:pPr>
        <w:ind w:firstLine="480"/>
      </w:pPr>
      <w:r>
        <w:t xml:space="preserve">This Annex R.b incorporates into any existing or future agreement between the Parties by the following adoption sentence:</w:t>
      </w:r>
    </w:p>
    <w:p>
      <w:pPr>
        <w:pBdr>
          <w:left w:val="single" w:color="3d5a80" w:sz="12" w:space="12"/>
        </w:pBdr>
        <w:spacing w:before="200" w:after="200"/>
        <w:ind w:left="720" w:right="720"/>
        <w:jc w:val="both"/>
      </w:pPr>
      <w:r>
        <w:rPr>
          <w:i/>
          <w:color w:val="1d3557"/>
          <w:sz w:val="22"/>
        </w:rPr>
        <w:t xml:space="preserve">"The Parties adopt Annex R.b (Narrative Dispute Resolution) as an operative provision of this Agreement. This Annex establishes a political, non-penal process for resolving framing disputes that does not override Domestic Framing Autonomy (MOU Article 1.7)."</w:t>
      </w:r>
    </w:p>
    <w:p>
      <w:pPr>
        <w:ind w:firstLine="480"/>
      </w:pPr>
      <w:r>
        <w:t xml:space="preserve">No amendment of the parent MOU is required. This Annex enters into force upon signature by both Parties or provisional application by exchange of diplomatic notes.</w:t>
      </w:r>
    </w:p>
    <w:p>
      <w:pPr>
        <w:pStyle w:val="Heading1"/>
      </w:pPr>
      <w:r>
        <w:t xml:space="preserve">Signature Block</w:t>
      </w:r>
    </w:p>
    <w:p>
      <w:pPr>
        <w:ind w:firstLine="480"/>
      </w:pPr>
      <w:r>
        <w:t xml:space="preserve">In witness whereof, the undersigned, being duly authorized by their respective governments, have signed this Annex R.b: Narrative Dispute Resolution.</w:t>
      </w:r>
    </w:p>
    <w:p>
      <w:pPr>
        <w:ind w:firstLine="480"/>
      </w:pPr>
      <w:r>
        <w:t xml:space="preserve">Done at ____________________, this _______ day of _____________________, 2026, in duplicate in the English language.</w:t>
      </w:r>
    </w:p>
    <w:p>
      <w:pPr>
        <w:ind w:firstLine="480"/>
      </w:pPr>
      <w:r>
        <w:t xml:space="preserve"/>
      </w:r>
    </w:p>
    <w:p>
      <w:pPr>
        <w:spacing w:before="300" w:after="40"/>
      </w:pPr>
      <w:r>
        <w:rPr>
          <w:b/>
          <w:color w:val="1d3557"/>
          <w:sz w:val="22"/>
        </w:rPr>
        <w:t>For the Islamic Republic of Iran:</w:t>
      </w:r>
    </w:p>
    <w:p>
      <w:pPr>
        <w:spacing w:before="300" w:after="40"/>
      </w:pPr>
      <w:r>
        <w:rPr>
          <w:b/>
          <w:color w:val="1d3557"/>
          <w:sz w:val="22"/>
        </w:rPr>
        <w:t>For the United States of America:</w:t>
      </w:r>
    </w:p>
    <w:p>
      <w:pPr>
        <w:ind w:firstLine="480"/>
      </w:pPr>
      <w:r>
        <w:t xml:space="preserve"/>
      </w:r>
    </w:p>
    <w:p>
      <w:pPr>
        <w:spacing w:before="200"/>
      </w:pPr>
      <w:r>
        <w:rPr>
          <w:i/>
          <w:color w:val="457b9d"/>
          <w:sz w:val="21"/>
        </w:rPr>
        <w:t>Witnessed by the Swiss facilitator.</w:t>
      </w:r>
    </w:p>
    <w:p>
      <w:pPr>
        <w:sectPr>
          <w:headerReference w:type="default" r:id="R7db42afc17c349ca"/>
          <w:footerReference w:type="default" r:id="Ra4fc76432a9043b2"/>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1977410a51a44891"/>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Cambria" w:hAnsi="Cambria"/>
          <w:b/>
          <w:color w:val="e0e6ed"/>
          <w:sz w:val="48"/>
        </w:rPr>
        <w:t>Annex R.b</w:t>
      </w:r>
    </w:p>
    <w:p>
      <w:pPr>
        <w:spacing w:after="400"/>
        <w:jc w:val="center"/>
      </w:pPr>
      <w:r>
        <w:rPr>
          <w:rFonts w:ascii="Cambria" w:hAnsi="Cambria"/>
          <w:color w:val="8d99ae"/>
          <w:sz w:val="24"/>
        </w:rPr>
        <w:t>Narrative Dispute Resolution</w:t>
      </w:r>
    </w:p>
    <w:p>
      <w:pPr>
        <w:spacing w:after="100"/>
        <w:jc w:val="center"/>
      </w:pPr>
      <w:r>
        <w:rPr>
          <w:color w:val="b8860b"/>
          <w:sz w:val="18"/>
        </w:rPr>
        <w:t>————————————————</w:t>
      </w:r>
    </w:p>
    <w:p>
      <w:pPr>
        <w:spacing w:before="400"/>
        <w:jc w:val="center"/>
      </w:pPr>
      <w:r>
        <w:rPr>
          <w:color w:val="8d99ae"/>
          <w:sz w:val="18"/>
        </w:rPr>
        <w:t>Modular  •  Incorporable by Reference  •  No Penalties</w:t>
      </w:r>
    </w:p>
    <w:p>
      <w:pPr>
        <w:spacing w:before="200"/>
        <w:jc w:val="center"/>
      </w:pPr>
      <w:r>
        <w:rPr>
          <w:color w:val="8d99ae"/>
          <w:sz w:val="16"/>
        </w:rPr>
        <w:t>Version 1.0  —  June 2026</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R.b — Narrative Dispute Resolution</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Type="http://schemas.openxmlformats.org/officeDocument/2006/relationships/styles" Target="styles.xml" Id="Rc474e68c749647fa" /><Relationship Type="http://schemas.openxmlformats.org/officeDocument/2006/relationships/image" Target="media/image.png" Id="R832d95b7212f462a" /><Relationship Type="http://schemas.openxmlformats.org/officeDocument/2006/relationships/image" Target="media/image2.png" Id="R1977410a51a44891" /><Relationship Type="http://schemas.openxmlformats.org/officeDocument/2006/relationships/header" Target="header1.xml" Id="R7db42afc17c349ca" /><Relationship Type="http://schemas.openxmlformats.org/officeDocument/2006/relationships/footer" Target="footer1.xml" Id="Ra4fc76432a9043b2" /><Relationship Type="http://schemas.openxmlformats.org/officeDocument/2006/relationships/settings" Target="settings.xml" Id="Rc08de7dc034f4b78" /></Relationships>
</file>