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8b3564c7a92049b2"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c68faee97114e60"/>
                    <a:stretch>
                      <a:fillRect/>
                    </a:stretch>
                  </pic:blipFill>
                  <pic:spPr>
                    <a:xfrm>
                      <a:off x="0" y="0"/>
                      <a:ext cx="7560000" cy="10692000"/>
                    </a:xfrm>
                    <a:prstGeom prst="rect"/>
                  </pic:spPr>
                </pic:pic>
              </a:graphicData>
            </a:graphic>
          </wp:anchor>
        </w:drawing>
      </w:r>
    </w:p>
    <w:p>
      <w:pPr>
        <w:pStyle w:val="Normal"/>
        <w:spacing w:before="5400"/>
      </w:pPr>
    </w:p>
    <w:p>
      <w:pPr>
        <w:pStyle w:val="Normal"/>
        <w:spacing w:after="400"/>
        <w:ind w:left="1200" w:right="1200"/>
        <w:jc w:val="left"/>
      </w:pPr>
      <w:r>
        <w:rPr>
          <w:rFonts w:ascii="Cambria" w:hAnsi="Cambria" w:eastAsia="Cambria" w:cs="Cambria"/>
          <w:color w:val="E0E6ED"/>
          <w:sz w:val="36"/>
          <w:szCs w:val="36"/>
        </w:rPr>
        <w:t>Annex Rc: Regional Standstill Linkage</w:t>
      </w:r>
    </w:p>
    <w:p>
      <w:pPr>
        <w:pStyle w:val="Normal"/>
        <w:spacing w:after="200"/>
        <w:ind w:left="1200"/>
        <w:jc w:val="left"/>
      </w:pPr>
      <w:r>
        <w:rPr>
          <w:rFonts w:ascii="Cambria" w:hAnsi="Cambria" w:eastAsia="Cambria" w:cs="Cambria"/>
          <w:color w:val="B8860B"/>
          <w:sz w:val="24"/>
          <w:szCs w:val="24"/>
        </w:rPr>
        <w:t>Supplementary Protocol</w:t>
      </w:r>
    </w:p>
    <w:p>
      <w:pPr>
        <w:pStyle w:val="Normal"/>
        <w:spacing w:after="100"/>
        <w:ind w:left="1200"/>
        <w:jc w:val="left"/>
      </w:pPr>
      <w:r>
        <w:rPr>
          <w:rFonts w:ascii="Cambria" w:hAnsi="Cambria" w:eastAsia="Cambria" w:cs="Cambria"/>
          <w:color w:val="E0E6ED"/>
          <w:sz w:val="20"/>
          <w:szCs w:val="20"/>
        </w:rPr>
        <w:t>Annex Rc: Regional Standstill Linkage — Supplementary Protocol to the MOU</w:t>
      </w:r>
    </w:p>
    <w:p>
      <w:pPr>
        <w:pStyle w:val="Normal"/>
        <w:ind w:left="1200"/>
        <w:jc w:val="left"/>
      </w:pPr>
      <w:r>
        <w:rPr>
          <w:rFonts w:ascii="Cambria" w:hAnsi="Cambria" w:eastAsia="Cambria" w:cs="Cambria"/>
          <w:color w:val="8D99AE"/>
          <w:sz w:val="18"/>
          <w:szCs w:val="18"/>
        </w:rPr>
        <w:t xml:space="preserve">June 2026  |  Authorized Negotiators Only  |  Confidential</w:t>
      </w:r>
    </w:p>
    <w:p>
      <w:pPr>
        <w:pStyle w:val="Normal"/>
        <w:sectPr>
          <w:type w:val="nextPage"/>
          <w:pgSz w:w="11906" w:h="16838"/>
          <w:pgMar w:top="0" w:right="0" w:bottom="0" w:left="0" w:header="0" w:footer="0"/>
          <w:titlePg/>
        </w:sectPr>
      </w:pPr>
    </w:p>
    <w:p>
      <w:pPr>
        <w:pStyle w:val="Normal"/>
        <w:spacing w:before="600" w:after="400"/>
        <w:jc w:val="right"/>
      </w:pPr>
      <w:r>
        <w:rPr>
          <w:rFonts w:ascii="Cambria" w:hAnsi="Cambria" w:eastAsia="Cambria" w:cs="Cambria"/>
          <w:color w:val="1D3557"/>
          <w:sz w:val="22"/>
          <w:szCs w:val="22"/>
        </w:rPr>
        <w:t>Done at ____________________, this _______ day of _____________________, 2026</w:t>
      </w:r>
    </w:p>
    <w:p>
      <w:pPr>
        <w:pStyle w:val="Normal"/>
        <w:spacing w:before="600" w:after="200"/>
        <w:jc w:val="left"/>
      </w:pPr>
      <w:r>
        <w:rPr>
          <w:rFonts w:ascii="Cambria" w:hAnsi="Cambria" w:eastAsia="Cambria" w:cs="Cambria"/>
          <w:b/>
          <w:color w:val="1D3557"/>
          <w:sz w:val="22"/>
          <w:szCs w:val="22"/>
        </w:rPr>
        <w:t>To: The Islamic Republic of Iran</w:t>
      </w:r>
    </w:p>
    <w:p>
      <w:pPr>
        <w:pStyle w:val="Normal"/>
        <w:spacing w:after="600"/>
      </w:pPr>
      <w:r>
        <w:rPr>
          <w:rFonts w:ascii="Cambria" w:hAnsi="Cambria" w:eastAsia="Cambria" w:cs="Cambria"/>
          <w:b/>
          <w:color w:val="1D3557"/>
          <w:sz w:val="22"/>
          <w:szCs w:val="22"/>
        </w:rPr>
        <w:t>From: The United States of America</w:t>
      </w:r>
    </w:p>
    <w:p>
      <w:pPr>
        <w:pStyle w:val="Heading1"/>
        <w:keepNext/>
        <w:keepLines/>
        <w:spacing w:before="480" w:after="200"/>
      </w:pPr>
      <w:r>
        <w:rPr>
          <w:rFonts w:ascii="Cambria" w:hAnsi="Cambria" w:eastAsia="Cambria" w:cs="Cambria"/>
          <w:b/>
          <w:color w:val="3D5A80"/>
          <w:sz w:val="32"/>
          <w:szCs w:val="32"/>
        </w:rPr>
        <w:t>Annex Rc: Regional Standstill Linkage</w:t>
      </w:r>
    </w:p>
    <w:p>
      <w:pPr>
        <w:pStyle w:val="Normal"/>
        <w:keepNext/>
        <w:spacing w:before="200" w:after="80"/>
      </w:pPr>
      <w:r>
        <w:rPr>
          <w:rFonts w:ascii="Cambria" w:hAnsi="Cambria" w:eastAsia="Cambria" w:cs="Cambria"/>
          <w:b/>
          <w:i/>
          <w:color w:val="457B9D"/>
          <w:sz w:val="20"/>
          <w:szCs w:val="20"/>
        </w:rPr>
        <w:t>OPERATIVE AND BINDING — SUPPLEMENTARY PROTOCOL</w:t>
      </w:r>
    </w:p>
    <w:p>
      <w:pPr>
        <w:pStyle w:val="Heading2"/>
        <w:keepNext/>
        <w:keepLines/>
        <w:spacing w:before="320" w:after="120"/>
      </w:pPr>
      <w:r>
        <w:rPr>
          <w:rFonts w:ascii="Cambria" w:hAnsi="Cambria" w:eastAsia="Cambria" w:cs="Cambria"/>
          <w:b/>
          <w:color w:val="1D3557"/>
          <w:sz w:val="26"/>
          <w:szCs w:val="26"/>
        </w:rPr>
        <w:t>Preamble</w:t>
      </w:r>
    </w:p>
    <w:p>
      <w:pPr>
        <w:pStyle w:val="Normal"/>
        <w:spacing w:before="160" w:after="160" w:line="300" w:lineRule="auto"/>
        <w:jc w:val="both"/>
      </w:pPr>
      <w:r>
        <w:rPr>
          <w:rFonts w:ascii="Cambria" w:hAnsi="Cambria" w:eastAsia="Cambria" w:cs="Cambria"/>
          <w:color w:val="1D3557"/>
          <w:sz w:val="22"/>
          <w:szCs w:val="22"/>
        </w:rPr>
        <w:t>This side letter accompanies the PEACE Memorandum of Understanding between the United States of America and the Islamic Republic of Iran. Israel is not a Party to that MOU. No provision of the MOU binds Israel. This side letter constitutes an expression of political intent by the United States, not a legally binding obligation, and requires no ratification.</w:t>
      </w:r>
    </w:p>
    <w:p>
      <w:pPr>
        <w:pStyle w:val="Normal"/>
        <w:spacing w:before="160" w:after="160" w:line="300" w:lineRule="auto"/>
        <w:jc w:val="both"/>
      </w:pPr>
      <w:r>
        <w:rPr>
          <w:rFonts w:ascii="Cambria" w:hAnsi="Cambria" w:eastAsia="Cambria" w:cs="Cambria"/>
          <w:color w:val="1D3557"/>
          <w:sz w:val="22"/>
          <w:szCs w:val="22"/>
        </w:rPr>
        <w:t>The United States affirms that it has communicated to the State of Israel the terms and importance of the MOU. The United States expects that Israel refrains from any military operation or covert action whose primary purpose is to cause a material breach of Iran's obligations under Articles 2-5 (nuclear and maritime cores) of the MOU.</w:t>
      </w:r>
    </w:p>
    <w:p>
      <w:pPr>
        <w:pStyle w:val="Heading2"/>
        <w:keepNext/>
        <w:keepLines/>
        <w:spacing w:before="320" w:after="120"/>
      </w:pPr>
      <w:r>
        <w:rPr>
          <w:rFonts w:ascii="Cambria" w:hAnsi="Cambria" w:eastAsia="Cambria" w:cs="Cambria"/>
          <w:b/>
          <w:color w:val="1D3557"/>
          <w:sz w:val="26"/>
          <w:szCs w:val="26"/>
        </w:rPr>
        <w:t>1. US Communication to Israel</w:t>
      </w:r>
    </w:p>
    <w:p>
      <w:pPr>
        <w:pStyle w:val="Normal"/>
        <w:spacing w:before="160" w:after="160" w:line="300" w:lineRule="auto"/>
        <w:jc w:val="both"/>
      </w:pPr>
      <w:r>
        <w:rPr>
          <w:rFonts w:ascii="Cambria" w:hAnsi="Cambria" w:eastAsia="Cambria" w:cs="Cambria"/>
          <w:color w:val="1D3557"/>
          <w:sz w:val="22"/>
          <w:szCs w:val="22"/>
        </w:rPr>
        <w:t>The United States confirms that it has formally communicated to the Government of Israel the substance of the MOU, including its verification architecture, escalation buffer mechanisms, and dispute resolution procedures. This communication occurred through established diplomatic channels prior to the signature of the MOU.</w:t>
      </w:r>
    </w:p>
    <w:p>
      <w:pPr>
        <w:pStyle w:val="Normal"/>
        <w:spacing w:before="160" w:after="160" w:line="300" w:lineRule="auto"/>
        <w:jc w:val="both"/>
      </w:pPr>
      <w:r>
        <w:rPr>
          <w:rFonts w:ascii="Cambria" w:hAnsi="Cambria" w:eastAsia="Cambria" w:cs="Cambria"/>
          <w:color w:val="1D3557"/>
          <w:sz w:val="22"/>
          <w:szCs w:val="22"/>
        </w:rPr>
        <w:t>The purpose of this communication is to ensure that Israel understands the framework within which the United States and Iran operate, and to express the US expectation that Israel respects the integrity of this diplomatic process.</w:t>
      </w:r>
    </w:p>
    <w:p>
      <w:pPr>
        <w:pStyle w:val="Heading2"/>
        <w:keepNext/>
        <w:keepLines/>
        <w:spacing w:before="320" w:after="120"/>
      </w:pPr>
      <w:r>
        <w:rPr>
          <w:rFonts w:ascii="Cambria" w:hAnsi="Cambria" w:eastAsia="Cambria" w:cs="Cambria"/>
          <w:b/>
          <w:color w:val="1D3557"/>
          <w:sz w:val="26"/>
          <w:szCs w:val="26"/>
        </w:rPr>
        <w:t>2. Expectation of Non-Interference</w:t>
      </w:r>
    </w:p>
    <w:p>
      <w:pPr>
        <w:pStyle w:val="Normal"/>
        <w:spacing w:before="160" w:after="160" w:line="300" w:lineRule="auto"/>
        <w:jc w:val="both"/>
      </w:pPr>
      <w:r>
        <w:rPr>
          <w:rFonts w:ascii="Cambria" w:hAnsi="Cambria" w:eastAsia="Cambria" w:cs="Cambria"/>
          <w:color w:val="1D3557"/>
          <w:sz w:val="22"/>
          <w:szCs w:val="22"/>
        </w:rPr>
        <w:t>The United States expects that Israel refrains from any military operation or covert action whose primary purpose is to cause a material breach of Iran's obligations under Articles 2-5 of the MOU. This expectation covers:</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Direct military strikes against Iranian nuclear facilities under IAEA monitoring</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Covert operations designed to disrupt IAEA inspection timelines or destroy monitoring equipment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Actions intended to trigger automatic breach classifications under Annex W or Annex 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Cyber operations against Iranian facilities that interfere with IAEA data transmission</w:t>
      </w:r>
    </w:p>
    <w:p>
      <w:pPr>
        <w:pStyle w:val="Normal"/>
        <w:spacing w:before="160" w:after="160" w:line="300" w:lineRule="auto"/>
        <w:jc w:val="both"/>
      </w:pPr>
      <w:r>
        <w:rPr>
          <w:rFonts w:ascii="Cambria" w:hAnsi="Cambria" w:eastAsia="Cambria" w:cs="Cambria"/>
          <w:color w:val="1D3557"/>
          <w:sz w:val="22"/>
          <w:szCs w:val="22"/>
        </w:rPr>
        <w:t>This expectation does not extend to legitimate Israeli self-defense under international law against an ongoing armed attack. Nothing in this side letter constrains Israel's inherent right to defend itself against imminent threats to its territorial integrity or population.</w:t>
      </w:r>
    </w:p>
    <w:p>
      <w:pPr>
        <w:pStyle w:val="Heading2"/>
        <w:keepNext/>
        <w:keepLines/>
        <w:spacing w:before="320" w:after="120"/>
      </w:pPr>
      <w:r>
        <w:rPr>
          <w:rFonts w:ascii="Cambria" w:hAnsi="Cambria" w:eastAsia="Cambria" w:cs="Cambria"/>
          <w:b/>
          <w:color w:val="1D3557"/>
          <w:sz w:val="26"/>
          <w:szCs w:val="26"/>
        </w:rPr>
        <w:t>3. Binding Interlock with Annex X</w:t>
      </w:r>
    </w:p>
    <w:p>
      <w:pPr>
        <w:pStyle w:val="Normal"/>
        <w:spacing w:before="160" w:after="160" w:line="300" w:lineRule="auto"/>
        <w:jc w:val="both"/>
      </w:pPr>
      <w:r>
        <w:rPr>
          <w:rFonts w:ascii="Cambria" w:hAnsi="Cambria" w:eastAsia="Cambria" w:cs="Cambria"/>
          <w:color w:val="1D3557"/>
          <w:sz w:val="22"/>
          <w:szCs w:val="22"/>
        </w:rPr>
        <w:t>Third-party actions by Israel do not constitute a breach of the MOU, EXCEPT where such actions violate the 60-day regional standstill along the Blue Line as the Joint Secretariat in Muscat certifies. Any breach of the standstill immediately halts the countdown clocks for all remaining financial tranches under Annex W. This interlock operates as an operative provision of the MOU and is enforceable under the dispute resolution framework in MOU Article 12.</w:t>
      </w:r>
    </w:p>
    <w:p>
      <w:pPr>
        <w:pStyle w:val="Normal"/>
        <w:spacing w:before="160" w:after="160" w:line="300" w:lineRule="auto"/>
        <w:jc w:val="both"/>
      </w:pPr>
      <w:r>
        <w:rPr>
          <w:rFonts w:ascii="Cambria" w:hAnsi="Cambria" w:eastAsia="Cambria" w:cs="Cambria"/>
          <w:color w:val="1D3557"/>
          <w:sz w:val="22"/>
          <w:szCs w:val="22"/>
        </w:rPr>
        <w:t>The United States does not commit to restraining Israel if Israel acts in self-defense. All options remain open to the United States in responding to regional developments.</w:t>
      </w:r>
    </w:p>
    <w:p>
      <w:pPr>
        <w:pStyle w:val="Heading2"/>
        <w:keepNext/>
        <w:keepLines/>
        <w:spacing w:before="320" w:after="120"/>
      </w:pPr>
      <w:r>
        <w:rPr>
          <w:rFonts w:ascii="Cambria" w:hAnsi="Cambria" w:eastAsia="Cambria" w:cs="Cambria"/>
          <w:b/>
          <w:color w:val="1D3557"/>
          <w:sz w:val="26"/>
          <w:szCs w:val="26"/>
        </w:rPr>
        <w:t>4. Good Offices Commitment</w:t>
      </w:r>
    </w:p>
    <w:p>
      <w:pPr>
        <w:pStyle w:val="Normal"/>
        <w:spacing w:before="160" w:after="160" w:line="300" w:lineRule="auto"/>
        <w:jc w:val="both"/>
      </w:pPr>
      <w:r>
        <w:rPr>
          <w:rFonts w:ascii="Cambria" w:hAnsi="Cambria" w:eastAsia="Cambria" w:cs="Cambria"/>
          <w:color w:val="1D3557"/>
          <w:sz w:val="22"/>
          <w:szCs w:val="22"/>
        </w:rPr>
        <w:t>The United States commits to using its good offices to resolve any Israeli-Iranian military escalation through the mechanisms established in the MOU before such escalation irreparably damages the agreement.</w:t>
      </w:r>
    </w:p>
    <w:p>
      <w:pPr>
        <w:pStyle w:val="Normal"/>
        <w:spacing w:before="160" w:after="160" w:line="300" w:lineRule="auto"/>
        <w:jc w:val="both"/>
      </w:pPr>
      <w:r>
        <w:rPr>
          <w:rFonts w:ascii="Cambria" w:hAnsi="Cambria" w:eastAsia="Cambria" w:cs="Cambria"/>
          <w:color w:val="1D3557"/>
          <w:sz w:val="22"/>
          <w:szCs w:val="22"/>
        </w:rPr>
        <w:t>Specifically, the United States activates the following mechanisms upon any Israeli military action that threatens MOU compliance:</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Tel Aviv Channel (MOU Article 13.6) for US-Israel consultation</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Unacceptable Escalation Threshold (MOU Article 13.3) for assessment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Escalation Buffer Period (Annex Rc, Article 4) to prevent automatic collapse</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Joint Secretariat notification to all guarantor states and the IAEA</w:t>
      </w:r>
    </w:p>
    <w:p>
      <w:pPr>
        <w:pStyle w:val="Normal"/>
        <w:spacing w:before="160" w:after="160" w:line="300" w:lineRule="auto"/>
        <w:jc w:val="both"/>
      </w:pPr>
      <w:r>
        <w:rPr>
          <w:rFonts w:ascii="Cambria" w:hAnsi="Cambria" w:eastAsia="Cambria" w:cs="Cambria"/>
          <w:color w:val="1D3557"/>
          <w:sz w:val="22"/>
          <w:szCs w:val="22"/>
        </w:rPr>
        <w:t>This good offices commitment represents a low bar but a real one. The United States uses its diplomatic leverage to de-escalate before escalation becomes irreversible. This is not a veto over Israeli action; it is a commitment to diplomatic engagement before framework rupture.</w:t>
      </w:r>
    </w:p>
    <w:p>
      <w:pPr>
        <w:pStyle w:val="Heading2"/>
        <w:keepNext/>
        <w:keepLines/>
        <w:spacing w:before="320" w:after="120"/>
      </w:pPr>
      <w:r>
        <w:rPr>
          <w:rFonts w:ascii="Cambria" w:hAnsi="Cambria" w:eastAsia="Cambria" w:cs="Cambria"/>
          <w:b/>
          <w:color w:val="1D3557"/>
          <w:sz w:val="26"/>
          <w:szCs w:val="26"/>
        </w:rPr>
        <w:t>5. Legal Status</w:t>
      </w:r>
    </w:p>
    <w:p>
      <w:pPr>
        <w:pStyle w:val="Normal"/>
        <w:spacing w:before="160" w:after="160" w:line="300" w:lineRule="auto"/>
        <w:jc w:val="both"/>
      </w:pPr>
      <w:r>
        <w:rPr>
          <w:rFonts w:ascii="Cambria" w:hAnsi="Cambria" w:eastAsia="Cambria" w:cs="Cambria"/>
          <w:color w:val="1D3557"/>
          <w:sz w:val="22"/>
          <w:szCs w:val="22"/>
        </w:rPr>
        <w:t>This Annex Rc constitutes an operative and binding supplementary protocol to the MOU. It forms an integral part of the agreement architecture and creates enforceable rights and obligations for both Parties. It does not require additional ratification beyond that of the parent MOU. The interlock in Section 3 operates automatically upon certification by the Joint Secretariat and requires no further Party action to take effect.</w:t>
      </w:r>
    </w:p>
    <w:p>
      <w:pPr>
        <w:pStyle w:val="Normal"/>
        <w:spacing w:before="160" w:after="160" w:line="300" w:lineRule="auto"/>
        <w:jc w:val="both"/>
      </w:pPr>
      <w:r>
        <w:rPr>
          <w:rFonts w:ascii="Cambria" w:hAnsi="Cambria" w:eastAsia="Cambria" w:cs="Cambria"/>
          <w:color w:val="1D3557"/>
          <w:sz w:val="22"/>
          <w:szCs w:val="22"/>
        </w:rPr>
        <w:t>This side letter does not amend the MOU. It does not alter, supplement, or override any provision of the MOU or its annexes. In the event of any inconsistency between this side letter and the MOU, the MOU governs.</w:t>
      </w:r>
    </w:p>
    <w:p>
      <w:pPr>
        <w:pStyle w:val="Normal"/>
        <w:spacing w:before="160" w:after="160" w:line="300" w:lineRule="auto"/>
        <w:jc w:val="both"/>
      </w:pPr>
      <w:r>
        <w:rPr>
          <w:rFonts w:ascii="Cambria" w:hAnsi="Cambria" w:eastAsia="Cambria" w:cs="Cambria"/>
          <w:color w:val="1D3557"/>
          <w:sz w:val="22"/>
          <w:szCs w:val="22"/>
        </w:rPr>
        <w:t>Depositary: A copy of this side letter is deposited with the Joint Secretariat in Muscat, which maintains it alongside the MOU instruments.</w:t>
      </w:r>
    </w:p>
    <w:p>
      <w:pPr>
        <w:pStyle w:val="Heading2"/>
        <w:keepNext/>
        <w:keepLines/>
        <w:spacing w:before="320" w:after="120"/>
      </w:pPr>
      <w:r>
        <w:rPr>
          <w:rFonts w:ascii="Cambria" w:hAnsi="Cambria" w:eastAsia="Cambria" w:cs="Cambria"/>
          <w:b/>
          <w:color w:val="1D3557"/>
          <w:sz w:val="26"/>
          <w:szCs w:val="26"/>
        </w:rPr>
        <w:t>6. Duration</w:t>
      </w:r>
    </w:p>
    <w:p>
      <w:pPr>
        <w:pStyle w:val="Normal"/>
        <w:spacing w:before="160" w:after="160" w:line="300" w:lineRule="auto"/>
        <w:jc w:val="both"/>
      </w:pPr>
      <w:r>
        <w:rPr>
          <w:rFonts w:ascii="Cambria" w:hAnsi="Cambria" w:eastAsia="Cambria" w:cs="Cambria"/>
          <w:color w:val="1D3557"/>
          <w:sz w:val="22"/>
          <w:szCs w:val="22"/>
        </w:rPr>
        <w:t>This side letter remains in effect for the duration of the MOU. It expires automatically upon the termination of the MOU. Either Party requests a review of this side letter at any time through the PCC.</w:t>
      </w:r>
    </w:p>
    <w:p>
      <w:pPr>
        <w:pStyle w:val="Normal"/>
        <w:spacing w:before="800"/>
      </w:pPr>
    </w:p>
    <w:p>
      <w:pPr>
        <w:pStyle w:val="Normal"/>
        <w:keepNext/>
        <w:spacing w:before="360" w:after="120"/>
      </w:pPr>
      <w:r>
        <w:rPr>
          <w:rFonts w:ascii="Cambria" w:hAnsi="Cambria" w:eastAsia="Cambria" w:cs="Cambria"/>
          <w:b/>
          <w:color w:val="3D5A80"/>
          <w:sz w:val="22"/>
          <w:szCs w:val="22"/>
        </w:rPr>
        <w:t>For the United States of America:</w:t>
      </w:r>
    </w:p>
    <w:p>
      <w:pPr>
        <w:pStyle w:val="Normal"/>
      </w:pPr>
      <w:r>
        <w:rPr>
          <w:rFonts w:ascii="Cambria" w:hAnsi="Cambria" w:eastAsia="Cambria" w:cs="Cambria"/>
          <w:sz w:val="22"/>
          <w:color w:val="1D3557"/>
          <w:szCs w:val="22"/>
        </w:rPr>
        <w:t>Name: ____________________</w:t>
      </w:r>
    </w:p>
    <w:p>
      <w:pPr>
        <w:pStyle w:val="Normal"/>
      </w:pPr>
      <w:r>
        <w:rPr>
          <w:rFonts w:ascii="Cambria" w:hAnsi="Cambria" w:eastAsia="Cambria" w:cs="Cambria"/>
          <w:sz w:val="22"/>
          <w:color w:val="1D3557"/>
          <w:szCs w:val="22"/>
        </w:rPr>
        <w:t>Title: ____________________</w:t>
      </w:r>
    </w:p>
    <w:p>
      <w:pPr>
        <w:pStyle w:val="Normal"/>
      </w:pPr>
      <w:r>
        <w:rPr>
          <w:rFonts w:ascii="Cambria" w:hAnsi="Cambria" w:eastAsia="Cambria" w:cs="Cambria"/>
          <w:sz w:val="22"/>
          <w:color w:val="1D3557"/>
          <w:szCs w:val="22"/>
        </w:rPr>
        <w:t>Date: ____________________</w:t>
      </w:r>
    </w:p>
    <w:p>
      <w:pPr>
        <w:pStyle w:val="Normal"/>
        <w:spacing w:before="600"/>
      </w:pPr>
    </w:p>
    <w:p>
      <w:pPr>
        <w:pStyle w:val="Normal"/>
        <w:keepNext/>
        <w:spacing w:before="360" w:after="120"/>
      </w:pPr>
      <w:r>
        <w:rPr>
          <w:rFonts w:ascii="Cambria" w:hAnsi="Cambria" w:eastAsia="Cambria" w:cs="Cambria"/>
          <w:b/>
          <w:color w:val="3D5A80"/>
          <w:sz w:val="22"/>
          <w:szCs w:val="22"/>
        </w:rPr>
        <w:t>Acknowledged by the Islamic Republic of Iran:</w:t>
      </w:r>
    </w:p>
    <w:p>
      <w:pPr>
        <w:pStyle w:val="Normal"/>
      </w:pPr>
      <w:r>
        <w:rPr>
          <w:rFonts w:ascii="Cambria" w:hAnsi="Cambria" w:eastAsia="Cambria" w:cs="Cambria"/>
          <w:sz w:val="22"/>
          <w:color w:val="1D3557"/>
          <w:szCs w:val="22"/>
        </w:rPr>
        <w:t>Name: ____________________</w:t>
      </w:r>
    </w:p>
    <w:p>
      <w:pPr>
        <w:pStyle w:val="Normal"/>
      </w:pPr>
      <w:r>
        <w:rPr>
          <w:rFonts w:ascii="Cambria" w:hAnsi="Cambria" w:eastAsia="Cambria" w:cs="Cambria"/>
          <w:sz w:val="22"/>
          <w:color w:val="1D3557"/>
          <w:szCs w:val="22"/>
        </w:rPr>
        <w:t>Title: ____________________</w:t>
      </w:r>
    </w:p>
    <w:p>
      <w:pPr>
        <w:pStyle w:val="Normal"/>
      </w:pPr>
      <w:r>
        <w:rPr>
          <w:rFonts w:ascii="Cambria" w:hAnsi="Cambria" w:eastAsia="Cambria" w:cs="Cambria"/>
          <w:sz w:val="22"/>
          <w:color w:val="1D3557"/>
          <w:szCs w:val="22"/>
        </w:rPr>
        <w:t>Date: ____________________</w:t>
      </w:r>
    </w:p>
    <w:p>
      <w:pPr>
        <w:pStyle w:val="Normal"/>
        <w:spacing w:before="600"/>
      </w:pPr>
    </w:p>
    <w:p>
      <w:pPr>
        <w:pStyle w:val="Normal"/>
        <w:keepNext/>
        <w:spacing w:before="360" w:after="120"/>
      </w:pPr>
      <w:r>
        <w:rPr>
          <w:rFonts w:ascii="Cambria" w:hAnsi="Cambria" w:eastAsia="Cambria" w:cs="Cambria"/>
          <w:b/>
          <w:color w:val="3D5A80"/>
          <w:sz w:val="22"/>
          <w:szCs w:val="22"/>
        </w:rPr>
        <w:t>Copy deposited with:</w:t>
      </w:r>
    </w:p>
    <w:p>
      <w:pPr>
        <w:pStyle w:val="Normal"/>
      </w:pPr>
      <w:r>
        <w:rPr>
          <w:rFonts w:ascii="Cambria" w:hAnsi="Cambria" w:eastAsia="Cambria" w:cs="Cambria"/>
          <w:sz w:val="22"/>
          <w:color w:val="1D3557"/>
          <w:szCs w:val="22"/>
        </w:rPr>
        <w:t>Joint Secretariat (Muscat)</w:t>
      </w:r>
    </w:p>
    <w:p>
      <w:pPr>
        <w:pStyle w:val="Normal"/>
      </w:pPr>
      <w:r>
        <w:rPr>
          <w:rFonts w:ascii="Cambria" w:hAnsi="Cambria" w:eastAsia="Cambria" w:cs="Cambria"/>
          <w:sz w:val="22"/>
          <w:color w:val="1D3557"/>
          <w:szCs w:val="22"/>
        </w:rPr>
        <w:t>Date received: ____________________</w:t>
      </w:r>
    </w:p>
    <w:p>
      <w:pPr>
        <w:pStyle w:val="Normal"/>
        <w:sectPr>
          <w:headerReference w:type="default" r:id="R09fceeeb2b28435e"/>
          <w:footerReference w:type="default" r:id="R45a61f39ae294e7b"/>
          <w:type w:val="nextPage"/>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f3ed2e203ada4fe5"/>
                    <a:stretch>
                      <a:fillRect/>
                    </a:stretch>
                  </pic:blipFill>
                  <pic:spPr>
                    <a:xfrm>
                      <a:off x="0" y="0"/>
                      <a:ext cx="7560000" cy="10692000"/>
                    </a:xfrm>
                    <a:prstGeom prst="rect"/>
                  </pic:spPr>
                </pic:pic>
              </a:graphicData>
            </a:graphic>
          </wp:anchor>
        </w:drawing>
      </w:r>
    </w:p>
    <w:p>
      <w:pPr>
        <w:pStyle w:val="Normal"/>
        <w:spacing w:before="7000"/>
      </w:pPr>
    </w:p>
    <w:p>
      <w:pPr>
        <w:pStyle w:val="Normal"/>
        <w:jc w:val="center"/>
      </w:pPr>
      <w:r>
        <w:rPr>
          <w:rFonts w:ascii="Cambria" w:hAnsi="Cambria" w:eastAsia="Cambria" w:cs="Cambria"/>
          <w:color w:val="E0E6ED"/>
          <w:sz w:val="48"/>
          <w:szCs w:val="48"/>
          <w:spacing w:val="30"/>
        </w:rPr>
        <w:t>Israeli Non-Interference Side Letter</w:t>
      </w:r>
    </w:p>
    <w:p>
      <w:pPr>
        <w:pStyle w:val="Normal"/>
        <w:spacing w:before="400"/>
        <w:jc w:val="center"/>
      </w:pPr>
      <w:r>
        <w:rPr>
          <w:rFonts w:ascii="Cambria" w:hAnsi="Cambria" w:eastAsia="Cambria" w:cs="Cambria"/>
          <w:color w:val="E0E6ED"/>
          <w:sz w:val="28"/>
          <w:szCs w:val="28"/>
        </w:rPr>
        <w:t>Supplementary Protocol</w:t>
      </w:r>
    </w:p>
    <w:p>
      <w:pPr>
        <w:pStyle w:val="Normal"/>
        <w:spacing w:before="600"/>
        <w:jc w:val="center"/>
      </w:pPr>
      <w:r>
        <w:rPr>
          <w:rFonts w:ascii="Cambria" w:hAnsi="Cambria" w:eastAsia="Cambria" w:cs="Cambria"/>
          <w:color w:val="B8860B"/>
          <w:sz w:val="20"/>
          <w:szCs w:val="20"/>
        </w:rPr>
        <w:t>Side Letter from the United States to the Islamic Republic of Iran</w:t>
      </w:r>
    </w:p>
    <w:p>
      <w:pPr>
        <w:pStyle w:val="Normal"/>
        <w:spacing w:before="200"/>
        <w:jc w:val="center"/>
      </w:pPr>
      <w:r>
        <w:rPr>
          <w:rFonts w:ascii="Cambria" w:hAnsi="Cambria" w:eastAsia="Cambria" w:cs="Cambria"/>
          <w:color w:val="8D99AE"/>
          <w:sz w:val="18"/>
          <w:szCs w:val="18"/>
        </w:rPr>
        <w:t xml:space="preserve">June 2026  |  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Israeli Non-Interference Side Letter</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Id="R09fceeeb2b28435e" Type="http://schemas.openxmlformats.org/officeDocument/2006/relationships/header" Target="header1.xml" /><Relationship Id="R0afd7d9d5b274c31" Type="http://schemas.openxmlformats.org/officeDocument/2006/relationships/styles" Target="styles.xml" /><Relationship Id="R45a61f39ae294e7b" Type="http://schemas.openxmlformats.org/officeDocument/2006/relationships/footer" Target="footer1.xml" /><Relationship Id="Rc42a890512ff45b4" Type="http://schemas.openxmlformats.org/officeDocument/2006/relationships/settings" Target="settings.xml" /><Relationship Id="Rec68faee97114e60" Type="http://schemas.openxmlformats.org/officeDocument/2006/relationships/image" Target="media/image.png" /><Relationship Id="Rf3ed2e203ada4fe5" Type="http://schemas.openxmlformats.org/officeDocument/2006/relationships/image" Target="media/image2.png" /></Relationships>
</file>