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6395814395947b1" /></Relationships>
</file>

<file path=word/document.xml><?xml version="1.0" encoding="utf-8"?>
<w:document xmlns:r="http://schemas.openxmlformats.org/officeDocument/2006/relationships" xmlns:w="http://schemas.openxmlformats.org/wordprocessingml/2006/main">
  <w:body>
    <w:p>
      <w:pPr>
        <w:spacing w:before="200" w:after="100"/>
        <w:jc w:val="center"/>
      </w:pPr>
      <w:r>
        <w:rPr>
          <w:i/>
          <w:color w:val="7a7a7a"/>
          <w:sz w:val="18"/>
        </w:rPr>
        <w:t>MODULAR ANNEX</w:t>
      </w:r>
    </w:p>
    <w:p>
      <w:pPr>
        <w:spacing w:before="200" w:after="200"/>
        <w:jc w:val="center"/>
      </w:pPr>
      <w:r>
        <w:rPr>
          <w:b/>
          <w:color w:val="1E3A5F"/>
          <w:sz w:val="48"/>
        </w:rPr>
        <w:t>Annex S</w:t>
      </w:r>
    </w:p>
    <w:p>
      <w:pPr>
        <w:spacing w:before="0" w:after="60"/>
        <w:jc w:val="center"/>
      </w:pPr>
      <w:r>
        <w:rPr>
          <w:b/>
          <w:color w:val="1E3A5F"/>
          <w:sz w:val="28"/>
        </w:rPr>
        <w:t>60-DAY RECIPROCAL SEQUENCING SCHEDULE</w:t>
      </w:r>
    </w:p>
    <w:p>
      <w:pPr>
        <w:spacing w:before="100" w:after="40"/>
        <w:jc w:val="center"/>
      </w:pPr>
      <w:r>
        <w:rPr>
          <w:color w:val="4a4a4a"/>
          <w:sz w:val="20"/>
        </w:rPr>
        <w:t>Dynamic Pairing of Economic Relief, Military De-escalation,</w:t>
      </w:r>
    </w:p>
    <w:p>
      <w:pPr>
        <w:spacing w:before="0" w:after="200"/>
        <w:jc w:val="center"/>
      </w:pPr>
      <w:r>
        <w:rPr>
          <w:color w:val="4a4a4a"/>
          <w:sz w:val="20"/>
        </w:rPr>
        <w:t>and Nuclear Verification Milestones</w:t>
      </w:r>
    </w:p>
    <w:p>
      <w:pPr>
        <w:spacing w:before="200" w:after="60"/>
        <w:jc w:val="center"/>
      </w:pPr>
      <w:r>
        <w:rPr>
          <w:color w:val="1a1a1a"/>
          <w:sz w:val="18"/>
        </w:rPr>
        <w:t>Self-Contained · Incorporable by Reference</w:t>
      </w:r>
    </w:p>
    <w:p>
      <w:pPr>
        <w:spacing w:before="200" w:after="40"/>
        <w:jc w:val="center"/>
      </w:pPr>
      <w:r>
        <w:rPr>
          <w:color w:val="1a1a1a"/>
          <w:sz w:val="18"/>
        </w:rPr>
        <w:t>Incorporated by reference into:</w:t>
      </w:r>
    </w:p>
    <w:p>
      <w:pPr>
        <w:spacing w:before="0" w:after="40"/>
        <w:jc w:val="center"/>
      </w:pPr>
      <w:r>
        <w:rPr>
          <w:color w:val="4a4a4a"/>
          <w:sz w:val="18"/>
        </w:rPr>
        <w:t>Memorandum of Understanding Pertaining to PEACE (v7.0)</w:t>
      </w:r>
    </w:p>
    <w:p>
      <w:pPr>
        <w:spacing w:before="0" w:after="200"/>
        <w:jc w:val="center"/>
      </w:pPr>
      <w:r>
        <w:rPr>
          <w:color w:val="4a4a4a"/>
          <w:sz w:val="18"/>
        </w:rPr>
        <w:t>and the Provisional Steps Framework (v1.8)</w:t>
      </w:r>
    </w:p>
    <w:p>
      <w:pPr>
        <w:spacing w:before="200" w:after="100"/>
        <w:jc w:val="center"/>
      </w:pPr>
      <w:r>
        <w:rPr>
          <w:color w:val="1a1a1a"/>
          <w:sz w:val="20"/>
        </w:rPr>
        <w:t>Version 1.0 - June 2026</w:t>
      </w:r>
    </w:p>
    <w:p>
      <w:pPr>
        <w:pBdr>
          <w:top w:val="single" w:color="8B0000" w:sz="12"/>
          <w:left w:val="single" w:color="8B0000" w:sz="12"/>
          <w:bottom w:val="single" w:color="8B0000" w:sz="12"/>
          <w:right w:val="single" w:color="8B0000" w:sz="12"/>
        </w:pBdr>
        <w:shd w:val="clear" w:fill="FFF8F8"/>
        <w:spacing w:before="200" w:after="400"/>
        <w:ind w:left="720" w:right="720"/>
        <w:jc w:val="center"/>
      </w:pPr>
      <w:r>
        <w:rPr>
          <w:b/>
          <w:color w:val="8B0000"/>
          <w:sz w:val="20"/>
        </w:rPr>
        <w:t>CLASSIFICATION: AUTHORIZED NEGOTIATORS ONLY - CONFIDENTIAL</w:t>
      </w:r>
      <w:r>
        <w:rPr>
          <w:color w:val="8B0000"/>
          <w:sz w:val="20"/>
        </w:rPr>
        <w:t> - NOT FOR PUBLIC DISTRIBUTION</w:t>
      </w:r>
    </w:p>
    <w:p>
      <w:r>
        <w:br w:type="page"/>
      </w:r>
    </w:p>
    <w:p>
      <w:pPr>
        <w:pStyle w:val="Heading1"/>
      </w:pPr>
      <w:r>
        <w:t>PREAMBLE</w:t>
      </w:r>
    </w:p>
    <w:p>
      <w:pPr>
        <w:pStyle w:val="Heading2"/>
      </w:pPr>
      <w:r>
        <w:t>Purpose</w:t>
      </w:r>
    </w:p>
    <w:p>
      <w:pPr>
        <w:spacing w:before="60" w:after="120"/>
      </w:pPr>
      <w:r>
        <w:rPr>
          <w:sz w:val="21"/>
        </w:rPr>
        <w:t>This Annex establishes a highly synchronized, granular timeline for the 60-day nuclear negotiating window (Phase II of the Memorandum of Understanding Pertaining to PEACE), where every economic relief measure, sanctions waiver, and military de-escalation step dynamically pairs with an exact, verified nuclear milestone. This reciprocal sequencing provides both Parties with the political cover necessary to demonstrate that no side front-loads concessions or receives benefits without corresponding performance.</w:t>
      </w:r>
    </w:p>
    <w:p>
      <w:pPr>
        <w:pStyle w:val="Heading2"/>
      </w:pPr>
      <w:r>
        <w:t>Background</w:t>
      </w:r>
    </w:p>
    <w:p>
      <w:pPr>
        <w:spacing w:before="60" w:after="120"/>
      </w:pPr>
      <w:r>
        <w:rPr>
          <w:sz w:val="21"/>
        </w:rPr>
        <w:t>The MOU provides a 60-day window to negotiate how to dispose of Iran's highly enriched uranium and how to address Iranian enrichment. The United States discusses sanctions relief and frozen asset releases. However, the sequencing is not specified. Without a granular, reciprocal schedule, the risk exists that one side perceives the other as receiving benefits without delivering corresponding commitments - potentially collapsing the framework during the most fragile period of implementation.</w:t>
      </w:r>
    </w:p>
    <w:p>
      <w:pPr>
        <w:pStyle w:val="Heading2"/>
      </w:pPr>
      <w:r>
        <w:t>Modularity Clause</w:t>
      </w:r>
    </w:p>
    <w:p>
      <w:pPr>
        <w:spacing w:before="60" w:after="120"/>
      </w:pPr>
      <w:r>
        <w:rPr>
          <w:sz w:val="21"/>
        </w:rPr>
        <w:t>This Annex is self-contained and incorporates into the Memorandum of Understanding Pertaining to PEACE and the Provisional Steps Framework by the sentence of adoption in Part D-1 of the MOU. It does not amend or supersede conflicting provisions of any parent framework unless the Parties explicitly so agree. In the event of inconsistency, this Annex governs with respect to the sequencing and pairing of economic relief measures, military de-escalation steps, and nuclear verification milestones.</w:t>
      </w:r>
    </w:p>
    <w:p>
      <w:r>
        <w:br w:type="page"/>
      </w:r>
    </w:p>
    <w:p>
      <w:pPr>
        <w:pStyle w:val="Heading1"/>
      </w:pPr>
      <w:r>
        <w:t>ARTICLE 1: DEFINITIONS</w:t>
      </w:r>
    </w:p>
    <w:p>
      <w:pPr>
        <w:spacing w:before="200" w:after="40"/>
      </w:pPr>
      <w:r>
        <w:rPr>
          <w:b/>
          <w:color w:val="1a1a1a"/>
          <w:sz w:val="21"/>
        </w:rPr>
        <w:t>"Nuclear Milestone"</w:t>
      </w:r>
    </w:p>
    <w:p>
      <w:pPr>
        <w:spacing w:before="0" w:after="120"/>
        <w:ind w:left="360"/>
      </w:pPr>
      <w:r>
        <w:rPr>
          <w:i/>
          <w:sz w:val="21"/>
        </w:rPr>
        <w:t>A specific, verifiable action by Iran related to its nuclear program, including but not limited to: IAEA verification of a specified percentage of HEU inventory (e.g., 25%, 50%, 75%, 100%); IAEA installation of continuous monitoring equipment at a declared facility; commencement of downblending under Pathway A (in-country); transfer of HEU to Oman under Pathway B; completion of a Joint Damage Assessment (per Annex O); recovery or verification of damaged HEU cylinders (per Annex P); and any other milestone agreed by the Parties.</w:t>
      </w:r>
    </w:p>
    <w:p>
      <w:pPr>
        <w:spacing w:before="200" w:after="40"/>
      </w:pPr>
      <w:r>
        <w:rPr>
          <w:b/>
          <w:color w:val="1a1a1a"/>
          <w:sz w:val="21"/>
        </w:rPr>
        <w:t>"Economic Relief Measure"</w:t>
      </w:r>
    </w:p>
    <w:p>
      <w:pPr>
        <w:spacing w:before="0" w:after="120"/>
        <w:ind w:left="360"/>
      </w:pPr>
      <w:r>
        <w:rPr>
          <w:i/>
          <w:sz w:val="21"/>
        </w:rPr>
        <w:t>A specific, verifiable action by the United States or its partners, including but not limited to: release of a specified tranche of frozen assets; issuance of a sanctions waiver for a specific sector (e.g., oil, petrochemicals, banking); reconnection of a specified number of Iranian banks to SWIFT; reduction or suspension of a specific sanctions designation; and any other relief measure agreed by the Parties.</w:t>
      </w:r>
    </w:p>
    <w:p>
      <w:pPr>
        <w:spacing w:before="200" w:after="40"/>
      </w:pPr>
      <w:r>
        <w:rPr>
          <w:b/>
          <w:color w:val="1a1a1a"/>
          <w:sz w:val="21"/>
        </w:rPr>
        <w:t>"Military De-escalation Step"</w:t>
      </w:r>
    </w:p>
    <w:p>
      <w:pPr>
        <w:spacing w:before="0" w:after="120"/>
        <w:ind w:left="360"/>
      </w:pPr>
      <w:r>
        <w:rPr>
          <w:i/>
          <w:sz w:val="21"/>
        </w:rPr>
        <w:t>A specific, verifiable action by either Party related to military posture, including but not limited to: further reduction of the naval blockade or stand-off distances; withdrawal of a specified number of naval vessels; reduction of aerial surveillance or reconnaissance flights; and any other de-escalation measure agreed by the Parties.</w:t>
      </w:r>
    </w:p>
    <w:p>
      <w:pPr>
        <w:spacing w:before="200" w:after="40"/>
      </w:pPr>
      <w:r>
        <w:rPr>
          <w:b/>
          <w:color w:val="1a1a1a"/>
          <w:sz w:val="21"/>
        </w:rPr>
        <w:t>"Verification Step"</w:t>
      </w:r>
    </w:p>
    <w:p>
      <w:pPr>
        <w:spacing w:before="0" w:after="120"/>
        <w:ind w:left="360"/>
      </w:pPr>
      <w:r>
        <w:rPr>
          <w:i/>
          <w:sz w:val="21"/>
        </w:rPr>
        <w:t>A specific, verifiable action by the IAEA or other designated verification body, including but not limited to: installation of continuous monitoring equipment; submission of a verification report to the PCC; completion of an inventory or damage assessment; and certification of compliance with a specified milestone.</w:t>
      </w:r>
    </w:p>
    <w:p>
      <w:pPr>
        <w:spacing w:before="200" w:after="40"/>
      </w:pPr>
      <w:r>
        <w:rPr>
          <w:b/>
          <w:color w:val="1a1a1a"/>
          <w:sz w:val="21"/>
        </w:rPr>
        <w:t>"No Surprises Notification Period"</w:t>
      </w:r>
    </w:p>
    <w:p>
      <w:pPr>
        <w:spacing w:before="0" w:after="120"/>
        <w:ind w:left="360"/>
      </w:pPr>
      <w:r>
        <w:rPr>
          <w:i/>
          <w:sz w:val="21"/>
        </w:rPr>
        <w:t>The 48-hour period prior to any unilateral announcement of a measure under this Annex, during which the announcing Party notifies the PCC and the other Party of its intent.</w:t>
      </w:r>
    </w:p>
    <w:p>
      <w:r>
        <w:br w:type="page"/>
      </w:r>
    </w:p>
    <w:p>
      <w:pPr>
        <w:pStyle w:val="Heading1"/>
      </w:pPr>
      <w:r>
        <w:t>ARTICLE 2: THE 60-DAY RECIPROCAL SEQUENCING SCHEDULE</w:t>
      </w:r>
    </w:p>
    <w:p>
      <w:pPr>
        <w:spacing w:before="60" w:after="120"/>
      </w:pPr>
      <w:r>
        <w:rPr>
          <w:sz w:val="21"/>
        </w:rPr>
        <w:t>The following tables establish the default reciprocal pairings for the 60-day window. The Parties adjust the timing or pairings by mutual written agreement through the PCC, but no adjustment reduces the reciprocity or creates a significant imbalance in delivered value.</w:t>
      </w:r>
    </w:p>
    <w:p>
      <w:pPr>
        <w:spacing w:before="60" w:after="120"/>
      </w:pPr>
      <w:r>
        <w:rPr>
          <w:sz w:val="21"/>
        </w:rPr>
        <w:t>Cross-reference: Adjustments are governed by Article 5. The default schedule remains in force unless and until the Parties mutually agree to an alternative.</w:t>
      </w:r>
    </w:p>
    <w:p>
      <w:pPr>
        <w:pStyle w:val="Heading2"/>
      </w:pPr>
      <w:r>
        <w:t>Week 1 (Days 1-7): Baseline Establishment</w:t>
      </w:r>
    </w:p>
    <w:tbl>
      <w:tblPr>
        <w:tblW w:w="5000" w:type="pct"/>
        <w:tblBorders>
          <w:top w:val="single" w:color="1E3A5F" w:sz="8"/>
          <w:left w:val="nil"/>
          <w:bottom w:val="single" w:color="1E3A5F" w:sz="8"/>
          <w:right w:val="nil"/>
          <w:insideH w:val="single" w:color="CCCCCC" w:sz="4"/>
          <w:insideV w:val="nil"/>
        </w:tblBorders>
      </w:tblPr>
      <w:tblGrid>
        <w:gridCol w:w="1200"/>
        <w:gridCol w:w="4400"/>
        <w:gridCol w:w="4400"/>
      </w:tblGrid>
      <w:tr>
        <w:trPr>
          <w:tblHeader/>
        </w:trPr>
        <w:tc>
          <w:tcPr>
            <w:tcW w:w="1200" w:type="dxa"/>
            <w:shd w:val="clear" w:fill="E8EDF2"/>
          </w:tcPr>
          <w:p>
            <w:pPr>
              <w:spacing w:before="40" w:after="40"/>
            </w:pPr>
            <w:r>
              <w:rPr>
                <w:b/>
                <w:color w:val="1a1a1a"/>
                <w:sz w:val="19"/>
              </w:rPr>
              <w:t>Day</w:t>
            </w:r>
          </w:p>
        </w:tc>
        <w:tc>
          <w:tcPr>
            <w:tcW w:w="4400" w:type="dxa"/>
            <w:shd w:val="clear" w:fill="E8EDF2"/>
          </w:tcPr>
          <w:p>
            <w:pPr>
              <w:spacing w:before="40" w:after="40"/>
            </w:pPr>
            <w:r>
              <w:rPr>
                <w:b/>
                <w:color w:val="1a1a1a"/>
                <w:sz w:val="19"/>
              </w:rPr>
              <w:t>Economic Relief / Military Step</w:t>
            </w:r>
          </w:p>
        </w:tc>
        <w:tc>
          <w:tcPr>
            <w:tcW w:w="4400" w:type="dxa"/>
            <w:shd w:val="clear" w:fill="E8EDF2"/>
          </w:tcPr>
          <w:p>
            <w:pPr>
              <w:spacing w:before="40" w:after="40"/>
            </w:pPr>
            <w:r>
              <w:rPr>
                <w:b/>
                <w:color w:val="1a1a1a"/>
                <w:sz w:val="19"/>
              </w:rPr>
              <w:t>Nuclear / Verification Milestone</w:t>
            </w:r>
          </w:p>
        </w:tc>
      </w:tr>
      <w:tr>
        <w:tc>
          <w:tcPr>
            <w:tcW w:w="1200" w:type="dxa"/>
          </w:tcPr>
          <w:p>
            <w:pPr>
              <w:spacing w:before="40" w:after="40"/>
            </w:pPr>
            <w:r>
              <w:rPr>
                <w:color w:val="4a4a4a"/>
                <w:sz w:val="19"/>
              </w:rPr>
              <w:t>1</w:t>
            </w:r>
          </w:p>
        </w:tc>
        <w:tc>
          <w:tcPr>
            <w:tcW w:w="4400" w:type="dxa"/>
          </w:tcPr>
          <w:p>
            <w:pPr>
              <w:spacing w:before="40" w:after="40"/>
            </w:pPr>
            <w:r>
              <w:rPr>
                <w:color w:val="4a4a4a"/>
                <w:sz w:val="19"/>
              </w:rPr>
              <w:t>US releases first asset tranche (5% of frozen assets, approximately $5B) to Swiss escrow</w:t>
            </w:r>
          </w:p>
        </w:tc>
        <w:tc>
          <w:tcPr>
            <w:tcW w:w="4400" w:type="dxa"/>
          </w:tcPr>
          <w:p>
            <w:pPr>
              <w:spacing w:before="40" w:after="40"/>
            </w:pPr>
            <w:r>
              <w:rPr>
                <w:color w:val="4a4a4a"/>
                <w:sz w:val="19"/>
              </w:rPr>
              <w:t>Iran grants IAEA immediate access to all declared sites (per Annex O, Article 1)</w:t>
            </w:r>
          </w:p>
        </w:tc>
      </w:tr>
      <w:tr>
        <w:tc>
          <w:tcPr>
            <w:tcW w:w="1200" w:type="dxa"/>
          </w:tcPr>
          <w:p>
            <w:pPr>
              <w:spacing w:before="40" w:after="40"/>
            </w:pPr>
            <w:r>
              <w:rPr>
                <w:color w:val="4a4a4a"/>
                <w:sz w:val="19"/>
              </w:rPr>
              <w:t>3</w:t>
            </w:r>
          </w:p>
        </w:tc>
        <w:tc>
          <w:tcPr>
            <w:tcW w:w="4400" w:type="dxa"/>
          </w:tcPr>
          <w:p>
            <w:pPr>
              <w:spacing w:before="40" w:after="40"/>
            </w:pPr>
            <w:r>
              <w:rPr>
                <w:color w:val="4a4a4a"/>
                <w:sz w:val="19"/>
              </w:rPr>
              <w:t>US suspends enforcement of secondary sanctions on Iranian oil sales to pre-approved customers (China, India, Turkey, Japan)</w:t>
            </w:r>
          </w:p>
        </w:tc>
        <w:tc>
          <w:tcPr>
            <w:tcW w:w="4400" w:type="dxa"/>
          </w:tcPr>
          <w:p>
            <w:pPr>
              <w:spacing w:before="40" w:after="40"/>
            </w:pPr>
            <w:r>
              <w:rPr>
                <w:color w:val="4a4a4a"/>
                <w:sz w:val="19"/>
              </w:rPr>
              <w:t>IAEA begins joint damage assessment (per Annex O, Article 2)</w:t>
            </w:r>
          </w:p>
        </w:tc>
      </w:tr>
      <w:tr>
        <w:tc>
          <w:tcPr>
            <w:tcW w:w="1200" w:type="dxa"/>
          </w:tcPr>
          <w:p>
            <w:pPr>
              <w:spacing w:before="40" w:after="40"/>
            </w:pPr>
            <w:r>
              <w:rPr>
                <w:color w:val="4a4a4a"/>
                <w:sz w:val="19"/>
              </w:rPr>
              <w:t>5</w:t>
            </w:r>
          </w:p>
        </w:tc>
        <w:tc>
          <w:tcPr>
            <w:tcW w:w="4400" w:type="dxa"/>
          </w:tcPr>
          <w:p>
            <w:pPr>
              <w:spacing w:before="40" w:after="40"/>
            </w:pPr>
            <w:r>
              <w:rPr>
                <w:color w:val="4a4a4a"/>
                <w:sz w:val="19"/>
              </w:rPr>
              <w:t>US reduces naval blockade perimeter by 25%</w:t>
            </w:r>
          </w:p>
        </w:tc>
        <w:tc>
          <w:tcPr>
            <w:tcW w:w="4400" w:type="dxa"/>
          </w:tcPr>
          <w:p>
            <w:pPr>
              <w:spacing w:before="40" w:after="40"/>
            </w:pPr>
            <w:r>
              <w:rPr>
                <w:color w:val="4a4a4a"/>
                <w:sz w:val="19"/>
              </w:rPr>
              <w:t>IAEA confirms installation of continuous monitoring at Natanz</w:t>
            </w:r>
          </w:p>
        </w:tc>
      </w:tr>
      <w:tr>
        <w:tc>
          <w:tcPr>
            <w:tcW w:w="1200" w:type="dxa"/>
          </w:tcPr>
          <w:p>
            <w:pPr>
              <w:spacing w:before="40" w:after="40"/>
            </w:pPr>
            <w:r>
              <w:rPr>
                <w:color w:val="4a4a4a"/>
                <w:sz w:val="19"/>
              </w:rPr>
              <w:t>7</w:t>
            </w:r>
          </w:p>
        </w:tc>
        <w:tc>
          <w:tcPr>
            <w:tcW w:w="4400" w:type="dxa"/>
          </w:tcPr>
          <w:p>
            <w:pPr>
              <w:spacing w:before="40" w:after="40"/>
            </w:pPr>
            <w:r>
              <w:rPr>
                <w:color w:val="4a4a4a"/>
                <w:sz w:val="19"/>
              </w:rPr>
              <w:t>US issues OFAC general license for humanitarian trade (medicine, food, medical equipment)</w:t>
            </w:r>
          </w:p>
        </w:tc>
        <w:tc>
          <w:tcPr>
            <w:tcW w:w="4400" w:type="dxa"/>
          </w:tcPr>
          <w:p>
            <w:pPr>
              <w:spacing w:before="40" w:after="40"/>
            </w:pPr>
            <w:r>
              <w:rPr>
                <w:color w:val="4a4a4a"/>
                <w:sz w:val="19"/>
              </w:rPr>
              <w:t>Iran provides IAEA with complete inventory of HEU cylinder locations and damage data (per Annex P, Article 1)</w:t>
            </w:r>
          </w:p>
        </w:tc>
      </w:tr>
    </w:tbl>
    <w:p>
      <w:pPr>
        <w:pStyle w:val="Heading2"/>
      </w:pPr>
      <w:r>
        <w:t>Week 2 (Days 8-14): Inventory Verification</w:t>
      </w:r>
    </w:p>
    <w:tbl>
      <w:tblPr>
        <w:tblW w:w="5000" w:type="pct"/>
        <w:tblBorders>
          <w:top w:val="single" w:color="1E3A5F" w:sz="8"/>
          <w:left w:val="nil"/>
          <w:bottom w:val="single" w:color="1E3A5F" w:sz="8"/>
          <w:right w:val="nil"/>
          <w:insideH w:val="single" w:color="CCCCCC" w:sz="4"/>
          <w:insideV w:val="nil"/>
        </w:tblBorders>
      </w:tblPr>
      <w:tblGrid>
        <w:gridCol w:w="1200"/>
        <w:gridCol w:w="4400"/>
        <w:gridCol w:w="4400"/>
      </w:tblGrid>
      <w:tr>
        <w:trPr>
          <w:tblHeader/>
        </w:trPr>
        <w:tc>
          <w:tcPr>
            <w:tcW w:w="1200" w:type="dxa"/>
            <w:shd w:val="clear" w:fill="E8EDF2"/>
          </w:tcPr>
          <w:p>
            <w:pPr>
              <w:spacing w:before="40" w:after="40"/>
            </w:pPr>
            <w:r>
              <w:rPr>
                <w:b/>
                <w:color w:val="1a1a1a"/>
                <w:sz w:val="19"/>
              </w:rPr>
              <w:t>Day</w:t>
            </w:r>
          </w:p>
        </w:tc>
        <w:tc>
          <w:tcPr>
            <w:tcW w:w="4400" w:type="dxa"/>
            <w:shd w:val="clear" w:fill="E8EDF2"/>
          </w:tcPr>
          <w:p>
            <w:pPr>
              <w:spacing w:before="40" w:after="40"/>
            </w:pPr>
            <w:r>
              <w:rPr>
                <w:b/>
                <w:color w:val="1a1a1a"/>
                <w:sz w:val="19"/>
              </w:rPr>
              <w:t>Economic Relief / Military Step</w:t>
            </w:r>
          </w:p>
        </w:tc>
        <w:tc>
          <w:tcPr>
            <w:tcW w:w="4400" w:type="dxa"/>
            <w:shd w:val="clear" w:fill="E8EDF2"/>
          </w:tcPr>
          <w:p>
            <w:pPr>
              <w:spacing w:before="40" w:after="40"/>
            </w:pPr>
            <w:r>
              <w:rPr>
                <w:b/>
                <w:color w:val="1a1a1a"/>
                <w:sz w:val="19"/>
              </w:rPr>
              <w:t>Nuclear / Verification Milestone</w:t>
            </w:r>
          </w:p>
        </w:tc>
      </w:tr>
      <w:tr>
        <w:tc>
          <w:tcPr>
            <w:tcW w:w="1200" w:type="dxa"/>
          </w:tcPr>
          <w:p>
            <w:pPr>
              <w:spacing w:before="40" w:after="40"/>
            </w:pPr>
            <w:r>
              <w:rPr>
                <w:color w:val="4a4a4a"/>
                <w:sz w:val="19"/>
              </w:rPr>
              <w:t>8</w:t>
            </w:r>
          </w:p>
        </w:tc>
        <w:tc>
          <w:tcPr>
            <w:tcW w:w="4400" w:type="dxa"/>
          </w:tcPr>
          <w:p>
            <w:pPr>
              <w:spacing w:before="40" w:after="40"/>
            </w:pPr>
            <w:r>
              <w:rPr>
                <w:color w:val="4a4a4a"/>
                <w:sz w:val="19"/>
              </w:rPr>
              <w:t>US releases second asset tranche (10% cumulative, total $10B released)</w:t>
            </w:r>
          </w:p>
        </w:tc>
        <w:tc>
          <w:tcPr>
            <w:tcW w:w="4400" w:type="dxa"/>
          </w:tcPr>
          <w:p>
            <w:pPr>
              <w:spacing w:before="40" w:after="40"/>
            </w:pPr>
            <w:r>
              <w:rPr>
                <w:color w:val="4a4a4a"/>
                <w:sz w:val="19"/>
              </w:rPr>
              <w:t>IAEA confirms physical verification of 25% of HEU cylinders as intact and accounted for</w:t>
            </w:r>
          </w:p>
        </w:tc>
      </w:tr>
      <w:tr>
        <w:tc>
          <w:tcPr>
            <w:tcW w:w="1200" w:type="dxa"/>
          </w:tcPr>
          <w:p>
            <w:pPr>
              <w:spacing w:before="40" w:after="40"/>
            </w:pPr>
            <w:r>
              <w:rPr>
                <w:color w:val="4a4a4a"/>
                <w:sz w:val="19"/>
              </w:rPr>
              <w:t>10</w:t>
            </w:r>
          </w:p>
        </w:tc>
        <w:tc>
          <w:tcPr>
            <w:tcW w:w="4400" w:type="dxa"/>
          </w:tcPr>
          <w:p>
            <w:pPr>
              <w:spacing w:before="40" w:after="40"/>
            </w:pPr>
            <w:r>
              <w:rPr>
                <w:color w:val="4a4a4a"/>
                <w:sz w:val="19"/>
              </w:rPr>
              <w:t>US further reduces naval blockade perimeter by an additional 25% (50% cumulative reduction)</w:t>
            </w:r>
          </w:p>
        </w:tc>
        <w:tc>
          <w:tcPr>
            <w:tcW w:w="4400" w:type="dxa"/>
          </w:tcPr>
          <w:p>
            <w:pPr>
              <w:spacing w:before="40" w:after="40"/>
            </w:pPr>
            <w:r>
              <w:rPr>
                <w:color w:val="4a4a4a"/>
                <w:sz w:val="19"/>
              </w:rPr>
              <w:t>IAEA confirms installation of continuous monitoring at Fordow</w:t>
            </w:r>
          </w:p>
        </w:tc>
      </w:tr>
      <w:tr>
        <w:tc>
          <w:tcPr>
            <w:tcW w:w="1200" w:type="dxa"/>
          </w:tcPr>
          <w:p>
            <w:pPr>
              <w:spacing w:before="40" w:after="40"/>
            </w:pPr>
            <w:r>
              <w:rPr>
                <w:color w:val="4a4a4a"/>
                <w:sz w:val="19"/>
              </w:rPr>
              <w:t>12</w:t>
            </w:r>
          </w:p>
        </w:tc>
        <w:tc>
          <w:tcPr>
            <w:tcW w:w="4400" w:type="dxa"/>
          </w:tcPr>
          <w:p>
            <w:pPr>
              <w:spacing w:before="40" w:after="40"/>
            </w:pPr>
            <w:r>
              <w:rPr>
                <w:color w:val="4a4a4a"/>
                <w:sz w:val="19"/>
              </w:rPr>
              <w:t>US issues sanctions waiver for petrochemical exports</w:t>
            </w:r>
          </w:p>
        </w:tc>
        <w:tc>
          <w:tcPr>
            <w:tcW w:w="4400" w:type="dxa"/>
          </w:tcPr>
          <w:p>
            <w:pPr>
              <w:spacing w:before="40" w:after="40"/>
            </w:pPr>
            <w:r>
              <w:rPr>
                <w:color w:val="4a4a4a"/>
                <w:sz w:val="19"/>
              </w:rPr>
              <w:t>Iran and IAEA complete joint damage assessment (per Annex O, Article 2)</w:t>
            </w:r>
          </w:p>
        </w:tc>
      </w:tr>
      <w:tr>
        <w:tc>
          <w:tcPr>
            <w:tcW w:w="1200" w:type="dxa"/>
          </w:tcPr>
          <w:p>
            <w:pPr>
              <w:spacing w:before="40" w:after="40"/>
            </w:pPr>
            <w:r>
              <w:rPr>
                <w:color w:val="4a4a4a"/>
                <w:sz w:val="19"/>
              </w:rPr>
              <w:t>14</w:t>
            </w:r>
          </w:p>
        </w:tc>
        <w:tc>
          <w:tcPr>
            <w:tcW w:w="4400" w:type="dxa"/>
          </w:tcPr>
          <w:p>
            <w:pPr>
              <w:spacing w:before="40" w:after="40"/>
            </w:pPr>
            <w:r>
              <w:rPr>
                <w:color w:val="4a4a4a"/>
                <w:sz w:val="19"/>
              </w:rPr>
              <w:t>US releases third asset tranche (15% cumulative, total $15B released)</w:t>
            </w:r>
          </w:p>
        </w:tc>
        <w:tc>
          <w:tcPr>
            <w:tcW w:w="4400" w:type="dxa"/>
          </w:tcPr>
          <w:p>
            <w:pPr>
              <w:spacing w:before="40" w:after="40"/>
            </w:pPr>
            <w:r>
              <w:rPr>
                <w:color w:val="4a4a4a"/>
                <w:sz w:val="19"/>
              </w:rPr>
              <w:t>IAEA confirms physical verification of 50% of HEU cylinders as intact and accounted for</w:t>
            </w:r>
          </w:p>
        </w:tc>
      </w:tr>
    </w:tbl>
    <w:p>
      <w:pPr>
        <w:pStyle w:val="Heading2"/>
      </w:pPr>
      <w:r>
        <w:t>Week 3 (Days 15-21): Access and Recovery</w:t>
      </w:r>
    </w:p>
    <w:tbl>
      <w:tblPr>
        <w:tblW w:w="5000" w:type="pct"/>
        <w:tblBorders>
          <w:top w:val="single" w:color="1E3A5F" w:sz="8"/>
          <w:left w:val="nil"/>
          <w:bottom w:val="single" w:color="1E3A5F" w:sz="8"/>
          <w:right w:val="nil"/>
          <w:insideH w:val="single" w:color="CCCCCC" w:sz="4"/>
          <w:insideV w:val="nil"/>
        </w:tblBorders>
      </w:tblPr>
      <w:tblGrid>
        <w:gridCol w:w="1200"/>
        <w:gridCol w:w="4400"/>
        <w:gridCol w:w="4400"/>
      </w:tblGrid>
      <w:tr>
        <w:trPr>
          <w:tblHeader/>
        </w:trPr>
        <w:tc>
          <w:tcPr>
            <w:tcW w:w="1200" w:type="dxa"/>
            <w:shd w:val="clear" w:fill="E8EDF2"/>
          </w:tcPr>
          <w:p>
            <w:pPr>
              <w:spacing w:before="40" w:after="40"/>
            </w:pPr>
            <w:r>
              <w:rPr>
                <w:b/>
                <w:color w:val="1a1a1a"/>
                <w:sz w:val="19"/>
              </w:rPr>
              <w:t>Day</w:t>
            </w:r>
          </w:p>
        </w:tc>
        <w:tc>
          <w:tcPr>
            <w:tcW w:w="4400" w:type="dxa"/>
            <w:shd w:val="clear" w:fill="E8EDF2"/>
          </w:tcPr>
          <w:p>
            <w:pPr>
              <w:spacing w:before="40" w:after="40"/>
            </w:pPr>
            <w:r>
              <w:rPr>
                <w:b/>
                <w:color w:val="1a1a1a"/>
                <w:sz w:val="19"/>
              </w:rPr>
              <w:t>Economic Relief / Military Step</w:t>
            </w:r>
          </w:p>
        </w:tc>
        <w:tc>
          <w:tcPr>
            <w:tcW w:w="4400" w:type="dxa"/>
            <w:shd w:val="clear" w:fill="E8EDF2"/>
          </w:tcPr>
          <w:p>
            <w:pPr>
              <w:spacing w:before="40" w:after="40"/>
            </w:pPr>
            <w:r>
              <w:rPr>
                <w:b/>
                <w:color w:val="1a1a1a"/>
                <w:sz w:val="19"/>
              </w:rPr>
              <w:t>Nuclear / Verification Milestone</w:t>
            </w:r>
          </w:p>
        </w:tc>
      </w:tr>
      <w:tr>
        <w:tc>
          <w:tcPr>
            <w:tcW w:w="1200" w:type="dxa"/>
          </w:tcPr>
          <w:p>
            <w:pPr>
              <w:spacing w:before="40" w:after="40"/>
            </w:pPr>
            <w:r>
              <w:rPr>
                <w:color w:val="4a4a4a"/>
                <w:sz w:val="19"/>
              </w:rPr>
              <w:t>15</w:t>
            </w:r>
          </w:p>
        </w:tc>
        <w:tc>
          <w:tcPr>
            <w:tcW w:w="4400" w:type="dxa"/>
          </w:tcPr>
          <w:p>
            <w:pPr>
              <w:spacing w:before="40" w:after="40"/>
            </w:pPr>
            <w:r>
              <w:rPr>
                <w:color w:val="4a4a4a"/>
                <w:sz w:val="19"/>
              </w:rPr>
              <w:t>US withdraws 25% of naval vessels from the Gulf region</w:t>
            </w:r>
          </w:p>
        </w:tc>
        <w:tc>
          <w:tcPr>
            <w:tcW w:w="4400" w:type="dxa"/>
          </w:tcPr>
          <w:p>
            <w:pPr>
              <w:spacing w:before="40" w:after="40"/>
            </w:pPr>
            <w:r>
              <w:rPr>
                <w:color w:val="4a4a4a"/>
                <w:sz w:val="19"/>
              </w:rPr>
              <w:t>IAEA confirms installation of continuous monitoring at Esfahan damaged areas (remote sensing permitted)</w:t>
            </w:r>
          </w:p>
        </w:tc>
      </w:tr>
      <w:tr>
        <w:tc>
          <w:tcPr>
            <w:tcW w:w="1200" w:type="dxa"/>
          </w:tcPr>
          <w:p>
            <w:pPr>
              <w:spacing w:before="40" w:after="40"/>
            </w:pPr>
            <w:r>
              <w:rPr>
                <w:color w:val="4a4a4a"/>
                <w:sz w:val="19"/>
              </w:rPr>
              <w:t>17</w:t>
            </w:r>
          </w:p>
        </w:tc>
        <w:tc>
          <w:tcPr>
            <w:tcW w:w="4400" w:type="dxa"/>
          </w:tcPr>
          <w:p>
            <w:pPr>
              <w:spacing w:before="40" w:after="40"/>
            </w:pPr>
            <w:r>
              <w:rPr>
                <w:color w:val="4a4a4a"/>
                <w:sz w:val="19"/>
              </w:rPr>
              <w:t>US releases fourth asset tranche (20% cumulative, total $20B released)</w:t>
            </w:r>
          </w:p>
        </w:tc>
        <w:tc>
          <w:tcPr>
            <w:tcW w:w="4400" w:type="dxa"/>
          </w:tcPr>
          <w:p>
            <w:pPr>
              <w:spacing w:before="40" w:after="40"/>
            </w:pPr>
            <w:r>
              <w:rPr>
                <w:color w:val="4a4a4a"/>
                <w:sz w:val="19"/>
              </w:rPr>
              <w:t>IAEA confirms recovery or verification of damaged cylinders (per Annex P, Article 3) or commencement of in-situ monitoring</w:t>
            </w:r>
          </w:p>
        </w:tc>
      </w:tr>
      <w:tr>
        <w:tc>
          <w:tcPr>
            <w:tcW w:w="1200" w:type="dxa"/>
          </w:tcPr>
          <w:p>
            <w:pPr>
              <w:spacing w:before="40" w:after="40"/>
            </w:pPr>
            <w:r>
              <w:rPr>
                <w:color w:val="4a4a4a"/>
                <w:sz w:val="19"/>
              </w:rPr>
              <w:t>19</w:t>
            </w:r>
          </w:p>
        </w:tc>
        <w:tc>
          <w:tcPr>
            <w:tcW w:w="4400" w:type="dxa"/>
          </w:tcPr>
          <w:p>
            <w:pPr>
              <w:spacing w:before="40" w:after="40"/>
            </w:pPr>
            <w:r>
              <w:rPr>
                <w:color w:val="4a4a4a"/>
                <w:sz w:val="19"/>
              </w:rPr>
              <w:t>US issues sanctions waiver for automotive and metals trade</w:t>
            </w:r>
          </w:p>
        </w:tc>
        <w:tc>
          <w:tcPr>
            <w:tcW w:w="4400" w:type="dxa"/>
          </w:tcPr>
          <w:p>
            <w:pPr>
              <w:spacing w:before="40" w:after="40"/>
            </w:pPr>
            <w:r>
              <w:rPr>
                <w:color w:val="4a4a4a"/>
                <w:sz w:val="19"/>
              </w:rPr>
              <w:t>Iran commits in writing to Pathway A (in-country downblending) as default or selects alternative pathway</w:t>
            </w:r>
          </w:p>
        </w:tc>
      </w:tr>
      <w:tr>
        <w:tc>
          <w:tcPr>
            <w:tcW w:w="1200" w:type="dxa"/>
          </w:tcPr>
          <w:p>
            <w:pPr>
              <w:spacing w:before="40" w:after="40"/>
            </w:pPr>
            <w:r>
              <w:rPr>
                <w:color w:val="4a4a4a"/>
                <w:sz w:val="19"/>
              </w:rPr>
              <w:t>21</w:t>
            </w:r>
          </w:p>
        </w:tc>
        <w:tc>
          <w:tcPr>
            <w:tcW w:w="4400" w:type="dxa"/>
          </w:tcPr>
          <w:p>
            <w:pPr>
              <w:spacing w:before="40" w:after="40"/>
            </w:pPr>
            <w:r>
              <w:rPr>
                <w:color w:val="4a4a4a"/>
                <w:sz w:val="19"/>
              </w:rPr>
              <w:t>US releases fifth asset tranche (25% cumulative, total $25B released)</w:t>
            </w:r>
          </w:p>
        </w:tc>
        <w:tc>
          <w:tcPr>
            <w:tcW w:w="4400" w:type="dxa"/>
          </w:tcPr>
          <w:p>
            <w:pPr>
              <w:spacing w:before="40" w:after="40"/>
            </w:pPr>
            <w:r>
              <w:rPr>
                <w:color w:val="4a4a4a"/>
                <w:sz w:val="19"/>
              </w:rPr>
              <w:t>IAEA confirms physical verification of 75% of HEU cylinders as intact and accounted for</w:t>
            </w:r>
          </w:p>
        </w:tc>
      </w:tr>
    </w:tbl>
    <w:p>
      <w:pPr>
        <w:pStyle w:val="Heading2"/>
      </w:pPr>
      <w:r>
        <w:t>Week 4 (Days 22-28): Downblending Commencement</w:t>
      </w:r>
    </w:p>
    <w:tbl>
      <w:tblPr>
        <w:tblW w:w="5000" w:type="pct"/>
        <w:tblBorders>
          <w:top w:val="single" w:color="1E3A5F" w:sz="8"/>
          <w:left w:val="nil"/>
          <w:bottom w:val="single" w:color="1E3A5F" w:sz="8"/>
          <w:right w:val="nil"/>
          <w:insideH w:val="single" w:color="CCCCCC" w:sz="4"/>
          <w:insideV w:val="nil"/>
        </w:tblBorders>
      </w:tblPr>
      <w:tblGrid>
        <w:gridCol w:w="1200"/>
        <w:gridCol w:w="4400"/>
        <w:gridCol w:w="4400"/>
      </w:tblGrid>
      <w:tr>
        <w:trPr>
          <w:tblHeader/>
        </w:trPr>
        <w:tc>
          <w:tcPr>
            <w:tcW w:w="1200" w:type="dxa"/>
            <w:shd w:val="clear" w:fill="E8EDF2"/>
          </w:tcPr>
          <w:p>
            <w:pPr>
              <w:spacing w:before="40" w:after="40"/>
            </w:pPr>
            <w:r>
              <w:rPr>
                <w:b/>
                <w:color w:val="1a1a1a"/>
                <w:sz w:val="19"/>
              </w:rPr>
              <w:t>Day</w:t>
            </w:r>
          </w:p>
        </w:tc>
        <w:tc>
          <w:tcPr>
            <w:tcW w:w="4400" w:type="dxa"/>
            <w:shd w:val="clear" w:fill="E8EDF2"/>
          </w:tcPr>
          <w:p>
            <w:pPr>
              <w:spacing w:before="40" w:after="40"/>
            </w:pPr>
            <w:r>
              <w:rPr>
                <w:b/>
                <w:color w:val="1a1a1a"/>
                <w:sz w:val="19"/>
              </w:rPr>
              <w:t>Economic Relief / Military Step</w:t>
            </w:r>
          </w:p>
        </w:tc>
        <w:tc>
          <w:tcPr>
            <w:tcW w:w="4400" w:type="dxa"/>
            <w:shd w:val="clear" w:fill="E8EDF2"/>
          </w:tcPr>
          <w:p>
            <w:pPr>
              <w:spacing w:before="40" w:after="40"/>
            </w:pPr>
            <w:r>
              <w:rPr>
                <w:b/>
                <w:color w:val="1a1a1a"/>
                <w:sz w:val="19"/>
              </w:rPr>
              <w:t>Nuclear / Verification Milestone</w:t>
            </w:r>
          </w:p>
        </w:tc>
      </w:tr>
      <w:tr>
        <w:tc>
          <w:tcPr>
            <w:tcW w:w="1200" w:type="dxa"/>
          </w:tcPr>
          <w:p>
            <w:pPr>
              <w:spacing w:before="40" w:after="40"/>
            </w:pPr>
            <w:r>
              <w:rPr>
                <w:color w:val="4a4a4a"/>
                <w:sz w:val="19"/>
              </w:rPr>
              <w:t>22</w:t>
            </w:r>
          </w:p>
        </w:tc>
        <w:tc>
          <w:tcPr>
            <w:tcW w:w="4400" w:type="dxa"/>
          </w:tcPr>
          <w:p>
            <w:pPr>
              <w:spacing w:before="40" w:after="40"/>
            </w:pPr>
            <w:r>
              <w:rPr>
                <w:color w:val="4a4a4a"/>
                <w:sz w:val="19"/>
              </w:rPr>
              <w:t>US further withdraws an additional 25% of naval vessels (50% cumulative withdrawal)</w:t>
            </w:r>
          </w:p>
        </w:tc>
        <w:tc>
          <w:tcPr>
            <w:tcW w:w="4400" w:type="dxa"/>
          </w:tcPr>
          <w:p>
            <w:pPr>
              <w:spacing w:before="40" w:after="40"/>
            </w:pPr>
            <w:r>
              <w:rPr>
                <w:color w:val="4a4a4a"/>
                <w:sz w:val="19"/>
              </w:rPr>
              <w:t>IAEA confirms installation of downblending equipment at Esfahan</w:t>
            </w:r>
          </w:p>
        </w:tc>
      </w:tr>
      <w:tr>
        <w:tc>
          <w:tcPr>
            <w:tcW w:w="1200" w:type="dxa"/>
          </w:tcPr>
          <w:p>
            <w:pPr>
              <w:spacing w:before="40" w:after="40"/>
            </w:pPr>
            <w:r>
              <w:rPr>
                <w:color w:val="4a4a4a"/>
                <w:sz w:val="19"/>
              </w:rPr>
              <w:t>24</w:t>
            </w:r>
          </w:p>
        </w:tc>
        <w:tc>
          <w:tcPr>
            <w:tcW w:w="4400" w:type="dxa"/>
          </w:tcPr>
          <w:p>
            <w:pPr>
              <w:spacing w:before="40" w:after="40"/>
            </w:pPr>
            <w:r>
              <w:rPr>
                <w:color w:val="4a4a4a"/>
                <w:sz w:val="19"/>
              </w:rPr>
              <w:t>US releases sixth asset tranche (30% cumulative, total $30B released)</w:t>
            </w:r>
          </w:p>
        </w:tc>
        <w:tc>
          <w:tcPr>
            <w:tcW w:w="4400" w:type="dxa"/>
          </w:tcPr>
          <w:p>
            <w:pPr>
              <w:spacing w:before="40" w:after="40"/>
            </w:pPr>
            <w:r>
              <w:rPr>
                <w:color w:val="4a4a4a"/>
                <w:sz w:val="19"/>
              </w:rPr>
              <w:t>Iran commences downblending of first 25% of accessible HEU cylinders under IAEA supervision</w:t>
            </w:r>
          </w:p>
        </w:tc>
      </w:tr>
      <w:tr>
        <w:tc>
          <w:tcPr>
            <w:tcW w:w="1200" w:type="dxa"/>
          </w:tcPr>
          <w:p>
            <w:pPr>
              <w:spacing w:before="40" w:after="40"/>
            </w:pPr>
            <w:r>
              <w:rPr>
                <w:color w:val="4a4a4a"/>
                <w:sz w:val="19"/>
              </w:rPr>
              <w:t>26</w:t>
            </w:r>
          </w:p>
        </w:tc>
        <w:tc>
          <w:tcPr>
            <w:tcW w:w="4400" w:type="dxa"/>
          </w:tcPr>
          <w:p>
            <w:pPr>
              <w:spacing w:before="40" w:after="40"/>
            </w:pPr>
            <w:r>
              <w:rPr>
                <w:color w:val="4a4a4a"/>
                <w:sz w:val="19"/>
              </w:rPr>
              <w:t>US issues sanctions waiver for gold and precious metals trade</w:t>
            </w:r>
          </w:p>
        </w:tc>
        <w:tc>
          <w:tcPr>
            <w:tcW w:w="4400" w:type="dxa"/>
          </w:tcPr>
          <w:p>
            <w:pPr>
              <w:spacing w:before="40" w:after="40"/>
            </w:pPr>
            <w:r>
              <w:rPr>
                <w:color w:val="4a4a4a"/>
                <w:sz w:val="19"/>
              </w:rPr>
              <w:t>IAEA confirms continuous monitoring of downblending operations</w:t>
            </w:r>
          </w:p>
        </w:tc>
      </w:tr>
      <w:tr>
        <w:tc>
          <w:tcPr>
            <w:tcW w:w="1200" w:type="dxa"/>
          </w:tcPr>
          <w:p>
            <w:pPr>
              <w:spacing w:before="40" w:after="40"/>
            </w:pPr>
            <w:r>
              <w:rPr>
                <w:color w:val="4a4a4a"/>
                <w:sz w:val="19"/>
              </w:rPr>
              <w:t>28</w:t>
            </w:r>
          </w:p>
        </w:tc>
        <w:tc>
          <w:tcPr>
            <w:tcW w:w="4400" w:type="dxa"/>
          </w:tcPr>
          <w:p>
            <w:pPr>
              <w:spacing w:before="40" w:after="40"/>
            </w:pPr>
            <w:r>
              <w:rPr>
                <w:color w:val="4a4a4a"/>
                <w:sz w:val="19"/>
              </w:rPr>
              <w:t>US releases seventh asset tranche (35% cumulative, total $35B released)</w:t>
            </w:r>
          </w:p>
        </w:tc>
        <w:tc>
          <w:tcPr>
            <w:tcW w:w="4400" w:type="dxa"/>
          </w:tcPr>
          <w:p>
            <w:pPr>
              <w:spacing w:before="40" w:after="40"/>
            </w:pPr>
            <w:r>
              <w:rPr>
                <w:color w:val="4a4a4a"/>
                <w:sz w:val="19"/>
              </w:rPr>
              <w:t>IAEA confirms downblending of 25% of HEU stockpile to medical-grade LEU or lower</w:t>
            </w:r>
          </w:p>
        </w:tc>
      </w:tr>
    </w:tbl>
    <w:p>
      <w:pPr>
        <w:pStyle w:val="Heading2"/>
      </w:pPr>
      <w:r>
        <w:t>Week 5 (Days 29-35): Mid-Point Verification</w:t>
      </w:r>
    </w:p>
    <w:tbl>
      <w:tblPr>
        <w:tblW w:w="5000" w:type="pct"/>
        <w:tblBorders>
          <w:top w:val="single" w:color="1E3A5F" w:sz="8"/>
          <w:left w:val="nil"/>
          <w:bottom w:val="single" w:color="1E3A5F" w:sz="8"/>
          <w:right w:val="nil"/>
          <w:insideH w:val="single" w:color="CCCCCC" w:sz="4"/>
          <w:insideV w:val="nil"/>
        </w:tblBorders>
      </w:tblPr>
      <w:tblGrid>
        <w:gridCol w:w="1200"/>
        <w:gridCol w:w="4400"/>
        <w:gridCol w:w="4400"/>
      </w:tblGrid>
      <w:tr>
        <w:trPr>
          <w:tblHeader/>
        </w:trPr>
        <w:tc>
          <w:tcPr>
            <w:tcW w:w="1200" w:type="dxa"/>
            <w:shd w:val="clear" w:fill="E8EDF2"/>
          </w:tcPr>
          <w:p>
            <w:pPr>
              <w:spacing w:before="40" w:after="40"/>
            </w:pPr>
            <w:r>
              <w:rPr>
                <w:b/>
                <w:color w:val="1a1a1a"/>
                <w:sz w:val="19"/>
              </w:rPr>
              <w:t>Day</w:t>
            </w:r>
          </w:p>
        </w:tc>
        <w:tc>
          <w:tcPr>
            <w:tcW w:w="4400" w:type="dxa"/>
            <w:shd w:val="clear" w:fill="E8EDF2"/>
          </w:tcPr>
          <w:p>
            <w:pPr>
              <w:spacing w:before="40" w:after="40"/>
            </w:pPr>
            <w:r>
              <w:rPr>
                <w:b/>
                <w:color w:val="1a1a1a"/>
                <w:sz w:val="19"/>
              </w:rPr>
              <w:t>Economic Relief / Military Step</w:t>
            </w:r>
          </w:p>
        </w:tc>
        <w:tc>
          <w:tcPr>
            <w:tcW w:w="4400" w:type="dxa"/>
            <w:shd w:val="clear" w:fill="E8EDF2"/>
          </w:tcPr>
          <w:p>
            <w:pPr>
              <w:spacing w:before="40" w:after="40"/>
            </w:pPr>
            <w:r>
              <w:rPr>
                <w:b/>
                <w:color w:val="1a1a1a"/>
                <w:sz w:val="19"/>
              </w:rPr>
              <w:t>Nuclear / Verification Milestone</w:t>
            </w:r>
          </w:p>
        </w:tc>
      </w:tr>
      <w:tr>
        <w:tc>
          <w:tcPr>
            <w:tcW w:w="1200" w:type="dxa"/>
          </w:tcPr>
          <w:p>
            <w:pPr>
              <w:spacing w:before="40" w:after="40"/>
            </w:pPr>
            <w:r>
              <w:rPr>
                <w:color w:val="4a4a4a"/>
                <w:sz w:val="19"/>
              </w:rPr>
              <w:t>29</w:t>
            </w:r>
          </w:p>
        </w:tc>
        <w:tc>
          <w:tcPr>
            <w:tcW w:w="4400" w:type="dxa"/>
          </w:tcPr>
          <w:p>
            <w:pPr>
              <w:spacing w:before="40" w:after="40"/>
            </w:pPr>
            <w:r>
              <w:rPr>
                <w:color w:val="4a4a4a"/>
                <w:sz w:val="19"/>
              </w:rPr>
              <w:t>US reduces overflights and surveillance missions by 25%</w:t>
            </w:r>
          </w:p>
        </w:tc>
        <w:tc>
          <w:tcPr>
            <w:tcW w:w="4400" w:type="dxa"/>
          </w:tcPr>
          <w:p>
            <w:pPr>
              <w:spacing w:before="40" w:after="40"/>
            </w:pPr>
            <w:r>
              <w:rPr>
                <w:color w:val="4a4a4a"/>
                <w:sz w:val="19"/>
              </w:rPr>
              <w:t>IAEA confirms installation of continuous monitoring at all declared sites (100% completion)</w:t>
            </w:r>
          </w:p>
        </w:tc>
      </w:tr>
      <w:tr>
        <w:tc>
          <w:tcPr>
            <w:tcW w:w="1200" w:type="dxa"/>
          </w:tcPr>
          <w:p>
            <w:pPr>
              <w:spacing w:before="40" w:after="40"/>
            </w:pPr>
            <w:r>
              <w:rPr>
                <w:color w:val="4a4a4a"/>
                <w:sz w:val="19"/>
              </w:rPr>
              <w:t>31</w:t>
            </w:r>
          </w:p>
        </w:tc>
        <w:tc>
          <w:tcPr>
            <w:tcW w:w="4400" w:type="dxa"/>
          </w:tcPr>
          <w:p>
            <w:pPr>
              <w:spacing w:before="40" w:after="40"/>
            </w:pPr>
            <w:r>
              <w:rPr>
                <w:color w:val="4a4a4a"/>
                <w:sz w:val="19"/>
              </w:rPr>
              <w:t>US releases eighth asset tranche (40% cumulative, total $40B released)</w:t>
            </w:r>
          </w:p>
        </w:tc>
        <w:tc>
          <w:tcPr>
            <w:tcW w:w="4400" w:type="dxa"/>
          </w:tcPr>
          <w:p>
            <w:pPr>
              <w:spacing w:before="40" w:after="40"/>
            </w:pPr>
            <w:r>
              <w:rPr>
                <w:color w:val="4a4a4a"/>
                <w:sz w:val="19"/>
              </w:rPr>
              <w:t>IAEA confirms physical verification of 100% of HEU cylinders (all accessible material accounted for)</w:t>
            </w:r>
          </w:p>
        </w:tc>
      </w:tr>
      <w:tr>
        <w:tc>
          <w:tcPr>
            <w:tcW w:w="1200" w:type="dxa"/>
          </w:tcPr>
          <w:p>
            <w:pPr>
              <w:spacing w:before="40" w:after="40"/>
            </w:pPr>
            <w:r>
              <w:rPr>
                <w:color w:val="4a4a4a"/>
                <w:sz w:val="19"/>
              </w:rPr>
              <w:t>33</w:t>
            </w:r>
          </w:p>
        </w:tc>
        <w:tc>
          <w:tcPr>
            <w:tcW w:w="4400" w:type="dxa"/>
          </w:tcPr>
          <w:p>
            <w:pPr>
              <w:spacing w:before="40" w:after="40"/>
            </w:pPr>
            <w:r>
              <w:rPr>
                <w:color w:val="4a4a4a"/>
                <w:sz w:val="19"/>
              </w:rPr>
              <w:t>US issues sanctions waiver for banking and financial services (Phase 1 SWIFT reconnection)</w:t>
            </w:r>
          </w:p>
        </w:tc>
        <w:tc>
          <w:tcPr>
            <w:tcW w:w="4400" w:type="dxa"/>
          </w:tcPr>
          <w:p>
            <w:pPr>
              <w:spacing w:before="40" w:after="40"/>
            </w:pPr>
            <w:r>
              <w:rPr>
                <w:color w:val="4a4a4a"/>
                <w:sz w:val="19"/>
              </w:rPr>
              <w:t>IAEA confirms downblending of 50% of HEU stockpile</w:t>
            </w:r>
          </w:p>
        </w:tc>
      </w:tr>
      <w:tr>
        <w:tc>
          <w:tcPr>
            <w:tcW w:w="1200" w:type="dxa"/>
          </w:tcPr>
          <w:p>
            <w:pPr>
              <w:spacing w:before="40" w:after="40"/>
            </w:pPr>
            <w:r>
              <w:rPr>
                <w:color w:val="4a4a4a"/>
                <w:sz w:val="19"/>
              </w:rPr>
              <w:t>35</w:t>
            </w:r>
          </w:p>
        </w:tc>
        <w:tc>
          <w:tcPr>
            <w:tcW w:w="4400" w:type="dxa"/>
          </w:tcPr>
          <w:p>
            <w:pPr>
              <w:spacing w:before="40" w:after="40"/>
            </w:pPr>
            <w:r>
              <w:rPr>
                <w:color w:val="4a4a4a"/>
                <w:sz w:val="19"/>
              </w:rPr>
              <w:t>US releases ninth asset tranche (45% cumulative, total $45B released)</w:t>
            </w:r>
          </w:p>
        </w:tc>
        <w:tc>
          <w:tcPr>
            <w:tcW w:w="4400" w:type="dxa"/>
          </w:tcPr>
          <w:p>
            <w:pPr>
              <w:spacing w:before="40" w:after="40"/>
            </w:pPr>
            <w:r>
              <w:rPr>
                <w:color w:val="4a4a4a"/>
                <w:sz w:val="19"/>
              </w:rPr>
              <w:t>Iran provides written affirmation of permanent non-proliferation commitment (Nuclear Dignity Doctrine)</w:t>
            </w:r>
          </w:p>
        </w:tc>
      </w:tr>
    </w:tbl>
    <w:p>
      <w:pPr>
        <w:pStyle w:val="Heading2"/>
      </w:pPr>
      <w:r>
        <w:t>Week 6 (Days 36-42): Advanced Verification</w:t>
      </w:r>
    </w:p>
    <w:tbl>
      <w:tblPr>
        <w:tblW w:w="5000" w:type="pct"/>
        <w:tblBorders>
          <w:top w:val="single" w:color="1E3A5F" w:sz="8"/>
          <w:left w:val="nil"/>
          <w:bottom w:val="single" w:color="1E3A5F" w:sz="8"/>
          <w:right w:val="nil"/>
          <w:insideH w:val="single" w:color="CCCCCC" w:sz="4"/>
          <w:insideV w:val="nil"/>
        </w:tblBorders>
      </w:tblPr>
      <w:tblGrid>
        <w:gridCol w:w="1200"/>
        <w:gridCol w:w="4400"/>
        <w:gridCol w:w="4400"/>
      </w:tblGrid>
      <w:tr>
        <w:trPr>
          <w:tblHeader/>
        </w:trPr>
        <w:tc>
          <w:tcPr>
            <w:tcW w:w="1200" w:type="dxa"/>
            <w:shd w:val="clear" w:fill="E8EDF2"/>
          </w:tcPr>
          <w:p>
            <w:pPr>
              <w:spacing w:before="40" w:after="40"/>
            </w:pPr>
            <w:r>
              <w:rPr>
                <w:b/>
                <w:color w:val="1a1a1a"/>
                <w:sz w:val="19"/>
              </w:rPr>
              <w:t>Day</w:t>
            </w:r>
          </w:p>
        </w:tc>
        <w:tc>
          <w:tcPr>
            <w:tcW w:w="4400" w:type="dxa"/>
            <w:shd w:val="clear" w:fill="E8EDF2"/>
          </w:tcPr>
          <w:p>
            <w:pPr>
              <w:spacing w:before="40" w:after="40"/>
            </w:pPr>
            <w:r>
              <w:rPr>
                <w:b/>
                <w:color w:val="1a1a1a"/>
                <w:sz w:val="19"/>
              </w:rPr>
              <w:t>Economic Relief / Military Step</w:t>
            </w:r>
          </w:p>
        </w:tc>
        <w:tc>
          <w:tcPr>
            <w:tcW w:w="4400" w:type="dxa"/>
            <w:shd w:val="clear" w:fill="E8EDF2"/>
          </w:tcPr>
          <w:p>
            <w:pPr>
              <w:spacing w:before="40" w:after="40"/>
            </w:pPr>
            <w:r>
              <w:rPr>
                <w:b/>
                <w:color w:val="1a1a1a"/>
                <w:sz w:val="19"/>
              </w:rPr>
              <w:t>Nuclear / Verification Milestone</w:t>
            </w:r>
          </w:p>
        </w:tc>
      </w:tr>
      <w:tr>
        <w:tc>
          <w:tcPr>
            <w:tcW w:w="1200" w:type="dxa"/>
          </w:tcPr>
          <w:p>
            <w:pPr>
              <w:spacing w:before="40" w:after="40"/>
            </w:pPr>
            <w:r>
              <w:rPr>
                <w:color w:val="4a4a4a"/>
                <w:sz w:val="19"/>
              </w:rPr>
              <w:t>36</w:t>
            </w:r>
          </w:p>
        </w:tc>
        <w:tc>
          <w:tcPr>
            <w:tcW w:w="4400" w:type="dxa"/>
          </w:tcPr>
          <w:p>
            <w:pPr>
              <w:spacing w:before="40" w:after="40"/>
            </w:pPr>
            <w:r>
              <w:rPr>
                <w:color w:val="4a4a4a"/>
                <w:sz w:val="19"/>
              </w:rPr>
              <w:t>US further reduces overflights by an additional 25% (50% cumulative reduction)</w:t>
            </w:r>
          </w:p>
        </w:tc>
        <w:tc>
          <w:tcPr>
            <w:tcW w:w="4400" w:type="dxa"/>
          </w:tcPr>
          <w:p>
            <w:pPr>
              <w:spacing w:before="40" w:after="40"/>
            </w:pPr>
            <w:r>
              <w:rPr>
                <w:color w:val="4a4a4a"/>
                <w:sz w:val="19"/>
              </w:rPr>
              <w:t>IAEA confirms downblending of 60% of HEU stockpile</w:t>
            </w:r>
          </w:p>
        </w:tc>
      </w:tr>
      <w:tr>
        <w:tc>
          <w:tcPr>
            <w:tcW w:w="1200" w:type="dxa"/>
          </w:tcPr>
          <w:p>
            <w:pPr>
              <w:spacing w:before="40" w:after="40"/>
            </w:pPr>
            <w:r>
              <w:rPr>
                <w:color w:val="4a4a4a"/>
                <w:sz w:val="19"/>
              </w:rPr>
              <w:t>38</w:t>
            </w:r>
          </w:p>
        </w:tc>
        <w:tc>
          <w:tcPr>
            <w:tcW w:w="4400" w:type="dxa"/>
          </w:tcPr>
          <w:p>
            <w:pPr>
              <w:spacing w:before="40" w:after="40"/>
            </w:pPr>
            <w:r>
              <w:rPr>
                <w:color w:val="4a4a4a"/>
                <w:sz w:val="19"/>
              </w:rPr>
              <w:t>US releases tenth asset tranche (50% cumulative, total $50B released)</w:t>
            </w:r>
          </w:p>
        </w:tc>
        <w:tc>
          <w:tcPr>
            <w:tcW w:w="4400" w:type="dxa"/>
          </w:tcPr>
          <w:p>
            <w:pPr>
              <w:spacing w:before="40" w:after="40"/>
            </w:pPr>
            <w:r>
              <w:rPr>
                <w:color w:val="4a4a4a"/>
                <w:sz w:val="19"/>
              </w:rPr>
              <w:t>Iran permits IAEA complementary access inspections under Additional Protocol authority</w:t>
            </w:r>
          </w:p>
        </w:tc>
      </w:tr>
      <w:tr>
        <w:tc>
          <w:tcPr>
            <w:tcW w:w="1200" w:type="dxa"/>
          </w:tcPr>
          <w:p>
            <w:pPr>
              <w:spacing w:before="40" w:after="40"/>
            </w:pPr>
            <w:r>
              <w:rPr>
                <w:color w:val="4a4a4a"/>
                <w:sz w:val="19"/>
              </w:rPr>
              <w:t>40</w:t>
            </w:r>
          </w:p>
        </w:tc>
        <w:tc>
          <w:tcPr>
            <w:tcW w:w="4400" w:type="dxa"/>
          </w:tcPr>
          <w:p>
            <w:pPr>
              <w:spacing w:before="40" w:after="40"/>
            </w:pPr>
            <w:r>
              <w:rPr>
                <w:color w:val="4a4a4a"/>
                <w:sz w:val="19"/>
              </w:rPr>
              <w:t>US issues full SWIFT reconnection authorization (Phase 2)</w:t>
            </w:r>
          </w:p>
        </w:tc>
        <w:tc>
          <w:tcPr>
            <w:tcW w:w="4400" w:type="dxa"/>
          </w:tcPr>
          <w:p>
            <w:pPr>
              <w:spacing w:before="40" w:after="40"/>
            </w:pPr>
            <w:r>
              <w:rPr>
                <w:color w:val="4a4a4a"/>
                <w:sz w:val="19"/>
              </w:rPr>
              <w:t>IAEA confirms downblending of 75% of HEU stockpile</w:t>
            </w:r>
          </w:p>
        </w:tc>
      </w:tr>
      <w:tr>
        <w:tc>
          <w:tcPr>
            <w:tcW w:w="1200" w:type="dxa"/>
          </w:tcPr>
          <w:p>
            <w:pPr>
              <w:spacing w:before="40" w:after="40"/>
            </w:pPr>
            <w:r>
              <w:rPr>
                <w:color w:val="4a4a4a"/>
                <w:sz w:val="19"/>
              </w:rPr>
              <w:t>42</w:t>
            </w:r>
          </w:p>
        </w:tc>
        <w:tc>
          <w:tcPr>
            <w:tcW w:w="4400" w:type="dxa"/>
          </w:tcPr>
          <w:p>
            <w:pPr>
              <w:spacing w:before="40" w:after="40"/>
            </w:pPr>
            <w:r>
              <w:rPr>
                <w:color w:val="4a4a4a"/>
                <w:sz w:val="19"/>
              </w:rPr>
              <w:t>US releases eleventh asset tranche (55% cumulative, total $55B released)</w:t>
            </w:r>
          </w:p>
        </w:tc>
        <w:tc>
          <w:tcPr>
            <w:tcW w:w="4400" w:type="dxa"/>
          </w:tcPr>
          <w:p>
            <w:pPr>
              <w:spacing w:before="40" w:after="40"/>
            </w:pPr>
            <w:r>
              <w:rPr>
                <w:color w:val="4a4a4a"/>
                <w:sz w:val="19"/>
              </w:rPr>
              <w:t>IAEA confirms no diversion of fissile material; environmental sampling clean</w:t>
            </w:r>
          </w:p>
        </w:tc>
      </w:tr>
    </w:tbl>
    <w:p>
      <w:pPr>
        <w:pStyle w:val="Heading2"/>
      </w:pPr>
      <w:r>
        <w:t>Week 7 (Days 43-49): Final Downblending</w:t>
      </w:r>
    </w:p>
    <w:tbl>
      <w:tblPr>
        <w:tblW w:w="5000" w:type="pct"/>
        <w:tblBorders>
          <w:top w:val="single" w:color="1E3A5F" w:sz="8"/>
          <w:left w:val="nil"/>
          <w:bottom w:val="single" w:color="1E3A5F" w:sz="8"/>
          <w:right w:val="nil"/>
          <w:insideH w:val="single" w:color="CCCCCC" w:sz="4"/>
          <w:insideV w:val="nil"/>
        </w:tblBorders>
      </w:tblPr>
      <w:tblGrid>
        <w:gridCol w:w="1200"/>
        <w:gridCol w:w="4400"/>
        <w:gridCol w:w="4400"/>
      </w:tblGrid>
      <w:tr>
        <w:trPr>
          <w:tblHeader/>
        </w:trPr>
        <w:tc>
          <w:tcPr>
            <w:tcW w:w="1200" w:type="dxa"/>
            <w:shd w:val="clear" w:fill="E8EDF2"/>
          </w:tcPr>
          <w:p>
            <w:pPr>
              <w:spacing w:before="40" w:after="40"/>
            </w:pPr>
            <w:r>
              <w:rPr>
                <w:b/>
                <w:color w:val="1a1a1a"/>
                <w:sz w:val="19"/>
              </w:rPr>
              <w:t>Day</w:t>
            </w:r>
          </w:p>
        </w:tc>
        <w:tc>
          <w:tcPr>
            <w:tcW w:w="4400" w:type="dxa"/>
            <w:shd w:val="clear" w:fill="E8EDF2"/>
          </w:tcPr>
          <w:p>
            <w:pPr>
              <w:spacing w:before="40" w:after="40"/>
            </w:pPr>
            <w:r>
              <w:rPr>
                <w:b/>
                <w:color w:val="1a1a1a"/>
                <w:sz w:val="19"/>
              </w:rPr>
              <w:t>Economic Relief / Military Step</w:t>
            </w:r>
          </w:p>
        </w:tc>
        <w:tc>
          <w:tcPr>
            <w:tcW w:w="4400" w:type="dxa"/>
            <w:shd w:val="clear" w:fill="E8EDF2"/>
          </w:tcPr>
          <w:p>
            <w:pPr>
              <w:spacing w:before="40" w:after="40"/>
            </w:pPr>
            <w:r>
              <w:rPr>
                <w:b/>
                <w:color w:val="1a1a1a"/>
                <w:sz w:val="19"/>
              </w:rPr>
              <w:t>Nuclear / Verification Milestone</w:t>
            </w:r>
          </w:p>
        </w:tc>
      </w:tr>
      <w:tr>
        <w:tc>
          <w:tcPr>
            <w:tcW w:w="1200" w:type="dxa"/>
          </w:tcPr>
          <w:p>
            <w:pPr>
              <w:spacing w:before="40" w:after="40"/>
            </w:pPr>
            <w:r>
              <w:rPr>
                <w:color w:val="4a4a4a"/>
                <w:sz w:val="19"/>
              </w:rPr>
              <w:t>43</w:t>
            </w:r>
          </w:p>
        </w:tc>
        <w:tc>
          <w:tcPr>
            <w:tcW w:w="4400" w:type="dxa"/>
          </w:tcPr>
          <w:p>
            <w:pPr>
              <w:spacing w:before="40" w:after="40"/>
            </w:pPr>
            <w:r>
              <w:rPr>
                <w:color w:val="4a4a4a"/>
                <w:sz w:val="19"/>
              </w:rPr>
              <w:t>US withdraws remaining naval vessels to pre-crisis posture (100% of agreed withdrawal)</w:t>
            </w:r>
          </w:p>
        </w:tc>
        <w:tc>
          <w:tcPr>
            <w:tcW w:w="4400" w:type="dxa"/>
          </w:tcPr>
          <w:p>
            <w:pPr>
              <w:spacing w:before="40" w:after="40"/>
            </w:pPr>
            <w:r>
              <w:rPr>
                <w:color w:val="4a4a4a"/>
                <w:sz w:val="19"/>
              </w:rPr>
              <w:t>IAEA confirms downblending of 85% of HEU stockpile</w:t>
            </w:r>
          </w:p>
        </w:tc>
      </w:tr>
      <w:tr>
        <w:tc>
          <w:tcPr>
            <w:tcW w:w="1200" w:type="dxa"/>
          </w:tcPr>
          <w:p>
            <w:pPr>
              <w:spacing w:before="40" w:after="40"/>
            </w:pPr>
            <w:r>
              <w:rPr>
                <w:color w:val="4a4a4a"/>
                <w:sz w:val="19"/>
              </w:rPr>
              <w:t>45</w:t>
            </w:r>
          </w:p>
        </w:tc>
        <w:tc>
          <w:tcPr>
            <w:tcW w:w="4400" w:type="dxa"/>
          </w:tcPr>
          <w:p>
            <w:pPr>
              <w:spacing w:before="40" w:after="40"/>
            </w:pPr>
            <w:r>
              <w:rPr>
                <w:color w:val="4a4a4a"/>
                <w:sz w:val="19"/>
              </w:rPr>
              <w:t>Day 45 Circuit Breaker (per Addendum A-1) - If no agreement on final disposition, Pathway A default activates</w:t>
            </w:r>
          </w:p>
        </w:tc>
        <w:tc>
          <w:tcPr>
            <w:tcW w:w="4400" w:type="dxa"/>
          </w:tcPr>
          <w:p>
            <w:pPr>
              <w:spacing w:before="40" w:after="40"/>
            </w:pPr>
            <w:r>
              <w:rPr>
                <w:color w:val="4a4a4a"/>
                <w:sz w:val="19"/>
              </w:rPr>
              <w:t>IAEA confirms downblending of 90% of HEU stockpile</w:t>
            </w:r>
          </w:p>
        </w:tc>
      </w:tr>
      <w:tr>
        <w:tc>
          <w:tcPr>
            <w:tcW w:w="1200" w:type="dxa"/>
          </w:tcPr>
          <w:p>
            <w:pPr>
              <w:spacing w:before="40" w:after="40"/>
            </w:pPr>
            <w:r>
              <w:rPr>
                <w:color w:val="4a4a4a"/>
                <w:sz w:val="19"/>
              </w:rPr>
              <w:t>47</w:t>
            </w:r>
          </w:p>
        </w:tc>
        <w:tc>
          <w:tcPr>
            <w:tcW w:w="4400" w:type="dxa"/>
          </w:tcPr>
          <w:p>
            <w:pPr>
              <w:spacing w:before="40" w:after="40"/>
            </w:pPr>
            <w:r>
              <w:rPr>
                <w:color w:val="4a4a4a"/>
                <w:sz w:val="19"/>
              </w:rPr>
              <w:t>US releases twelfth asset tranche (60% cumulative, total $60B released)</w:t>
            </w:r>
          </w:p>
        </w:tc>
        <w:tc>
          <w:tcPr>
            <w:tcW w:w="4400" w:type="dxa"/>
          </w:tcPr>
          <w:p>
            <w:pPr>
              <w:spacing w:before="40" w:after="40"/>
            </w:pPr>
            <w:r>
              <w:rPr>
                <w:color w:val="4a4a4a"/>
                <w:sz w:val="19"/>
              </w:rPr>
              <w:t>IAEA confirms downblending of 95% of HEU stockpile</w:t>
            </w:r>
          </w:p>
        </w:tc>
      </w:tr>
      <w:tr>
        <w:tc>
          <w:tcPr>
            <w:tcW w:w="1200" w:type="dxa"/>
          </w:tcPr>
          <w:p>
            <w:pPr>
              <w:spacing w:before="40" w:after="40"/>
            </w:pPr>
            <w:r>
              <w:rPr>
                <w:color w:val="4a4a4a"/>
                <w:sz w:val="19"/>
              </w:rPr>
              <w:t>49</w:t>
            </w:r>
          </w:p>
        </w:tc>
        <w:tc>
          <w:tcPr>
            <w:tcW w:w="4400" w:type="dxa"/>
          </w:tcPr>
          <w:p>
            <w:pPr>
              <w:spacing w:before="40" w:after="40"/>
            </w:pPr>
            <w:r>
              <w:rPr>
                <w:color w:val="4a4a4a"/>
                <w:sz w:val="19"/>
              </w:rPr>
              <w:t>US issues full sanctions relief for all nuclear-related sanctions</w:t>
            </w:r>
          </w:p>
        </w:tc>
        <w:tc>
          <w:tcPr>
            <w:tcW w:w="4400" w:type="dxa"/>
          </w:tcPr>
          <w:p>
            <w:pPr>
              <w:spacing w:before="40" w:after="40"/>
            </w:pPr>
            <w:r>
              <w:rPr>
                <w:color w:val="4a4a4a"/>
                <w:sz w:val="19"/>
              </w:rPr>
              <w:t>IAEA confirms downblending of 100% of HEU stockpile to medical-grade LEU or lower</w:t>
            </w:r>
          </w:p>
        </w:tc>
      </w:tr>
    </w:tbl>
    <w:p>
      <w:pPr>
        <w:pStyle w:val="Heading2"/>
      </w:pPr>
      <w:r>
        <w:t>Week 8 (Days 50-60): Close-Out</w:t>
      </w:r>
    </w:p>
    <w:tbl>
      <w:tblPr>
        <w:tblW w:w="5000" w:type="pct"/>
        <w:tblBorders>
          <w:top w:val="single" w:color="1E3A5F" w:sz="8"/>
          <w:left w:val="nil"/>
          <w:bottom w:val="single" w:color="1E3A5F" w:sz="8"/>
          <w:right w:val="nil"/>
          <w:insideH w:val="single" w:color="CCCCCC" w:sz="4"/>
          <w:insideV w:val="nil"/>
        </w:tblBorders>
      </w:tblPr>
      <w:tblGrid>
        <w:gridCol w:w="1200"/>
        <w:gridCol w:w="4400"/>
        <w:gridCol w:w="4400"/>
      </w:tblGrid>
      <w:tr>
        <w:trPr>
          <w:tblHeader/>
        </w:trPr>
        <w:tc>
          <w:tcPr>
            <w:tcW w:w="1200" w:type="dxa"/>
            <w:shd w:val="clear" w:fill="E8EDF2"/>
          </w:tcPr>
          <w:p>
            <w:pPr>
              <w:spacing w:before="40" w:after="40"/>
            </w:pPr>
            <w:r>
              <w:rPr>
                <w:b/>
                <w:color w:val="1a1a1a"/>
                <w:sz w:val="19"/>
              </w:rPr>
              <w:t>Day</w:t>
            </w:r>
          </w:p>
        </w:tc>
        <w:tc>
          <w:tcPr>
            <w:tcW w:w="4400" w:type="dxa"/>
            <w:shd w:val="clear" w:fill="E8EDF2"/>
          </w:tcPr>
          <w:p>
            <w:pPr>
              <w:spacing w:before="40" w:after="40"/>
            </w:pPr>
            <w:r>
              <w:rPr>
                <w:b/>
                <w:color w:val="1a1a1a"/>
                <w:sz w:val="19"/>
              </w:rPr>
              <w:t>Economic Relief / Military Step</w:t>
            </w:r>
          </w:p>
        </w:tc>
        <w:tc>
          <w:tcPr>
            <w:tcW w:w="4400" w:type="dxa"/>
            <w:shd w:val="clear" w:fill="E8EDF2"/>
          </w:tcPr>
          <w:p>
            <w:pPr>
              <w:spacing w:before="40" w:after="40"/>
            </w:pPr>
            <w:r>
              <w:rPr>
                <w:b/>
                <w:color w:val="1a1a1a"/>
                <w:sz w:val="19"/>
              </w:rPr>
              <w:t>Nuclear / Verification Milestone</w:t>
            </w:r>
          </w:p>
        </w:tc>
      </w:tr>
      <w:tr>
        <w:tc>
          <w:tcPr>
            <w:tcW w:w="1200" w:type="dxa"/>
          </w:tcPr>
          <w:p>
            <w:pPr>
              <w:spacing w:before="40" w:after="40"/>
            </w:pPr>
            <w:r>
              <w:rPr>
                <w:color w:val="4a4a4a"/>
                <w:sz w:val="19"/>
              </w:rPr>
              <w:t>50</w:t>
            </w:r>
          </w:p>
        </w:tc>
        <w:tc>
          <w:tcPr>
            <w:tcW w:w="4400" w:type="dxa"/>
          </w:tcPr>
          <w:p>
            <w:pPr>
              <w:spacing w:before="40" w:after="40"/>
            </w:pPr>
            <w:r>
              <w:rPr>
                <w:color w:val="4a4a4a"/>
                <w:sz w:val="19"/>
              </w:rPr>
              <w:t>US releases thirteenth asset tranche (65% cumulative, total $65B released)</w:t>
            </w:r>
          </w:p>
        </w:tc>
        <w:tc>
          <w:tcPr>
            <w:tcW w:w="4400" w:type="dxa"/>
          </w:tcPr>
          <w:p>
            <w:pPr>
              <w:spacing w:before="40" w:after="40"/>
            </w:pPr>
            <w:r>
              <w:rPr>
                <w:color w:val="4a4a4a"/>
                <w:sz w:val="19"/>
              </w:rPr>
              <w:t>IAEA issues interim compliance certification</w:t>
            </w:r>
          </w:p>
        </w:tc>
      </w:tr>
      <w:tr>
        <w:tc>
          <w:tcPr>
            <w:tcW w:w="1200" w:type="dxa"/>
          </w:tcPr>
          <w:p>
            <w:pPr>
              <w:spacing w:before="40" w:after="40"/>
            </w:pPr>
            <w:r>
              <w:rPr>
                <w:color w:val="4a4a4a"/>
                <w:sz w:val="19"/>
              </w:rPr>
              <w:t>55</w:t>
            </w:r>
          </w:p>
        </w:tc>
        <w:tc>
          <w:tcPr>
            <w:tcW w:w="4400" w:type="dxa"/>
          </w:tcPr>
          <w:p>
            <w:pPr>
              <w:spacing w:before="40" w:after="40"/>
            </w:pPr>
            <w:r>
              <w:rPr>
                <w:color w:val="4a4a4a"/>
                <w:sz w:val="19"/>
              </w:rPr>
              <w:t>US releases fourteenth asset tranche (70% cumulative, total $70B released)</w:t>
            </w:r>
          </w:p>
        </w:tc>
        <w:tc>
          <w:tcPr>
            <w:tcW w:w="4400" w:type="dxa"/>
          </w:tcPr>
          <w:p>
            <w:pPr>
              <w:spacing w:before="40" w:after="40"/>
            </w:pPr>
            <w:r>
              <w:rPr>
                <w:color w:val="4a4a4a"/>
                <w:sz w:val="19"/>
              </w:rPr>
              <w:t>PCC convenes final 60-day review conference</w:t>
            </w:r>
          </w:p>
        </w:tc>
      </w:tr>
      <w:tr>
        <w:tc>
          <w:tcPr>
            <w:tcW w:w="1200" w:type="dxa"/>
          </w:tcPr>
          <w:p>
            <w:pPr>
              <w:spacing w:before="40" w:after="40"/>
            </w:pPr>
            <w:r>
              <w:rPr>
                <w:color w:val="4a4a4a"/>
                <w:sz w:val="19"/>
              </w:rPr>
              <w:t>60</w:t>
            </w:r>
          </w:p>
        </w:tc>
        <w:tc>
          <w:tcPr>
            <w:tcW w:w="4400" w:type="dxa"/>
          </w:tcPr>
          <w:p>
            <w:pPr>
              <w:spacing w:before="40" w:after="40"/>
            </w:pPr>
            <w:r>
              <w:rPr>
                <w:color w:val="4a4a4a"/>
                <w:sz w:val="19"/>
              </w:rPr>
              <w:t>US releases remaining asset tranches (up to 100% cumulative, approximately $100B total)</w:t>
            </w:r>
          </w:p>
        </w:tc>
        <w:tc>
          <w:tcPr>
            <w:tcW w:w="4400" w:type="dxa"/>
          </w:tcPr>
          <w:p>
            <w:pPr>
              <w:spacing w:before="40" w:after="40"/>
            </w:pPr>
            <w:r>
              <w:rPr>
                <w:color w:val="4a4a4a"/>
                <w:sz w:val="19"/>
              </w:rPr>
              <w:t>IAEA issues full 60-day compliance certification; Phase III permanent architecture negotiations begin</w:t>
            </w:r>
          </w:p>
        </w:tc>
      </w:tr>
    </w:tbl>
    <w:p>
      <w:pPr>
        <w:pStyle w:val="Heading2"/>
      </w:pPr>
      <w:r>
        <w:t>Cumulative Progress Summary</w:t>
      </w:r>
    </w:p>
    <w:tbl>
      <w:tblPr>
        <w:tblW w:w="5000" w:type="pct"/>
        <w:tblBorders>
          <w:top w:val="single" w:color="1E3A5F" w:sz="8"/>
          <w:left w:val="nil"/>
          <w:bottom w:val="single" w:color="1E3A5F" w:sz="8"/>
          <w:right w:val="nil"/>
          <w:insideH w:val="single" w:color="CCCCCC" w:sz="4"/>
          <w:insideV w:val="nil"/>
        </w:tblBorders>
      </w:tblPr>
      <w:tblGrid>
        <w:gridCol w:w="1400"/>
        <w:gridCol w:w="2000"/>
        <w:gridCol w:w="2600"/>
        <w:gridCol w:w="2000"/>
        <w:gridCol w:w="2000"/>
      </w:tblGrid>
      <w:tr>
        <w:trPr>
          <w:tblHeader/>
        </w:trPr>
        <w:tc>
          <w:tcPr>
            <w:tcW w:w="1400" w:type="dxa"/>
            <w:shd w:val="clear" w:fill="E8EDF2"/>
          </w:tcPr>
          <w:p>
            <w:pPr>
              <w:spacing w:before="40" w:after="40"/>
            </w:pPr>
            <w:r>
              <w:rPr>
                <w:b/>
                <w:color w:val="1a1a1a"/>
                <w:sz w:val="19"/>
              </w:rPr>
              <w:t>Week</w:t>
            </w:r>
          </w:p>
        </w:tc>
        <w:tc>
          <w:tcPr>
            <w:tcW w:w="2000" w:type="dxa"/>
            <w:shd w:val="clear" w:fill="E8EDF2"/>
          </w:tcPr>
          <w:p>
            <w:pPr>
              <w:spacing w:before="40" w:after="40"/>
            </w:pPr>
            <w:r>
              <w:rPr>
                <w:b/>
                <w:color w:val="1a1a1a"/>
                <w:sz w:val="19"/>
              </w:rPr>
              <w:t>Cumulative Asset Release</w:t>
            </w:r>
          </w:p>
        </w:tc>
        <w:tc>
          <w:tcPr>
            <w:tcW w:w="2600" w:type="dxa"/>
            <w:shd w:val="clear" w:fill="E8EDF2"/>
          </w:tcPr>
          <w:p>
            <w:pPr>
              <w:spacing w:before="40" w:after="40"/>
            </w:pPr>
            <w:r>
              <w:rPr>
                <w:b/>
                <w:color w:val="1a1a1a"/>
                <w:sz w:val="19"/>
              </w:rPr>
              <w:t>Cumulative HEU Verification</w:t>
            </w:r>
          </w:p>
        </w:tc>
        <w:tc>
          <w:tcPr>
            <w:tcW w:w="2000" w:type="dxa"/>
            <w:shd w:val="clear" w:fill="E8EDF2"/>
          </w:tcPr>
          <w:p>
            <w:pPr>
              <w:spacing w:before="40" w:after="40"/>
            </w:pPr>
            <w:r>
              <w:rPr>
                <w:b/>
                <w:color w:val="1a1a1a"/>
                <w:sz w:val="19"/>
              </w:rPr>
              <w:t>Downblending</w:t>
            </w:r>
          </w:p>
        </w:tc>
        <w:tc>
          <w:tcPr>
            <w:tcW w:w="2000" w:type="dxa"/>
            <w:shd w:val="clear" w:fill="E8EDF2"/>
          </w:tcPr>
          <w:p>
            <w:pPr>
              <w:spacing w:before="40" w:after="40"/>
            </w:pPr>
            <w:r>
              <w:rPr>
                <w:b/>
                <w:color w:val="1a1a1a"/>
                <w:sz w:val="19"/>
              </w:rPr>
              <w:t>Military De-escalation</w:t>
            </w:r>
          </w:p>
        </w:tc>
      </w:tr>
      <w:tr>
        <w:tc>
          <w:tcPr>
            <w:tcW w:w="1400" w:type="dxa"/>
          </w:tcPr>
          <w:p>
            <w:pPr>
              <w:spacing w:before="40" w:after="40"/>
            </w:pPr>
            <w:r>
              <w:rPr>
                <w:color w:val="4a4a4a"/>
                <w:sz w:val="19"/>
              </w:rPr>
              <w:t>Week 1</w:t>
            </w:r>
          </w:p>
        </w:tc>
        <w:tc>
          <w:tcPr>
            <w:tcW w:w="2000" w:type="dxa"/>
          </w:tcPr>
          <w:p>
            <w:pPr>
              <w:spacing w:before="40" w:after="40"/>
            </w:pPr>
            <w:r>
              <w:rPr>
                <w:color w:val="4a4a4a"/>
                <w:sz w:val="19"/>
              </w:rPr>
              <w:t>5% (~$5B)</w:t>
            </w:r>
          </w:p>
        </w:tc>
        <w:tc>
          <w:tcPr>
            <w:tcW w:w="2600" w:type="dxa"/>
          </w:tcPr>
          <w:p>
            <w:pPr>
              <w:spacing w:before="40" w:after="40"/>
            </w:pPr>
            <w:r>
              <w:rPr>
                <w:color w:val="4a4a4a"/>
                <w:sz w:val="19"/>
              </w:rPr>
              <w:t>Access granted; damage assessment begun</w:t>
            </w:r>
          </w:p>
        </w:tc>
        <w:tc>
          <w:tcPr>
            <w:tcW w:w="2000" w:type="dxa"/>
          </w:tcPr>
          <w:p>
            <w:pPr>
              <w:spacing w:before="40" w:after="40"/>
            </w:pPr>
            <w:r>
              <w:rPr>
                <w:color w:val="4a4a4a"/>
                <w:sz w:val="19"/>
              </w:rPr>
              <w:t>-</w:t>
            </w:r>
          </w:p>
        </w:tc>
        <w:tc>
          <w:tcPr>
            <w:tcW w:w="2000" w:type="dxa"/>
          </w:tcPr>
          <w:p>
            <w:pPr>
              <w:spacing w:before="40" w:after="40"/>
            </w:pPr>
            <w:r>
              <w:rPr>
                <w:color w:val="4a4a4a"/>
                <w:sz w:val="19"/>
              </w:rPr>
              <w:t>Blockade -25%</w:t>
            </w:r>
          </w:p>
        </w:tc>
      </w:tr>
      <w:tr>
        <w:tc>
          <w:tcPr>
            <w:tcW w:w="1400" w:type="dxa"/>
          </w:tcPr>
          <w:p>
            <w:pPr>
              <w:spacing w:before="40" w:after="40"/>
            </w:pPr>
            <w:r>
              <w:rPr>
                <w:color w:val="4a4a4a"/>
                <w:sz w:val="19"/>
              </w:rPr>
              <w:t>Week 2</w:t>
            </w:r>
          </w:p>
        </w:tc>
        <w:tc>
          <w:tcPr>
            <w:tcW w:w="2000" w:type="dxa"/>
          </w:tcPr>
          <w:p>
            <w:pPr>
              <w:spacing w:before="40" w:after="40"/>
            </w:pPr>
            <w:r>
              <w:rPr>
                <w:color w:val="4a4a4a"/>
                <w:sz w:val="19"/>
              </w:rPr>
              <w:t>15% (~$15B)</w:t>
            </w:r>
          </w:p>
        </w:tc>
        <w:tc>
          <w:tcPr>
            <w:tcW w:w="2600" w:type="dxa"/>
          </w:tcPr>
          <w:p>
            <w:pPr>
              <w:spacing w:before="40" w:after="40"/>
            </w:pPr>
            <w:r>
              <w:rPr>
                <w:color w:val="4a4a4a"/>
                <w:sz w:val="19"/>
              </w:rPr>
              <w:t>50% cylinders verified</w:t>
            </w:r>
          </w:p>
        </w:tc>
        <w:tc>
          <w:tcPr>
            <w:tcW w:w="2000" w:type="dxa"/>
          </w:tcPr>
          <w:p>
            <w:pPr>
              <w:spacing w:before="40" w:after="40"/>
            </w:pPr>
            <w:r>
              <w:rPr>
                <w:color w:val="4a4a4a"/>
                <w:sz w:val="19"/>
              </w:rPr>
              <w:t>-</w:t>
            </w:r>
          </w:p>
        </w:tc>
        <w:tc>
          <w:tcPr>
            <w:tcW w:w="2000" w:type="dxa"/>
          </w:tcPr>
          <w:p>
            <w:pPr>
              <w:spacing w:before="40" w:after="40"/>
            </w:pPr>
            <w:r>
              <w:rPr>
                <w:color w:val="4a4a4a"/>
                <w:sz w:val="19"/>
              </w:rPr>
              <w:t>Blockade -50%</w:t>
            </w:r>
          </w:p>
        </w:tc>
      </w:tr>
      <w:tr>
        <w:tc>
          <w:tcPr>
            <w:tcW w:w="1400" w:type="dxa"/>
          </w:tcPr>
          <w:p>
            <w:pPr>
              <w:spacing w:before="40" w:after="40"/>
            </w:pPr>
            <w:r>
              <w:rPr>
                <w:color w:val="4a4a4a"/>
                <w:sz w:val="19"/>
              </w:rPr>
              <w:t>Week 3</w:t>
            </w:r>
          </w:p>
        </w:tc>
        <w:tc>
          <w:tcPr>
            <w:tcW w:w="2000" w:type="dxa"/>
          </w:tcPr>
          <w:p>
            <w:pPr>
              <w:spacing w:before="40" w:after="40"/>
            </w:pPr>
            <w:r>
              <w:rPr>
                <w:color w:val="4a4a4a"/>
                <w:sz w:val="19"/>
              </w:rPr>
              <w:t>25% (~$25B)</w:t>
            </w:r>
          </w:p>
        </w:tc>
        <w:tc>
          <w:tcPr>
            <w:tcW w:w="2600" w:type="dxa"/>
          </w:tcPr>
          <w:p>
            <w:pPr>
              <w:spacing w:before="40" w:after="40"/>
            </w:pPr>
            <w:r>
              <w:rPr>
                <w:color w:val="4a4a4a"/>
                <w:sz w:val="19"/>
              </w:rPr>
              <w:t>75% cylinders verified</w:t>
            </w:r>
          </w:p>
        </w:tc>
        <w:tc>
          <w:tcPr>
            <w:tcW w:w="2000" w:type="dxa"/>
          </w:tcPr>
          <w:p>
            <w:pPr>
              <w:spacing w:before="40" w:after="40"/>
            </w:pPr>
            <w:r>
              <w:rPr>
                <w:color w:val="4a4a4a"/>
                <w:sz w:val="19"/>
              </w:rPr>
              <w:t>-</w:t>
            </w:r>
          </w:p>
        </w:tc>
        <w:tc>
          <w:tcPr>
            <w:tcW w:w="2000" w:type="dxa"/>
          </w:tcPr>
          <w:p>
            <w:pPr>
              <w:spacing w:before="40" w:after="40"/>
            </w:pPr>
            <w:r>
              <w:rPr>
                <w:color w:val="4a4a4a"/>
                <w:sz w:val="19"/>
              </w:rPr>
              <w:t>Vessels -25%</w:t>
            </w:r>
          </w:p>
        </w:tc>
      </w:tr>
      <w:tr>
        <w:tc>
          <w:tcPr>
            <w:tcW w:w="1400" w:type="dxa"/>
          </w:tcPr>
          <w:p>
            <w:pPr>
              <w:spacing w:before="40" w:after="40"/>
            </w:pPr>
            <w:r>
              <w:rPr>
                <w:color w:val="4a4a4a"/>
                <w:sz w:val="19"/>
              </w:rPr>
              <w:t>Week 4</w:t>
            </w:r>
          </w:p>
        </w:tc>
        <w:tc>
          <w:tcPr>
            <w:tcW w:w="2000" w:type="dxa"/>
          </w:tcPr>
          <w:p>
            <w:pPr>
              <w:spacing w:before="40" w:after="40"/>
            </w:pPr>
            <w:r>
              <w:rPr>
                <w:color w:val="4a4a4a"/>
                <w:sz w:val="19"/>
              </w:rPr>
              <w:t>35% (~$35B)</w:t>
            </w:r>
          </w:p>
        </w:tc>
        <w:tc>
          <w:tcPr>
            <w:tcW w:w="2600" w:type="dxa"/>
          </w:tcPr>
          <w:p>
            <w:pPr>
              <w:spacing w:before="40" w:after="40"/>
            </w:pPr>
            <w:r>
              <w:rPr>
                <w:color w:val="4a4a4a"/>
                <w:sz w:val="19"/>
              </w:rPr>
              <w:t>All accessible material verified</w:t>
            </w:r>
          </w:p>
        </w:tc>
        <w:tc>
          <w:tcPr>
            <w:tcW w:w="2000" w:type="dxa"/>
          </w:tcPr>
          <w:p>
            <w:pPr>
              <w:spacing w:before="40" w:after="40"/>
            </w:pPr>
            <w:r>
              <w:rPr>
                <w:color w:val="4a4a4a"/>
                <w:sz w:val="19"/>
              </w:rPr>
              <w:t>25% downblended</w:t>
            </w:r>
          </w:p>
        </w:tc>
        <w:tc>
          <w:tcPr>
            <w:tcW w:w="2000" w:type="dxa"/>
          </w:tcPr>
          <w:p>
            <w:pPr>
              <w:spacing w:before="40" w:after="40"/>
            </w:pPr>
            <w:r>
              <w:rPr>
                <w:color w:val="4a4a4a"/>
                <w:sz w:val="19"/>
              </w:rPr>
              <w:t>Vessels -50%</w:t>
            </w:r>
          </w:p>
        </w:tc>
      </w:tr>
      <w:tr>
        <w:tc>
          <w:tcPr>
            <w:tcW w:w="1400" w:type="dxa"/>
          </w:tcPr>
          <w:p>
            <w:pPr>
              <w:spacing w:before="40" w:after="40"/>
            </w:pPr>
            <w:r>
              <w:rPr>
                <w:color w:val="4a4a4a"/>
                <w:sz w:val="19"/>
              </w:rPr>
              <w:t>Week 5</w:t>
            </w:r>
          </w:p>
        </w:tc>
        <w:tc>
          <w:tcPr>
            <w:tcW w:w="2000" w:type="dxa"/>
          </w:tcPr>
          <w:p>
            <w:pPr>
              <w:spacing w:before="40" w:after="40"/>
            </w:pPr>
            <w:r>
              <w:rPr>
                <w:color w:val="4a4a4a"/>
                <w:sz w:val="19"/>
              </w:rPr>
              <w:t>45% (~$45B)</w:t>
            </w:r>
          </w:p>
        </w:tc>
        <w:tc>
          <w:tcPr>
            <w:tcW w:w="2600" w:type="dxa"/>
          </w:tcPr>
          <w:p>
            <w:pPr>
              <w:spacing w:before="40" w:after="40"/>
            </w:pPr>
            <w:r>
              <w:rPr>
                <w:color w:val="4a4a4a"/>
                <w:sz w:val="19"/>
              </w:rPr>
              <w:t>100% cylinders verified</w:t>
            </w:r>
          </w:p>
        </w:tc>
        <w:tc>
          <w:tcPr>
            <w:tcW w:w="2000" w:type="dxa"/>
          </w:tcPr>
          <w:p>
            <w:pPr>
              <w:spacing w:before="40" w:after="40"/>
            </w:pPr>
            <w:r>
              <w:rPr>
                <w:color w:val="4a4a4a"/>
                <w:sz w:val="19"/>
              </w:rPr>
              <w:t>50% downblended</w:t>
            </w:r>
          </w:p>
        </w:tc>
        <w:tc>
          <w:tcPr>
            <w:tcW w:w="2000" w:type="dxa"/>
          </w:tcPr>
          <w:p>
            <w:pPr>
              <w:spacing w:before="40" w:after="40"/>
            </w:pPr>
            <w:r>
              <w:rPr>
                <w:color w:val="4a4a4a"/>
                <w:sz w:val="19"/>
              </w:rPr>
              <w:t>Overflights -25%</w:t>
            </w:r>
          </w:p>
        </w:tc>
      </w:tr>
      <w:tr>
        <w:tc>
          <w:tcPr>
            <w:tcW w:w="1400" w:type="dxa"/>
          </w:tcPr>
          <w:p>
            <w:pPr>
              <w:spacing w:before="40" w:after="40"/>
            </w:pPr>
            <w:r>
              <w:rPr>
                <w:color w:val="4a4a4a"/>
                <w:sz w:val="19"/>
              </w:rPr>
              <w:t>Week 6</w:t>
            </w:r>
          </w:p>
        </w:tc>
        <w:tc>
          <w:tcPr>
            <w:tcW w:w="2000" w:type="dxa"/>
          </w:tcPr>
          <w:p>
            <w:pPr>
              <w:spacing w:before="40" w:after="40"/>
            </w:pPr>
            <w:r>
              <w:rPr>
                <w:color w:val="4a4a4a"/>
                <w:sz w:val="19"/>
              </w:rPr>
              <w:t>55% (~$55B)</w:t>
            </w:r>
          </w:p>
        </w:tc>
        <w:tc>
          <w:tcPr>
            <w:tcW w:w="2600" w:type="dxa"/>
          </w:tcPr>
          <w:p>
            <w:pPr>
              <w:spacing w:before="40" w:after="40"/>
            </w:pPr>
            <w:r>
              <w:rPr>
                <w:color w:val="4a4a4a"/>
                <w:sz w:val="19"/>
              </w:rPr>
              <w:t>Full inventory + AP access</w:t>
            </w:r>
          </w:p>
        </w:tc>
        <w:tc>
          <w:tcPr>
            <w:tcW w:w="2000" w:type="dxa"/>
          </w:tcPr>
          <w:p>
            <w:pPr>
              <w:spacing w:before="40" w:after="40"/>
            </w:pPr>
            <w:r>
              <w:rPr>
                <w:color w:val="4a4a4a"/>
                <w:sz w:val="19"/>
              </w:rPr>
              <w:t>75% downblended</w:t>
            </w:r>
          </w:p>
        </w:tc>
        <w:tc>
          <w:tcPr>
            <w:tcW w:w="2000" w:type="dxa"/>
          </w:tcPr>
          <w:p>
            <w:pPr>
              <w:spacing w:before="40" w:after="40"/>
            </w:pPr>
            <w:r>
              <w:rPr>
                <w:color w:val="4a4a4a"/>
                <w:sz w:val="19"/>
              </w:rPr>
              <w:t>Overflights -50%</w:t>
            </w:r>
          </w:p>
        </w:tc>
      </w:tr>
      <w:tr>
        <w:tc>
          <w:tcPr>
            <w:tcW w:w="1400" w:type="dxa"/>
          </w:tcPr>
          <w:p>
            <w:pPr>
              <w:spacing w:before="40" w:after="40"/>
            </w:pPr>
            <w:r>
              <w:rPr>
                <w:color w:val="4a4a4a"/>
                <w:sz w:val="19"/>
              </w:rPr>
              <w:t>Week 7</w:t>
            </w:r>
          </w:p>
        </w:tc>
        <w:tc>
          <w:tcPr>
            <w:tcW w:w="2000" w:type="dxa"/>
          </w:tcPr>
          <w:p>
            <w:pPr>
              <w:spacing w:before="40" w:after="40"/>
            </w:pPr>
            <w:r>
              <w:rPr>
                <w:color w:val="4a4a4a"/>
                <w:sz w:val="19"/>
              </w:rPr>
              <w:t>60% (~$60B)</w:t>
            </w:r>
          </w:p>
        </w:tc>
        <w:tc>
          <w:tcPr>
            <w:tcW w:w="2600" w:type="dxa"/>
          </w:tcPr>
          <w:p>
            <w:pPr>
              <w:spacing w:before="40" w:after="40"/>
            </w:pPr>
            <w:r>
              <w:rPr>
                <w:color w:val="4a4a4a"/>
                <w:sz w:val="19"/>
              </w:rPr>
              <w:t>No diversion confirmed</w:t>
            </w:r>
          </w:p>
        </w:tc>
        <w:tc>
          <w:tcPr>
            <w:tcW w:w="2000" w:type="dxa"/>
          </w:tcPr>
          <w:p>
            <w:pPr>
              <w:spacing w:before="40" w:after="40"/>
            </w:pPr>
            <w:r>
              <w:rPr>
                <w:color w:val="4a4a4a"/>
                <w:sz w:val="19"/>
              </w:rPr>
              <w:t>100% downblended</w:t>
            </w:r>
          </w:p>
        </w:tc>
        <w:tc>
          <w:tcPr>
            <w:tcW w:w="2000" w:type="dxa"/>
          </w:tcPr>
          <w:p>
            <w:pPr>
              <w:spacing w:before="40" w:after="40"/>
            </w:pPr>
            <w:r>
              <w:rPr>
                <w:color w:val="4a4a4a"/>
                <w:sz w:val="19"/>
              </w:rPr>
              <w:t>Full withdrawal</w:t>
            </w:r>
          </w:p>
        </w:tc>
      </w:tr>
      <w:tr>
        <w:tc>
          <w:tcPr>
            <w:tcW w:w="1400" w:type="dxa"/>
          </w:tcPr>
          <w:p>
            <w:pPr>
              <w:spacing w:before="40" w:after="40"/>
            </w:pPr>
            <w:r>
              <w:rPr>
                <w:color w:val="4a4a4a"/>
                <w:sz w:val="19"/>
              </w:rPr>
              <w:t>Week 8</w:t>
            </w:r>
          </w:p>
        </w:tc>
        <w:tc>
          <w:tcPr>
            <w:tcW w:w="2000" w:type="dxa"/>
          </w:tcPr>
          <w:p>
            <w:pPr>
              <w:spacing w:before="40" w:after="40"/>
            </w:pPr>
            <w:r>
              <w:rPr>
                <w:color w:val="4a4a4a"/>
                <w:sz w:val="19"/>
              </w:rPr>
              <w:t>100% (~$100B)</w:t>
            </w:r>
          </w:p>
        </w:tc>
        <w:tc>
          <w:tcPr>
            <w:tcW w:w="2600" w:type="dxa"/>
          </w:tcPr>
          <w:p>
            <w:pPr>
              <w:spacing w:before="40" w:after="40"/>
            </w:pPr>
            <w:r>
              <w:rPr>
                <w:color w:val="4a4a4a"/>
                <w:sz w:val="19"/>
              </w:rPr>
              <w:t>Full compliance certification</w:t>
            </w:r>
          </w:p>
        </w:tc>
        <w:tc>
          <w:tcPr>
            <w:tcW w:w="2000" w:type="dxa"/>
          </w:tcPr>
          <w:p>
            <w:pPr>
              <w:spacing w:before="40" w:after="40"/>
            </w:pPr>
            <w:r>
              <w:rPr>
                <w:color w:val="4a4a4a"/>
                <w:sz w:val="19"/>
              </w:rPr>
              <w:t>100% certified</w:t>
            </w:r>
          </w:p>
        </w:tc>
        <w:tc>
          <w:tcPr>
            <w:tcW w:w="2000" w:type="dxa"/>
          </w:tcPr>
          <w:p>
            <w:pPr>
              <w:spacing w:before="40" w:after="40"/>
            </w:pPr>
            <w:r>
              <w:rPr>
                <w:color w:val="4a4a4a"/>
                <w:sz w:val="19"/>
              </w:rPr>
              <w:t>Pre-crisis posture</w:t>
            </w:r>
          </w:p>
        </w:tc>
      </w:tr>
    </w:tbl>
    <w:p>
      <w:r>
        <w:br w:type="page"/>
      </w:r>
    </w:p>
    <w:p>
      <w:pPr>
        <w:pStyle w:val="Heading1"/>
      </w:pPr>
      <w:r>
        <w:t>ARTICLE 3: NO SURPRISES NOTIFICATION PROTOCOL</w:t>
      </w:r>
    </w:p>
    <w:p>
      <w:pPr>
        <w:spacing w:before="60" w:after="120"/>
      </w:pPr>
      <w:r>
        <w:rPr>
          <w:sz w:val="21"/>
        </w:rPr>
        <w:t>No Party announces or implements any unilateral economic relief measure, military de-escalation step, or nuclear milestone without providing 48 hours' advance notice to the PCC and the other Party through the dedicated consultation channel (per MOU Article 13.6).</w:t>
      </w:r>
    </w:p>
    <w:p>
      <w:pPr>
        <w:spacing w:before="60" w:after="120"/>
      </w:pPr>
      <w:r>
        <w:rPr>
          <w:sz w:val="21"/>
        </w:rPr>
        <w:t>The notification includes:</w:t>
      </w:r>
    </w:p>
    <w:p>
      <w:pPr>
        <w:numPr>
          <w:ilvl w:val="0"/>
          <w:numId w:val="2"/>
        </w:numPr>
        <w:spacing w:before="20" w:after="40"/>
      </w:pPr>
      <w:r>
        <w:rPr>
          <w:sz w:val="21"/>
        </w:rPr>
        <w:t>The specific measure or milestone to be announced or implemented;</w:t>
      </w:r>
    </w:p>
    <w:p>
      <w:pPr>
        <w:numPr>
          <w:ilvl w:val="0"/>
          <w:numId w:val="2"/>
        </w:numPr>
        <w:spacing w:before="20" w:after="40"/>
      </w:pPr>
      <w:r>
        <w:rPr>
          <w:sz w:val="21"/>
        </w:rPr>
        <w:t>The anticipated date and time of announcement or implementation;</w:t>
      </w:r>
    </w:p>
    <w:p>
      <w:pPr>
        <w:numPr>
          <w:ilvl w:val="0"/>
          <w:numId w:val="2"/>
        </w:numPr>
        <w:spacing w:before="20" w:after="40"/>
      </w:pPr>
      <w:r>
        <w:rPr>
          <w:sz w:val="21"/>
        </w:rPr>
        <w:t>The reciprocal measure expected from the other Party (if applicable);</w:t>
      </w:r>
    </w:p>
    <w:p>
      <w:pPr>
        <w:numPr>
          <w:ilvl w:val="0"/>
          <w:numId w:val="2"/>
        </w:numPr>
        <w:spacing w:before="20" w:after="40"/>
      </w:pPr>
      <w:r>
        <w:rPr>
          <w:sz w:val="21"/>
        </w:rPr>
        <w:t>Any technical or logistical details necessary for verification.</w:t>
      </w:r>
    </w:p>
    <w:p>
      <w:pPr>
        <w:spacing w:before="60" w:after="120"/>
      </w:pPr>
      <w:r>
        <w:rPr>
          <w:sz w:val="21"/>
        </w:rPr>
        <w:t>If a Party announces or implements a measure without providing 48 hours' notice:</w:t>
      </w:r>
    </w:p>
    <w:p>
      <w:pPr>
        <w:numPr>
          <w:ilvl w:val="0"/>
          <w:numId w:val="2"/>
        </w:numPr>
        <w:spacing w:before="20" w:after="40"/>
      </w:pPr>
      <w:r>
        <w:rPr>
          <w:sz w:val="21"/>
        </w:rPr>
        <w:t>The measure does not count toward the reciprocal sequencing schedule;</w:t>
      </w:r>
    </w:p>
    <w:p>
      <w:pPr>
        <w:numPr>
          <w:ilvl w:val="0"/>
          <w:numId w:val="2"/>
        </w:numPr>
        <w:spacing w:before="20" w:after="40"/>
      </w:pPr>
      <w:r>
        <w:rPr>
          <w:sz w:val="21"/>
        </w:rPr>
        <w:t>The PCC issues a notice of non-compliance to both Parties;</w:t>
      </w:r>
    </w:p>
    <w:p>
      <w:pPr>
        <w:numPr>
          <w:ilvl w:val="0"/>
          <w:numId w:val="2"/>
        </w:numPr>
        <w:spacing w:before="20" w:after="40"/>
      </w:pPr>
      <w:r>
        <w:rPr>
          <w:sz w:val="21"/>
        </w:rPr>
        <w:t>The non-notifying Party provides a written explanation to the PCC within 24 hours;</w:t>
      </w:r>
    </w:p>
    <w:p>
      <w:pPr>
        <w:numPr>
          <w:ilvl w:val="0"/>
          <w:numId w:val="2"/>
        </w:numPr>
        <w:spacing w:before="20" w:after="40"/>
      </w:pPr>
      <w:r>
        <w:rPr>
          <w:sz w:val="21"/>
        </w:rPr>
        <w:t>Repeated violations (two or more within any 30-day period) constitute a Tier 2 material disruption under MOU Article 7.3.</w:t>
      </w:r>
    </w:p>
    <w:p>
      <w:pPr>
        <w:pStyle w:val="Heading2"/>
      </w:pPr>
      <w:r>
        <w:t>Emergency Exception</w:t>
      </w:r>
    </w:p>
    <w:p>
      <w:pPr>
        <w:spacing w:before="60" w:after="120"/>
      </w:pPr>
      <w:r>
        <w:rPr>
          <w:sz w:val="21"/>
        </w:rPr>
        <w:t>If a measure addresses an imminent threat to safety or security, the 48-hour notice period is waived, but the Party notifies the PCC and the other Party simultaneously with implementation and provides an explanation within 6 hours.</w:t>
      </w:r>
    </w:p>
    <w:p>
      <w:r>
        <w:br w:type="page"/>
      </w:r>
    </w:p>
    <w:p>
      <w:pPr>
        <w:pStyle w:val="Heading1"/>
      </w:pPr>
      <w:r>
        <w:t>ARTICLE 4: VERIFICATION AND COMPLIANCE</w:t>
      </w:r>
    </w:p>
    <w:p>
      <w:pPr>
        <w:spacing w:before="60" w:after="120"/>
      </w:pPr>
      <w:r>
        <w:rPr>
          <w:sz w:val="21"/>
        </w:rPr>
        <w:t>Each nuclear milestone is verified by the IAEA before the corresponding economic relief measure or military de-escalation step is implemented.</w:t>
      </w:r>
    </w:p>
    <w:p>
      <w:pPr>
        <w:spacing w:before="60" w:after="120"/>
      </w:pPr>
      <w:r>
        <w:rPr>
          <w:sz w:val="21"/>
        </w:rPr>
        <w:t>The IAEA provides a verification report to the PCC within 24 hours of milestone completion.</w:t>
      </w:r>
    </w:p>
    <w:p>
      <w:pPr>
        <w:spacing w:before="60" w:after="120"/>
      </w:pPr>
      <w:r>
        <w:rPr>
          <w:sz w:val="21"/>
        </w:rPr>
        <w:t>The PCC certifies compliance to both Parties within 12 hours of receiving the IAEA report.</w:t>
      </w:r>
    </w:p>
    <w:p>
      <w:pPr>
        <w:spacing w:before="60" w:after="120"/>
      </w:pPr>
      <w:r>
        <w:rPr>
          <w:sz w:val="21"/>
        </w:rPr>
        <w:t>If a nuclear milestone is not verified on schedule:</w:t>
      </w:r>
    </w:p>
    <w:p>
      <w:pPr>
        <w:numPr>
          <w:ilvl w:val="0"/>
          <w:numId w:val="2"/>
        </w:numPr>
        <w:spacing w:before="20" w:after="40"/>
      </w:pPr>
      <w:r>
        <w:rPr>
          <w:sz w:val="21"/>
        </w:rPr>
        <w:t>The corresponding economic relief measure or military step is delayed until verification is complete;</w:t>
      </w:r>
    </w:p>
    <w:p>
      <w:pPr>
        <w:numPr>
          <w:ilvl w:val="0"/>
          <w:numId w:val="2"/>
        </w:numPr>
        <w:spacing w:before="20" w:after="40"/>
      </w:pPr>
      <w:r>
        <w:rPr>
          <w:sz w:val="21"/>
        </w:rPr>
        <w:t>The PCC convenes an emergency session within 48 hours to assess the cause of the delay;</w:t>
      </w:r>
    </w:p>
    <w:p>
      <w:pPr>
        <w:numPr>
          <w:ilvl w:val="0"/>
          <w:numId w:val="2"/>
        </w:numPr>
        <w:spacing w:before="20" w:after="40"/>
      </w:pPr>
      <w:r>
        <w:rPr>
          <w:sz w:val="21"/>
        </w:rPr>
        <w:t>Delays caused by technical or logistical issues (per Annex O, Annex P) do not constitute breach;</w:t>
      </w:r>
    </w:p>
    <w:p>
      <w:pPr>
        <w:numPr>
          <w:ilvl w:val="0"/>
          <w:numId w:val="2"/>
        </w:numPr>
        <w:spacing w:before="20" w:after="40"/>
      </w:pPr>
      <w:r>
        <w:rPr>
          <w:sz w:val="21"/>
        </w:rPr>
        <w:t>Delays caused by bad-faith obstruction are treated as a Tier 2 material disruption under MOU Article 7.3.</w:t>
      </w:r>
    </w:p>
    <w:p>
      <w:pPr>
        <w:spacing w:before="60" w:after="120"/>
      </w:pPr>
      <w:r>
        <w:rPr>
          <w:sz w:val="21"/>
        </w:rPr>
        <w:t>Cross-reference: Tier classifications are defined in MOU Article 7.3. Technical delay procedures are detailed in Annex O (Article 6) and Annex P (Article 4). The PCC emergency session protocol is set out in MOU Article 8.4.</w:t>
      </w:r>
    </w:p>
    <w:p>
      <w:r>
        <w:br w:type="page"/>
      </w:r>
    </w:p>
    <w:p>
      <w:pPr>
        <w:pStyle w:val="Heading1"/>
      </w:pPr>
      <w:r>
        <w:t>ARTICLE 5: ADJUSTMENT MECHANISM</w:t>
      </w:r>
    </w:p>
    <w:p>
      <w:pPr>
        <w:spacing w:before="60" w:after="120"/>
      </w:pPr>
      <w:r>
        <w:rPr>
          <w:sz w:val="21"/>
        </w:rPr>
        <w:t>The Parties adjust the timing or pairings of the reciprocal sequencing schedule by mutual written agreement through the PCC.</w:t>
      </w:r>
    </w:p>
    <w:p>
      <w:pPr>
        <w:spacing w:before="60" w:after="120"/>
      </w:pPr>
      <w:r>
        <w:rPr>
          <w:sz w:val="21"/>
        </w:rPr>
        <w:t>Adjustments preserve the overall reciprocity of the schedule and do not create a significant imbalance in delivered value.</w:t>
      </w:r>
    </w:p>
    <w:p>
      <w:pPr>
        <w:spacing w:before="60" w:after="120"/>
      </w:pPr>
      <w:r>
        <w:rPr>
          <w:sz w:val="21"/>
        </w:rPr>
        <w:t>Any adjustment is reflected in an updated schedule published by the PCC within 24 hours of agreement.</w:t>
      </w:r>
    </w:p>
    <w:p>
      <w:pPr>
        <w:spacing w:before="60" w:after="120"/>
      </w:pPr>
      <w:r>
        <w:rPr>
          <w:sz w:val="21"/>
        </w:rPr>
        <w:t>If the Parties cannot agree on an adjustment, the default schedule in Article 2 remains in force.</w:t>
      </w:r>
    </w:p>
    <w:p>
      <w:pPr>
        <w:pStyle w:val="Heading2"/>
      </w:pPr>
      <w:r>
        <w:t>Adjustment Criteria</w:t>
      </w:r>
    </w:p>
    <w:p>
      <w:pPr>
        <w:numPr>
          <w:ilvl w:val="0"/>
          <w:numId w:val="2"/>
        </w:numPr>
        <w:spacing w:before="20" w:after="40"/>
      </w:pPr>
      <w:r>
        <w:rPr>
          <w:sz w:val="21"/>
        </w:rPr>
        <w:t>Either Party requests an adjustment at any time;</w:t>
      </w:r>
    </w:p>
    <w:p>
      <w:pPr>
        <w:numPr>
          <w:ilvl w:val="0"/>
          <w:numId w:val="2"/>
        </w:numPr>
        <w:spacing w:before="20" w:after="40"/>
      </w:pPr>
      <w:r>
        <w:rPr>
          <w:sz w:val="21"/>
        </w:rPr>
        <w:t>The requesting Party submits a written proposal to the PCC with justification;</w:t>
      </w:r>
    </w:p>
    <w:p>
      <w:pPr>
        <w:numPr>
          <w:ilvl w:val="0"/>
          <w:numId w:val="2"/>
        </w:numPr>
        <w:spacing w:before="20" w:after="40"/>
      </w:pPr>
      <w:r>
        <w:rPr>
          <w:sz w:val="21"/>
        </w:rPr>
        <w:t>The other Party responds within 72 hours;</w:t>
      </w:r>
    </w:p>
    <w:p>
      <w:pPr>
        <w:numPr>
          <w:ilvl w:val="0"/>
          <w:numId w:val="2"/>
        </w:numPr>
        <w:spacing w:before="20" w:after="40"/>
      </w:pPr>
      <w:r>
        <w:rPr>
          <w:sz w:val="21"/>
        </w:rPr>
        <w:t>Silence is construed as non-consent; the default schedule remains operative;</w:t>
      </w:r>
    </w:p>
    <w:p>
      <w:pPr>
        <w:numPr>
          <w:ilvl w:val="0"/>
          <w:numId w:val="2"/>
        </w:numPr>
        <w:spacing w:before="20" w:after="40"/>
      </w:pPr>
      <w:r>
        <w:rPr>
          <w:sz w:val="21"/>
        </w:rPr>
        <w:t>Emergency adjustments are approved by the PCC on an interim basis pending Party confirmation.</w:t>
      </w:r>
    </w:p>
    <w:p>
      <w:r>
        <w:br w:type="page"/>
      </w:r>
    </w:p>
    <w:p>
      <w:pPr>
        <w:pStyle w:val="Heading1"/>
      </w:pPr>
      <w:r>
        <w:t>ARTICLE 6: INCORPORATION BY REFERENCE</w:t>
      </w:r>
    </w:p>
    <w:p>
      <w:pPr>
        <w:spacing w:before="60" w:after="120"/>
      </w:pPr>
      <w:r>
        <w:rPr>
          <w:sz w:val="21"/>
        </w:rPr>
        <w:t>This Annex S incorporates into the Memorandum of Understanding Pertaining to PEACE and the Provisional Steps Framework by the following sentence of adoption:</w:t>
      </w:r>
    </w:p>
    <w:p>
      <w:pPr>
        <w:pBdr>
          <w:left w:val="single" w:color="1E3A5F" w:sz="18"/>
        </w:pBdr>
        <w:shd w:val="clear" w:fill="F5F5F5"/>
        <w:spacing w:before="200" w:after="200"/>
        <w:ind w:left="720" w:right="720"/>
      </w:pPr>
      <w:r>
        <w:rPr>
          <w:i/>
          <w:color w:val="1a1a1a"/>
          <w:sz w:val="20"/>
        </w:rPr>
        <w:t>"The Parties adopt Annex S (60-Day Reciprocal Sequencing Schedule) as an operative provision of this Agreement. In the event of any inconsistency, Annex S governs with respect to the sequencing and pairing of economic relief measures, military de-escalation steps, and nuclear verification milestones during the 60-day nuclear negotiating window."</w:t>
      </w:r>
    </w:p>
    <w:p>
      <w:pPr>
        <w:spacing w:before="60" w:after="120"/>
      </w:pPr>
      <w:r>
        <w:rPr>
          <w:sz w:val="21"/>
        </w:rPr>
        <w:t>No further amendment of the parent framework is required. This Annex enters into force upon the later of: (a) signature by both Parties; or (b) the effective date of the parent framework into which it is incorporated.</w:t>
      </w:r>
    </w:p>
    <w:p>
      <w:pPr>
        <w:pStyle w:val="Heading1"/>
      </w:pPr>
      <w:r>
        <w:t>ARTICLE 7: PROVISIONAL APPLICATION</w:t>
      </w:r>
    </w:p>
    <w:p>
      <w:pPr>
        <w:spacing w:before="60" w:after="120"/>
      </w:pPr>
      <w:r>
        <w:rPr>
          <w:sz w:val="21"/>
        </w:rPr>
        <w:t>The Parties apply this Annex provisionally for a period of 90 days, pending formal ratification or incorporation into a parent framework.</w:t>
      </w:r>
    </w:p>
    <w:p>
      <w:pPr>
        <w:spacing w:before="60" w:after="120"/>
      </w:pPr>
      <w:r>
        <w:rPr>
          <w:sz w:val="21"/>
        </w:rPr>
        <w:t>Provisional application is effected by an exchange of diplomatic notes.</w:t>
      </w:r>
    </w:p>
    <w:p>
      <w:pPr>
        <w:spacing w:before="60" w:after="120"/>
      </w:pPr>
      <w:r>
        <w:rPr>
          <w:sz w:val="21"/>
        </w:rPr>
        <w:t>During provisional application, all provisions of this Annex are operative and binding.</w:t>
      </w:r>
    </w:p>
    <w:p>
      <w:pPr>
        <w:spacing w:before="60" w:after="120"/>
      </w:pPr>
      <w:r>
        <w:rPr>
          <w:sz w:val="21"/>
        </w:rPr>
        <w:t>Either Party terminates provisional application with 14 days' written notice.</w:t>
      </w:r>
    </w:p>
    <w:p>
      <w:pPr>
        <w:pStyle w:val="Heading2"/>
      </w:pPr>
      <w:r>
        <w:t>Note on Symmetry</w:t>
      </w:r>
    </w:p>
    <w:p>
      <w:pPr>
        <w:spacing w:before="60" w:after="120"/>
      </w:pPr>
      <w:r>
        <w:rPr>
          <w:sz w:val="21"/>
        </w:rPr>
        <w:t>Provisional application under this Article is symmetric - either Party initiates termination, and neither Party is locked into indefinite provisional obligations without a path to formalization.</w:t>
      </w:r>
    </w:p>
    <w:p>
      <w:pPr>
        <w:pStyle w:val="Heading1"/>
      </w:pPr>
      <w:r>
        <w:t>ARTICLE 8: SEVERABILITY</w:t>
      </w:r>
    </w:p>
    <w:p>
      <w:pPr>
        <w:spacing w:before="60" w:after="120"/>
      </w:pPr>
      <w:r>
        <w:rPr>
          <w:sz w:val="21"/>
        </w:rPr>
        <w:t>If any provision of this Annex is found by a court of competent jurisdiction or arbitral panel to be unenforceable, the remaining provisions remain in full force and effect.</w:t>
      </w:r>
    </w:p>
    <w:p>
      <w:pPr>
        <w:spacing w:before="60" w:after="120"/>
      </w:pPr>
      <w:r>
        <w:rPr>
          <w:sz w:val="21"/>
        </w:rPr>
        <w:t>The Parties promptly negotiate a replacement for any provision found unenforceable, preserving the original intent to the maximum extent possible.</w:t>
      </w:r>
    </w:p>
    <w:p>
      <w:pPr>
        <w:pStyle w:val="Heading1"/>
      </w:pPr>
      <w:r>
        <w:t>ARTICLE 9: DURATION AND WITHDRAWAL</w:t>
      </w:r>
    </w:p>
    <w:p>
      <w:pPr>
        <w:spacing w:before="60" w:after="120"/>
      </w:pPr>
      <w:r>
        <w:rPr>
          <w:sz w:val="21"/>
        </w:rPr>
        <w:t>This Annex remains in force indefinitely, unless:</w:t>
      </w:r>
    </w:p>
    <w:p>
      <w:pPr>
        <w:numPr>
          <w:ilvl w:val="0"/>
          <w:numId w:val="1"/>
        </w:numPr>
        <w:spacing w:before="40" w:after="80"/>
      </w:pPr>
      <w:r>
        <w:rPr>
          <w:sz w:val="21"/>
        </w:rPr>
        <w:t>Both Parties agree in writing to terminate it; or</w:t>
      </w:r>
    </w:p>
    <w:p>
      <w:pPr>
        <w:numPr>
          <w:ilvl w:val="0"/>
          <w:numId w:val="1"/>
        </w:numPr>
        <w:spacing w:before="40" w:after="80"/>
      </w:pPr>
      <w:r>
        <w:rPr>
          <w:sz w:val="21"/>
        </w:rPr>
        <w:t>The parent framework into which it is incorporated terminates, and the Parties do not reaffirm this Annex within 90 days of such termination.</w:t>
      </w:r>
    </w:p>
    <w:p>
      <w:pPr>
        <w:spacing w:before="60" w:after="120"/>
      </w:pPr>
      <w:r>
        <w:rPr>
          <w:sz w:val="21"/>
        </w:rPr>
        <w:t>Withdrawal from this Annex without withdrawal from the parent framework is not permitted. This Annex is integral to the reciprocal sequencing architecture and does not sever unilaterally.</w:t>
      </w:r>
    </w:p>
    <w:p>
      <w:r>
        <w:br w:type="page"/>
      </w:r>
    </w:p>
    <w:p>
      <w:pPr>
        <w:pStyle w:val="Heading1"/>
      </w:pPr>
      <w:r>
        <w:t>SIGNATURE BLOCK</w:t>
      </w:r>
    </w:p>
    <w:p>
      <w:pPr>
        <w:spacing w:before="400"/>
      </w:pPr>
    </w:p>
    <w:tbl>
      <w:tblPr>
        <w:tblW w:w="5000" w:type="pct"/>
        <w:tblBorders>
          <w:top w:val="single" w:color="1E3A5F" w:sz="8"/>
          <w:left w:val="nil"/>
          <w:bottom w:val="single" w:color="1E3A5F" w:sz="8"/>
          <w:right w:val="nil"/>
          <w:insideH w:val="single" w:color="CCCCCC" w:sz="4"/>
          <w:insideV w:val="nil"/>
        </w:tblBorders>
      </w:tblPr>
      <w:tblGrid>
        <w:gridCol w:w="4500"/>
        <w:gridCol w:w="4500"/>
      </w:tblGrid>
      <w:tr>
        <w:tc>
          <w:tcPr>
            <w:tcW w:w="4500" w:type="dxa"/>
          </w:tcPr>
          <w:p>
            <w:pPr>
              <w:spacing w:before="60" w:after="60"/>
            </w:pPr>
            <w:r>
              <w:rPr>
                <w:sz w:val="21"/>
              </w:rPr>
              <w:t>For the Islamic Republic of Iran:</w:t>
            </w:r>
          </w:p>
        </w:tc>
        <w:tc>
          <w:tcPr>
            <w:tcW w:w="4500" w:type="dxa"/>
          </w:tcPr>
          <w:p>
            <w:pPr>
              <w:spacing w:before="60" w:after="60"/>
            </w:pPr>
            <w:r>
              <w:rPr>
                <w:sz w:val="21"/>
              </w:rPr>
              <w:t>For the United States of America:</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Name: _________________________</w:t>
            </w:r>
          </w:p>
        </w:tc>
        <w:tc>
          <w:tcPr>
            <w:tcW w:w="4500" w:type="dxa"/>
          </w:tcPr>
          <w:p>
            <w:pPr>
              <w:spacing w:before="60" w:after="60"/>
            </w:pPr>
            <w:r>
              <w:rPr>
                <w:sz w:val="21"/>
              </w:rPr>
              <w:t>Name: _________________________</w:t>
            </w:r>
          </w:p>
        </w:tc>
      </w:tr>
      <w:tr>
        <w:tc>
          <w:tcPr>
            <w:tcW w:w="4500" w:type="dxa"/>
          </w:tcPr>
          <w:p>
            <w:pPr>
              <w:spacing w:before="60" w:after="60"/>
            </w:pPr>
            <w:r>
              <w:rPr>
                <w:sz w:val="21"/>
              </w:rPr>
              <w:t>Title: ________________________</w:t>
            </w:r>
          </w:p>
        </w:tc>
        <w:tc>
          <w:tcPr>
            <w:tcW w:w="4500" w:type="dxa"/>
          </w:tcPr>
          <w:p>
            <w:pPr>
              <w:spacing w:before="60" w:after="60"/>
            </w:pPr>
            <w:r>
              <w:rPr>
                <w:sz w:val="21"/>
              </w:rPr>
              <w:t>Title: ________________________</w:t>
            </w:r>
          </w:p>
        </w:tc>
      </w:tr>
      <w:tr>
        <w:tc>
          <w:tcPr>
            <w:tcW w:w="4500" w:type="dxa"/>
          </w:tcPr>
          <w:p>
            <w:pPr>
              <w:spacing w:before="60" w:after="60"/>
            </w:pPr>
            <w:r>
              <w:rPr>
                <w:sz w:val="21"/>
              </w:rPr>
              <w:t>Date: _________________________</w:t>
            </w:r>
          </w:p>
        </w:tc>
        <w:tc>
          <w:tcPr>
            <w:tcW w:w="4500" w:type="dxa"/>
          </w:tcPr>
          <w:p>
            <w:pPr>
              <w:spacing w:before="60" w:after="60"/>
            </w:pPr>
            <w:r>
              <w:rPr>
                <w:sz w:val="21"/>
              </w:rPr>
              <w:t>Date: _________________________</w:t>
            </w:r>
          </w:p>
        </w:tc>
      </w:tr>
    </w:tbl>
    <w:p>
      <w:pPr>
        <w:spacing w:before="400"/>
      </w:pPr>
    </w:p>
    <w:p>
      <w:pPr>
        <w:spacing w:before="60" w:after="120"/>
      </w:pPr>
      <w:r>
        <w:rPr>
          <w:sz w:val="21"/>
        </w:rPr>
        <w:t>For verification purposes (IAEA, if applicable):</w:t>
      </w:r>
    </w:p>
    <w:p>
      <w:pPr>
        <w:spacing w:before="60" w:after="120"/>
      </w:pPr>
      <w:r>
        <w:rPr>
          <w:sz w:val="21"/>
        </w:rPr>
        <w:t>Name: Rafael Mariano Grossi, Director General</w:t>
      </w:r>
    </w:p>
    <w:p>
      <w:pPr>
        <w:spacing w:before="60" w:after="120"/>
      </w:pPr>
      <w:r>
        <w:rPr>
          <w:sz w:val="21"/>
        </w:rPr>
        <w:t>Date: _________________________</w:t>
      </w:r>
    </w:p>
    <w:p>
      <w:pPr>
        <w:spacing w:before="400"/>
      </w:pPr>
    </w:p>
    <w:p>
      <w:pPr>
        <w:spacing w:before="200" w:after="200"/>
        <w:jc w:val="center"/>
      </w:pPr>
      <w:r>
        <w:rPr>
          <w:i/>
          <w:color w:val="4a4a4a"/>
          <w:sz w:val="18"/>
        </w:rPr>
        <w:t>Modular Annex - Incorporable by Reference into Any Framework</w:t>
      </w:r>
    </w:p>
    <w:sectPr>
      <w:headerReference w:type="default" r:id="R8fd4a3559a5740dd"/>
      <w:footerReference w:type="default" r:id="R8a3334b3728d4016"/>
      <w:pgSz w:w="11906" w:h="16838"/>
      <w:pgMar w:top="1440" w:right="1440" w:bottom="1440" w:left="1440" w:header="720" w:footer="720"/>
    </w:sectPr>
  </w:body>
</w:document>
</file>

<file path=word/footer1.xml><?xml version="1.0" encoding="utf-8"?>
<w:ftr xmlns:w="http://schemas.openxmlformats.org/wordprocessingml/2006/main">
  <w:p>
    <w:pPr>
      <w:pBdr>
        <w:top w:val="single" w:color="7a7a7a" w:sz="4"/>
      </w:pBdr>
      <w:jc w:val="center"/>
    </w:pPr>
    <w:r>
      <w:rPr>
        <w:color w:val="7a7a7a"/>
        <w:sz w:val="16"/>
      </w:rPr>
      <w:t>Authorized Negotiators Only - Confidential - Page </w:t>
    </w:r>
    <w:r>
      <w:rPr>
        <w:color w:val="7a7a7a"/>
        <w:sz w:val="16"/>
      </w:rPr>
      <w:fldChar w:fldCharType="begin"/>
    </w:r>
    <w:r>
      <w:rPr>
        <w:color w:val="7a7a7a"/>
        <w:sz w:val="16"/>
      </w:rPr>
      <w:instrText xml:space="preserve"> PAGE </w:instrText>
    </w:r>
    <w:r>
      <w:rPr>
        <w:color w:val="7a7a7a"/>
        <w:sz w:val="16"/>
      </w:rPr>
      <w:fldChar w:fldCharType="separate"/>
    </w:r>
    <w:r>
      <w:rPr>
        <w:color w:val="7a7a7a"/>
        <w:sz w:val="16"/>
      </w:rPr>
      <w:t>1</w:t>
    </w:r>
    <w:r>
      <w:rPr>
        <w:color w:val="7a7a7a"/>
        <w:sz w:val="16"/>
      </w:rPr>
      <w:fldChar w:fldCharType="end"/>
    </w:r>
  </w:p>
</w:ftr>
</file>

<file path=word/header1.xml><?xml version="1.0" encoding="utf-8"?>
<w:hdr xmlns:w="http://schemas.openxmlformats.org/wordprocessingml/2006/main">
  <w:p>
    <w:pPr>
      <w:pBdr>
        <w:bottom w:val="single" w:color="1E3A5F" w:sz="6"/>
      </w:pBdr>
      <w:jc w:val="center"/>
    </w:pPr>
    <w:r>
      <w:rPr>
        <w:caps/>
        <w:color w:val="7a7a7a"/>
        <w:sz w:val="16"/>
      </w:rPr>
      <w:t>Annex S: 60-Day Reciprocal Sequencing Schedule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jc w:val="both"/>
    </w:pPr>
    <w:rPr>
      <w:rFonts w:ascii="Times New Roman" w:hAnsi="Times New Roman"/>
      <w:color w:val="1a1a1a"/>
      <w:sz w:val="21"/>
    </w:rPr>
  </w:style>
  <w:style w:type="paragraph" w:styleId="Heading1">
    <w:name w:val="heading 1"/>
    <w:basedOn w:val="Normal"/>
    <w:pPr>
      <w:keepNext/>
      <w:keepLines/>
      <w:pageBreakBefore/>
      <w:spacing w:before="0" w:after="200"/>
      <w:outlineLvl w:val="0"/>
    </w:pPr>
    <w:rPr>
      <w:rFonts w:ascii="Times New Roman" w:hAnsi="Times New Roman"/>
      <w:b/>
      <w:color w:val="1E3A5F"/>
      <w:sz w:val="30"/>
    </w:rPr>
  </w:style>
  <w:style w:type="paragraph" w:styleId="Heading2">
    <w:name w:val="heading 2"/>
    <w:basedOn w:val="Normal"/>
    <w:pPr>
      <w:keepNext/>
      <w:keepLines/>
      <w:spacing w:before="280" w:after="100"/>
      <w:outlineLvl w:val="1"/>
    </w:pPr>
    <w:rPr>
      <w:rFonts w:ascii="Times New Roman" w:hAnsi="Times New Roman"/>
      <w:b/>
      <w:color w:val="4A6B8A"/>
      <w:sz w:val="23"/>
    </w:rPr>
  </w:style>
</w:styles>
</file>

<file path=word/_rels/document.xml.rels><?xml version='1.0' encoding='UTF-8'?>
<Relationships xmlns="http://schemas.openxmlformats.org/package/2006/relationships"><Relationship Type="http://schemas.openxmlformats.org/officeDocument/2006/relationships/styles" Target="styles.xml" Id="R548b415f7ae04b50" /><Relationship Type="http://schemas.openxmlformats.org/officeDocument/2006/relationships/numbering" Target="numbering.xml" Id="R9a3224d15ffa431d" /><Relationship Type="http://schemas.openxmlformats.org/officeDocument/2006/relationships/header" Target="header1.xml" Id="R8fd4a3559a5740dd" /><Relationship Type="http://schemas.openxmlformats.org/officeDocument/2006/relationships/footer" Target="footer1.xml" Id="R8a3334b3728d4016" /><Relationship Type="http://schemas.openxmlformats.org/officeDocument/2006/relationships/settings" Target="settings.xml" Id="Rd34ff9115915472e" /></Relationships>
</file>