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31ce7f4b60714c39"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2cfebd8221b94e5e"/>
                    <a:stretch>
                      <a:fillRect/>
                    </a:stretch>
                  </pic:blipFill>
                  <pic:spPr>
                    <a:xfrm>
                      <a:off x="0" y="0"/>
                      <a:ext cx="7560000" cy="10692000"/>
                    </a:xfrm>
                    <a:prstGeom prst="rect"/>
                  </pic:spPr>
                </pic:pic>
              </a:graphicData>
            </a:graphic>
          </wp:anchor>
        </w:drawing>
      </w:r>
    </w:p>
    <w:p>
      <w:pPr>
        <w:spacing w:before="5000"/>
      </w:pPr>
      <w:r/>
    </w:p>
    <w:p>
      <w:pPr>
        <w:spacing w:after="200"/>
        <w:ind w:left="1200" w:right="1200"/>
        <w:jc w:val="left"/>
      </w:pPr>
      <w:r>
        <w:rPr>
          <w:rFonts w:ascii="Cambria" w:hAnsi="Cambria"/>
          <w:color w:val="e0e6ed"/>
          <w:spacing w:val="30"/>
          <w:sz w:val="72"/>
        </w:rPr>
        <w:t>Annex W</w:t>
      </w:r>
    </w:p>
    <w:p>
      <w:pPr>
        <w:spacing w:after="400"/>
        <w:ind w:left="1200" w:right="1200"/>
        <w:jc w:val="left"/>
      </w:pPr>
      <w:r>
        <w:rPr>
          <w:rFonts w:ascii="Cambria" w:hAnsi="Cambria"/>
          <w:color w:val="e0e6ed"/>
          <w:sz w:val="36"/>
        </w:rPr>
        <w:t>Maritime Telemetry &amp; Dual-Key Transit Protocol</w:t>
      </w:r>
    </w:p>
    <w:p>
      <w:pPr>
        <w:spacing w:after="200"/>
        <w:ind w:left="1200"/>
        <w:jc w:val="left"/>
      </w:pPr>
      <w:r>
        <w:rPr>
          <w:rFonts w:ascii="Cambria" w:hAnsi="Cambria"/>
          <w:color w:val="e0e6ed"/>
          <w:sz w:val="22"/>
        </w:rPr>
        <w:t>"Real-Time Verification for the Hormuz Transit Zone"</w:t>
      </w:r>
    </w:p>
    <w:p>
      <w:pPr>
        <w:spacing w:after="100"/>
        <w:ind w:left="1200"/>
        <w:jc w:val="left"/>
      </w:pPr>
      <w:r>
        <w:rPr>
          <w:rFonts w:ascii="Cambria" w:hAnsi="Cambria"/>
          <w:color w:val="b8860b"/>
          <w:sz w:val="20"/>
        </w:rPr>
        <w:t>Version 1.5  |  Integrated Stabilization Measure  |  Self-Contained</w:t>
      </w:r>
    </w:p>
    <w:p>
      <w:pPr>
        <w:ind w:left="1200"/>
        <w:jc w:val="left"/>
      </w:pPr>
      <w:r>
        <w:rPr>
          <w:rFonts w:ascii="Cambria" w:hAnsi="Cambria"/>
          <w:color w:val="8d99ae"/>
          <w:sz w:val="18"/>
        </w:rPr>
        <w:t>Incorporable by Reference  |  Step-Back/Earnback Integrated  |  Authorized Negotiators Only</w:t>
      </w:r>
    </w:p>
    <w:p>
      <w:pPr>
        <w:sectPr>
          <w:type w:val="nextPage"/>
          <w:pgSz w:w="11906" w:h="16838"/>
          <w:pgMar w:top="0" w:right="0" w:bottom="0" w:left="0" w:header="0" w:footer="0"/>
          <w:titlePg/>
        </w:sectPr>
      </w:pPr>
    </w:p>
    <w:p>
      <w:pPr>
        <w:spacing w:before="400" w:after="200"/>
      </w:pPr>
      <w:r>
        <w:rPr>
          <w:rFonts w:ascii="Cambria" w:hAnsi="Cambria"/>
          <w:b/>
          <w:color w:val="3d5a80"/>
          <w:sz w:val="32"/>
        </w:rPr>
        <w:t>Table of Contents</w:t>
      </w:r>
    </w:p>
    <w:p>
      <w:pPr>
        <w:spacing w:after="240"/>
      </w:pPr>
      <w:r>
        <w:rPr>
          <w:rFonts w:ascii="Cambria" w:hAnsi="Cambria"/>
          <w:i/>
          <w:color w:val="8d99ae"/>
          <w:sz w:val="18"/>
        </w:rPr>
        <w:t>Right-click and select Update Field to refresh page numbers</w:t>
      </w:r>
    </w:p>
    <w:p>
      <w:r>
        <w:fldChar w:fldCharType="begin"/>
      </w:r>
      <w:r>
        <w:instrText xml:space="preserve"> TOC \o "1-2" \h \z \u </w:instrText>
      </w:r>
      <w:r>
        <w:fldChar w:fldCharType="separate"/>
      </w:r>
    </w:p>
    <w:p>
      <w:pPr>
        <w:pStyle w:val="TOC1"/>
      </w:pPr>
      <w:r>
        <w:t>Preamble</w:t>
      </w:r>
      <w:r>
        <w:tab/>
      </w:r>
      <w:r>
        <w:t>1</w:t>
      </w:r>
    </w:p>
    <w:p>
      <w:pPr>
        <w:pStyle w:val="TOC1"/>
      </w:pPr>
      <w:r>
        <w:t>Article 1: Real-Time Telemetry Infrastructure</w:t>
      </w:r>
      <w:r>
        <w:tab/>
      </w:r>
      <w:r>
        <w:t>1</w:t>
      </w:r>
    </w:p>
    <w:p>
      <w:pPr>
        <w:pStyle w:val="TOC1"/>
      </w:pPr>
      <w:r>
        <w:t>Article 2: Dual-Key Authorization for Transit Operations</w:t>
      </w:r>
      <w:r>
        <w:tab/>
      </w:r>
      <w:r>
        <w:t>1</w:t>
      </w:r>
    </w:p>
    <w:p>
      <w:pPr>
        <w:pStyle w:val="TOC2"/>
      </w:pPr>
      <w:r>
        <w:t>2.1 Digital Key Architecture</w:t>
      </w:r>
      <w:r>
        <w:tab/>
      </w:r>
      <w:r>
        <w:t>1</w:t>
      </w:r>
    </w:p>
    <w:p>
      <w:pPr>
        <w:pStyle w:val="TOC2"/>
      </w:pPr>
      <w:r>
        <w:t>2.2 PGSA Operational Integration</w:t>
      </w:r>
      <w:r>
        <w:tab/>
      </w:r>
      <w:r>
        <w:t>1</w:t>
      </w:r>
    </w:p>
    <w:p>
      <w:pPr>
        <w:pStyle w:val="TOC2"/>
      </w:pPr>
      <w:r>
        <w:t>2.3 Key Operational Rules</w:t>
      </w:r>
      <w:r>
        <w:tab/>
      </w:r>
      <w:r>
        <w:t>1</w:t>
      </w:r>
    </w:p>
    <w:p>
      <w:pPr>
        <w:pStyle w:val="TOC2"/>
      </w:pPr>
      <w:r>
        <w:t>2.4 Dual-Key Failover and Redundancy</w:t>
      </w:r>
      <w:r>
        <w:tab/>
      </w:r>
      <w:r>
        <w:t>1</w:t>
      </w:r>
    </w:p>
    <w:p>
      <w:pPr>
        <w:pStyle w:val="TOC1"/>
      </w:pPr>
      <w:r>
        <w:t>Article 3: Immediate Conditional Reopening (Day 1)</w:t>
      </w:r>
      <w:r>
        <w:tab/>
      </w:r>
      <w:r>
        <w:t>1</w:t>
      </w:r>
    </w:p>
    <w:p>
      <w:pPr>
        <w:pStyle w:val="TOC2"/>
      </w:pPr>
      <w:r>
        <w:t>3.1 Day 1 Provisional Opening</w:t>
      </w:r>
      <w:r>
        <w:tab/>
      </w:r>
      <w:r>
        <w:t>1</w:t>
      </w:r>
    </w:p>
    <w:p>
      <w:pPr>
        <w:pStyle w:val="TOC2"/>
      </w:pPr>
      <w:r>
        <w:t>3.2 Full Reopening Trigger</w:t>
      </w:r>
      <w:r>
        <w:tab/>
      </w:r>
      <w:r>
        <w:t>1</w:t>
      </w:r>
    </w:p>
    <w:p>
      <w:pPr>
        <w:pStyle w:val="TOC2"/>
      </w:pPr>
      <w:r>
        <w:t>3.3 Guaranteed Full Reopening by Day 7</w:t>
      </w:r>
      <w:r>
        <w:tab/>
      </w:r>
      <w:r>
        <w:t>1</w:t>
      </w:r>
    </w:p>
    <w:p>
      <w:pPr>
        <w:pStyle w:val="TOC2"/>
      </w:pPr>
      <w:r>
        <w:t>3.4 Political Framing for Both Parties</w:t>
      </w:r>
      <w:r>
        <w:tab/>
      </w:r>
      <w:r>
        <w:t>1</w:t>
      </w:r>
    </w:p>
    <w:p>
      <w:pPr>
        <w:pStyle w:val="TOC1"/>
      </w:pPr>
      <w:r>
        <w:t>Article 4: Performance-Based Asset Release</w:t>
      </w:r>
      <w:r>
        <w:tab/>
      </w:r>
      <w:r>
        <w:t>1</w:t>
      </w:r>
    </w:p>
    <w:p>
      <w:pPr>
        <w:pStyle w:val="TOC2"/>
      </w:pPr>
      <w:r>
        <w:t>4.1 Escrow Administration</w:t>
      </w:r>
      <w:r>
        <w:tab/>
      </w:r>
      <w:r>
        <w:t>1</w:t>
      </w:r>
    </w:p>
    <w:p>
      <w:pPr>
        <w:pStyle w:val="TOC2"/>
      </w:pPr>
      <w:r>
        <w:t>4.2 Humanitarian Firewall</w:t>
      </w:r>
      <w:r>
        <w:tab/>
      </w:r>
      <w:r>
        <w:t>1</w:t>
      </w:r>
    </w:p>
    <w:p>
      <w:pPr>
        <w:pStyle w:val="TOC2"/>
      </w:pPr>
      <w:r>
        <w:t>4.3 No Clawback</w:t>
      </w:r>
      <w:r>
        <w:tab/>
      </w:r>
      <w:r>
        <w:t>1</w:t>
      </w:r>
    </w:p>
    <w:p>
      <w:pPr>
        <w:pStyle w:val="TOC2"/>
      </w:pPr>
      <w:r>
        <w:t>4.4 Independence from Non-Maritime Modules</w:t>
      </w:r>
      <w:r>
        <w:tab/>
      </w:r>
      <w:r>
        <w:t>1</w:t>
      </w:r>
    </w:p>
    <w:p>
      <w:pPr>
        <w:pStyle w:val="TOC1"/>
      </w:pPr>
      <w:r>
        <w:t>Article 5: Automated Breach Triggers</w:t>
      </w:r>
      <w:r>
        <w:tab/>
      </w:r>
      <w:r>
        <w:t>1</w:t>
      </w:r>
    </w:p>
    <w:p>
      <w:pPr>
        <w:pStyle w:val="TOC2"/>
      </w:pPr>
      <w:r>
        <w:t>5.1 Proportional Penalty Calibration</w:t>
      </w:r>
      <w:r>
        <w:tab/>
      </w:r>
      <w:r>
        <w:t>1</w:t>
      </w:r>
    </w:p>
    <w:p>
      <w:pPr>
        <w:pStyle w:val="TOC2"/>
      </w:pPr>
      <w:r>
        <w:t>5.2 De Minimis Exception for Telemetry Glitches</w:t>
      </w:r>
      <w:r>
        <w:tab/>
      </w:r>
      <w:r>
        <w:t>1</w:t>
      </w:r>
    </w:p>
    <w:p>
      <w:pPr>
        <w:pStyle w:val="TOC2"/>
      </w:pPr>
      <w:r>
        <w:t>5.3 Tiered Human-in-the-Loop Governance</w:t>
      </w:r>
      <w:r>
        <w:tab/>
      </w:r>
      <w:r>
        <w:t>1</w:t>
      </w:r>
    </w:p>
    <w:p>
      <w:pPr>
        <w:pStyle w:val="TOC1"/>
      </w:pPr>
      <w:r>
        <w:t>Article 6: Earnback Protocol</w:t>
      </w:r>
      <w:r>
        <w:tab/>
      </w:r>
      <w:r>
        <w:t>1</w:t>
      </w:r>
    </w:p>
    <w:p>
      <w:pPr>
        <w:pStyle w:val="TOC1"/>
      </w:pPr>
      <w:r>
        <w:t>Article 7: Real-Time Compliance Dashboard</w:t>
      </w:r>
      <w:r>
        <w:tab/>
      </w:r>
      <w:r>
        <w:t>1</w:t>
      </w:r>
    </w:p>
    <w:p>
      <w:pPr>
        <w:pStyle w:val="TOC1"/>
      </w:pPr>
      <w:r>
        <w:t>Article 8: Emergency Break Points</w:t>
      </w:r>
      <w:r>
        <w:tab/>
      </w:r>
      <w:r>
        <w:t>1</w:t>
      </w:r>
    </w:p>
    <w:p>
      <w:pPr>
        <w:pStyle w:val="TOC2"/>
      </w:pPr>
      <w:r>
        <w:t>8.1 Catastrophic Telemetry Failure</w:t>
      </w:r>
      <w:r>
        <w:tab/>
      </w:r>
      <w:r>
        <w:t>1</w:t>
      </w:r>
    </w:p>
    <w:p>
      <w:pPr>
        <w:pStyle w:val="TOC2"/>
      </w:pPr>
      <w:r>
        <w:t>8.2 Dual-Key Unavailability</w:t>
      </w:r>
      <w:r>
        <w:tab/>
      </w:r>
      <w:r>
        <w:t>1</w:t>
      </w:r>
    </w:p>
    <w:p>
      <w:pPr>
        <w:pStyle w:val="TOC2"/>
      </w:pPr>
      <w:r>
        <w:t>8.3 Permanent Closure (Entombment Equivalent)</w:t>
      </w:r>
      <w:r>
        <w:tab/>
      </w:r>
      <w:r>
        <w:t>1</w:t>
      </w:r>
    </w:p>
    <w:p>
      <w:pPr>
        <w:pStyle w:val="TOC1"/>
      </w:pPr>
      <w:r>
        <w:t>Article 9: Relationship to Existing Annexes</w:t>
      </w:r>
      <w:r>
        <w:tab/>
      </w:r>
      <w:r>
        <w:t>1</w:t>
      </w:r>
    </w:p>
    <w:p>
      <w:pPr>
        <w:pStyle w:val="TOC1"/>
      </w:pPr>
      <w:r>
        <w:t>Article 10: Incorporation by Reference</w:t>
      </w:r>
      <w:r>
        <w:tab/>
      </w:r>
      <w:r>
        <w:t>1</w:t>
      </w:r>
    </w:p>
    <w:p>
      <w:pPr>
        <w:pStyle w:val="TOC1"/>
      </w:pPr>
      <w:r>
        <w:t>Article 11: Provisional Application</w:t>
      </w:r>
      <w:r>
        <w:tab/>
      </w:r>
      <w:r>
        <w:t>1</w:t>
      </w:r>
    </w:p>
    <w:p>
      <w:pPr>
        <w:pStyle w:val="TOC1"/>
      </w:pPr>
      <w:r>
        <w:t>Appendix A: Victory Speech Templates</w:t>
      </w:r>
      <w:r>
        <w:tab/>
      </w:r>
      <w:r>
        <w:t>1</w:t>
      </w:r>
    </w:p>
    <w:p>
      <w:pPr>
        <w:pStyle w:val="TOC1"/>
      </w:pPr>
      <w:r>
        <w:t>Signature Block</w:t>
      </w:r>
      <w:r>
        <w:tab/>
      </w:r>
      <w:r>
        <w:t>1</w:t>
      </w:r>
    </w:p>
    <w:p>
      <w:r>
        <w:fldChar w:fldCharType="end"/>
      </w:r>
    </w:p>
    <w:p>
      <w:pPr>
        <w:sectPr>
          <w:type w:val="nextPage"/>
          <w:pgSz w:w="11906" w:h="16838"/>
          <w:pgMar w:top="1800" w:right="1440" w:bottom="1440" w:left="1440" w:header="720" w:footer="720"/>
        </w:sectPr>
      </w:pPr>
    </w:p>
    <w:p>
      <w:pPr>
        <w:pStyle w:val="Heading1"/>
        <w:keepNext/>
        <w:keepLines/>
        <w:spacing w:before="480" w:after="200"/>
      </w:pPr>
      <w:r>
        <w:rPr>
          <w:rFonts w:ascii="Cambria" w:hAnsi="Cambria"/>
          <w:b/>
          <w:color w:val="3d5a80"/>
          <w:sz w:val="32"/>
        </w:rPr>
        <w:t xml:space="preserve">Preamble</w:t>
      </w:r>
    </w:p>
    <w:p>
      <w:pPr>
        <w:spacing w:before="120" w:after="160" w:line="276" w:lineRule="auto"/>
        <w:jc w:val="both"/>
      </w:pPr>
      <w:r>
        <w:rPr>
          <w:rFonts w:ascii="Cambria" w:hAnsi="Cambria"/>
          <w:color w:val="1d3557"/>
          <w:sz w:val="22"/>
        </w:rPr>
        <w:t xml:space="preserve">The Parties acknowledge that existing maritime annexes (Annex N.a, Stability First Phase II) establish political commitments for Hormuz transit but lack real-time telemetry verification, dual-key operational controls, and per-transaction financial mechanisms comparable to Annex V (Nuclear Dust Protocol).</w:t>
      </w:r>
    </w:p>
    <w:p>
      <w:pPr>
        <w:spacing w:before="120" w:after="160" w:line="276" w:lineRule="auto"/>
        <w:jc w:val="both"/>
      </w:pPr>
      <w:r>
        <w:rPr>
          <w:rFonts w:ascii="Cambria" w:hAnsi="Cambria"/>
          <w:color w:val="1d3557"/>
          <w:sz w:val="22"/>
        </w:rPr>
        <w:t xml:space="preserve">Neither Party accepts unilateral verification authority over the Strait of Hormuz. A multilateral, telemetry-first architecture provides continuous real-time monitoring of all transit activity, requires dual-key authorization for any change in operational posture, and links financial releases to verified, per-transit compliance.</w:t>
      </w:r>
    </w:p>
    <w:p>
      <w:pPr>
        <w:spacing w:before="120" w:after="160" w:line="276" w:lineRule="auto"/>
        <w:jc w:val="both"/>
      </w:pPr>
      <w:r>
        <w:rPr>
          <w:rFonts w:ascii="Cambria" w:hAnsi="Cambria"/>
          <w:color w:val="1d3557"/>
          <w:sz w:val="22"/>
        </w:rPr>
        <w:t xml:space="preserve">The United States maintains its absolute position that the Strait of Hormuz is an international waterway where no unilateral tolls are imposed. Nothing in this Annex alters that position. All financial mechanisms described herein constitute releases of Iran's own frozen sovereign assets held in escrow — not payments from shippers, not tolls, and not new revenue.</w:t>
      </w:r>
    </w:p>
    <w:p>
      <w:pPr>
        <w:spacing w:before="120" w:after="160" w:line="276" w:lineRule="auto"/>
        <w:jc w:val="both"/>
      </w:pPr>
      <w:r>
        <w:rPr>
          <w:rFonts w:ascii="Cambria" w:hAnsi="Cambria"/>
          <w:color w:val="1d3557"/>
          <w:sz w:val="22"/>
        </w:rPr>
        <w:t xml:space="preserve">The Islamic Republic of Iran maintains that the Persian Gulf Strait Authority (PGSA) exercises lawful sovereign authority over Iranian territorial waters. The United States does not formally recognize the PGSA as a legitimate tolling authority. This functional coordination mechanism is a sovereignty-preserving workaround, not a legal endorsement.</w:t>
      </w:r>
    </w:p>
    <w:p>
      <w:pPr>
        <w:spacing w:before="120" w:after="160" w:line="276" w:lineRule="auto"/>
        <w:jc w:val="both"/>
      </w:pPr>
      <w:r>
        <w:rPr>
          <w:rFonts w:ascii="Cambria" w:hAnsi="Cambria"/>
          <w:color w:val="1d3557"/>
          <w:sz w:val="22"/>
        </w:rPr>
        <w:t xml:space="preserve">The Parties adopt this Annex W as the binding operational mechanism governing real-time verification, dual-key transit authorization, immediate conditional reopening, performance-based asset releases, automated breach triggers, and the Real-Time Compliance Dashboard for the Hormuz Transit Zone.</w:t>
      </w:r>
    </w:p>
    <w:p>
      <w:pPr>
        <w:keepNext/>
        <w:spacing w:before="360" w:after="120"/>
      </w:pPr>
      <w:r>
        <w:rPr>
          <w:rFonts w:ascii="Cambria" w:hAnsi="Cambria"/>
          <w:b/>
          <w:color w:val="3d5a80"/>
          <w:sz w:val="22"/>
        </w:rPr>
        <w:t xml:space="preserve">Present-Tense Execution Principle</w:t>
      </w:r>
    </w:p>
    <w:p>
      <w:pPr>
        <w:spacing w:before="120" w:after="160" w:line="276" w:lineRule="auto"/>
        <w:jc w:val="both"/>
      </w:pPr>
      <w:r>
        <w:rPr>
          <w:rFonts w:ascii="Cambria" w:hAnsi="Cambria"/>
          <w:color w:val="1d3557"/>
          <w:sz w:val="22"/>
        </w:rPr>
        <w:t xml:space="preserve">Every clause in this Annex executes in the active present tense. Consequences activate in real time. No Party waits for subsequent authorization once a condition is met. Triggers fire automatically upon telemetry confirmation. Financial releases occur upon verification, not upon political consensus.</w:t>
      </w:r>
    </w:p>
    <w:p>
      <w:pPr>
        <w:keepNext/>
        <w:spacing w:before="360" w:after="120"/>
      </w:pPr>
      <w:r>
        <w:rPr>
          <w:rFonts w:ascii="Cambria" w:hAnsi="Cambria"/>
          <w:b/>
          <w:color w:val="3d5a80"/>
          <w:sz w:val="22"/>
        </w:rPr>
        <w:t xml:space="preserve">No Tolling Principle</w:t>
      </w:r>
    </w:p>
    <w:p>
      <w:pPr>
        <w:spacing w:before="120" w:after="160" w:line="276" w:lineRule="auto"/>
        <w:jc w:val="both"/>
      </w:pPr>
      <w:r>
        <w:rPr>
          <w:rFonts w:ascii="Cambria" w:hAnsi="Cambria"/>
          <w:color w:val="1d3557"/>
          <w:sz w:val="22"/>
        </w:rPr>
        <w:t xml:space="preserve">No commercial vessel pays any fee, toll, or navigation service charge to any Party or to the JHA as a condition of transit. The zero-toll principle is absolute and non-waivable. All financial releases under this Annex constitute performance-based returns of Iran's own frozen sovereign assets held in escrow.</w:t>
      </w:r>
    </w:p>
    <w:p>
      <w:pPr>
        <w:keepNext/>
        <w:spacing w:before="360" w:after="120"/>
      </w:pPr>
      <w:r>
        <w:rPr>
          <w:rFonts w:ascii="Cambria" w:hAnsi="Cambria"/>
          <w:b/>
          <w:color w:val="3d5a80"/>
          <w:sz w:val="22"/>
        </w:rPr>
        <w:t xml:space="preserve">Non-Recognition Clause</w:t>
      </w:r>
    </w:p>
    <w:p>
      <w:pPr>
        <w:spacing w:before="120" w:after="160" w:line="276" w:lineRule="auto"/>
        <w:jc w:val="both"/>
      </w:pPr>
      <w:r>
        <w:rPr>
          <w:rFonts w:ascii="Cambria" w:hAnsi="Cambria"/>
          <w:color w:val="1d3557"/>
          <w:sz w:val="22"/>
        </w:rPr>
        <w:t xml:space="preserve">Nothing in this Annex constitutes recognition by either Party of the other Party's government, political system, or regional policies. The JHA is a purely functional administrative mechanism. The United States does not formally recognize the PGSA as a legitimate tolling authority. Iran's domestic legal arrangements are not affected by US non-recognition.</w:t>
      </w:r>
    </w:p>
    <w:p>
      <w:pPr>
        <w:keepNext/>
        <w:spacing w:before="360" w:after="120"/>
      </w:pPr>
      <w:r>
        <w:rPr>
          <w:rFonts w:ascii="Cambria" w:hAnsi="Cambria"/>
          <w:b/>
          <w:color w:val="3d5a80"/>
          <w:sz w:val="22"/>
        </w:rPr>
        <w:t xml:space="preserve">Step-Back Integration Principle</w:t>
      </w:r>
    </w:p>
    <w:p>
      <w:pPr>
        <w:spacing w:before="120" w:after="160" w:line="276" w:lineRule="auto"/>
        <w:jc w:val="both"/>
      </w:pPr>
      <w:r>
        <w:rPr>
          <w:rFonts w:ascii="Cambria" w:hAnsi="Cambria"/>
          <w:color w:val="1d3557"/>
          <w:sz w:val="22"/>
        </w:rPr>
        <w:t xml:space="preserve">This Annex W incorporates the full Three-Tier Breach &amp; Step-Back Architecture from the parent framework's governance provisions, calibrated specifically for maritime telemetry violations. The tier system governs all micro-tranche releases, penalty assessments, and earnback procedures.</w:t>
      </w:r>
    </w:p>
    <w:p>
      <w:pPr>
        <w:keepNext/>
        <w:spacing w:before="360" w:after="120"/>
      </w:pPr>
      <w:r>
        <w:rPr>
          <w:rFonts w:ascii="Cambria" w:hAnsi="Cambria"/>
          <w:b/>
          <w:color w:val="3d5a80"/>
          <w:sz w:val="22"/>
        </w:rPr>
        <w:t xml:space="preserve">Modularity Clause</w:t>
      </w:r>
    </w:p>
    <w:p>
      <w:pPr>
        <w:spacing w:before="120" w:after="160" w:line="276" w:lineRule="auto"/>
        <w:jc w:val="both"/>
      </w:pPr>
      <w:r>
        <w:rPr>
          <w:rFonts w:ascii="Cambria" w:hAnsi="Cambria"/>
          <w:color w:val="1d3557"/>
          <w:sz w:val="22"/>
        </w:rPr>
        <w:t xml:space="preserve">This Annex W is self-contained and incorporable into any existing or future agreement through a single sentence of adoption. In the event of inconsistency, Annex W governs with respect to maritime telemetry, dual-key transit authorization, immediate conditional reopening, performance-based asset releases, automated breach triggers, and the Real-Time Compliance Dashboard. The financial architecture within this Annex operates exclusively on maritime performance metrics. No land-based or non-maritime operational module exerts cross-module influence over the maritime escrow release schedule.</w:t>
      </w:r>
    </w:p>
    <w:p>
      <w:pPr>
        <w:pStyle w:val="Heading1"/>
        <w:keepNext/>
        <w:keepLines/>
        <w:spacing w:before="480" w:after="200"/>
      </w:pPr>
      <w:r>
        <w:rPr>
          <w:rFonts w:ascii="Cambria" w:hAnsi="Cambria"/>
          <w:b/>
          <w:color w:val="3d5a80"/>
          <w:sz w:val="32"/>
        </w:rPr>
        <w:t xml:space="preserve">Article 1: Real-Time Telemetry Infrastructure</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The Joint Hormuz Authority (JHA) Maritime Coordination Cell (MCC) in Muscat operates the following real-time telemetry systems for the Hormuz Transit Zone (HTZ). All data feeds transmit simultaneously to all Parties with identical latency.</w:t>
      </w:r>
    </w:p>
    <w:tbl>
      <w:tblPr>
        <w:tblW w:w="5000" w:type="pct"/>
        <w:tblBorders>
          <w:top w:val="single" w:color="3d5a80" w:sz="12"/>
          <w:left w:val="nil"/>
          <w:bottom w:val="single" w:color="3d5a80" w:sz="12"/>
          <w:right w:val="nil"/>
          <w:insideH w:val="single" w:color="d0d5dd" w:sz="4"/>
          <w:insideV w:val="nil"/>
        </w:tblBorders>
      </w:tblPr>
      <w:tblGrid>
        <w:gridCol w:w="1800"/>
        <w:gridCol w:w="2800"/>
        <w:gridCol w:w="2600"/>
        <w:gridCol w:w="2200"/>
      </w:tblGrid>
      <w:tr>
        <w:trPr>
          <w:tblHeader/>
        </w:trPr>
        <w:tc>
          <w:tcPr>
            <w:tcW w:w="1800" w:type="dxa"/>
            <w:shd w:val="clear" w:fill="e8ecf1"/>
          </w:tcPr>
          <w:p>
            <w:pPr>
              <w:spacing w:before="60" w:after="60" w:line="240" w:lineRule="auto"/>
            </w:pPr>
            <w:r>
              <w:rPr>
                <w:b/>
                <w:color w:val="1d3557"/>
                <w:sz w:val="20"/>
              </w:rPr>
              <w:t xml:space="preserve">System</w:t>
            </w:r>
          </w:p>
        </w:tc>
        <w:tc>
          <w:tcPr>
            <w:tcW w:w="2800" w:type="dxa"/>
            <w:shd w:val="clear" w:fill="e8ecf1"/>
          </w:tcPr>
          <w:p>
            <w:pPr>
              <w:spacing w:before="60" w:after="60" w:line="240" w:lineRule="auto"/>
            </w:pPr>
            <w:r>
              <w:rPr>
                <w:b/>
                <w:color w:val="1d3557"/>
                <w:sz w:val="20"/>
              </w:rPr>
              <w:t xml:space="preserve">Function</w:t>
            </w:r>
          </w:p>
        </w:tc>
        <w:tc>
          <w:tcPr>
            <w:tcW w:w="2600" w:type="dxa"/>
            <w:shd w:val="clear" w:fill="e8ecf1"/>
          </w:tcPr>
          <w:p>
            <w:pPr>
              <w:spacing w:before="60" w:after="60" w:line="240" w:lineRule="auto"/>
            </w:pPr>
            <w:r>
              <w:rPr>
                <w:b/>
                <w:color w:val="1d3557"/>
                <w:sz w:val="20"/>
              </w:rPr>
              <w:t xml:space="preserve">Feed Recipients</w:t>
            </w:r>
          </w:p>
        </w:tc>
        <w:tc>
          <w:tcPr>
            <w:tcW w:w="2200" w:type="dxa"/>
            <w:shd w:val="clear" w:fill="e8ecf1"/>
          </w:tcPr>
          <w:p>
            <w:pPr>
              <w:spacing w:before="60" w:after="60" w:line="240" w:lineRule="auto"/>
            </w:pPr>
            <w:r>
              <w:rPr>
                <w:b/>
                <w:color w:val="1d3557"/>
                <w:sz w:val="20"/>
              </w:rPr>
              <w:t xml:space="preserve">Latency</w:t>
            </w:r>
          </w:p>
        </w:tc>
      </w:tr>
      <w:tr>
        <w:tc>
          <w:tcPr>
            <w:tcW w:w="1800" w:type="dxa"/>
          </w:tcPr>
          <w:p>
            <w:pPr>
              <w:spacing w:before="60" w:after="60" w:line="240" w:lineRule="auto"/>
              <w:jc w:val="left"/>
            </w:pPr>
            <w:r>
              <w:rPr>
                <w:color w:val="457b9d"/>
                <w:sz w:val="20"/>
              </w:rPr>
              <w:t xml:space="preserve">Radar Network (3 stations)</w:t>
            </w:r>
          </w:p>
        </w:tc>
        <w:tc>
          <w:tcPr>
            <w:tcW w:w="2800" w:type="dxa"/>
          </w:tcPr>
          <w:p>
            <w:pPr>
              <w:spacing w:before="60" w:after="60" w:line="240" w:lineRule="auto"/>
              <w:jc w:val="left"/>
            </w:pPr>
            <w:r>
              <w:rPr>
                <w:color w:val="457b9d"/>
                <w:sz w:val="20"/>
              </w:rPr>
              <w:t xml:space="preserve">Continuous surface tracking of all HTZ vessels (military and civilian)</w:t>
            </w:r>
          </w:p>
        </w:tc>
        <w:tc>
          <w:tcPr>
            <w:tcW w:w="2600" w:type="dxa"/>
          </w:tcPr>
          <w:p>
            <w:pPr>
              <w:spacing w:before="60" w:after="60" w:line="240" w:lineRule="auto"/>
              <w:jc w:val="left"/>
            </w:pPr>
            <w:r>
              <w:rPr>
                <w:color w:val="457b9d"/>
                <w:sz w:val="20"/>
              </w:rPr>
              <w:t xml:space="preserve">JHA MCC, Iran (PGSA/IRGC-Navy), US (5th Fleet), Oman, IAEA</w:t>
            </w:r>
          </w:p>
        </w:tc>
        <w:tc>
          <w:tcPr>
            <w:tcW w:w="2200" w:type="dxa"/>
          </w:tcPr>
          <w:p>
            <w:pPr>
              <w:spacing w:before="60" w:after="60" w:line="240" w:lineRule="auto"/>
              <w:jc w:val="left"/>
            </w:pPr>
            <w:r>
              <w:rPr>
                <w:color w:val="457b9d"/>
                <w:sz w:val="20"/>
              </w:rPr>
              <w:t xml:space="preserve">Real-time (5-second refresh)</w:t>
            </w:r>
          </w:p>
        </w:tc>
      </w:tr>
      <w:tr>
        <w:tc>
          <w:tcPr>
            <w:tcW w:w="1800" w:type="dxa"/>
          </w:tcPr>
          <w:p>
            <w:pPr>
              <w:spacing w:before="60" w:after="60" w:line="240" w:lineRule="auto"/>
              <w:jc w:val="left"/>
            </w:pPr>
            <w:r>
              <w:rPr>
                <w:color w:val="457b9d"/>
                <w:sz w:val="20"/>
              </w:rPr>
              <w:t xml:space="preserve">Cryptographic AIS Verification</w:t>
            </w:r>
          </w:p>
        </w:tc>
        <w:tc>
          <w:tcPr>
            <w:tcW w:w="2800" w:type="dxa"/>
          </w:tcPr>
          <w:p>
            <w:pPr>
              <w:spacing w:before="60" w:after="60" w:line="240" w:lineRule="auto"/>
              <w:jc w:val="left"/>
            </w:pPr>
            <w:r>
              <w:rPr>
                <w:color w:val="457b9d"/>
                <w:sz w:val="20"/>
              </w:rPr>
              <w:t xml:space="preserve">Tamper-proof "JHA-AUTHORIZED" status with rolling code authentication</w:t>
            </w:r>
          </w:p>
        </w:tc>
        <w:tc>
          <w:tcPr>
            <w:tcW w:w="2600" w:type="dxa"/>
          </w:tcPr>
          <w:p>
            <w:pPr>
              <w:spacing w:before="60" w:after="60" w:line="240" w:lineRule="auto"/>
              <w:jc w:val="left"/>
            </w:pPr>
            <w:r>
              <w:rPr>
                <w:color w:val="457b9d"/>
                <w:sz w:val="20"/>
              </w:rPr>
              <w:t xml:space="preserve">All Parties; Lloyd's List; UN OCHA; IMO</w:t>
            </w:r>
          </w:p>
        </w:tc>
        <w:tc>
          <w:tcPr>
            <w:tcW w:w="2200" w:type="dxa"/>
          </w:tcPr>
          <w:p>
            <w:pPr>
              <w:spacing w:before="60" w:after="60" w:line="240" w:lineRule="auto"/>
              <w:jc w:val="left"/>
            </w:pPr>
            <w:r>
              <w:rPr>
                <w:color w:val="457b9d"/>
                <w:sz w:val="20"/>
              </w:rPr>
              <w:t xml:space="preserve">1-minute position updates</w:t>
            </w:r>
          </w:p>
        </w:tc>
      </w:tr>
      <w:tr>
        <w:tc>
          <w:tcPr>
            <w:tcW w:w="1800" w:type="dxa"/>
          </w:tcPr>
          <w:p>
            <w:pPr>
              <w:spacing w:before="60" w:after="60" w:line="240" w:lineRule="auto"/>
              <w:jc w:val="left"/>
            </w:pPr>
            <w:r>
              <w:rPr>
                <w:color w:val="457b9d"/>
                <w:sz w:val="20"/>
              </w:rPr>
              <w:t xml:space="preserve">Seismic/Acoustic Array</w:t>
            </w:r>
          </w:p>
        </w:tc>
        <w:tc>
          <w:tcPr>
            <w:tcW w:w="2800" w:type="dxa"/>
          </w:tcPr>
          <w:p>
            <w:pPr>
              <w:spacing w:before="60" w:after="60" w:line="240" w:lineRule="auto"/>
              <w:jc w:val="left"/>
            </w:pPr>
            <w:r>
              <w:rPr>
                <w:color w:val="457b9d"/>
                <w:sz w:val="20"/>
              </w:rPr>
              <w:t xml:space="preserve">Mine detonation, underwater drone, submarine, or unauthorized tunneling detection</w:t>
            </w:r>
          </w:p>
        </w:tc>
        <w:tc>
          <w:tcPr>
            <w:tcW w:w="2600" w:type="dxa"/>
          </w:tcPr>
          <w:p>
            <w:pPr>
              <w:spacing w:before="60" w:after="60" w:line="240" w:lineRule="auto"/>
              <w:jc w:val="left"/>
            </w:pPr>
            <w:r>
              <w:rPr>
                <w:color w:val="457b9d"/>
                <w:sz w:val="20"/>
              </w:rPr>
              <w:t xml:space="preserve">JHA MCC; Iranian Navy; US 5th Fleet; Oman</w:t>
            </w:r>
          </w:p>
        </w:tc>
        <w:tc>
          <w:tcPr>
            <w:tcW w:w="2200" w:type="dxa"/>
          </w:tcPr>
          <w:p>
            <w:pPr>
              <w:spacing w:before="60" w:after="60" w:line="240" w:lineRule="auto"/>
              <w:jc w:val="left"/>
            </w:pPr>
            <w:r>
              <w:rPr>
                <w:color w:val="457b9d"/>
                <w:sz w:val="20"/>
              </w:rPr>
              <w:t xml:space="preserve">Real-time alert (&lt;30 seconds)</w:t>
            </w:r>
          </w:p>
        </w:tc>
      </w:tr>
      <w:tr>
        <w:tc>
          <w:tcPr>
            <w:tcW w:w="1800" w:type="dxa"/>
          </w:tcPr>
          <w:p>
            <w:pPr>
              <w:spacing w:before="60" w:after="60" w:line="240" w:lineRule="auto"/>
              <w:jc w:val="left"/>
            </w:pPr>
            <w:r>
              <w:rPr>
                <w:color w:val="457b9d"/>
                <w:sz w:val="20"/>
              </w:rPr>
              <w:t xml:space="preserve">Environmental Sensor Grid</w:t>
            </w:r>
          </w:p>
        </w:tc>
        <w:tc>
          <w:tcPr>
            <w:tcW w:w="2800" w:type="dxa"/>
          </w:tcPr>
          <w:p>
            <w:pPr>
              <w:spacing w:before="60" w:after="60" w:line="240" w:lineRule="auto"/>
              <w:jc w:val="left"/>
            </w:pPr>
            <w:r>
              <w:rPr>
                <w:color w:val="457b9d"/>
                <w:sz w:val="20"/>
              </w:rPr>
              <w:t xml:space="preserve">Oil spill, chemical, radiation, or biological hazard detection</w:t>
            </w:r>
          </w:p>
        </w:tc>
        <w:tc>
          <w:tcPr>
            <w:tcW w:w="2600" w:type="dxa"/>
          </w:tcPr>
          <w:p>
            <w:pPr>
              <w:spacing w:before="60" w:after="60" w:line="240" w:lineRule="auto"/>
              <w:jc w:val="left"/>
            </w:pPr>
            <w:r>
              <w:rPr>
                <w:color w:val="457b9d"/>
                <w:sz w:val="20"/>
              </w:rPr>
              <w:t xml:space="preserve">Iran EPA; IAEA; JHA; UNEP</w:t>
            </w:r>
          </w:p>
        </w:tc>
        <w:tc>
          <w:tcPr>
            <w:tcW w:w="2200" w:type="dxa"/>
          </w:tcPr>
          <w:p>
            <w:pPr>
              <w:spacing w:before="60" w:after="60" w:line="240" w:lineRule="auto"/>
              <w:jc w:val="left"/>
            </w:pPr>
            <w:r>
              <w:rPr>
                <w:color w:val="457b9d"/>
                <w:sz w:val="20"/>
              </w:rPr>
              <w:t xml:space="preserve">15-minute sampling cycles</w:t>
            </w:r>
          </w:p>
        </w:tc>
      </w:tr>
      <w:tr>
        <w:tc>
          <w:tcPr>
            <w:tcW w:w="1800" w:type="dxa"/>
          </w:tcPr>
          <w:p>
            <w:pPr>
              <w:spacing w:before="60" w:after="60" w:line="240" w:lineRule="auto"/>
              <w:jc w:val="left"/>
            </w:pPr>
            <w:r>
              <w:rPr>
                <w:color w:val="457b9d"/>
                <w:sz w:val="20"/>
              </w:rPr>
              <w:t xml:space="preserve">Transit Mass Balance</w:t>
            </w:r>
          </w:p>
        </w:tc>
        <w:tc>
          <w:tcPr>
            <w:tcW w:w="2800" w:type="dxa"/>
          </w:tcPr>
          <w:p>
            <w:pPr>
              <w:spacing w:before="60" w:after="60" w:line="240" w:lineRule="auto"/>
              <w:jc w:val="left"/>
            </w:pPr>
            <w:r>
              <w:rPr>
                <w:color w:val="457b9d"/>
                <w:sz w:val="20"/>
              </w:rPr>
              <w:t xml:space="preserve">Real-time count of vessels, tonnage, and compliance status</w:t>
            </w:r>
          </w:p>
        </w:tc>
        <w:tc>
          <w:tcPr>
            <w:tcW w:w="2600" w:type="dxa"/>
          </w:tcPr>
          <w:p>
            <w:pPr>
              <w:spacing w:before="60" w:after="60" w:line="240" w:lineRule="auto"/>
              <w:jc w:val="left"/>
            </w:pPr>
            <w:r>
              <w:rPr>
                <w:color w:val="457b9d"/>
                <w:sz w:val="20"/>
              </w:rPr>
              <w:t xml:space="preserve">All Parties; Shared Digital Registry (Annex U)</w:t>
            </w:r>
          </w:p>
        </w:tc>
        <w:tc>
          <w:tcPr>
            <w:tcW w:w="2200" w:type="dxa"/>
          </w:tcPr>
          <w:p>
            <w:pPr>
              <w:spacing w:before="60" w:after="60" w:line="240" w:lineRule="auto"/>
              <w:jc w:val="left"/>
            </w:pPr>
            <w:r>
              <w:rPr>
                <w:color w:val="457b9d"/>
                <w:sz w:val="20"/>
              </w:rPr>
              <w:t xml:space="preserve">Updated every 15 minutes</w:t>
            </w:r>
          </w:p>
        </w:tc>
      </w:tr>
      <w:tr>
        <w:tc>
          <w:tcPr>
            <w:tcW w:w="1800" w:type="dxa"/>
          </w:tcPr>
          <w:p>
            <w:pPr>
              <w:spacing w:before="60" w:after="60" w:line="240" w:lineRule="auto"/>
              <w:jc w:val="left"/>
            </w:pPr>
            <w:r>
              <w:rPr>
                <w:color w:val="457b9d"/>
                <w:sz w:val="20"/>
              </w:rPr>
              <w:t xml:space="preserve">Encrypted Video Network</w:t>
            </w:r>
          </w:p>
        </w:tc>
        <w:tc>
          <w:tcPr>
            <w:tcW w:w="2800" w:type="dxa"/>
          </w:tcPr>
          <w:p>
            <w:pPr>
              <w:spacing w:before="60" w:after="60" w:line="240" w:lineRule="auto"/>
              <w:jc w:val="left"/>
            </w:pPr>
            <w:r>
              <w:rPr>
                <w:color w:val="457b9d"/>
                <w:sz w:val="20"/>
              </w:rPr>
              <w:t xml:space="preserve">Visual monitoring of the Commercial Transit Corridor (CTC)</w:t>
            </w:r>
          </w:p>
        </w:tc>
        <w:tc>
          <w:tcPr>
            <w:tcW w:w="2600" w:type="dxa"/>
          </w:tcPr>
          <w:p>
            <w:pPr>
              <w:spacing w:before="60" w:after="60" w:line="240" w:lineRule="auto"/>
              <w:jc w:val="left"/>
            </w:pPr>
            <w:r>
              <w:rPr>
                <w:color w:val="457b9d"/>
                <w:sz w:val="20"/>
              </w:rPr>
              <w:t xml:space="preserve">All Parties; Joint Secretariat; JHA Council</w:t>
            </w:r>
          </w:p>
        </w:tc>
        <w:tc>
          <w:tcPr>
            <w:tcW w:w="2200" w:type="dxa"/>
          </w:tcPr>
          <w:p>
            <w:pPr>
              <w:spacing w:before="60" w:after="60" w:line="240" w:lineRule="auto"/>
              <w:jc w:val="left"/>
            </w:pPr>
            <w:r>
              <w:rPr>
                <w:color w:val="457b9d"/>
                <w:sz w:val="20"/>
              </w:rPr>
              <w:t xml:space="preserve">Live (15-second max interruption)</w:t>
            </w:r>
          </w:p>
        </w:tc>
      </w:tr>
    </w:tbl>
    <w:p>
      <w:pPr>
        <w:keepNext/>
        <w:spacing w:before="360" w:after="120"/>
      </w:pPr>
      <w:r>
        <w:rPr>
          <w:rFonts w:ascii="Cambria" w:hAnsi="Cambria"/>
          <w:b/>
          <w:color w:val="3d5a80"/>
          <w:sz w:val="22"/>
        </w:rPr>
        <w:t xml:space="preserve">Data Sharing Symmetry</w:t>
      </w:r>
    </w:p>
    <w:p>
      <w:pPr>
        <w:spacing w:before="120" w:after="160" w:line="276" w:lineRule="auto"/>
        <w:jc w:val="both"/>
      </w:pPr>
      <w:r>
        <w:rPr>
          <w:rFonts w:ascii="Cambria" w:hAnsi="Cambria"/>
          <w:color w:val="1d3557"/>
          <w:sz w:val="22"/>
        </w:rPr>
        <w:t xml:space="preserve">No Party receives preferential access, earlier notification, or exclusive data feeds. Any data asymmetry constitutes an automatic Tier 2 Material Disruption under this Annex W.</w:t>
      </w:r>
    </w:p>
    <w:p>
      <w:pPr>
        <w:pStyle w:val="Heading1"/>
        <w:keepNext/>
        <w:keepLines/>
        <w:spacing w:before="480" w:after="200"/>
      </w:pPr>
      <w:r>
        <w:rPr>
          <w:rFonts w:ascii="Cambria" w:hAnsi="Cambria"/>
          <w:b/>
          <w:color w:val="3d5a80"/>
          <w:sz w:val="32"/>
        </w:rPr>
        <w:t xml:space="preserve">Article 2: Dual-Key Authorization for Transit Operations</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Every change in HTZ operational posture and every issuance of a JHA-AUTHORIZED transit permit requires two digital keys operating in tandem.</w:t>
      </w:r>
    </w:p>
    <w:p>
      <w:pPr>
        <w:pStyle w:val="Heading2"/>
        <w:keepNext/>
        <w:keepLines/>
        <w:spacing w:before="320" w:after="120"/>
      </w:pPr>
      <w:r>
        <w:rPr>
          <w:rFonts w:ascii="Cambria" w:hAnsi="Cambria"/>
          <w:b/>
          <w:color w:val="1d3557"/>
          <w:sz w:val="26"/>
        </w:rPr>
        <w:t xml:space="preserve">2.1 Digital Key Architecture</w:t>
      </w:r>
    </w:p>
    <w:tbl>
      <w:tblPr>
        <w:tblW w:w="5000" w:type="pct"/>
        <w:tblBorders>
          <w:top w:val="single" w:color="3d5a80" w:sz="12"/>
          <w:left w:val="nil"/>
          <w:bottom w:val="single" w:color="3d5a80" w:sz="12"/>
          <w:right w:val="nil"/>
          <w:insideH w:val="single" w:color="d0d5dd" w:sz="4"/>
          <w:insideV w:val="nil"/>
        </w:tblBorders>
      </w:tblPr>
      <w:tblGrid>
        <w:gridCol w:w="2400"/>
        <w:gridCol w:w="1600"/>
        <w:gridCol w:w="5600"/>
      </w:tblGrid>
      <w:tr>
        <w:trPr>
          <w:tblHeader/>
        </w:trPr>
        <w:tc>
          <w:tcPr>
            <w:tcW w:w="2400" w:type="dxa"/>
            <w:shd w:val="clear" w:fill="e8ecf1"/>
          </w:tcPr>
          <w:p>
            <w:pPr>
              <w:spacing w:before="60" w:after="60" w:line="240" w:lineRule="auto"/>
            </w:pPr>
            <w:r>
              <w:rPr>
                <w:b/>
                <w:color w:val="1d3557"/>
                <w:sz w:val="20"/>
              </w:rPr>
              <w:t xml:space="preserve">Key Holder</w:t>
            </w:r>
          </w:p>
        </w:tc>
        <w:tc>
          <w:tcPr>
            <w:tcW w:w="1600" w:type="dxa"/>
            <w:shd w:val="clear" w:fill="e8ecf1"/>
          </w:tcPr>
          <w:p>
            <w:pPr>
              <w:spacing w:before="60" w:after="60" w:line="240" w:lineRule="auto"/>
            </w:pPr>
            <w:r>
              <w:rPr>
                <w:b/>
                <w:color w:val="1d3557"/>
                <w:sz w:val="20"/>
              </w:rPr>
              <w:t xml:space="preserve">Key Type</w:t>
            </w:r>
          </w:p>
        </w:tc>
        <w:tc>
          <w:tcPr>
            <w:tcW w:w="5600" w:type="dxa"/>
            <w:shd w:val="clear" w:fill="e8ecf1"/>
          </w:tcPr>
          <w:p>
            <w:pPr>
              <w:spacing w:before="60" w:after="60" w:line="240" w:lineRule="auto"/>
            </w:pPr>
            <w:r>
              <w:rPr>
                <w:b/>
                <w:color w:val="1d3557"/>
                <w:sz w:val="20"/>
              </w:rPr>
              <w:t xml:space="preserve">Authorization Function</w:t>
            </w:r>
          </w:p>
        </w:tc>
      </w:tr>
      <w:tr>
        <w:tc>
          <w:tcPr>
            <w:tcW w:w="2400" w:type="dxa"/>
          </w:tcPr>
          <w:p>
            <w:pPr>
              <w:spacing w:before="60" w:after="60" w:line="240" w:lineRule="auto"/>
              <w:jc w:val="left"/>
            </w:pPr>
            <w:r>
              <w:rPr>
                <w:color w:val="457b9d"/>
                <w:sz w:val="20"/>
              </w:rPr>
              <w:t xml:space="preserve">Islamic Republic of Iran (PGSA/IRGC-Navy duty officer embedded at JHA MCC)</w:t>
            </w:r>
          </w:p>
        </w:tc>
        <w:tc>
          <w:tcPr>
            <w:tcW w:w="1600" w:type="dxa"/>
          </w:tcPr>
          <w:p>
            <w:pPr>
              <w:spacing w:before="60" w:after="60" w:line="240" w:lineRule="auto"/>
              <w:jc w:val="left"/>
            </w:pPr>
            <w:r>
              <w:rPr>
                <w:color w:val="457b9d"/>
                <w:sz w:val="20"/>
              </w:rPr>
              <w:t xml:space="preserve">Iran Key</w:t>
            </w:r>
          </w:p>
        </w:tc>
        <w:tc>
          <w:tcPr>
            <w:tcW w:w="5600" w:type="dxa"/>
          </w:tcPr>
          <w:p>
            <w:pPr>
              <w:spacing w:before="60" w:after="60" w:line="240" w:lineRule="auto"/>
              <w:jc w:val="left"/>
            </w:pPr>
            <w:r>
              <w:rPr>
                <w:color w:val="457b9d"/>
                <w:sz w:val="20"/>
              </w:rPr>
              <w:t xml:space="preserve">Certifies that no Iranian forces are conducting prohibited interdiction under Annex N.a; confirms stand-off distances are maintained</w:t>
            </w:r>
          </w:p>
        </w:tc>
      </w:tr>
      <w:tr>
        <w:tc>
          <w:tcPr>
            <w:tcW w:w="2400" w:type="dxa"/>
          </w:tcPr>
          <w:p>
            <w:pPr>
              <w:spacing w:before="60" w:after="60" w:line="240" w:lineRule="auto"/>
              <w:jc w:val="left"/>
            </w:pPr>
            <w:r>
              <w:rPr>
                <w:color w:val="457b9d"/>
                <w:sz w:val="20"/>
              </w:rPr>
              <w:t xml:space="preserve">JHA Maritime Coordination Cell (Omani Chair, with IAEA verification observer)</w:t>
            </w:r>
          </w:p>
        </w:tc>
        <w:tc>
          <w:tcPr>
            <w:tcW w:w="1600" w:type="dxa"/>
          </w:tcPr>
          <w:p>
            <w:pPr>
              <w:spacing w:before="60" w:after="60" w:line="240" w:lineRule="auto"/>
              <w:jc w:val="left"/>
            </w:pPr>
            <w:r>
              <w:rPr>
                <w:color w:val="457b9d"/>
                <w:sz w:val="20"/>
              </w:rPr>
              <w:t xml:space="preserve">JHA Key</w:t>
            </w:r>
          </w:p>
        </w:tc>
        <w:tc>
          <w:tcPr>
            <w:tcW w:w="5600" w:type="dxa"/>
          </w:tcPr>
          <w:p>
            <w:pPr>
              <w:spacing w:before="60" w:after="60" w:line="240" w:lineRule="auto"/>
              <w:jc w:val="left"/>
            </w:pPr>
            <w:r>
              <w:rPr>
                <w:color w:val="457b9d"/>
                <w:sz w:val="20"/>
              </w:rPr>
              <w:t xml:space="preserve">Certifies that all telemetry systems are operational, no unresolved breach exists, and verification standards are met</w:t>
            </w:r>
          </w:p>
        </w:tc>
      </w:tr>
    </w:tbl>
    <w:p>
      <w:pPr>
        <w:pStyle w:val="Heading2"/>
        <w:keepNext/>
        <w:keepLines/>
        <w:spacing w:before="320" w:after="120"/>
      </w:pPr>
      <w:r>
        <w:rPr>
          <w:rFonts w:ascii="Cambria" w:hAnsi="Cambria"/>
          <w:b/>
          <w:color w:val="1d3557"/>
          <w:sz w:val="26"/>
        </w:rPr>
        <w:t xml:space="preserve">2.2 PGSA Operational Integration (Sovereignty-Preserving)</w:t>
      </w:r>
    </w:p>
    <w:p>
      <w:pPr>
        <w:spacing w:before="120" w:after="160" w:line="276" w:lineRule="auto"/>
        <w:jc w:val="both"/>
      </w:pPr>
      <w:r>
        <w:rPr>
          <w:rFonts w:ascii="Cambria" w:hAnsi="Cambria"/>
          <w:color w:val="1d3557"/>
          <w:sz w:val="22"/>
        </w:rPr>
        <w:t xml:space="preserve">The Persian Gulf Strait Authority (PGSA) operates as the designated Iranian coastal enforcement body within Iranian territorial waters (0–12nm). This designation is a factual acknowledgment of existing Iranian administrative structures for functional coordination purposes, not a legal recognition of the PGSA's tolling authority or sovereign claims beyond those already established under UNCLOS.</w:t>
      </w:r>
    </w:p>
    <w:p>
      <w:pPr>
        <w:spacing w:before="120" w:after="160" w:line="276" w:lineRule="auto"/>
        <w:jc w:val="both"/>
      </w:pPr>
      <w:r>
        <w:rPr>
          <w:rFonts w:ascii="Cambria" w:hAnsi="Cambria"/>
          <w:color w:val="1d3557"/>
          <w:sz w:val="22"/>
        </w:rPr>
        <w:t xml:space="preserve">The PGSA provides the "Iran Key" for dual-key transit authorization through a designated PGSA liaison officer embedded at the JHA Maritime Coordination Cell in Muscat. This embedding does not imply US recognition of the PGSA's separate legal personality; it is a functional coordination mechanism.</w:t>
      </w:r>
    </w:p>
    <w:p>
      <w:pPr>
        <w:spacing w:before="120" w:after="160" w:line="276" w:lineRule="auto"/>
        <w:jc w:val="both"/>
      </w:pPr>
      <w:r>
        <w:rPr>
          <w:rFonts w:ascii="Cambria" w:hAnsi="Cambria"/>
          <w:color w:val="1d3557"/>
          <w:sz w:val="22"/>
        </w:rPr>
        <w:t xml:space="preserve">The United States does not formally recognize the PGSA as a legitimate tolling authority. The US position remains that the Strait of Hormuz is an international waterway where no unilateral tolls are imposed. Nothing in this Annex alters that position.</w:t>
      </w:r>
    </w:p>
    <w:p>
      <w:pPr>
        <w:spacing w:before="120" w:after="160" w:line="276" w:lineRule="auto"/>
        <w:jc w:val="both"/>
      </w:pPr>
      <w:r>
        <w:rPr>
          <w:rFonts w:ascii="Cambria" w:hAnsi="Cambria"/>
          <w:color w:val="1d3557"/>
          <w:sz w:val="22"/>
        </w:rPr>
        <w:t xml:space="preserve">Iran maintains that the PGSA exercises lawful sovereign authority over Iranian territorial waters. The US non-recognition does not affect Iranian domestic legal arrangements.</w:t>
      </w:r>
    </w:p>
    <w:p>
      <w:pPr>
        <w:pStyle w:val="Heading2"/>
        <w:keepNext/>
        <w:keepLines/>
        <w:spacing w:before="320" w:after="120"/>
      </w:pPr>
      <w:r>
        <w:rPr>
          <w:rFonts w:ascii="Cambria" w:hAnsi="Cambria"/>
          <w:b/>
          <w:color w:val="1d3557"/>
          <w:sz w:val="26"/>
        </w:rPr>
        <w:t xml:space="preserve">2.3 Key Operational Rules</w:t>
      </w:r>
    </w:p>
    <w:p>
      <w:pPr>
        <w:spacing w:before="120" w:after="160" w:line="276" w:lineRule="auto"/>
        <w:jc w:val="both"/>
      </w:pPr>
      <w:r>
        <w:rPr>
          <w:rFonts w:ascii="Cambria" w:hAnsi="Cambria"/>
          <w:color w:val="1d3557"/>
          <w:sz w:val="22"/>
        </w:rPr>
        <w:t xml:space="preserve">Both keys are required for:</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Issuance of any "JHA-AUTHORIZED" transit permit</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Change from Tier 1 (Normal) to Tier 2 (Elevated) or Tier 3 (Active De-escalation) posture</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Release of any financial micro-tranche tied to transit compliance</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Authorization of any military vessel transit through the CTC</w:t>
      </w:r>
    </w:p>
    <w:p>
      <w:pPr>
        <w:keepNext/>
        <w:spacing w:before="360" w:after="120"/>
      </w:pPr>
      <w:r>
        <w:rPr>
          <w:rFonts w:ascii="Cambria" w:hAnsi="Cambria"/>
          <w:b/>
          <w:color w:val="3d5a80"/>
          <w:sz w:val="22"/>
        </w:rPr>
        <w:t xml:space="preserve">Key Withdrawal</w:t>
      </w:r>
    </w:p>
    <w:p>
      <w:pPr>
        <w:spacing w:before="120" w:after="160" w:line="276" w:lineRule="auto"/>
        <w:jc w:val="both"/>
      </w:pPr>
      <w:r>
        <w:rPr>
          <w:rFonts w:ascii="Cambria" w:hAnsi="Cambria"/>
          <w:color w:val="1d3557"/>
          <w:sz w:val="22"/>
        </w:rPr>
        <w:t xml:space="preserve">Either key holder withdraws authorization at any time, halting all new transit permits and freezing any posture change. Withdrawal triggers automatic notification to all Parties within 5 minutes via the Shared Digital Registry.</w:t>
      </w:r>
    </w:p>
    <w:p>
      <w:pPr>
        <w:keepNext/>
        <w:spacing w:before="360" w:after="120"/>
      </w:pPr>
      <w:r>
        <w:rPr>
          <w:rFonts w:ascii="Cambria" w:hAnsi="Cambria"/>
          <w:b/>
          <w:color w:val="3d5a80"/>
          <w:sz w:val="22"/>
        </w:rPr>
        <w:t xml:space="preserve">Emergency Exception</w:t>
      </w:r>
    </w:p>
    <w:p>
      <w:pPr>
        <w:spacing w:before="120" w:after="160" w:line="276" w:lineRule="auto"/>
        <w:jc w:val="both"/>
      </w:pPr>
      <w:r>
        <w:rPr>
          <w:rFonts w:ascii="Cambria" w:hAnsi="Cambria"/>
          <w:color w:val="1d3557"/>
          <w:sz w:val="22"/>
        </w:rPr>
        <w:t xml:space="preserve">If an imminent kinetic threat exists (verified by radar or seismic telemetry), the JHA Key holder authorizes emergency defensive measures for 60 minutes without the Iran Key, with simultaneous notification to all Parties and mandatory after-action review within 24 hours.</w:t>
      </w:r>
    </w:p>
    <w:p>
      <w:pPr>
        <w:pStyle w:val="Heading2"/>
        <w:keepNext/>
        <w:keepLines/>
        <w:spacing w:before="320" w:after="120"/>
      </w:pPr>
      <w:r>
        <w:rPr>
          <w:rFonts w:ascii="Cambria" w:hAnsi="Cambria"/>
          <w:b/>
          <w:color w:val="1d3557"/>
          <w:sz w:val="26"/>
        </w:rPr>
        <w:t xml:space="preserve">2.4 Dual-Key Failover and Redundancy</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Three physical key terminals exist: Muscat (primary), Tehran (secondary), and Washington (secondary).</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Any two terminals are sufficient to reconstitute the dual-key architecture if one terminal is offline.</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Key compromise or loss triggers automatic escrow freeze and PCC emergency session within 12 hours.</w:t>
      </w:r>
    </w:p>
    <w:p>
      <w:pPr>
        <w:pStyle w:val="Heading1"/>
        <w:keepNext/>
        <w:keepLines/>
        <w:spacing w:before="480" w:after="200"/>
      </w:pPr>
      <w:r>
        <w:rPr>
          <w:rFonts w:ascii="Cambria" w:hAnsi="Cambria"/>
          <w:b/>
          <w:color w:val="3d5a80"/>
          <w:sz w:val="32"/>
        </w:rPr>
        <w:t xml:space="preserve">Article 3: Immediate Conditional Reopening (Day 1)</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Hormuz reopens immediately upon signature. No 7-day delay. The timeline accelerates through telemetry verification.</w:t>
      </w:r>
    </w:p>
    <w:p>
      <w:pPr>
        <w:pStyle w:val="Heading2"/>
        <w:keepNext/>
        <w:keepLines/>
        <w:spacing w:before="320" w:after="120"/>
      </w:pPr>
      <w:r>
        <w:rPr>
          <w:rFonts w:ascii="Cambria" w:hAnsi="Cambria"/>
          <w:b/>
          <w:color w:val="1d3557"/>
          <w:sz w:val="26"/>
        </w:rPr>
        <w:t xml:space="preserve">3.1 Day 1 Provisional Opening (Effective Upon Signature)</w:t>
      </w:r>
    </w:p>
    <w:p>
      <w:pPr>
        <w:spacing w:before="120" w:after="160" w:line="276" w:lineRule="auto"/>
        <w:jc w:val="both"/>
      </w:pPr>
      <w:r>
        <w:rPr>
          <w:rFonts w:ascii="Cambria" w:hAnsi="Cambria"/>
          <w:color w:val="1d3557"/>
          <w:sz w:val="22"/>
        </w:rPr>
        <w:t xml:space="preserve">Upon signature of this Annex W, the following occur simultaneously:</w:t>
      </w:r>
    </w:p>
    <w:tbl>
      <w:tblPr>
        <w:tblW w:w="5000" w:type="pct"/>
        <w:tblBorders>
          <w:top w:val="single" w:color="3d5a80" w:sz="12"/>
          <w:left w:val="nil"/>
          <w:bottom w:val="single" w:color="3d5a80" w:sz="12"/>
          <w:right w:val="nil"/>
          <w:insideH w:val="single" w:color="d0d5dd" w:sz="4"/>
          <w:insideV w:val="nil"/>
        </w:tblBorders>
      </w:tblPr>
      <w:tblGrid>
        <w:gridCol w:w="3200"/>
        <w:gridCol w:w="2800"/>
        <w:gridCol w:w="3600"/>
      </w:tblGrid>
      <w:tr>
        <w:trPr>
          <w:tblHeader/>
        </w:trPr>
        <w:tc>
          <w:tcPr>
            <w:tcW w:w="3200" w:type="dxa"/>
            <w:shd w:val="clear" w:fill="e8ecf1"/>
          </w:tcPr>
          <w:p>
            <w:pPr>
              <w:spacing w:before="60" w:after="60" w:line="240" w:lineRule="auto"/>
            </w:pPr>
            <w:r>
              <w:rPr>
                <w:b/>
                <w:color w:val="1d3557"/>
                <w:sz w:val="20"/>
              </w:rPr>
              <w:t xml:space="preserve">Action</w:t>
            </w:r>
          </w:p>
        </w:tc>
        <w:tc>
          <w:tcPr>
            <w:tcW w:w="2800" w:type="dxa"/>
            <w:shd w:val="clear" w:fill="e8ecf1"/>
          </w:tcPr>
          <w:p>
            <w:pPr>
              <w:spacing w:before="60" w:after="60" w:line="240" w:lineRule="auto"/>
            </w:pPr>
            <w:r>
              <w:rPr>
                <w:b/>
                <w:color w:val="1d3557"/>
                <w:sz w:val="20"/>
              </w:rPr>
              <w:t xml:space="preserve">Responsible Party</w:t>
            </w:r>
          </w:p>
        </w:tc>
        <w:tc>
          <w:tcPr>
            <w:tcW w:w="3600" w:type="dxa"/>
            <w:shd w:val="clear" w:fill="e8ecf1"/>
          </w:tcPr>
          <w:p>
            <w:pPr>
              <w:spacing w:before="60" w:after="60" w:line="240" w:lineRule="auto"/>
            </w:pPr>
            <w:r>
              <w:rPr>
                <w:b/>
                <w:color w:val="1d3557"/>
                <w:sz w:val="20"/>
              </w:rPr>
              <w:t xml:space="preserve">Verification</w:t>
            </w:r>
          </w:p>
        </w:tc>
      </w:tr>
      <w:tr>
        <w:tc>
          <w:tcPr>
            <w:tcW w:w="3200" w:type="dxa"/>
          </w:tcPr>
          <w:p>
            <w:pPr>
              <w:spacing w:before="60" w:after="60" w:line="240" w:lineRule="auto"/>
              <w:jc w:val="left"/>
            </w:pPr>
            <w:r>
              <w:rPr>
                <w:color w:val="457b9d"/>
                <w:sz w:val="20"/>
              </w:rPr>
              <w:t xml:space="preserve">Iran issues a provisional Hormuz opening declaration, effective immediately, permitting humanitarian vessels (zero-toll) and up to 50 commercial vessels per day to transit the CTC under JHA observation</w:t>
            </w:r>
          </w:p>
        </w:tc>
        <w:tc>
          <w:tcPr>
            <w:tcW w:w="2800" w:type="dxa"/>
          </w:tcPr>
          <w:p>
            <w:pPr>
              <w:spacing w:before="60" w:after="60" w:line="240" w:lineRule="auto"/>
              <w:jc w:val="left"/>
            </w:pPr>
            <w:r>
              <w:rPr>
                <w:color w:val="457b9d"/>
                <w:sz w:val="20"/>
              </w:rPr>
              <w:t xml:space="preserve">Islamic Republic of Iran (PGSA/IRGC-Navy)</w:t>
            </w:r>
          </w:p>
        </w:tc>
        <w:tc>
          <w:tcPr>
            <w:tcW w:w="3600" w:type="dxa"/>
          </w:tcPr>
          <w:p>
            <w:pPr>
              <w:spacing w:before="60" w:after="60" w:line="240" w:lineRule="auto"/>
              <w:jc w:val="left"/>
            </w:pPr>
            <w:r>
              <w:rPr>
                <w:color w:val="457b9d"/>
                <w:sz w:val="20"/>
              </w:rPr>
              <w:t xml:space="preserve">JHA MCC logs declaration; telemetry confirms first transit within 24 hours</w:t>
            </w:r>
          </w:p>
        </w:tc>
      </w:tr>
      <w:tr>
        <w:tc>
          <w:tcPr>
            <w:tcW w:w="3200" w:type="dxa"/>
          </w:tcPr>
          <w:p>
            <w:pPr>
              <w:spacing w:before="60" w:after="60" w:line="240" w:lineRule="auto"/>
              <w:jc w:val="left"/>
            </w:pPr>
            <w:r>
              <w:rPr>
                <w:color w:val="457b9d"/>
                <w:sz w:val="20"/>
              </w:rPr>
              <w:t xml:space="preserve">The US issues a provisional blockade lift declaration, effective immediately, permitting Iranian commercial shipping to exit Iranian ports</w:t>
            </w:r>
          </w:p>
        </w:tc>
        <w:tc>
          <w:tcPr>
            <w:tcW w:w="2800" w:type="dxa"/>
          </w:tcPr>
          <w:p>
            <w:pPr>
              <w:spacing w:before="60" w:after="60" w:line="240" w:lineRule="auto"/>
              <w:jc w:val="left"/>
            </w:pPr>
            <w:r>
              <w:rPr>
                <w:color w:val="457b9d"/>
                <w:sz w:val="20"/>
              </w:rPr>
              <w:t xml:space="preserve">United States (5th Fleet)</w:t>
            </w:r>
          </w:p>
        </w:tc>
        <w:tc>
          <w:tcPr>
            <w:tcW w:w="3600" w:type="dxa"/>
          </w:tcPr>
          <w:p>
            <w:pPr>
              <w:spacing w:before="60" w:after="60" w:line="240" w:lineRule="auto"/>
              <w:jc w:val="left"/>
            </w:pPr>
            <w:r>
              <w:rPr>
                <w:color w:val="457b9d"/>
                <w:sz w:val="20"/>
              </w:rPr>
              <w:t xml:space="preserve">JHA MCC logs declaration; Lloyd's List confirms port activity</w:t>
            </w:r>
          </w:p>
        </w:tc>
      </w:tr>
      <w:tr>
        <w:tc>
          <w:tcPr>
            <w:tcW w:w="3200" w:type="dxa"/>
          </w:tcPr>
          <w:p>
            <w:pPr>
              <w:spacing w:before="60" w:after="60" w:line="240" w:lineRule="auto"/>
              <w:jc w:val="left"/>
            </w:pPr>
            <w:r>
              <w:rPr>
                <w:color w:val="457b9d"/>
                <w:sz w:val="20"/>
              </w:rPr>
              <w:t xml:space="preserve">JHA MCC activates all telemetry systems and begins continuous monitoring</w:t>
            </w:r>
          </w:p>
        </w:tc>
        <w:tc>
          <w:tcPr>
            <w:tcW w:w="2800" w:type="dxa"/>
          </w:tcPr>
          <w:p>
            <w:pPr>
              <w:spacing w:before="60" w:after="60" w:line="240" w:lineRule="auto"/>
              <w:jc w:val="left"/>
            </w:pPr>
            <w:r>
              <w:rPr>
                <w:color w:val="457b9d"/>
                <w:sz w:val="20"/>
              </w:rPr>
              <w:t xml:space="preserve">JHA MCC (Omani Chair)</w:t>
            </w:r>
          </w:p>
        </w:tc>
        <w:tc>
          <w:tcPr>
            <w:tcW w:w="3600" w:type="dxa"/>
          </w:tcPr>
          <w:p>
            <w:pPr>
              <w:spacing w:before="60" w:after="60" w:line="240" w:lineRule="auto"/>
              <w:jc w:val="left"/>
            </w:pPr>
            <w:r>
              <w:rPr>
                <w:color w:val="457b9d"/>
                <w:sz w:val="20"/>
              </w:rPr>
              <w:t xml:space="preserve">All data feeds confirmed operational</w:t>
            </w:r>
          </w:p>
        </w:tc>
      </w:tr>
    </w:tbl>
    <w:p>
      <w:pPr>
        <w:pStyle w:val="Heading2"/>
        <w:keepNext/>
        <w:keepLines/>
        <w:spacing w:before="320" w:after="120"/>
      </w:pPr>
      <w:r>
        <w:rPr>
          <w:rFonts w:ascii="Cambria" w:hAnsi="Cambria" w:eastAsia="Cambria" w:cs="Cambria"/>
          <w:b/>
          <w:color w:val="1D3557"/>
          <w:sz w:val="26"/>
          <w:szCs w:val="26"/>
        </w:rPr>
        <w:t>3.2 Full Reopening Trigger (As Early as Day 3)</w:t>
      </w:r>
    </w:p>
    <w:p>
      <w:pPr>
        <w:pStyle w:val="Normal"/>
        <w:spacing w:before="120" w:after="160" w:line="276" w:lineRule="auto"/>
        <w:jc w:val="both"/>
      </w:pPr>
      <w:r>
        <w:rPr>
          <w:rFonts w:ascii="Cambria" w:hAnsi="Cambria" w:eastAsia="Cambria" w:cs="Cambria"/>
          <w:color w:val="1D3557"/>
          <w:sz w:val="22"/>
          <w:szCs w:val="22"/>
        </w:rPr>
        <w:t>When the JHA MCC confirms, through radar and cryptographic AIS telemetry, that:</w:t>
      </w:r>
    </w:p>
    <w:p>
      <w:pPr>
        <w:pStyle w:val="Normal"/>
        <w:spacing w:before="80" w:after="80" w:line="276" w:lineRule="auto"/>
        <w:ind w:left="360" w:hanging="360"/>
      </w:pPr>
      <w:r>
        <w:rPr>
          <w:rFonts w:ascii="Cambria" w:hAnsi="Cambria" w:eastAsia="Cambria" w:cs="Cambria"/>
          <w:b/>
          <w:color w:val="1D3557"/>
          <w:sz w:val="22"/>
          <w:szCs w:val="22"/>
        </w:rPr>
        <w:t xml:space="preserve">1. </w:t>
      </w:r>
      <w:r>
        <w:rPr>
          <w:rFonts w:ascii="Cambria" w:hAnsi="Cambria" w:eastAsia="Cambria" w:cs="Cambria"/>
          <w:color w:val="1D3557"/>
          <w:sz w:val="22"/>
          <w:szCs w:val="22"/>
        </w:rPr>
        <w:t>No IRGC or PGSA vessels have violated stand-off distances (5nm from CTC) for 72 continuous, uninterrupted hours — any violation resets the 72-hour clock to zero</w:t>
      </w:r>
    </w:p>
    <w:p>
      <w:pPr>
        <w:pStyle w:val="Normal"/>
        <w:spacing w:before="80" w:after="80" w:line="276" w:lineRule="auto"/>
        <w:ind w:left="360" w:hanging="360"/>
      </w:pPr>
      <w:r>
        <w:rPr>
          <w:rFonts w:ascii="Cambria" w:hAnsi="Cambria" w:eastAsia="Cambria" w:cs="Cambria"/>
          <w:b/>
          <w:color w:val="1D3557"/>
          <w:sz w:val="22"/>
          <w:szCs w:val="22"/>
        </w:rPr>
        <w:t xml:space="preserve">2. </w:t>
      </w:r>
      <w:r>
        <w:rPr>
          <w:rFonts w:ascii="Cambria" w:hAnsi="Cambria" w:eastAsia="Cambria" w:cs="Cambria"/>
          <w:color w:val="1D3557"/>
          <w:sz w:val="22"/>
          <w:szCs w:val="22"/>
        </w:rPr>
        <w:t>No interdiction event under Annex N.a has occurred</w:t>
      </w:r>
    </w:p>
    <w:p>
      <w:pPr>
        <w:pStyle w:val="Normal"/>
        <w:spacing w:before="80" w:after="80" w:line="276" w:lineRule="auto"/>
        <w:ind w:left="360" w:hanging="360"/>
      </w:pPr>
      <w:r>
        <w:rPr>
          <w:rFonts w:ascii="Cambria" w:hAnsi="Cambria" w:eastAsia="Cambria" w:cs="Cambria"/>
          <w:b/>
          <w:color w:val="1D3557"/>
          <w:sz w:val="22"/>
          <w:szCs w:val="22"/>
        </w:rPr>
        <w:t xml:space="preserve">3. </w:t>
      </w:r>
      <w:r>
        <w:rPr>
          <w:rFonts w:ascii="Cambria" w:hAnsi="Cambria" w:eastAsia="Cambria" w:cs="Cambria"/>
          <w:color w:val="1D3557"/>
          <w:sz w:val="22"/>
          <w:szCs w:val="22"/>
        </w:rPr>
        <w:t>All telemetry systems are operational and showing clean data</w:t>
      </w:r>
    </w:p>
    <w:p>
      <w:pPr>
        <w:pStyle w:val="Normal"/>
        <w:spacing w:before="80" w:after="80" w:line="276" w:lineRule="auto"/>
        <w:ind w:left="360" w:hanging="360"/>
      </w:pPr>
      <w:r>
        <w:rPr>
          <w:rFonts w:ascii="Cambria" w:hAnsi="Cambria" w:eastAsia="Cambria" w:cs="Cambria"/>
          <w:b/>
          <w:color w:val="1D3557"/>
          <w:sz w:val="22"/>
          <w:szCs w:val="22"/>
        </w:rPr>
        <w:t xml:space="preserve">4. </w:t>
      </w:r>
      <w:r>
        <w:rPr>
          <w:rFonts w:ascii="Cambria" w:hAnsi="Cambria" w:eastAsia="Cambria" w:cs="Cambria"/>
          <w:color w:val="1D3557"/>
          <w:sz w:val="22"/>
          <w:szCs w:val="22"/>
        </w:rPr>
        <w:t>Both dual-keys have been exercised at least once to authorize transit permits</w:t>
      </w:r>
    </w:p>
    <w:p>
      <w:pPr>
        <w:pStyle w:val="Normal"/>
        <w:spacing w:before="120" w:after="160" w:line="276" w:lineRule="auto"/>
        <w:jc w:val="both"/>
      </w:pPr>
      <w:r>
        <w:rPr>
          <w:rFonts w:ascii="Cambria" w:hAnsi="Cambria" w:eastAsia="Cambria" w:cs="Cambria"/>
          <w:color w:val="1D3557"/>
          <w:sz w:val="22"/>
          <w:szCs w:val="22"/>
        </w:rPr>
        <w:t>Then: The provisional measures convert automatically to full reopening. Iran lifts all remaining restrictions. The US lifts all remaining blockade elements. No PCC vote, no political consensus, no further authorization is needed.</w:t>
      </w:r>
    </w:p>
    <w:p>
      <w:pPr>
        <w:pStyle w:val="Heading2"/>
        <w:keepNext/>
        <w:keepLines/>
        <w:spacing w:before="320" w:after="120"/>
      </w:pPr>
      <w:r>
        <w:rPr>
          <w:rFonts w:ascii="Cambria" w:hAnsi="Cambria" w:eastAsia="Cambria" w:cs="Cambria"/>
          <w:b/>
          <w:color w:val="1D3557"/>
          <w:sz w:val="26"/>
          <w:szCs w:val="26"/>
        </w:rPr>
        <w:t>3.3 Guaranteed Full Reopening by Day 7</w:t>
      </w:r>
    </w:p>
    <w:p>
      <w:pPr>
        <w:pStyle w:val="Normal"/>
        <w:spacing w:before="120" w:after="160" w:line="276" w:lineRule="auto"/>
        <w:jc w:val="both"/>
      </w:pPr>
      <w:r>
        <w:rPr>
          <w:rFonts w:ascii="Cambria" w:hAnsi="Cambria" w:eastAsia="Cambria" w:cs="Cambria"/>
          <w:color w:val="1D3557"/>
          <w:sz w:val="22"/>
          <w:szCs w:val="22"/>
        </w:rPr>
        <w:t>If the telemetry-triggered full reopening has not occurred by Day 7 due to technical delays or force majeure (not bad-faith obstruction), full reopening occurs automatically on Day 7 at 0000 GMT per the synchronized lift mechanism in Annex N.a, Article 6.</w:t>
      </w:r>
    </w:p>
    <w:p>
      <w:pPr>
        <w:pStyle w:val="Heading2"/>
        <w:keepNext/>
        <w:keepLines/>
        <w:spacing w:before="320" w:after="120"/>
      </w:pPr>
      <w:r>
        <w:rPr>
          <w:rFonts w:ascii="Cambria" w:hAnsi="Cambria" w:eastAsia="Cambria" w:cs="Cambria"/>
          <w:b/>
          <w:color w:val="1D3557"/>
          <w:sz w:val="26"/>
          <w:szCs w:val="26"/>
        </w:rPr>
        <w:t>3.4 Political Framing for Both Parties</w:t>
      </w:r>
    </w:p>
    <w:tbl>
      <w:tblPr>
        <w:tblW w:w="5000" w:type="pct"/>
        <w:tblBorders>
          <w:top w:val="single" w:color="3d5a80" w:sz="12"/>
          <w:left w:val="nil"/>
          <w:bottom w:val="single" w:color="3d5a80" w:sz="12"/>
          <w:right w:val="nil"/>
          <w:insideH w:val="single" w:color="d0d5dd" w:sz="4"/>
          <w:insideV w:val="nil"/>
        </w:tblBorders>
      </w:tblPr>
      <w:tblGrid>
        <w:gridCol w:w="4300"/>
        <w:gridCol w:w="4300"/>
      </w:tblGrid>
      <w:tr>
        <w:trPr>
          <w:tblHeader w:val="1"/>
        </w:trPr>
        <w:tc>
          <w:tcPr>
            <w:tcW w:w="4300" w:type="dxa"/>
            <w:shd w:val="clear" w:fill="E8ECF1" w:color="auto"/>
          </w:tcPr>
          <w:p>
            <w:pPr>
              <w:pStyle w:val="Normal"/>
              <w:spacing w:before="60" w:after="60" w:line="240" w:lineRule="auto"/>
            </w:pPr>
            <w:r>
              <w:rPr>
                <w:b/>
                <w:color w:val="1D3557"/>
                <w:sz w:val="20"/>
                <w:rFonts w:ascii="Cambria" w:hAnsi="Cambria" w:eastAsia="Cambria" w:cs="Cambria"/>
                <w:szCs w:val="20"/>
              </w:rPr>
              <w:t>For the United States</w:t>
            </w:r>
          </w:p>
        </w:tc>
        <w:tc>
          <w:tcPr>
            <w:tcW w:w="4300" w:type="dxa"/>
            <w:shd w:val="clear" w:fill="E8ECF1" w:color="auto"/>
          </w:tcPr>
          <w:p>
            <w:pPr>
              <w:pStyle w:val="Normal"/>
              <w:spacing w:before="60" w:after="60" w:line="240" w:lineRule="auto"/>
            </w:pPr>
            <w:r>
              <w:rPr>
                <w:b/>
                <w:color w:val="1D3557"/>
                <w:sz w:val="20"/>
                <w:rFonts w:ascii="Cambria" w:hAnsi="Cambria" w:eastAsia="Cambria" w:cs="Cambria"/>
                <w:szCs w:val="20"/>
              </w:rPr>
              <w:t>For the Islamic Republic of Iran</w:t>
            </w:r>
          </w:p>
        </w:tc>
      </w:tr>
      <w:tr>
        <w:tc>
          <w:tcPr>
            <w:tcW w:w="4300" w:type="dxa"/>
          </w:tcPr>
          <w:p>
            <w:pPr>
              <w:pStyle w:val="Normal"/>
              <w:spacing w:before="60" w:after="60" w:line="240" w:lineRule="auto"/>
              <w:jc w:val="left"/>
            </w:pPr>
            <w:r>
              <w:rPr>
                <w:color w:val="457B9D"/>
                <w:sz w:val="20"/>
                <w:rFonts w:ascii="Cambria" w:hAnsi="Cambria" w:eastAsia="Cambria" w:cs="Cambria"/>
                <w:szCs w:val="20"/>
              </w:rPr>
              <w:t>"Hormuz opened the day we signed. Within 72 hours, sensors confirmed Iran was holding up its end, and we lifted the rest of the blockade. No waiting for PCC votes."</w:t>
            </w:r>
          </w:p>
        </w:tc>
        <w:tc>
          <w:tcPr>
            <w:tcW w:w="4300" w:type="dxa"/>
          </w:tcPr>
          <w:p>
            <w:pPr>
              <w:pStyle w:val="Normal"/>
              <w:spacing w:before="60" w:after="60" w:line="240" w:lineRule="auto"/>
              <w:jc w:val="left"/>
            </w:pPr>
            <w:r>
              <w:rPr>
                <w:color w:val="457B9D"/>
                <w:sz w:val="20"/>
                <w:rFonts w:ascii="Cambria" w:hAnsi="Cambria" w:eastAsia="Cambria" w:cs="Cambria"/>
                <w:szCs w:val="20"/>
              </w:rPr>
              <w:t>"The US blockade lifted provisionally on Day 1. Full lifting came within days, triggered by IAEA-verified Iranian compliance — not by US political discretion. Iran's sovereignty is preserved."</w:t>
            </w:r>
          </w:p>
        </w:tc>
      </w:tr>
    </w:tbl>
    <w:p>
      <w:pPr>
        <w:pStyle w:val="Heading1"/>
        <w:keepNext/>
        <w:keepLines/>
        <w:spacing w:before="480" w:after="200"/>
      </w:pPr>
      <w:r>
        <w:rPr>
          <w:rFonts w:ascii="Cambria" w:hAnsi="Cambria" w:eastAsia="Cambria" w:cs="Cambria"/>
          <w:b/>
          <w:color w:val="3D5A80"/>
          <w:sz w:val="32"/>
          <w:szCs w:val="32"/>
        </w:rPr>
        <w:t>Article 4: Performance-Based Asset Release ("Compliance-for-Dollars," Not Tolls)</w:t>
      </w:r>
    </w:p>
    <w:p>
      <w:pPr>
        <w:pStyle w:val="Normal"/>
        <w:keepNext/>
        <w:spacing w:before="200" w:after="80"/>
      </w:pPr>
      <w:r>
        <w:rPr>
          <w:rFonts w:ascii="Cambria" w:hAnsi="Cambria" w:eastAsia="Cambria" w:cs="Cambria"/>
          <w:b/>
          <w:i/>
          <w:color w:val="457B9D"/>
          <w:sz w:val="20"/>
          <w:szCs w:val="20"/>
        </w:rPr>
        <w:t>OPERATIVE AND BINDING</w:t>
      </w:r>
    </w:p>
    <w:p>
      <w:pPr>
        <w:pStyle w:val="Normal"/>
        <w:keepNext/>
        <w:spacing w:before="360" w:after="120"/>
      </w:pPr>
      <w:r>
        <w:rPr>
          <w:rFonts w:ascii="Cambria" w:hAnsi="Cambria" w:eastAsia="Cambria" w:cs="Cambria"/>
          <w:b/>
          <w:color w:val="3D5A80"/>
          <w:sz w:val="22"/>
          <w:szCs w:val="22"/>
        </w:rPr>
        <w:t>v1.5 Structural Revision — Maritime Modularity Preservation</w:t>
      </w:r>
    </w:p>
    <w:p>
      <w:pPr>
        <w:pStyle w:val="Normal"/>
        <w:spacing w:before="120" w:after="160" w:line="276" w:lineRule="auto"/>
        <w:jc w:val="both"/>
      </w:pPr>
      <w:r>
        <w:rPr>
          <w:rFonts w:ascii="Cambria" w:hAnsi="Cambria" w:eastAsia="Cambria" w:cs="Cambria"/>
          <w:color w:val="1D3557"/>
          <w:sz w:val="22"/>
          <w:szCs w:val="22"/>
        </w:rPr>
        <w:t>All financial triggers in Table W-5 operate on maritime performance metrics exclusively. No land-based operational milestone from any external annex exerts influence over the maritime escrow release schedule. This architecture preserves Annex W as a fully self-contained, plug-and-play module capable of independent operation regardless of the operational status of any non-maritime protocol.</w:t>
      </w:r>
    </w:p>
    <w:p>
      <w:pPr>
        <w:pStyle w:val="Normal"/>
        <w:spacing w:before="120" w:after="160" w:line="276" w:lineRule="auto"/>
        <w:jc w:val="both"/>
      </w:pPr>
      <w:r>
        <w:rPr>
          <w:rFonts w:ascii="Cambria" w:hAnsi="Cambria" w:eastAsia="Cambria" w:cs="Cambria"/>
          <w:color w:val="1D3557"/>
          <w:sz w:val="22"/>
          <w:szCs w:val="22"/>
        </w:rPr>
        <w:t>The disputed frozen Iranian assets held in escrow are not released upfront. Instead, asset release occurs in strict micro-tranches tied to verified compliance milestones. The Swiss facilitator administers the escrow account and executes releases automatically upon telemetry verification.</w:t>
      </w:r>
    </w:p>
    <w:p>
      <w:pPr>
        <w:pStyle w:val="Normal"/>
        <w:keepNext/>
        <w:spacing w:before="360" w:after="120"/>
      </w:pPr>
      <w:r>
        <w:rPr>
          <w:rFonts w:ascii="Cambria" w:hAnsi="Cambria" w:eastAsia="Cambria" w:cs="Cambria"/>
          <w:b/>
          <w:color w:val="3D5A80"/>
          <w:sz w:val="22"/>
          <w:szCs w:val="22"/>
        </w:rPr>
        <w:t>Maritime-Only Trigger Architecture</w:t>
      </w:r>
    </w:p>
    <w:p>
      <w:pPr>
        <w:pStyle w:val="Normal"/>
        <w:spacing w:before="120" w:after="160" w:line="276" w:lineRule="auto"/>
        <w:jc w:val="both"/>
      </w:pPr>
      <w:r>
        <w:rPr>
          <w:rFonts w:ascii="Cambria" w:hAnsi="Cambria" w:eastAsia="Cambria" w:cs="Cambria"/>
          <w:color w:val="1D3557"/>
          <w:sz w:val="22"/>
          <w:szCs w:val="22"/>
        </w:rPr>
        <w:t>Every tranche release trigger in Table W-5 derives exclusively from verifiable maritime performance metrics. These metrics include: consecutive days of verified, unhindered commercial transit through the Hormuz Transit Zone; continuous JHA MCC telemetry feed integrity; and sustained zero-toll compliance within all JHA MCC monitored sectors. No extraction milestone, recovery percentage, or land-based operational event from Annex V or any other non-maritime module figures into the maritime release calculus. This exclusivity preserves the modular independence of the maritime stabilization mechanism.</w:t>
      </w:r>
    </w:p>
    <w:p>
      <w:pPr>
        <w:pStyle w:val="Normal"/>
        <w:keepNext/>
        <w:spacing w:before="360" w:after="120"/>
      </w:pPr>
      <w:r>
        <w:rPr>
          <w:rFonts w:ascii="Cambria" w:hAnsi="Cambria" w:eastAsia="Cambria" w:cs="Cambria"/>
          <w:b/>
          <w:color w:val="3D5A80"/>
          <w:sz w:val="22"/>
          <w:szCs w:val="22"/>
        </w:rPr>
        <w:t>No Tolling Provision</w:t>
      </w:r>
    </w:p>
    <w:p>
      <w:pPr>
        <w:pStyle w:val="Normal"/>
        <w:spacing w:before="120" w:after="160" w:line="276" w:lineRule="auto"/>
        <w:jc w:val="both"/>
      </w:pPr>
      <w:r>
        <w:rPr>
          <w:rFonts w:ascii="Cambria" w:hAnsi="Cambria" w:eastAsia="Cambria" w:cs="Cambria"/>
          <w:color w:val="1D3557"/>
          <w:sz w:val="22"/>
          <w:szCs w:val="22"/>
        </w:rPr>
        <w:t>No commercial vessel pays any fee, toll, or navigation service charge to any Party or to the JHA as a condition of transit. The zero-toll principle is absolute and non-waivable. The financial releases described in this Article constitute releases from Iran's own frozen sovereign assets held in escrow — not payments from shippers, not tolls, and not new revenue.</w:t>
      </w:r>
    </w:p>
    <w:tbl>
      <w:tblPr>
        <w:tblW w:w="5000" w:type="pct"/>
        <w:tblBorders>
          <w:top w:val="single" w:color="3d5a80" w:sz="12"/>
          <w:left w:val="nil"/>
          <w:bottom w:val="single" w:color="3d5a80" w:sz="12"/>
          <w:right w:val="nil"/>
          <w:insideH w:val="single" w:color="d0d5dd" w:sz="4"/>
          <w:insideV w:val="nil"/>
        </w:tblBorders>
      </w:tblPr>
      <w:tblGrid>
        <w:gridCol w:w="2800"/>
        <w:gridCol w:w="800"/>
        <w:gridCol w:w="800"/>
        <w:gridCol w:w="2200"/>
        <w:gridCol w:w="2600"/>
      </w:tblGrid>
      <w:tr>
        <w:trPr>
          <w:tblHeader w:val="1"/>
        </w:trPr>
        <w:tc>
          <w:tcPr>
            <w:tcW w:w="2800" w:type="dxa"/>
            <w:shd w:val="clear" w:fill="E8ECF1" w:color="auto"/>
          </w:tcPr>
          <w:p>
            <w:pPr>
              <w:pStyle w:val="Normal"/>
              <w:spacing w:before="60" w:after="60" w:line="240" w:lineRule="auto"/>
            </w:pPr>
            <w:r>
              <w:rPr>
                <w:b/>
                <w:color w:val="1D3557"/>
                <w:sz w:val="20"/>
                <w:rFonts w:ascii="Cambria" w:hAnsi="Cambria" w:eastAsia="Cambria" w:cs="Cambria"/>
                <w:szCs w:val="20"/>
              </w:rPr>
              <w:t>Trigger</w:t>
            </w:r>
          </w:p>
        </w:tc>
        <w:tc>
          <w:tcPr>
            <w:tcW w:w="800" w:type="dxa"/>
            <w:shd w:val="clear" w:fill="E8ECF1" w:color="auto"/>
          </w:tcPr>
          <w:p>
            <w:pPr>
              <w:pStyle w:val="Normal"/>
              <w:spacing w:before="60" w:after="60" w:line="240" w:lineRule="auto"/>
            </w:pPr>
            <w:r>
              <w:rPr>
                <w:b/>
                <w:color w:val="1D3557"/>
                <w:sz w:val="20"/>
                <w:rFonts w:ascii="Cambria" w:hAnsi="Cambria" w:eastAsia="Cambria" w:cs="Cambria"/>
                <w:szCs w:val="20"/>
              </w:rPr>
              <w:t>Release</w:t>
            </w:r>
          </w:p>
        </w:tc>
        <w:tc>
          <w:tcPr>
            <w:tcW w:w="800" w:type="dxa"/>
            <w:shd w:val="clear" w:fill="E8ECF1" w:color="auto"/>
          </w:tcPr>
          <w:p>
            <w:pPr>
              <w:pStyle w:val="Normal"/>
              <w:spacing w:before="60" w:after="60" w:line="240" w:lineRule="auto"/>
            </w:pPr>
            <w:r>
              <w:rPr>
                <w:b/>
                <w:color w:val="1D3557"/>
                <w:sz w:val="20"/>
                <w:rFonts w:ascii="Cambria" w:hAnsi="Cambria" w:eastAsia="Cambria" w:cs="Cambria"/>
                <w:szCs w:val="20"/>
              </w:rPr>
              <w:t>Cumulative</w:t>
            </w:r>
          </w:p>
        </w:tc>
        <w:tc>
          <w:tcPr>
            <w:tcW w:w="2200" w:type="dxa"/>
            <w:shd w:val="clear" w:fill="E8ECF1" w:color="auto"/>
          </w:tcPr>
          <w:p>
            <w:pPr>
              <w:pStyle w:val="Normal"/>
              <w:spacing w:before="60" w:after="60" w:line="240" w:lineRule="auto"/>
            </w:pPr>
            <w:r>
              <w:rPr>
                <w:b/>
                <w:color w:val="1D3557"/>
                <w:sz w:val="20"/>
                <w:rFonts w:ascii="Cambria" w:hAnsi="Cambria" w:eastAsia="Cambria" w:cs="Cambria"/>
                <w:szCs w:val="20"/>
              </w:rPr>
              <w:t>Verification</w:t>
            </w:r>
          </w:p>
        </w:tc>
        <w:tc>
          <w:tcPr>
            <w:tcW w:w="2600" w:type="dxa"/>
            <w:shd w:val="clear" w:fill="E8ECF1" w:color="auto"/>
          </w:tcPr>
          <w:p>
            <w:pPr>
              <w:pStyle w:val="Normal"/>
              <w:spacing w:before="60" w:after="60" w:line="240" w:lineRule="auto"/>
            </w:pPr>
            <w:r>
              <w:rPr>
                <w:b/>
                <w:color w:val="1D3557"/>
                <w:sz w:val="20"/>
                <w:rFonts w:ascii="Cambria" w:hAnsi="Cambria" w:eastAsia="Cambria" w:cs="Cambria"/>
                <w:szCs w:val="20"/>
              </w:rPr>
              <w:t>Political Frame</w:t>
            </w:r>
          </w:p>
        </w:tc>
      </w:tr>
      <w:tr>
        <w:tc>
          <w:tcPr>
            <w:tcW w:w="2800" w:type="dxa"/>
          </w:tcPr>
          <w:p>
            <w:pPr>
              <w:pStyle w:val="Normal"/>
              <w:spacing w:before="60" w:after="60" w:line="240" w:lineRule="auto"/>
              <w:jc w:val="left"/>
            </w:pPr>
            <w:r>
              <w:rPr>
                <w:color w:val="457B9D"/>
                <w:sz w:val="20"/>
                <w:rFonts w:ascii="Cambria" w:hAnsi="Cambria" w:eastAsia="Cambria" w:cs="Cambria"/>
                <w:szCs w:val="20"/>
              </w:rPr>
              <w:t>Execution of the Day-Zero Cryptographic Escrow mechanism pursuant to Annex Y (v2.0) Section 1.4 and Annex Z (v2.0) Section 5.7. 100% of the $2 Billion Signature Tranche bypasses the Central Bank of Iran and routes directly to the WHO/FAO Special Purpose Vehicle for immediate procurement of medical and agricultural infrastructure</w:t>
            </w:r>
          </w:p>
        </w:tc>
        <w:tc>
          <w:tcPr>
            <w:tcW w:w="800" w:type="dxa"/>
          </w:tcPr>
          <w:p>
            <w:pPr>
              <w:pStyle w:val="Normal"/>
              <w:spacing w:before="60" w:after="60" w:line="240" w:lineRule="auto"/>
              <w:jc w:val="left"/>
            </w:pPr>
            <w:r>
              <w:rPr>
                <w:color w:val="457B9D"/>
                <w:sz w:val="20"/>
                <w:rFonts w:ascii="Cambria" w:hAnsi="Cambria" w:eastAsia="Cambria" w:cs="Cambria"/>
                <w:szCs w:val="20"/>
              </w:rPr>
              <w:t>$2B</w:t>
            </w:r>
          </w:p>
        </w:tc>
        <w:tc>
          <w:tcPr>
            <w:tcW w:w="800" w:type="dxa"/>
          </w:tcPr>
          <w:p>
            <w:pPr>
              <w:pStyle w:val="Normal"/>
              <w:spacing w:before="60" w:after="60" w:line="240" w:lineRule="auto"/>
              <w:jc w:val="left"/>
            </w:pPr>
            <w:r>
              <w:rPr>
                <w:color w:val="457B9D"/>
                <w:sz w:val="20"/>
                <w:rFonts w:ascii="Cambria" w:hAnsi="Cambria" w:eastAsia="Cambria" w:cs="Cambria"/>
                <w:szCs w:val="20"/>
              </w:rPr>
              <w:t>$2B</w:t>
            </w:r>
          </w:p>
        </w:tc>
        <w:tc>
          <w:tcPr>
            <w:tcW w:w="2200" w:type="dxa"/>
          </w:tcPr>
          <w:p>
            <w:pPr>
              <w:pStyle w:val="Normal"/>
              <w:spacing w:before="60" w:after="60" w:line="240" w:lineRule="auto"/>
              <w:jc w:val="left"/>
            </w:pPr>
            <w:r>
              <w:rPr>
                <w:color w:val="457B9D"/>
                <w:sz w:val="20"/>
                <w:rFonts w:ascii="Cambria" w:hAnsi="Cambria" w:eastAsia="Cambria" w:cs="Cambria"/>
                <w:szCs w:val="20"/>
              </w:rPr>
              <w:t>Joint Secretariat timestamp confirming synchronized deposit of U.S. Executive Order waivers and Iranian Annex Y validation tokens, in tandem with the automated Day 1 Swiss-Omani Escrow release under Annex Z Section 5.7</w:t>
            </w:r>
          </w:p>
        </w:tc>
        <w:tc>
          <w:tcPr>
            <w:tcW w:w="2600" w:type="dxa"/>
          </w:tcPr>
          <w:p>
            <w:pPr>
              <w:pStyle w:val="Normal"/>
              <w:spacing w:before="60" w:after="60" w:line="240" w:lineRule="auto"/>
              <w:jc w:val="left"/>
            </w:pPr>
            <w:r>
              <w:rPr>
                <w:color w:val="457B9D"/>
                <w:sz w:val="20"/>
                <w:rFonts w:ascii="Cambria" w:hAnsi="Cambria" w:eastAsia="Cambria" w:cs="Cambria"/>
                <w:szCs w:val="20"/>
              </w:rPr>
              <w:t>Iran's victory speech tranche — "immediate, tangible return of sovereign assets"</w:t>
            </w:r>
          </w:p>
        </w:tc>
      </w:tr>
      <w:tr>
        <w:tc>
          <w:tcPr>
            <w:tcW w:w="2800" w:type="dxa"/>
          </w:tcPr>
          <w:p>
            <w:pPr>
              <w:pStyle w:val="Normal"/>
              <w:spacing w:before="60" w:after="60" w:line="240" w:lineRule="auto"/>
              <w:jc w:val="left"/>
            </w:pPr>
            <w:r>
              <w:rPr>
                <w:color w:val="457B9D"/>
                <w:sz w:val="20"/>
                <w:rFonts w:ascii="Cambria" w:hAnsi="Cambria" w:eastAsia="Cambria" w:cs="Cambria"/>
                <w:szCs w:val="20"/>
              </w:rPr>
              <w:t>Day 7 (or earlier upon telemetry-triggered full reopening per Article 3.2)</w:t>
            </w:r>
          </w:p>
        </w:tc>
        <w:tc>
          <w:tcPr>
            <w:tcW w:w="800" w:type="dxa"/>
          </w:tcPr>
          <w:p>
            <w:pPr>
              <w:pStyle w:val="Normal"/>
              <w:spacing w:before="60" w:after="60" w:line="240" w:lineRule="auto"/>
              <w:jc w:val="left"/>
            </w:pPr>
            <w:r>
              <w:rPr>
                <w:color w:val="457B9D"/>
                <w:sz w:val="20"/>
                <w:rFonts w:ascii="Cambria" w:hAnsi="Cambria" w:eastAsia="Cambria" w:cs="Cambria"/>
                <w:szCs w:val="20"/>
              </w:rPr>
              <w:t>$1B</w:t>
            </w:r>
          </w:p>
        </w:tc>
        <w:tc>
          <w:tcPr>
            <w:tcW w:w="800" w:type="dxa"/>
          </w:tcPr>
          <w:p>
            <w:pPr>
              <w:pStyle w:val="Normal"/>
              <w:spacing w:before="60" w:after="60" w:line="240" w:lineRule="auto"/>
              <w:jc w:val="left"/>
            </w:pPr>
            <w:r>
              <w:rPr>
                <w:color w:val="457B9D"/>
                <w:sz w:val="20"/>
                <w:rFonts w:ascii="Cambria" w:hAnsi="Cambria" w:eastAsia="Cambria" w:cs="Cambria"/>
                <w:szCs w:val="20"/>
              </w:rPr>
              <w:t>$3B</w:t>
            </w:r>
          </w:p>
        </w:tc>
        <w:tc>
          <w:tcPr>
            <w:tcW w:w="2200" w:type="dxa"/>
          </w:tcPr>
          <w:p>
            <w:pPr>
              <w:pStyle w:val="Normal"/>
              <w:spacing w:before="60" w:after="60" w:line="240" w:lineRule="auto"/>
              <w:jc w:val="left"/>
            </w:pPr>
            <w:r>
              <w:rPr>
                <w:color w:val="457B9D"/>
                <w:sz w:val="20"/>
                <w:rFonts w:ascii="Cambria" w:hAnsi="Cambria" w:eastAsia="Cambria" w:cs="Cambria"/>
                <w:szCs w:val="20"/>
              </w:rPr>
              <w:t>JHA MCC radar + AIS confirmation of 72 hours clean compliance</w:t>
            </w:r>
          </w:p>
        </w:tc>
        <w:tc>
          <w:tcPr>
            <w:tcW w:w="2600" w:type="dxa"/>
          </w:tcPr>
          <w:p>
            <w:pPr>
              <w:pStyle w:val="Normal"/>
              <w:spacing w:before="60" w:after="60" w:line="240" w:lineRule="auto"/>
              <w:jc w:val="left"/>
            </w:pPr>
            <w:r>
              <w:rPr>
                <w:color w:val="457B9D"/>
                <w:sz w:val="20"/>
                <w:rFonts w:ascii="Cambria" w:hAnsi="Cambria" w:eastAsia="Cambria" w:cs="Cambria"/>
                <w:szCs w:val="20"/>
              </w:rPr>
              <w:t>"Hormuz is open; no tolls"</w:t>
            </w:r>
          </w:p>
        </w:tc>
      </w:tr>
      <w:tr>
        <w:tc>
          <w:tcPr>
            <w:tcW w:w="2800" w:type="dxa"/>
          </w:tcPr>
          <w:p>
            <w:pPr>
              <w:pStyle w:val="Normal"/>
              <w:spacing w:before="60" w:after="60" w:line="240" w:lineRule="auto"/>
              <w:jc w:val="left"/>
            </w:pPr>
            <w:r>
              <w:rPr>
                <w:color w:val="457B9D"/>
                <w:sz w:val="20"/>
                <w:rFonts w:ascii="Cambria" w:hAnsi="Cambria" w:eastAsia="Cambria" w:cs="Cambria"/>
                <w:szCs w:val="20"/>
              </w:rPr>
              <w:t>30 consecutive days of verified, unhindered commercial transit and zero-toll compliance within JHA MCC monitored sectors</w:t>
            </w:r>
          </w:p>
        </w:tc>
        <w:tc>
          <w:tcPr>
            <w:tcW w:w="800" w:type="dxa"/>
          </w:tcPr>
          <w:p>
            <w:pPr>
              <w:pStyle w:val="Normal"/>
              <w:spacing w:before="60" w:after="60" w:line="240" w:lineRule="auto"/>
              <w:jc w:val="left"/>
            </w:pPr>
            <w:r>
              <w:rPr>
                <w:color w:val="457B9D"/>
                <w:sz w:val="20"/>
                <w:rFonts w:ascii="Cambria" w:hAnsi="Cambria" w:eastAsia="Cambria" w:cs="Cambria"/>
                <w:szCs w:val="20"/>
              </w:rPr>
              <w:t>$1B</w:t>
            </w:r>
          </w:p>
        </w:tc>
        <w:tc>
          <w:tcPr>
            <w:tcW w:w="800" w:type="dxa"/>
          </w:tcPr>
          <w:p>
            <w:pPr>
              <w:pStyle w:val="Normal"/>
              <w:spacing w:before="60" w:after="60" w:line="240" w:lineRule="auto"/>
              <w:jc w:val="left"/>
            </w:pPr>
            <w:r>
              <w:rPr>
                <w:color w:val="457B9D"/>
                <w:sz w:val="20"/>
                <w:rFonts w:ascii="Cambria" w:hAnsi="Cambria" w:eastAsia="Cambria" w:cs="Cambria"/>
                <w:szCs w:val="20"/>
              </w:rPr>
              <w:t>$4B</w:t>
            </w:r>
          </w:p>
        </w:tc>
        <w:tc>
          <w:tcPr>
            <w:tcW w:w="2200" w:type="dxa"/>
          </w:tcPr>
          <w:p>
            <w:pPr>
              <w:pStyle w:val="Normal"/>
              <w:spacing w:before="60" w:after="60" w:line="240" w:lineRule="auto"/>
              <w:jc w:val="left"/>
            </w:pPr>
            <w:r>
              <w:rPr>
                <w:color w:val="457B9D"/>
                <w:sz w:val="20"/>
                <w:rFonts w:ascii="Cambria" w:hAnsi="Cambria" w:eastAsia="Cambria" w:cs="Cambria"/>
                <w:szCs w:val="20"/>
              </w:rPr>
              <w:t>JHA MCC telemetry log; Tier 1+ variance record; Shared Digital Registry timestamp</w:t>
            </w:r>
          </w:p>
        </w:tc>
        <w:tc>
          <w:tcPr>
            <w:tcW w:w="2600" w:type="dxa"/>
          </w:tcPr>
          <w:p>
            <w:pPr>
              <w:pStyle w:val="Normal"/>
              <w:spacing w:before="60" w:after="60" w:line="240" w:lineRule="auto"/>
              <w:jc w:val="left"/>
            </w:pPr>
            <w:r>
              <w:rPr>
                <w:color w:val="457B9D"/>
                <w:sz w:val="20"/>
                <w:rFonts w:ascii="Cambria" w:hAnsi="Cambria" w:eastAsia="Cambria" w:cs="Cambria"/>
                <w:szCs w:val="20"/>
              </w:rPr>
              <w:t>"One month of maritime compliance delivers sustained returns"</w:t>
            </w:r>
          </w:p>
        </w:tc>
      </w:tr>
      <w:tr>
        <w:tc>
          <w:tcPr>
            <w:tcW w:w="2800" w:type="dxa"/>
          </w:tcPr>
          <w:p>
            <w:pPr>
              <w:pStyle w:val="Normal"/>
              <w:spacing w:before="60" w:after="60" w:line="240" w:lineRule="auto"/>
              <w:jc w:val="left"/>
            </w:pPr>
            <w:r>
              <w:rPr>
                <w:color w:val="457B9D"/>
                <w:sz w:val="20"/>
                <w:rFonts w:ascii="Cambria" w:hAnsi="Cambria" w:eastAsia="Cambria" w:cs="Cambria"/>
                <w:szCs w:val="20"/>
              </w:rPr>
              <w:t>60 consecutive days of verified, unhindered commercial transit and zero-toll compliance within JHA MCC monitored sectors</w:t>
            </w:r>
          </w:p>
        </w:tc>
        <w:tc>
          <w:tcPr>
            <w:tcW w:w="800" w:type="dxa"/>
          </w:tcPr>
          <w:p>
            <w:pPr>
              <w:pStyle w:val="Normal"/>
              <w:spacing w:before="60" w:after="60" w:line="240" w:lineRule="auto"/>
              <w:jc w:val="left"/>
            </w:pPr>
            <w:r>
              <w:rPr>
                <w:color w:val="457B9D"/>
                <w:sz w:val="20"/>
                <w:rFonts w:ascii="Cambria" w:hAnsi="Cambria" w:eastAsia="Cambria" w:cs="Cambria"/>
                <w:szCs w:val="20"/>
              </w:rPr>
              <w:t>$1.5B</w:t>
            </w:r>
          </w:p>
        </w:tc>
        <w:tc>
          <w:tcPr>
            <w:tcW w:w="800" w:type="dxa"/>
          </w:tcPr>
          <w:p>
            <w:pPr>
              <w:pStyle w:val="Normal"/>
              <w:spacing w:before="60" w:after="60" w:line="240" w:lineRule="auto"/>
              <w:jc w:val="left"/>
            </w:pPr>
            <w:r>
              <w:rPr>
                <w:color w:val="457B9D"/>
                <w:sz w:val="20"/>
                <w:rFonts w:ascii="Cambria" w:hAnsi="Cambria" w:eastAsia="Cambria" w:cs="Cambria"/>
                <w:szCs w:val="20"/>
              </w:rPr>
              <w:t>$5.5B</w:t>
            </w:r>
          </w:p>
        </w:tc>
        <w:tc>
          <w:tcPr>
            <w:tcW w:w="2200" w:type="dxa"/>
          </w:tcPr>
          <w:p>
            <w:pPr>
              <w:pStyle w:val="Normal"/>
              <w:spacing w:before="60" w:after="60" w:line="240" w:lineRule="auto"/>
              <w:jc w:val="left"/>
            </w:pPr>
            <w:r>
              <w:rPr>
                <w:color w:val="457B9D"/>
                <w:sz w:val="20"/>
                <w:rFonts w:ascii="Cambria" w:hAnsi="Cambria" w:eastAsia="Cambria" w:cs="Cambria"/>
                <w:szCs w:val="20"/>
              </w:rPr>
              <w:t>JHA MCC telemetry log; Tier 1+ variance record; IAEA continuous monitoring confirmation</w:t>
            </w:r>
          </w:p>
        </w:tc>
        <w:tc>
          <w:tcPr>
            <w:tcW w:w="2600" w:type="dxa"/>
          </w:tcPr>
          <w:p>
            <w:pPr>
              <w:pStyle w:val="Normal"/>
              <w:spacing w:before="60" w:after="60" w:line="240" w:lineRule="auto"/>
              <w:jc w:val="left"/>
            </w:pPr>
            <w:r>
              <w:rPr>
                <w:color w:val="457B9D"/>
                <w:sz w:val="20"/>
                <w:rFonts w:ascii="Cambria" w:hAnsi="Cambria" w:eastAsia="Cambria" w:cs="Cambria"/>
                <w:szCs w:val="20"/>
              </w:rPr>
              <w:t>"Two months of clean Hormuz transit — verified in real time"</w:t>
            </w:r>
          </w:p>
        </w:tc>
      </w:tr>
      <w:tr>
        <w:tc>
          <w:tcPr>
            <w:tcW w:w="2800" w:type="dxa"/>
          </w:tcPr>
          <w:p>
            <w:pPr>
              <w:pStyle w:val="Normal"/>
              <w:spacing w:before="60" w:after="60" w:line="240" w:lineRule="auto"/>
              <w:jc w:val="left"/>
            </w:pPr>
            <w:r>
              <w:rPr>
                <w:color w:val="457B9D"/>
                <w:sz w:val="20"/>
                <w:rFonts w:ascii="Cambria" w:hAnsi="Cambria" w:eastAsia="Cambria" w:cs="Cambria"/>
                <w:szCs w:val="20"/>
              </w:rPr>
              <w:t>90 consecutive days of verified, unhindered commercial transit and zero-toll compliance within JHA MCC monitored sectors</w:t>
            </w:r>
          </w:p>
        </w:tc>
        <w:tc>
          <w:tcPr>
            <w:tcW w:w="800" w:type="dxa"/>
          </w:tcPr>
          <w:p>
            <w:pPr>
              <w:pStyle w:val="Normal"/>
              <w:spacing w:before="60" w:after="60" w:line="240" w:lineRule="auto"/>
              <w:jc w:val="left"/>
            </w:pPr>
            <w:r>
              <w:rPr>
                <w:color w:val="457B9D"/>
                <w:sz w:val="20"/>
                <w:rFonts w:ascii="Cambria" w:hAnsi="Cambria" w:eastAsia="Cambria" w:cs="Cambria"/>
                <w:szCs w:val="20"/>
              </w:rPr>
              <w:t>$1.5B</w:t>
            </w:r>
          </w:p>
        </w:tc>
        <w:tc>
          <w:tcPr>
            <w:tcW w:w="800" w:type="dxa"/>
          </w:tcPr>
          <w:p>
            <w:pPr>
              <w:pStyle w:val="Normal"/>
              <w:spacing w:before="60" w:after="60" w:line="240" w:lineRule="auto"/>
              <w:jc w:val="left"/>
            </w:pPr>
            <w:r>
              <w:rPr>
                <w:color w:val="457B9D"/>
                <w:sz w:val="20"/>
                <w:rFonts w:ascii="Cambria" w:hAnsi="Cambria" w:eastAsia="Cambria" w:cs="Cambria"/>
                <w:szCs w:val="20"/>
              </w:rPr>
              <w:t>$7B</w:t>
            </w:r>
          </w:p>
        </w:tc>
        <w:tc>
          <w:tcPr>
            <w:tcW w:w="2200" w:type="dxa"/>
          </w:tcPr>
          <w:p>
            <w:pPr>
              <w:pStyle w:val="Normal"/>
              <w:spacing w:before="60" w:after="60" w:line="240" w:lineRule="auto"/>
              <w:jc w:val="left"/>
            </w:pPr>
            <w:r>
              <w:rPr>
                <w:color w:val="457B9D"/>
                <w:sz w:val="20"/>
                <w:rFonts w:ascii="Cambria" w:hAnsi="Cambria" w:eastAsia="Cambria" w:cs="Cambria"/>
                <w:szCs w:val="20"/>
              </w:rPr>
              <w:t>JHA MCC telemetry log; Tier 1+ variance record; IAEA + PCC joint certification</w:t>
            </w:r>
          </w:p>
        </w:tc>
        <w:tc>
          <w:tcPr>
            <w:tcW w:w="2600" w:type="dxa"/>
          </w:tcPr>
          <w:p>
            <w:pPr>
              <w:pStyle w:val="Normal"/>
              <w:spacing w:before="60" w:after="60" w:line="240" w:lineRule="auto"/>
              <w:jc w:val="left"/>
            </w:pPr>
            <w:r>
              <w:rPr>
                <w:color w:val="457B9D"/>
                <w:sz w:val="20"/>
                <w:rFonts w:ascii="Cambria" w:hAnsi="Cambria" w:eastAsia="Cambria" w:cs="Cambria"/>
                <w:szCs w:val="20"/>
              </w:rPr>
              <w:t>"A quarter of sustained commercial stability"</w:t>
            </w:r>
          </w:p>
        </w:tc>
      </w:tr>
      <w:tr>
        <w:tc>
          <w:tcPr>
            <w:tcW w:w="2800" w:type="dxa"/>
          </w:tcPr>
          <w:p>
            <w:pPr>
              <w:pStyle w:val="Normal"/>
              <w:spacing w:before="60" w:after="60" w:line="240" w:lineRule="auto"/>
              <w:jc w:val="left"/>
            </w:pPr>
            <w:r>
              <w:rPr>
                <w:color w:val="457B9D"/>
                <w:sz w:val="20"/>
                <w:rFonts w:ascii="Cambria" w:hAnsi="Cambria" w:eastAsia="Cambria" w:cs="Cambria"/>
                <w:szCs w:val="20"/>
              </w:rPr>
              <w:t>120 consecutive days of verified, unhindered commercial transit and zero-toll compliance within JHA MCC monitored sectors</w:t>
            </w:r>
          </w:p>
        </w:tc>
        <w:tc>
          <w:tcPr>
            <w:tcW w:w="800" w:type="dxa"/>
          </w:tcPr>
          <w:p>
            <w:pPr>
              <w:pStyle w:val="Normal"/>
              <w:spacing w:before="60" w:after="60" w:line="240" w:lineRule="auto"/>
              <w:jc w:val="left"/>
            </w:pPr>
            <w:r>
              <w:rPr>
                <w:color w:val="457B9D"/>
                <w:sz w:val="20"/>
                <w:rFonts w:ascii="Cambria" w:hAnsi="Cambria" w:eastAsia="Cambria" w:cs="Cambria"/>
                <w:szCs w:val="20"/>
              </w:rPr>
              <w:t>$1.5B</w:t>
            </w:r>
          </w:p>
        </w:tc>
        <w:tc>
          <w:tcPr>
            <w:tcW w:w="800" w:type="dxa"/>
          </w:tcPr>
          <w:p>
            <w:pPr>
              <w:pStyle w:val="Normal"/>
              <w:spacing w:before="60" w:after="60" w:line="240" w:lineRule="auto"/>
              <w:jc w:val="left"/>
            </w:pPr>
            <w:r>
              <w:rPr>
                <w:color w:val="457B9D"/>
                <w:sz w:val="20"/>
                <w:rFonts w:ascii="Cambria" w:hAnsi="Cambria" w:eastAsia="Cambria" w:cs="Cambria"/>
                <w:szCs w:val="20"/>
              </w:rPr>
              <w:t>$8.5B</w:t>
            </w:r>
          </w:p>
        </w:tc>
        <w:tc>
          <w:tcPr>
            <w:tcW w:w="2200" w:type="dxa"/>
          </w:tcPr>
          <w:p>
            <w:pPr>
              <w:pStyle w:val="Normal"/>
              <w:spacing w:before="60" w:after="60" w:line="240" w:lineRule="auto"/>
              <w:jc w:val="left"/>
            </w:pPr>
            <w:r>
              <w:rPr>
                <w:color w:val="457B9D"/>
                <w:sz w:val="20"/>
                <w:rFonts w:ascii="Cambria" w:hAnsi="Cambria" w:eastAsia="Cambria" w:cs="Cambria"/>
                <w:szCs w:val="20"/>
              </w:rPr>
              <w:t>JHA MCC telemetry log; Tier 1+ variance record; Guarantor Matrix consensus</w:t>
            </w:r>
          </w:p>
        </w:tc>
        <w:tc>
          <w:tcPr>
            <w:tcW w:w="2600" w:type="dxa"/>
          </w:tcPr>
          <w:p>
            <w:pPr>
              <w:pStyle w:val="Normal"/>
              <w:spacing w:before="60" w:after="60" w:line="240" w:lineRule="auto"/>
              <w:jc w:val="left"/>
            </w:pPr>
            <w:r>
              <w:rPr>
                <w:color w:val="457B9D"/>
                <w:sz w:val="20"/>
                <w:rFonts w:ascii="Cambria" w:hAnsi="Cambria" w:eastAsia="Cambria" w:cs="Cambria"/>
                <w:szCs w:val="20"/>
              </w:rPr>
              <w:t>"Four months of uninterrupted maritime commerce"</w:t>
            </w:r>
          </w:p>
        </w:tc>
      </w:tr>
      <w:tr>
        <w:tc>
          <w:tcPr>
            <w:tcW w:w="2800" w:type="dxa"/>
          </w:tcPr>
          <w:p>
            <w:pPr>
              <w:pStyle w:val="Normal"/>
              <w:spacing w:before="60" w:after="60" w:line="240" w:lineRule="auto"/>
              <w:jc w:val="left"/>
            </w:pPr>
            <w:r>
              <w:rPr>
                <w:color w:val="457B9D"/>
                <w:sz w:val="20"/>
                <w:rFonts w:ascii="Cambria" w:hAnsi="Cambria" w:eastAsia="Cambria" w:cs="Cambria"/>
                <w:szCs w:val="20"/>
              </w:rPr>
              <w:t>180 consecutive days of verified, unhindered commercial transit and zero-toll compliance within JHA MCC monitored sectors</w:t>
            </w:r>
          </w:p>
        </w:tc>
        <w:tc>
          <w:tcPr>
            <w:tcW w:w="800" w:type="dxa"/>
          </w:tcPr>
          <w:p>
            <w:pPr>
              <w:pStyle w:val="Normal"/>
              <w:spacing w:before="60" w:after="60" w:line="240" w:lineRule="auto"/>
              <w:jc w:val="left"/>
            </w:pPr>
            <w:r>
              <w:rPr>
                <w:color w:val="457B9D"/>
                <w:sz w:val="20"/>
                <w:rFonts w:ascii="Cambria" w:hAnsi="Cambria" w:eastAsia="Cambria" w:cs="Cambria"/>
                <w:szCs w:val="20"/>
              </w:rPr>
              <w:t>$2B</w:t>
            </w:r>
          </w:p>
        </w:tc>
        <w:tc>
          <w:tcPr>
            <w:tcW w:w="800" w:type="dxa"/>
          </w:tcPr>
          <w:p>
            <w:pPr>
              <w:pStyle w:val="Normal"/>
              <w:spacing w:before="60" w:after="60" w:line="240" w:lineRule="auto"/>
              <w:jc w:val="left"/>
            </w:pPr>
            <w:r>
              <w:rPr>
                <w:color w:val="457B9D"/>
                <w:sz w:val="20"/>
                <w:rFonts w:ascii="Cambria" w:hAnsi="Cambria" w:eastAsia="Cambria" w:cs="Cambria"/>
                <w:szCs w:val="20"/>
              </w:rPr>
              <w:t>$10.5B</w:t>
            </w:r>
          </w:p>
        </w:tc>
        <w:tc>
          <w:tcPr>
            <w:tcW w:w="2200" w:type="dxa"/>
          </w:tcPr>
          <w:p>
            <w:pPr>
              <w:pStyle w:val="Normal"/>
              <w:spacing w:before="60" w:after="60" w:line="240" w:lineRule="auto"/>
              <w:jc w:val="left"/>
            </w:pPr>
            <w:r>
              <w:rPr>
                <w:color w:val="457B9D"/>
                <w:sz w:val="20"/>
                <w:rFonts w:ascii="Cambria" w:hAnsi="Cambria" w:eastAsia="Cambria" w:cs="Cambria"/>
                <w:szCs w:val="20"/>
              </w:rPr>
              <w:t>JHA MCC telemetry log; IAEA final certification; Guarantor Matrix consensus vote</w:t>
            </w:r>
          </w:p>
        </w:tc>
        <w:tc>
          <w:tcPr>
            <w:tcW w:w="2600" w:type="dxa"/>
          </w:tcPr>
          <w:p>
            <w:pPr>
              <w:pStyle w:val="Normal"/>
              <w:spacing w:before="60" w:after="60" w:line="240" w:lineRule="auto"/>
              <w:jc w:val="left"/>
            </w:pPr>
            <w:r>
              <w:rPr>
                <w:color w:val="457B9D"/>
                <w:sz w:val="20"/>
                <w:rFonts w:ascii="Cambria" w:hAnsi="Cambria" w:eastAsia="Cambria" w:cs="Cambria"/>
                <w:szCs w:val="20"/>
              </w:rPr>
              <w:t>"Six months of full Hormuz compliance — the maritime module completes"</w:t>
            </w:r>
          </w:p>
        </w:tc>
      </w:tr>
      <w:tr>
        <w:tc>
          <w:tcPr>
            <w:tcW w:w="2800" w:type="dxa"/>
          </w:tcPr>
          <w:p>
            <w:pPr>
              <w:pStyle w:val="Normal"/>
              <w:spacing w:before="60" w:after="60" w:line="240" w:lineRule="auto"/>
              <w:jc w:val="left"/>
            </w:pPr>
            <w:r>
              <w:rPr>
                <w:color w:val="457B9D"/>
                <w:sz w:val="20"/>
                <w:rFonts w:ascii="Cambria" w:hAnsi="Cambria" w:eastAsia="Cambria" w:cs="Cambria"/>
                <w:szCs w:val="20"/>
              </w:rPr>
              <w:t>Completion bonus (remaining escrow balance; 50/50 split: Central Bank + humanitarian escrow)</w:t>
            </w:r>
          </w:p>
        </w:tc>
        <w:tc>
          <w:tcPr>
            <w:tcW w:w="800" w:type="dxa"/>
          </w:tcPr>
          <w:p>
            <w:pPr>
              <w:pStyle w:val="Normal"/>
              <w:spacing w:before="60" w:after="60" w:line="240" w:lineRule="auto"/>
              <w:jc w:val="left"/>
            </w:pPr>
            <w:r>
              <w:rPr>
                <w:color w:val="457B9D"/>
                <w:sz w:val="20"/>
                <w:rFonts w:ascii="Cambria" w:hAnsi="Cambria" w:eastAsia="Cambria" w:cs="Cambria"/>
                <w:szCs w:val="20"/>
              </w:rPr>
              <w:t>$1.5B</w:t>
            </w:r>
          </w:p>
        </w:tc>
        <w:tc>
          <w:tcPr>
            <w:tcW w:w="800" w:type="dxa"/>
          </w:tcPr>
          <w:p>
            <w:pPr>
              <w:pStyle w:val="Normal"/>
              <w:spacing w:before="60" w:after="60" w:line="240" w:lineRule="auto"/>
              <w:jc w:val="left"/>
            </w:pPr>
            <w:r>
              <w:rPr>
                <w:color w:val="457B9D"/>
                <w:sz w:val="20"/>
                <w:rFonts w:ascii="Cambria" w:hAnsi="Cambria" w:eastAsia="Cambria" w:cs="Cambria"/>
                <w:szCs w:val="20"/>
              </w:rPr>
              <w:t>$12B</w:t>
            </w:r>
          </w:p>
        </w:tc>
        <w:tc>
          <w:tcPr>
            <w:tcW w:w="2200" w:type="dxa"/>
          </w:tcPr>
          <w:p>
            <w:pPr>
              <w:pStyle w:val="Normal"/>
              <w:spacing w:before="60" w:after="60" w:line="240" w:lineRule="auto"/>
              <w:jc w:val="left"/>
            </w:pPr>
            <w:r>
              <w:rPr>
                <w:color w:val="457B9D"/>
                <w:sz w:val="20"/>
                <w:rFonts w:ascii="Cambria" w:hAnsi="Cambria" w:eastAsia="Cambria" w:cs="Cambria"/>
                <w:szCs w:val="20"/>
              </w:rPr>
              <w:t>PCC + Guarantor Matrix certification of full maritime module compliance</w:t>
            </w:r>
          </w:p>
        </w:tc>
        <w:tc>
          <w:tcPr>
            <w:tcW w:w="2600" w:type="dxa"/>
          </w:tcPr>
          <w:p>
            <w:pPr>
              <w:pStyle w:val="Normal"/>
              <w:spacing w:before="60" w:after="60" w:line="240" w:lineRule="auto"/>
              <w:jc w:val="left"/>
            </w:pPr>
            <w:r>
              <w:rPr>
                <w:color w:val="457B9D"/>
                <w:sz w:val="20"/>
                <w:rFonts w:ascii="Cambria" w:hAnsi="Cambria" w:eastAsia="Cambria" w:cs="Cambria"/>
                <w:szCs w:val="20"/>
              </w:rPr>
              <w:t>Maritime stabilization mission complete</w:t>
            </w:r>
          </w:p>
        </w:tc>
      </w:tr>
    </w:tbl>
    <w:p>
      <w:pPr>
        <w:pStyle w:val="Normal"/>
        <w:spacing w:before="120" w:after="160" w:line="276" w:lineRule="auto"/>
        <w:jc w:val="both"/>
      </w:pPr>
      <w:r>
        <w:rPr>
          <w:rFonts w:ascii="Cambria" w:hAnsi="Cambria" w:eastAsia="Cambria" w:cs="Cambria"/>
          <w:color w:val="1D3557"/>
          <w:sz w:val="22"/>
          <w:szCs w:val="22"/>
        </w:rPr>
        <w:t>Total: $12B from frozen asset escrow. The $1.5B completion bonus constitutes the remaining escrow balance, released upon PCC + Guarantor Matrix certification of full compliance across the 180-day maritime module cycle. No funds are drawn from outside the frozen escrow pool.</w:t>
      </w:r>
    </w:p>
    <w:p>
      <w:pPr>
        <w:pStyle w:val="Normal"/>
        <w:keepNext/>
        <w:spacing w:before="360" w:after="120"/>
      </w:pPr>
      <w:r>
        <w:rPr>
          <w:rFonts w:ascii="Cambria" w:hAnsi="Cambria" w:eastAsia="Cambria" w:cs="Cambria"/>
          <w:b/>
          <w:color w:val="3D5A80"/>
          <w:sz w:val="22"/>
          <w:szCs w:val="22"/>
        </w:rPr>
        <w:t>Consecutive Day Integrity Rule</w:t>
      </w:r>
    </w:p>
    <w:p>
      <w:pPr>
        <w:pStyle w:val="Normal"/>
        <w:spacing w:before="120" w:after="160" w:line="276" w:lineRule="auto"/>
        <w:jc w:val="both"/>
      </w:pPr>
      <w:r>
        <w:rPr>
          <w:rFonts w:ascii="Cambria" w:hAnsi="Cambria" w:eastAsia="Cambria" w:cs="Cambria"/>
          <w:color w:val="1D3557"/>
          <w:sz w:val="22"/>
          <w:szCs w:val="22"/>
        </w:rPr>
        <w:t>The consecutive day counters for Tranches W-3 through W-7 (30-day, 60-day, 90-day, 120-day, and 180-day milestones) operate on a cumulative, non-resetting basis tied exclusively to maritime telemetry integrity. Any Tier 1 or higher variance within the HTZ pauses the consecutive day counter for the duration of the remediation window. Upon remediation completion and PCC certification of clean compliance, the counter resumes from its paused value — it does not reset to zero. A Tier 2 variance reduces the active counter by 10 days for each day the violation persists, capped at a 30-day reduction. A Tier 3 variance resets the active counter to zero for the affected tranche only. This graduated approach protects tranche progression from disproportionate disruption while maintaining accountability for material breaches.</w:t>
      </w:r>
    </w:p>
    <w:p>
      <w:pPr>
        <w:pStyle w:val="Heading2"/>
        <w:keepNext/>
        <w:keepLines/>
        <w:spacing w:before="320" w:after="120"/>
      </w:pPr>
      <w:r>
        <w:rPr>
          <w:rFonts w:ascii="Cambria" w:hAnsi="Cambria" w:eastAsia="Cambria" w:cs="Cambria"/>
          <w:b/>
          <w:color w:val="1D3557"/>
          <w:sz w:val="26"/>
          <w:szCs w:val="26"/>
        </w:rPr>
        <w:t>4.1 Escrow Administration</w:t>
      </w:r>
    </w:p>
    <w:p>
      <w:pPr>
        <w:pStyle w:val="Normal"/>
        <w:spacing w:before="120" w:after="160" w:line="276" w:lineRule="auto"/>
        <w:jc w:val="both"/>
      </w:pPr>
      <w:r>
        <w:rPr>
          <w:rFonts w:ascii="Cambria" w:hAnsi="Cambria" w:eastAsia="Cambria" w:cs="Cambria"/>
          <w:color w:val="1D3557"/>
          <w:sz w:val="22"/>
          <w:szCs w:val="22"/>
        </w:rPr>
        <w:t>The Swiss facilitator maintains the escrow account with the following operational rules:</w:t>
      </w:r>
    </w:p>
    <w:p>
      <w:pPr>
        <w:pStyle w:val="Normal"/>
        <w:spacing w:before="80" w:after="80" w:line="276" w:lineRule="auto"/>
        <w:ind w:left="360" w:hanging="360"/>
      </w:pPr>
      <w:r>
        <w:rPr>
          <w:rFonts w:ascii="Cambria" w:hAnsi="Cambria" w:eastAsia="Cambria" w:cs="Cambria"/>
          <w:b/>
          <w:color w:val="1D3557"/>
          <w:sz w:val="22"/>
          <w:szCs w:val="22"/>
        </w:rPr>
        <w:t xml:space="preserve">1. </w:t>
      </w:r>
      <w:r>
        <w:rPr>
          <w:rFonts w:ascii="Cambria" w:hAnsi="Cambria" w:eastAsia="Cambria" w:cs="Cambria"/>
          <w:color w:val="1D3557"/>
          <w:sz w:val="22"/>
          <w:szCs w:val="22"/>
        </w:rPr>
        <w:t>The Central Bank of Oman hosts the escrow account under sovereign immunity protections.</w:t>
      </w:r>
    </w:p>
    <w:p>
      <w:pPr>
        <w:pStyle w:val="Normal"/>
        <w:spacing w:before="80" w:after="80" w:line="276" w:lineRule="auto"/>
        <w:ind w:left="360" w:hanging="360"/>
      </w:pPr>
      <w:r>
        <w:rPr>
          <w:rFonts w:ascii="Cambria" w:hAnsi="Cambria" w:eastAsia="Cambria" w:cs="Cambria"/>
          <w:b/>
          <w:color w:val="1D3557"/>
          <w:sz w:val="22"/>
          <w:szCs w:val="22"/>
        </w:rPr>
        <w:t xml:space="preserve">2. </w:t>
      </w:r>
      <w:r>
        <w:rPr>
          <w:rFonts w:ascii="Cambria" w:hAnsi="Cambria" w:eastAsia="Cambria" w:cs="Cambria"/>
          <w:color w:val="1D3557"/>
          <w:sz w:val="22"/>
          <w:szCs w:val="22"/>
        </w:rPr>
        <w:t>IAEA certification or JHA MCC telemetry confirmation (as specified per tranche) constitutes the sole release trigger. No political entity overrides a verified release.</w:t>
      </w:r>
    </w:p>
    <w:p>
      <w:pPr>
        <w:pStyle w:val="Normal"/>
        <w:spacing w:before="80" w:after="80" w:line="276" w:lineRule="auto"/>
        <w:ind w:left="360" w:hanging="360"/>
      </w:pPr>
      <w:r>
        <w:rPr>
          <w:rFonts w:ascii="Cambria" w:hAnsi="Cambria" w:eastAsia="Cambria" w:cs="Cambria"/>
          <w:b/>
          <w:color w:val="1D3557"/>
          <w:sz w:val="22"/>
          <w:szCs w:val="22"/>
        </w:rPr>
        <w:t xml:space="preserve">3. </w:t>
      </w:r>
      <w:r>
        <w:rPr>
          <w:rFonts w:ascii="Cambria" w:hAnsi="Cambria" w:eastAsia="Cambria" w:cs="Cambria"/>
          <w:color w:val="1D3557"/>
          <w:sz w:val="22"/>
          <w:szCs w:val="22"/>
        </w:rPr>
        <w:t>Every release generates an automatic entry in the Shared Digital Registry (Annex U, Article 5), timestamped and visible to all Parties.</w:t>
      </w:r>
    </w:p>
    <w:p>
      <w:pPr>
        <w:pStyle w:val="Normal"/>
        <w:spacing w:before="80" w:after="80" w:line="276" w:lineRule="auto"/>
        <w:ind w:left="360" w:hanging="360"/>
      </w:pPr>
      <w:r>
        <w:rPr>
          <w:rFonts w:ascii="Cambria" w:hAnsi="Cambria" w:eastAsia="Cambria" w:cs="Cambria"/>
          <w:b/>
          <w:color w:val="1D3557"/>
          <w:sz w:val="22"/>
          <w:szCs w:val="22"/>
        </w:rPr>
        <w:t xml:space="preserve">4. </w:t>
      </w:r>
      <w:r>
        <w:rPr>
          <w:rFonts w:ascii="Cambria" w:hAnsi="Cambria" w:eastAsia="Cambria" w:cs="Cambria"/>
          <w:color w:val="1D3557"/>
          <w:sz w:val="22"/>
          <w:szCs w:val="22"/>
        </w:rPr>
        <w:t>If technical review delays verification beyond 72 hours, the Swiss facilitator holds the funds in a pending-release sub-account earning interest at the Omani central bank rate.</w:t>
      </w:r>
    </w:p>
    <w:p>
      <w:pPr>
        <w:pStyle w:val="Normal"/>
        <w:spacing w:before="80" w:after="80" w:line="276" w:lineRule="auto"/>
        <w:ind w:left="360" w:hanging="360"/>
      </w:pPr>
      <w:r>
        <w:rPr>
          <w:rFonts w:ascii="Cambria" w:hAnsi="Cambria" w:eastAsia="Cambria" w:cs="Cambria"/>
          <w:b/>
          <w:color w:val="1D3557"/>
          <w:sz w:val="22"/>
          <w:szCs w:val="22"/>
        </w:rPr>
        <w:t xml:space="preserve">5. </w:t>
      </w:r>
      <w:r>
        <w:rPr>
          <w:rFonts w:ascii="Cambria" w:hAnsi="Cambria" w:eastAsia="Cambria" w:cs="Cambria"/>
          <w:color w:val="1D3557"/>
          <w:sz w:val="22"/>
          <w:szCs w:val="22"/>
        </w:rPr>
        <w:t>Russia, as escrow guarantor, receives real-time notification of every deposit, release, and balance change. Russia does not hold a release key but serves as an independent balance auditor.</w:t>
      </w:r>
    </w:p>
    <w:p>
      <w:pPr>
        <w:pStyle w:val="Normal"/>
        <w:spacing w:before="80" w:after="80" w:line="276" w:lineRule="auto"/>
        <w:ind w:left="360" w:hanging="360"/>
      </w:pPr>
      <w:r>
        <w:rPr>
          <w:rFonts w:ascii="Cambria" w:hAnsi="Cambria" w:eastAsia="Cambria" w:cs="Cambria"/>
          <w:b/>
          <w:color w:val="1D3557"/>
          <w:sz w:val="22"/>
          <w:szCs w:val="22"/>
        </w:rPr>
        <w:t xml:space="preserve">6. </w:t>
      </w:r>
      <w:r>
        <w:rPr>
          <w:rFonts w:ascii="Cambria" w:hAnsi="Cambria" w:eastAsia="Cambria" w:cs="Cambria"/>
          <w:color w:val="1D3557"/>
          <w:sz w:val="22"/>
          <w:szCs w:val="22"/>
        </w:rPr>
        <w:t>If verification is withheld due to an active tier breach remediation window, the corresponding tranche remains in pending status. The tranche releases automatically upon clean verification and PCC confirmation of remediation completion.</w:t>
      </w:r>
    </w:p>
    <w:p>
      <w:pPr>
        <w:pStyle w:val="Heading2"/>
        <w:keepNext/>
        <w:keepLines/>
        <w:spacing w:before="320" w:after="120"/>
      </w:pPr>
      <w:r>
        <w:rPr>
          <w:rFonts w:ascii="Cambria" w:hAnsi="Cambria" w:eastAsia="Cambria" w:cs="Cambria"/>
          <w:b/>
          <w:color w:val="1D3557"/>
          <w:sz w:val="26"/>
          <w:szCs w:val="26"/>
        </w:rPr>
        <w:t>4.2 Humanitarian Firewall</w:t>
      </w:r>
    </w:p>
    <w:p>
      <w:pPr>
        <w:pStyle w:val="Normal"/>
        <w:spacing w:before="120" w:after="160" w:line="276" w:lineRule="auto"/>
        <w:jc w:val="both"/>
      </w:pPr>
      <w:r>
        <w:rPr>
          <w:rFonts w:ascii="Cambria" w:hAnsi="Cambria" w:eastAsia="Cambria" w:cs="Cambria"/>
          <w:color w:val="1D3557"/>
          <w:sz w:val="22"/>
          <w:szCs w:val="22"/>
        </w:rPr>
        <w:t>The $250M humanitarian tranche from the parent framework remains protected. Zero-toll humanitarian vessels count toward compliance metrics for tranche progression but do not trigger fee-based releases. No tier breach affects already-released humanitarian funds.</w:t>
      </w:r>
    </w:p>
    <w:p>
      <w:pPr>
        <w:pStyle w:val="Heading2"/>
        <w:keepNext/>
        <w:keepLines/>
        <w:spacing w:before="320" w:after="120"/>
      </w:pPr>
      <w:r>
        <w:rPr>
          <w:rFonts w:ascii="Cambria" w:hAnsi="Cambria" w:eastAsia="Cambria" w:cs="Cambria"/>
          <w:b/>
          <w:color w:val="1D3557"/>
          <w:sz w:val="26"/>
          <w:szCs w:val="26"/>
        </w:rPr>
        <w:t>4.3 No Clawback</w:t>
      </w:r>
    </w:p>
    <w:p>
      <w:pPr>
        <w:pStyle w:val="Normal"/>
        <w:spacing w:before="120" w:after="160" w:line="276" w:lineRule="auto"/>
        <w:jc w:val="both"/>
      </w:pPr>
      <w:r>
        <w:rPr>
          <w:rFonts w:ascii="Cambria" w:hAnsi="Cambria" w:eastAsia="Cambria" w:cs="Cambria"/>
          <w:color w:val="1D3557"/>
          <w:sz w:val="22"/>
          <w:szCs w:val="22"/>
        </w:rPr>
        <w:t>Funds already released from escrow are not subject to return, clawback, or recession under any circumstances, including Tier 3 violations. This provision is absolute and non-waivable.</w:t>
      </w:r>
    </w:p>
    <w:p>
      <w:pPr>
        <w:pStyle w:val="Heading2"/>
        <w:keepNext/>
        <w:keepLines/>
        <w:spacing w:before="320" w:after="120"/>
      </w:pPr>
      <w:r>
        <w:rPr>
          <w:rFonts w:ascii="Cambria" w:hAnsi="Cambria" w:eastAsia="Cambria" w:cs="Cambria"/>
          <w:b/>
          <w:color w:val="1D3557"/>
          <w:sz w:val="26"/>
          <w:szCs w:val="26"/>
        </w:rPr>
        <w:t>4.4 Independence from Non-Maritime Modules</w:t>
      </w:r>
    </w:p>
    <w:p>
      <w:pPr>
        <w:pStyle w:val="Normal"/>
        <w:spacing w:before="120" w:after="160" w:line="276" w:lineRule="auto"/>
        <w:jc w:val="both"/>
      </w:pPr>
      <w:r>
        <w:rPr>
          <w:rFonts w:ascii="Cambria" w:hAnsi="Cambria" w:eastAsia="Cambria" w:cs="Cambria"/>
          <w:color w:val="1D3557"/>
          <w:sz w:val="22"/>
          <w:szCs w:val="22"/>
        </w:rPr>
        <w:t>The maritime escrow release schedule maintains operational independence from all non-maritime protocol modules, including but not limited to Annex V (Nuclear Dust Protocol). A stoppage, delay, or force majeure event localized exclusively to a land-based operational module does not penetrate the maritime module's financial architecture. The maritime tranches release exclusively on maritime performance metrics, regardless of the operational status of any other annex.</w:t>
      </w:r>
    </w:p>
    <w:p>
      <w:pPr>
        <w:pStyle w:val="Normal"/>
        <w:spacing w:before="120" w:after="160" w:line="276" w:lineRule="auto"/>
        <w:jc w:val="both"/>
      </w:pPr>
      <w:r>
        <w:rPr>
          <w:rFonts w:ascii="Cambria" w:hAnsi="Cambria" w:eastAsia="Cambria" w:cs="Cambria"/>
          <w:color w:val="1D3557"/>
          <w:sz w:val="22"/>
          <w:szCs w:val="22"/>
        </w:rPr>
        <w:t>This independence operates symmetrically: a maritime stoppage does not affect non-maritime escrow schedules under other annexes, and a non-maritime stoppage does not affect the maritime escrow schedule under this Annex. Each module's financial architecture operates on its own performance merits. This mutual isolation constitutes a core structural feature of the framework's modular design, engineered specifically to prevent the cross-module gridlock that a coupled architecture creates.</w:t>
      </w:r>
    </w:p>
    <w:p>
      <w:pPr>
        <w:pStyle w:val="Heading1"/>
        <w:keepNext/>
        <w:keepLines/>
        <w:spacing w:before="480" w:after="200"/>
      </w:pPr>
      <w:r>
        <w:rPr>
          <w:rFonts w:ascii="Cambria" w:hAnsi="Cambria" w:eastAsia="Cambria" w:cs="Cambria"/>
          <w:b/>
          <w:color w:val="3D5A80"/>
          <w:sz w:val="32"/>
          <w:szCs w:val="32"/>
        </w:rPr>
        <w:t>Article 5: Automated Breach Triggers (Telemetry-First)</w:t>
      </w:r>
    </w:p>
    <w:p>
      <w:pPr>
        <w:pStyle w:val="Normal"/>
        <w:keepNext/>
        <w:spacing w:before="200" w:after="80"/>
      </w:pPr>
      <w:r>
        <w:rPr>
          <w:rFonts w:ascii="Cambria" w:hAnsi="Cambria" w:eastAsia="Cambria" w:cs="Cambria"/>
          <w:b/>
          <w:i/>
          <w:color w:val="457B9D"/>
          <w:sz w:val="20"/>
          <w:szCs w:val="20"/>
        </w:rPr>
        <w:t>OPERATIVE AND BINDING</w:t>
      </w:r>
    </w:p>
    <w:p>
      <w:pPr>
        <w:pStyle w:val="Normal"/>
        <w:spacing w:before="120" w:after="160" w:line="276" w:lineRule="auto"/>
        <w:jc w:val="both"/>
      </w:pPr>
      <w:r>
        <w:rPr>
          <w:rFonts w:ascii="Cambria" w:hAnsi="Cambria" w:eastAsia="Cambria" w:cs="Cambria"/>
          <w:color w:val="1D3557"/>
          <w:sz w:val="22"/>
          <w:szCs w:val="22"/>
        </w:rPr>
        <w:t>The following telemetry signatures trigger automatic Tier classification under the parent framework's governance provisions. No PCC vote, political consensus, or human confirmation is needed for initial classification (Human-in-the-Loop review occurs within 24 hours).</w:t>
      </w:r>
    </w:p>
    <w:tbl>
      <w:tblPr>
        <w:tblW w:w="5000" w:type="pct"/>
        <w:tblBorders>
          <w:top w:val="single" w:color="3d5a80" w:sz="12"/>
          <w:left w:val="nil"/>
          <w:bottom w:val="single" w:color="3d5a80" w:sz="12"/>
          <w:right w:val="nil"/>
          <w:insideH w:val="single" w:color="d0d5dd" w:sz="4"/>
          <w:insideV w:val="nil"/>
        </w:tblBorders>
      </w:tblPr>
      <w:tblGrid>
        <w:gridCol w:w="2200"/>
        <w:gridCol w:w="1400"/>
        <w:gridCol w:w="2800"/>
        <w:gridCol w:w="2200"/>
      </w:tblGrid>
      <w:tr>
        <w:trPr>
          <w:tblHeader w:val="1"/>
        </w:trPr>
        <w:tc>
          <w:tcPr>
            <w:tcW w:w="2200" w:type="dxa"/>
            <w:shd w:val="clear" w:fill="E8ECF1" w:color="auto"/>
          </w:tcPr>
          <w:p>
            <w:pPr>
              <w:pStyle w:val="Normal"/>
              <w:spacing w:before="60" w:after="60" w:line="240" w:lineRule="auto"/>
            </w:pPr>
            <w:r>
              <w:rPr>
                <w:b/>
                <w:color w:val="1D3557"/>
                <w:sz w:val="20"/>
                <w:rFonts w:ascii="Cambria" w:hAnsi="Cambria" w:eastAsia="Cambria" w:cs="Cambria"/>
                <w:szCs w:val="20"/>
              </w:rPr>
              <w:t>Telemetry Signature</w:t>
            </w:r>
          </w:p>
        </w:tc>
        <w:tc>
          <w:tcPr>
            <w:tcW w:w="1400" w:type="dxa"/>
            <w:shd w:val="clear" w:fill="E8ECF1" w:color="auto"/>
          </w:tcPr>
          <w:p>
            <w:pPr>
              <w:pStyle w:val="Normal"/>
              <w:spacing w:before="60" w:after="60" w:line="240" w:lineRule="auto"/>
            </w:pPr>
            <w:r>
              <w:rPr>
                <w:b/>
                <w:color w:val="1D3557"/>
                <w:sz w:val="20"/>
                <w:rFonts w:ascii="Cambria" w:hAnsi="Cambria" w:eastAsia="Cambria" w:cs="Cambria"/>
                <w:szCs w:val="20"/>
              </w:rPr>
              <w:t>Auto Tier</w:t>
            </w:r>
          </w:p>
        </w:tc>
        <w:tc>
          <w:tcPr>
            <w:tcW w:w="2800" w:type="dxa"/>
            <w:shd w:val="clear" w:fill="E8ECF1" w:color="auto"/>
          </w:tcPr>
          <w:p>
            <w:pPr>
              <w:pStyle w:val="Normal"/>
              <w:spacing w:before="60" w:after="60" w:line="240" w:lineRule="auto"/>
            </w:pPr>
            <w:r>
              <w:rPr>
                <w:b/>
                <w:color w:val="1D3557"/>
                <w:sz w:val="20"/>
                <w:rFonts w:ascii="Cambria" w:hAnsi="Cambria" w:eastAsia="Cambria" w:cs="Cambria"/>
                <w:szCs w:val="20"/>
              </w:rPr>
              <w:t>Consequence</w:t>
            </w:r>
          </w:p>
        </w:tc>
        <w:tc>
          <w:tcPr>
            <w:tcW w:w="2200" w:type="dxa"/>
            <w:shd w:val="clear" w:fill="E8ECF1" w:color="auto"/>
          </w:tcPr>
          <w:p>
            <w:pPr>
              <w:pStyle w:val="Normal"/>
              <w:spacing w:before="60" w:after="60" w:line="240" w:lineRule="auto"/>
            </w:pPr>
            <w:r>
              <w:rPr>
                <w:b/>
                <w:color w:val="1D3557"/>
                <w:sz w:val="20"/>
                <w:rFonts w:ascii="Cambria" w:hAnsi="Cambria" w:eastAsia="Cambria" w:cs="Cambria"/>
                <w:szCs w:val="20"/>
              </w:rPr>
              <w:t>Remediation Window</w:t>
            </w:r>
          </w:p>
        </w:tc>
      </w:tr>
      <w:tr>
        <w:tc>
          <w:tcPr>
            <w:tcW w:w="2200" w:type="dxa"/>
          </w:tcPr>
          <w:p>
            <w:pPr>
              <w:pStyle w:val="Normal"/>
              <w:spacing w:before="60" w:after="60" w:line="240" w:lineRule="auto"/>
              <w:jc w:val="left"/>
            </w:pPr>
            <w:r>
              <w:rPr>
                <w:color w:val="457B9D"/>
                <w:sz w:val="20"/>
                <w:rFonts w:ascii="Cambria" w:hAnsi="Cambria" w:eastAsia="Cambria" w:cs="Cambria"/>
                <w:szCs w:val="20"/>
              </w:rPr>
              <w:t>AIS spoofing or cryptographic mismatch detected for &gt;5 minutes</w:t>
            </w:r>
          </w:p>
        </w:tc>
        <w:tc>
          <w:tcPr>
            <w:tcW w:w="1400" w:type="dxa"/>
          </w:tcPr>
          <w:p>
            <w:pPr>
              <w:pStyle w:val="Normal"/>
              <w:spacing w:before="60" w:after="60" w:line="240" w:lineRule="auto"/>
              <w:jc w:val="left"/>
            </w:pPr>
            <w:r>
              <w:rPr>
                <w:color w:val="457B9D"/>
                <w:sz w:val="20"/>
                <w:rFonts w:ascii="Cambria" w:hAnsi="Cambria" w:eastAsia="Cambria" w:cs="Cambria"/>
                <w:szCs w:val="20"/>
              </w:rPr>
              <w:t>Tier 2 (Material Disruption)</w:t>
            </w:r>
          </w:p>
        </w:tc>
        <w:tc>
          <w:tcPr>
            <w:tcW w:w="2800" w:type="dxa"/>
          </w:tcPr>
          <w:p>
            <w:pPr>
              <w:pStyle w:val="Normal"/>
              <w:spacing w:before="60" w:after="60" w:line="240" w:lineRule="auto"/>
              <w:jc w:val="left"/>
            </w:pPr>
            <w:r>
              <w:rPr>
                <w:color w:val="457B9D"/>
                <w:sz w:val="20"/>
                <w:rFonts w:ascii="Cambria" w:hAnsi="Cambria" w:eastAsia="Cambria" w:cs="Cambria"/>
                <w:szCs w:val="20"/>
              </w:rPr>
              <w:t>10% benefit reduction; 14-day remediation; automatic hotline activation</w:t>
            </w:r>
          </w:p>
        </w:tc>
        <w:tc>
          <w:tcPr>
            <w:tcW w:w="2200" w:type="dxa"/>
          </w:tcPr>
          <w:p>
            <w:pPr>
              <w:pStyle w:val="Normal"/>
              <w:spacing w:before="60" w:after="60" w:line="240" w:lineRule="auto"/>
              <w:jc w:val="left"/>
            </w:pPr>
            <w:r>
              <w:rPr>
                <w:color w:val="457B9D"/>
                <w:sz w:val="20"/>
                <w:rFonts w:ascii="Cambria" w:hAnsi="Cambria" w:eastAsia="Cambria" w:cs="Cambria"/>
                <w:szCs w:val="20"/>
              </w:rPr>
              <w:t>30 days</w:t>
            </w:r>
          </w:p>
        </w:tc>
      </w:tr>
      <w:tr>
        <w:tc>
          <w:tcPr>
            <w:tcW w:w="2200" w:type="dxa"/>
          </w:tcPr>
          <w:p>
            <w:pPr>
              <w:pStyle w:val="Normal"/>
              <w:spacing w:before="60" w:after="60" w:line="240" w:lineRule="auto"/>
              <w:jc w:val="left"/>
            </w:pPr>
            <w:r>
              <w:rPr>
                <w:color w:val="457B9D"/>
                <w:sz w:val="20"/>
                <w:rFonts w:ascii="Cambria" w:hAnsi="Cambria" w:eastAsia="Cambria" w:cs="Cambria"/>
                <w:szCs w:val="20"/>
              </w:rPr>
              <w:t>IRGC or PGSA vessel within 3nm of CTC without dual-key authorization (measured by radar)</w:t>
            </w:r>
          </w:p>
        </w:tc>
        <w:tc>
          <w:tcPr>
            <w:tcW w:w="1400" w:type="dxa"/>
          </w:tcPr>
          <w:p>
            <w:pPr>
              <w:pStyle w:val="Normal"/>
              <w:spacing w:before="60" w:after="60" w:line="240" w:lineRule="auto"/>
              <w:jc w:val="left"/>
            </w:pPr>
            <w:r>
              <w:rPr>
                <w:color w:val="457B9D"/>
                <w:sz w:val="20"/>
                <w:rFonts w:ascii="Cambria" w:hAnsi="Cambria" w:eastAsia="Cambria" w:cs="Cambria"/>
                <w:szCs w:val="20"/>
              </w:rPr>
              <w:t>Tier 2 (escalates to Tier 3 after 1 hour of non-compliance)</w:t>
            </w:r>
          </w:p>
        </w:tc>
        <w:tc>
          <w:tcPr>
            <w:tcW w:w="2800" w:type="dxa"/>
          </w:tcPr>
          <w:p>
            <w:pPr>
              <w:pStyle w:val="Normal"/>
              <w:spacing w:before="60" w:after="60" w:line="240" w:lineRule="auto"/>
              <w:jc w:val="left"/>
            </w:pPr>
            <w:r>
              <w:rPr>
                <w:color w:val="457B9D"/>
                <w:sz w:val="20"/>
                <w:rFonts w:ascii="Cambria" w:hAnsi="Cambria" w:eastAsia="Cambria" w:cs="Cambria"/>
                <w:szCs w:val="20"/>
              </w:rPr>
              <w:t>25% reduction; automatic notification to Guarantor Matrix</w:t>
            </w:r>
          </w:p>
        </w:tc>
        <w:tc>
          <w:tcPr>
            <w:tcW w:w="2200" w:type="dxa"/>
          </w:tcPr>
          <w:p>
            <w:pPr>
              <w:pStyle w:val="Normal"/>
              <w:spacing w:before="60" w:after="60" w:line="240" w:lineRule="auto"/>
              <w:jc w:val="left"/>
            </w:pPr>
            <w:r>
              <w:rPr>
                <w:color w:val="457B9D"/>
                <w:sz w:val="20"/>
                <w:rFonts w:ascii="Cambria" w:hAnsi="Cambria" w:eastAsia="Cambria" w:cs="Cambria"/>
                <w:szCs w:val="20"/>
              </w:rPr>
              <w:t>30 days (T2) / 90 days (T3)</w:t>
            </w:r>
          </w:p>
        </w:tc>
      </w:tr>
      <w:tr>
        <w:tc>
          <w:tcPr>
            <w:tcW w:w="2200" w:type="dxa"/>
          </w:tcPr>
          <w:p>
            <w:pPr>
              <w:pStyle w:val="Normal"/>
              <w:spacing w:before="60" w:after="60" w:line="240" w:lineRule="auto"/>
              <w:jc w:val="left"/>
            </w:pPr>
            <w:r>
              <w:rPr>
                <w:color w:val="457B9D"/>
                <w:sz w:val="20"/>
                <w:rFonts w:ascii="Cambria" w:hAnsi="Cambria" w:eastAsia="Cambria" w:cs="Cambria"/>
                <w:szCs w:val="20"/>
              </w:rPr>
              <w:t>Armed boarding or detention of JHA-AUTHORIZED vessel</w:t>
            </w:r>
          </w:p>
        </w:tc>
        <w:tc>
          <w:tcPr>
            <w:tcW w:w="1400" w:type="dxa"/>
          </w:tcPr>
          <w:p>
            <w:pPr>
              <w:pStyle w:val="Normal"/>
              <w:spacing w:before="60" w:after="60" w:line="240" w:lineRule="auto"/>
              <w:jc w:val="left"/>
            </w:pPr>
            <w:r>
              <w:rPr>
                <w:color w:val="457B9D"/>
                <w:sz w:val="20"/>
                <w:rFonts w:ascii="Cambria" w:hAnsi="Cambria" w:eastAsia="Cambria" w:cs="Cambria"/>
                <w:szCs w:val="20"/>
              </w:rPr>
              <w:t>Tier 3 (Hostile Breach)</w:t>
            </w:r>
          </w:p>
        </w:tc>
        <w:tc>
          <w:tcPr>
            <w:tcW w:w="2800" w:type="dxa"/>
          </w:tcPr>
          <w:p>
            <w:pPr>
              <w:pStyle w:val="Normal"/>
              <w:spacing w:before="60" w:after="60" w:line="240" w:lineRule="auto"/>
              <w:jc w:val="left"/>
            </w:pPr>
            <w:r>
              <w:rPr>
                <w:color w:val="457B9D"/>
                <w:sz w:val="20"/>
                <w:rFonts w:ascii="Cambria" w:hAnsi="Cambria" w:eastAsia="Cambria" w:cs="Cambria"/>
                <w:szCs w:val="20"/>
              </w:rPr>
              <w:t>50% reduction; full escrow freeze for maritime module; UNSC notification within 24 hours</w:t>
            </w:r>
          </w:p>
        </w:tc>
        <w:tc>
          <w:tcPr>
            <w:tcW w:w="2200" w:type="dxa"/>
          </w:tcPr>
          <w:p>
            <w:pPr>
              <w:pStyle w:val="Normal"/>
              <w:spacing w:before="60" w:after="60" w:line="240" w:lineRule="auto"/>
              <w:jc w:val="left"/>
            </w:pPr>
            <w:r>
              <w:rPr>
                <w:color w:val="457B9D"/>
                <w:sz w:val="20"/>
                <w:rFonts w:ascii="Cambria" w:hAnsi="Cambria" w:eastAsia="Cambria" w:cs="Cambria"/>
                <w:szCs w:val="20"/>
              </w:rPr>
              <w:t>90 days</w:t>
            </w:r>
          </w:p>
        </w:tc>
      </w:tr>
      <w:tr>
        <w:tc>
          <w:tcPr>
            <w:tcW w:w="2200" w:type="dxa"/>
          </w:tcPr>
          <w:p>
            <w:pPr>
              <w:pStyle w:val="Normal"/>
              <w:spacing w:before="60" w:after="60" w:line="240" w:lineRule="auto"/>
              <w:jc w:val="left"/>
            </w:pPr>
            <w:r>
              <w:rPr>
                <w:color w:val="457B9D"/>
                <w:sz w:val="20"/>
                <w:rFonts w:ascii="Cambria" w:hAnsi="Cambria" w:eastAsia="Cambria" w:cs="Cambria"/>
                <w:szCs w:val="20"/>
              </w:rPr>
              <w:t>Mine detonation or underwater explosion within HTZ (seismic/acoustic confirmation)</w:t>
            </w:r>
          </w:p>
        </w:tc>
        <w:tc>
          <w:tcPr>
            <w:tcW w:w="1400" w:type="dxa"/>
          </w:tcPr>
          <w:p>
            <w:pPr>
              <w:pStyle w:val="Normal"/>
              <w:spacing w:before="60" w:after="60" w:line="240" w:lineRule="auto"/>
              <w:jc w:val="left"/>
            </w:pPr>
            <w:r>
              <w:rPr>
                <w:color w:val="457B9D"/>
                <w:sz w:val="20"/>
                <w:rFonts w:ascii="Cambria" w:hAnsi="Cambria" w:eastAsia="Cambria" w:cs="Cambria"/>
                <w:szCs w:val="20"/>
              </w:rPr>
              <w:t>Tier 3 (Hostile Breach)</w:t>
            </w:r>
          </w:p>
        </w:tc>
        <w:tc>
          <w:tcPr>
            <w:tcW w:w="2800" w:type="dxa"/>
          </w:tcPr>
          <w:p>
            <w:pPr>
              <w:pStyle w:val="Normal"/>
              <w:spacing w:before="60" w:after="60" w:line="240" w:lineRule="auto"/>
              <w:jc w:val="left"/>
            </w:pPr>
            <w:r>
              <w:rPr>
                <w:color w:val="457B9D"/>
                <w:sz w:val="20"/>
                <w:rFonts w:ascii="Cambria" w:hAnsi="Cambria" w:eastAsia="Cambria" w:cs="Cambria"/>
                <w:szCs w:val="20"/>
              </w:rPr>
              <w:t>50% reduction; automatic Crisis Lock (14-day military freeze); UNSC session</w:t>
            </w:r>
          </w:p>
        </w:tc>
        <w:tc>
          <w:tcPr>
            <w:tcW w:w="2200" w:type="dxa"/>
          </w:tcPr>
          <w:p>
            <w:pPr>
              <w:pStyle w:val="Normal"/>
              <w:spacing w:before="60" w:after="60" w:line="240" w:lineRule="auto"/>
              <w:jc w:val="left"/>
            </w:pPr>
            <w:r>
              <w:rPr>
                <w:color w:val="457B9D"/>
                <w:sz w:val="20"/>
                <w:rFonts w:ascii="Cambria" w:hAnsi="Cambria" w:eastAsia="Cambria" w:cs="Cambria"/>
                <w:szCs w:val="20"/>
              </w:rPr>
              <w:t>90 days</w:t>
            </w:r>
          </w:p>
        </w:tc>
      </w:tr>
      <w:tr>
        <w:tc>
          <w:tcPr>
            <w:tcW w:w="2200" w:type="dxa"/>
          </w:tcPr>
          <w:p>
            <w:pPr>
              <w:pStyle w:val="Normal"/>
              <w:spacing w:before="60" w:after="60" w:line="240" w:lineRule="auto"/>
              <w:jc w:val="left"/>
            </w:pPr>
            <w:r>
              <w:rPr>
                <w:color w:val="457B9D"/>
                <w:sz w:val="20"/>
                <w:rFonts w:ascii="Cambria" w:hAnsi="Cambria" w:eastAsia="Cambria" w:cs="Cambria"/>
                <w:szCs w:val="20"/>
              </w:rPr>
              <w:t>US/Coalition vessel within 3nm of Iranian 12nm baseline without dual-key authorization</w:t>
            </w:r>
          </w:p>
        </w:tc>
        <w:tc>
          <w:tcPr>
            <w:tcW w:w="1400" w:type="dxa"/>
          </w:tcPr>
          <w:p>
            <w:pPr>
              <w:pStyle w:val="Normal"/>
              <w:spacing w:before="60" w:after="60" w:line="240" w:lineRule="auto"/>
              <w:jc w:val="left"/>
            </w:pPr>
            <w:r>
              <w:rPr>
                <w:color w:val="457B9D"/>
                <w:sz w:val="20"/>
                <w:rFonts w:ascii="Cambria" w:hAnsi="Cambria" w:eastAsia="Cambria" w:cs="Cambria"/>
                <w:szCs w:val="20"/>
              </w:rPr>
              <w:t>Tier 2 (Material Disruption)</w:t>
            </w:r>
          </w:p>
        </w:tc>
        <w:tc>
          <w:tcPr>
            <w:tcW w:w="2800" w:type="dxa"/>
          </w:tcPr>
          <w:p>
            <w:pPr>
              <w:pStyle w:val="Normal"/>
              <w:spacing w:before="60" w:after="60" w:line="240" w:lineRule="auto"/>
              <w:jc w:val="left"/>
            </w:pPr>
            <w:r>
              <w:rPr>
                <w:color w:val="457B9D"/>
                <w:sz w:val="20"/>
                <w:rFonts w:ascii="Cambria" w:hAnsi="Cambria" w:eastAsia="Cambria" w:cs="Cambria"/>
                <w:szCs w:val="20"/>
              </w:rPr>
              <w:t>10% reduction; 14-day remediation window</w:t>
            </w:r>
          </w:p>
        </w:tc>
        <w:tc>
          <w:tcPr>
            <w:tcW w:w="2200" w:type="dxa"/>
          </w:tcPr>
          <w:p>
            <w:pPr>
              <w:pStyle w:val="Normal"/>
              <w:spacing w:before="60" w:after="60" w:line="240" w:lineRule="auto"/>
              <w:jc w:val="left"/>
            </w:pPr>
            <w:r>
              <w:rPr>
                <w:color w:val="457B9D"/>
                <w:sz w:val="20"/>
                <w:rFonts w:ascii="Cambria" w:hAnsi="Cambria" w:eastAsia="Cambria" w:cs="Cambria"/>
                <w:szCs w:val="20"/>
              </w:rPr>
              <w:t>30 days</w:t>
            </w:r>
          </w:p>
        </w:tc>
      </w:tr>
      <w:tr>
        <w:tc>
          <w:tcPr>
            <w:tcW w:w="2200" w:type="dxa"/>
          </w:tcPr>
          <w:p>
            <w:pPr>
              <w:pStyle w:val="Normal"/>
              <w:spacing w:before="60" w:after="60" w:line="240" w:lineRule="auto"/>
              <w:jc w:val="left"/>
            </w:pPr>
            <w:r>
              <w:rPr>
                <w:color w:val="457B9D"/>
                <w:sz w:val="20"/>
                <w:rFonts w:ascii="Cambria" w:hAnsi="Cambria" w:eastAsia="Cambria" w:cs="Cambria"/>
                <w:szCs w:val="20"/>
              </w:rPr>
              <w:t>Telemetry data interruption &gt;15 minutes (any system)</w:t>
            </w:r>
          </w:p>
        </w:tc>
        <w:tc>
          <w:tcPr>
            <w:tcW w:w="1400" w:type="dxa"/>
          </w:tcPr>
          <w:p>
            <w:pPr>
              <w:pStyle w:val="Normal"/>
              <w:spacing w:before="60" w:after="60" w:line="240" w:lineRule="auto"/>
              <w:jc w:val="left"/>
            </w:pPr>
            <w:r>
              <w:rPr>
                <w:color w:val="457B9D"/>
                <w:sz w:val="20"/>
                <w:rFonts w:ascii="Cambria" w:hAnsi="Cambria" w:eastAsia="Cambria" w:cs="Cambria"/>
                <w:szCs w:val="20"/>
              </w:rPr>
              <w:t>Tier 1 (Technical Variance)</w:t>
            </w:r>
          </w:p>
        </w:tc>
        <w:tc>
          <w:tcPr>
            <w:tcW w:w="2800" w:type="dxa"/>
          </w:tcPr>
          <w:p>
            <w:pPr>
              <w:pStyle w:val="Normal"/>
              <w:spacing w:before="60" w:after="60" w:line="240" w:lineRule="auto"/>
              <w:jc w:val="left"/>
            </w:pPr>
            <w:r>
              <w:rPr>
                <w:color w:val="457B9D"/>
                <w:sz w:val="20"/>
                <w:rFonts w:ascii="Cambria" w:hAnsi="Cambria" w:eastAsia="Cambria" w:cs="Cambria"/>
                <w:szCs w:val="20"/>
              </w:rPr>
              <w:t>No financial penalty; 72-hour technical review; PCC technical assistance</w:t>
            </w:r>
          </w:p>
        </w:tc>
        <w:tc>
          <w:tcPr>
            <w:tcW w:w="2200" w:type="dxa"/>
          </w:tcPr>
          <w:p>
            <w:pPr>
              <w:pStyle w:val="Normal"/>
              <w:spacing w:before="60" w:after="60" w:line="240" w:lineRule="auto"/>
              <w:jc w:val="left"/>
            </w:pPr>
            <w:r>
              <w:rPr>
                <w:color w:val="457B9D"/>
                <w:sz w:val="20"/>
                <w:rFonts w:ascii="Cambria" w:hAnsi="Cambria" w:eastAsia="Cambria" w:cs="Cambria"/>
                <w:szCs w:val="20"/>
              </w:rPr>
              <w:t>14 days</w:t>
            </w:r>
          </w:p>
        </w:tc>
      </w:tr>
      <w:tr>
        <w:tc>
          <w:tcPr>
            <w:tcW w:w="2200" w:type="dxa"/>
          </w:tcPr>
          <w:p>
            <w:pPr>
              <w:pStyle w:val="Normal"/>
              <w:spacing w:before="60" w:after="60" w:line="240" w:lineRule="auto"/>
              <w:jc w:val="left"/>
            </w:pPr>
            <w:r>
              <w:rPr>
                <w:color w:val="457B9D"/>
                <w:sz w:val="20"/>
                <w:rFonts w:ascii="Cambria" w:hAnsi="Cambria" w:eastAsia="Cambria" w:cs="Cambria"/>
                <w:szCs w:val="20"/>
              </w:rPr>
              <w:t>Dual-key withdrawal without emergency notification</w:t>
            </w:r>
          </w:p>
        </w:tc>
        <w:tc>
          <w:tcPr>
            <w:tcW w:w="1400" w:type="dxa"/>
          </w:tcPr>
          <w:p>
            <w:pPr>
              <w:pStyle w:val="Normal"/>
              <w:spacing w:before="60" w:after="60" w:line="240" w:lineRule="auto"/>
              <w:jc w:val="left"/>
            </w:pPr>
            <w:r>
              <w:rPr>
                <w:color w:val="457B9D"/>
                <w:sz w:val="20"/>
                <w:rFonts w:ascii="Cambria" w:hAnsi="Cambria" w:eastAsia="Cambria" w:cs="Cambria"/>
                <w:szCs w:val="20"/>
              </w:rPr>
              <w:t>Tier 1 (Technical Variance)</w:t>
            </w:r>
          </w:p>
        </w:tc>
        <w:tc>
          <w:tcPr>
            <w:tcW w:w="2800" w:type="dxa"/>
          </w:tcPr>
          <w:p>
            <w:pPr>
              <w:pStyle w:val="Normal"/>
              <w:spacing w:before="60" w:after="60" w:line="240" w:lineRule="auto"/>
              <w:jc w:val="left"/>
            </w:pPr>
            <w:r>
              <w:rPr>
                <w:color w:val="457B9D"/>
                <w:sz w:val="20"/>
                <w:rFonts w:ascii="Cambria" w:hAnsi="Cambria" w:eastAsia="Cambria" w:cs="Cambria"/>
                <w:szCs w:val="20"/>
              </w:rPr>
              <w:t>No financial penalty; 24-hour consultation window</w:t>
            </w:r>
          </w:p>
        </w:tc>
        <w:tc>
          <w:tcPr>
            <w:tcW w:w="2200" w:type="dxa"/>
          </w:tcPr>
          <w:p>
            <w:pPr>
              <w:pStyle w:val="Normal"/>
              <w:spacing w:before="60" w:after="60" w:line="240" w:lineRule="auto"/>
              <w:jc w:val="left"/>
            </w:pPr>
            <w:r>
              <w:rPr>
                <w:color w:val="457B9D"/>
                <w:sz w:val="20"/>
                <w:rFonts w:ascii="Cambria" w:hAnsi="Cambria" w:eastAsia="Cambria" w:cs="Cambria"/>
                <w:szCs w:val="20"/>
              </w:rPr>
              <w:t>14 days</w:t>
            </w:r>
          </w:p>
        </w:tc>
      </w:tr>
    </w:tbl>
    <w:p>
      <w:pPr>
        <w:pStyle w:val="Heading2"/>
        <w:keepNext/>
        <w:keepLines/>
        <w:spacing w:before="320" w:after="120"/>
      </w:pPr>
      <w:r>
        <w:rPr>
          <w:rFonts w:ascii="Cambria" w:hAnsi="Cambria" w:eastAsia="Cambria" w:cs="Cambria"/>
          <w:b/>
          <w:color w:val="1D3557"/>
          <w:sz w:val="26"/>
          <w:szCs w:val="26"/>
        </w:rPr>
        <w:t>5.1 Proportional Penalty Calibration (mirroring Annex V, Article 4.4)</w:t>
      </w:r>
    </w:p>
    <w:tbl>
      <w:tblPr>
        <w:tblW w:w="5000" w:type="pct"/>
        <w:tblBorders>
          <w:top w:val="single" w:color="3d5a80" w:sz="12"/>
          <w:left w:val="nil"/>
          <w:bottom w:val="single" w:color="3d5a80" w:sz="12"/>
          <w:right w:val="nil"/>
          <w:insideH w:val="single" w:color="d0d5dd" w:sz="4"/>
          <w:insideV w:val="nil"/>
        </w:tblBorders>
      </w:tblPr>
      <w:tblGrid>
        <w:gridCol w:w="1200"/>
        <w:gridCol w:w="2200"/>
        <w:gridCol w:w="2200"/>
        <w:gridCol w:w="3200"/>
      </w:tblGrid>
      <w:tr>
        <w:trPr>
          <w:tblHeader w:val="1"/>
        </w:trPr>
        <w:tc>
          <w:tcPr>
            <w:tcW w:w="1200" w:type="dxa"/>
            <w:shd w:val="clear" w:fill="E8ECF1" w:color="auto"/>
          </w:tcPr>
          <w:p>
            <w:pPr>
              <w:pStyle w:val="Normal"/>
              <w:spacing w:before="60" w:after="60" w:line="240" w:lineRule="auto"/>
            </w:pPr>
            <w:r>
              <w:rPr>
                <w:b/>
                <w:color w:val="1D3557"/>
                <w:sz w:val="20"/>
                <w:rFonts w:ascii="Cambria" w:hAnsi="Cambria" w:eastAsia="Cambria" w:cs="Cambria"/>
                <w:szCs w:val="20"/>
              </w:rPr>
              <w:t>Tier</w:t>
            </w:r>
          </w:p>
        </w:tc>
        <w:tc>
          <w:tcPr>
            <w:tcW w:w="2200" w:type="dxa"/>
            <w:shd w:val="clear" w:fill="E8ECF1" w:color="auto"/>
          </w:tcPr>
          <w:p>
            <w:pPr>
              <w:pStyle w:val="Normal"/>
              <w:spacing w:before="60" w:after="60" w:line="240" w:lineRule="auto"/>
            </w:pPr>
            <w:r>
              <w:rPr>
                <w:b/>
                <w:color w:val="1D3557"/>
                <w:sz w:val="20"/>
                <w:rFonts w:ascii="Cambria" w:hAnsi="Cambria" w:eastAsia="Cambria" w:cs="Cambria"/>
                <w:szCs w:val="20"/>
              </w:rPr>
              <w:t>Duration/Condition</w:t>
            </w:r>
          </w:p>
        </w:tc>
        <w:tc>
          <w:tcPr>
            <w:tcW w:w="2200" w:type="dxa"/>
            <w:shd w:val="clear" w:fill="E8ECF1" w:color="auto"/>
          </w:tcPr>
          <w:p>
            <w:pPr>
              <w:pStyle w:val="Normal"/>
              <w:spacing w:before="60" w:after="60" w:line="240" w:lineRule="auto"/>
            </w:pPr>
            <w:r>
              <w:rPr>
                <w:b/>
                <w:color w:val="1D3557"/>
                <w:sz w:val="20"/>
                <w:rFonts w:ascii="Cambria" w:hAnsi="Cambria" w:eastAsia="Cambria" w:cs="Cambria"/>
                <w:szCs w:val="20"/>
              </w:rPr>
              <w:t>Penalty</w:t>
            </w:r>
          </w:p>
        </w:tc>
        <w:tc>
          <w:tcPr>
            <w:tcW w:w="3200" w:type="dxa"/>
            <w:shd w:val="clear" w:fill="E8ECF1" w:color="auto"/>
          </w:tcPr>
          <w:p>
            <w:pPr>
              <w:pStyle w:val="Normal"/>
              <w:spacing w:before="60" w:after="60" w:line="240" w:lineRule="auto"/>
            </w:pPr>
            <w:r>
              <w:rPr>
                <w:b/>
                <w:color w:val="1D3557"/>
                <w:sz w:val="20"/>
                <w:rFonts w:ascii="Cambria" w:hAnsi="Cambria" w:eastAsia="Cambria" w:cs="Cambria"/>
                <w:szCs w:val="20"/>
              </w:rPr>
              <w:t>Remediation Window</w:t>
            </w:r>
          </w:p>
        </w:tc>
      </w:tr>
      <w:tr>
        <w:tc>
          <w:tcPr>
            <w:tcW w:w="1200" w:type="dxa"/>
          </w:tcPr>
          <w:p>
            <w:pPr>
              <w:pStyle w:val="Normal"/>
              <w:spacing w:before="60" w:after="60" w:line="240" w:lineRule="auto"/>
              <w:jc w:val="left"/>
            </w:pPr>
            <w:r>
              <w:rPr>
                <w:color w:val="457B9D"/>
                <w:sz w:val="20"/>
                <w:rFonts w:ascii="Cambria" w:hAnsi="Cambria" w:eastAsia="Cambria" w:cs="Cambria"/>
                <w:szCs w:val="20"/>
              </w:rPr>
              <w:t>Tier 2</w:t>
            </w:r>
          </w:p>
        </w:tc>
        <w:tc>
          <w:tcPr>
            <w:tcW w:w="2200" w:type="dxa"/>
          </w:tcPr>
          <w:p>
            <w:pPr>
              <w:pStyle w:val="Normal"/>
              <w:spacing w:before="60" w:after="60" w:line="240" w:lineRule="auto"/>
              <w:jc w:val="left"/>
            </w:pPr>
            <w:r>
              <w:rPr>
                <w:color w:val="457B9D"/>
                <w:sz w:val="20"/>
                <w:rFonts w:ascii="Cambria" w:hAnsi="Cambria" w:eastAsia="Cambria" w:cs="Cambria"/>
                <w:szCs w:val="20"/>
              </w:rPr>
              <w:t>Less than 7 days</w:t>
            </w:r>
          </w:p>
        </w:tc>
        <w:tc>
          <w:tcPr>
            <w:tcW w:w="2200" w:type="dxa"/>
          </w:tcPr>
          <w:p>
            <w:pPr>
              <w:pStyle w:val="Normal"/>
              <w:spacing w:before="60" w:after="60" w:line="240" w:lineRule="auto"/>
              <w:jc w:val="left"/>
            </w:pPr>
            <w:r>
              <w:rPr>
                <w:color w:val="457B9D"/>
                <w:sz w:val="20"/>
                <w:rFonts w:ascii="Cambria" w:hAnsi="Cambria" w:eastAsia="Cambria" w:cs="Cambria"/>
                <w:szCs w:val="20"/>
              </w:rPr>
              <w:t>10% reduction</w:t>
            </w:r>
          </w:p>
        </w:tc>
        <w:tc>
          <w:tcPr>
            <w:tcW w:w="3200" w:type="dxa"/>
          </w:tcPr>
          <w:p>
            <w:pPr>
              <w:pStyle w:val="Normal"/>
              <w:spacing w:before="60" w:after="60" w:line="240" w:lineRule="auto"/>
              <w:jc w:val="left"/>
            </w:pPr>
            <w:r>
              <w:rPr>
                <w:color w:val="457B9D"/>
                <w:sz w:val="20"/>
                <w:rFonts w:ascii="Cambria" w:hAnsi="Cambria" w:eastAsia="Cambria" w:cs="Cambria"/>
                <w:szCs w:val="20"/>
              </w:rPr>
              <w:t>30 days</w:t>
            </w:r>
          </w:p>
        </w:tc>
      </w:tr>
      <w:tr>
        <w:tc>
          <w:tcPr>
            <w:tcW w:w="1200" w:type="dxa"/>
          </w:tcPr>
          <w:p>
            <w:pPr>
              <w:pStyle w:val="Normal"/>
              <w:spacing w:before="60" w:after="60" w:line="240" w:lineRule="auto"/>
              <w:jc w:val="left"/>
            </w:pPr>
            <w:r>
              <w:rPr>
                <w:color w:val="457B9D"/>
                <w:sz w:val="20"/>
                <w:rFonts w:ascii="Cambria" w:hAnsi="Cambria" w:eastAsia="Cambria" w:cs="Cambria"/>
                <w:szCs w:val="20"/>
              </w:rPr>
              <w:t>Tier 2</w:t>
            </w:r>
          </w:p>
        </w:tc>
        <w:tc>
          <w:tcPr>
            <w:tcW w:w="2200" w:type="dxa"/>
          </w:tcPr>
          <w:p>
            <w:pPr>
              <w:pStyle w:val="Normal"/>
              <w:spacing w:before="60" w:after="60" w:line="240" w:lineRule="auto"/>
              <w:jc w:val="left"/>
            </w:pPr>
            <w:r>
              <w:rPr>
                <w:color w:val="457B9D"/>
                <w:sz w:val="20"/>
                <w:rFonts w:ascii="Cambria" w:hAnsi="Cambria" w:eastAsia="Cambria" w:cs="Cambria"/>
                <w:szCs w:val="20"/>
              </w:rPr>
              <w:t>7 days or more / after remediation expiry</w:t>
            </w:r>
          </w:p>
        </w:tc>
        <w:tc>
          <w:tcPr>
            <w:tcW w:w="2200" w:type="dxa"/>
          </w:tcPr>
          <w:p>
            <w:pPr>
              <w:pStyle w:val="Normal"/>
              <w:spacing w:before="60" w:after="60" w:line="240" w:lineRule="auto"/>
              <w:jc w:val="left"/>
            </w:pPr>
            <w:r>
              <w:rPr>
                <w:color w:val="457B9D"/>
                <w:sz w:val="20"/>
                <w:rFonts w:ascii="Cambria" w:hAnsi="Cambria" w:eastAsia="Cambria" w:cs="Cambria"/>
                <w:szCs w:val="20"/>
              </w:rPr>
              <w:t>25% reduction (full)</w:t>
            </w:r>
          </w:p>
        </w:tc>
        <w:tc>
          <w:tcPr>
            <w:tcW w:w="3200" w:type="dxa"/>
          </w:tcPr>
          <w:p>
            <w:pPr>
              <w:pStyle w:val="Normal"/>
              <w:spacing w:before="60" w:after="60" w:line="240" w:lineRule="auto"/>
              <w:jc w:val="left"/>
            </w:pPr>
            <w:r>
              <w:rPr>
                <w:color w:val="457B9D"/>
                <w:sz w:val="20"/>
                <w:rFonts w:ascii="Cambria" w:hAnsi="Cambria" w:eastAsia="Cambria" w:cs="Cambria"/>
                <w:szCs w:val="20"/>
              </w:rPr>
              <w:t>30 days</w:t>
            </w:r>
          </w:p>
        </w:tc>
      </w:tr>
      <w:tr>
        <w:tc>
          <w:tcPr>
            <w:tcW w:w="1200" w:type="dxa"/>
          </w:tcPr>
          <w:p>
            <w:pPr>
              <w:pStyle w:val="Normal"/>
              <w:spacing w:before="60" w:after="60" w:line="240" w:lineRule="auto"/>
              <w:jc w:val="left"/>
            </w:pPr>
            <w:r>
              <w:rPr>
                <w:color w:val="457B9D"/>
                <w:sz w:val="20"/>
                <w:rFonts w:ascii="Cambria" w:hAnsi="Cambria" w:eastAsia="Cambria" w:cs="Cambria"/>
                <w:szCs w:val="20"/>
              </w:rPr>
              <w:t>Tier 3</w:t>
            </w:r>
          </w:p>
        </w:tc>
        <w:tc>
          <w:tcPr>
            <w:tcW w:w="2200" w:type="dxa"/>
          </w:tcPr>
          <w:p>
            <w:pPr>
              <w:pStyle w:val="Normal"/>
              <w:spacing w:before="60" w:after="60" w:line="240" w:lineRule="auto"/>
              <w:jc w:val="left"/>
            </w:pPr>
            <w:r>
              <w:rPr>
                <w:color w:val="457B9D"/>
                <w:sz w:val="20"/>
                <w:rFonts w:ascii="Cambria" w:hAnsi="Cambria" w:eastAsia="Cambria" w:cs="Cambria"/>
                <w:szCs w:val="20"/>
              </w:rPr>
              <w:t>Remediated within 72 hours</w:t>
            </w:r>
          </w:p>
        </w:tc>
        <w:tc>
          <w:tcPr>
            <w:tcW w:w="2200" w:type="dxa"/>
          </w:tcPr>
          <w:p>
            <w:pPr>
              <w:pStyle w:val="Normal"/>
              <w:spacing w:before="60" w:after="60" w:line="240" w:lineRule="auto"/>
              <w:jc w:val="left"/>
            </w:pPr>
            <w:r>
              <w:rPr>
                <w:color w:val="457B9D"/>
                <w:sz w:val="20"/>
                <w:rFonts w:ascii="Cambria" w:hAnsi="Cambria" w:eastAsia="Cambria" w:cs="Cambria"/>
                <w:szCs w:val="20"/>
              </w:rPr>
              <w:t>25% reduction</w:t>
            </w:r>
          </w:p>
        </w:tc>
        <w:tc>
          <w:tcPr>
            <w:tcW w:w="3200" w:type="dxa"/>
          </w:tcPr>
          <w:p>
            <w:pPr>
              <w:pStyle w:val="Normal"/>
              <w:spacing w:before="60" w:after="60" w:line="240" w:lineRule="auto"/>
              <w:jc w:val="left"/>
            </w:pPr>
            <w:r>
              <w:rPr>
                <w:color w:val="457B9D"/>
                <w:sz w:val="20"/>
                <w:rFonts w:ascii="Cambria" w:hAnsi="Cambria" w:eastAsia="Cambria" w:cs="Cambria"/>
                <w:szCs w:val="20"/>
              </w:rPr>
              <w:t>90 days</w:t>
            </w:r>
          </w:p>
        </w:tc>
      </w:tr>
      <w:tr>
        <w:tc>
          <w:tcPr>
            <w:tcW w:w="1200" w:type="dxa"/>
          </w:tcPr>
          <w:p>
            <w:pPr>
              <w:pStyle w:val="Normal"/>
              <w:spacing w:before="60" w:after="60" w:line="240" w:lineRule="auto"/>
              <w:jc w:val="left"/>
            </w:pPr>
            <w:r>
              <w:rPr>
                <w:color w:val="457B9D"/>
                <w:sz w:val="20"/>
                <w:rFonts w:ascii="Cambria" w:hAnsi="Cambria" w:eastAsia="Cambria" w:cs="Cambria"/>
                <w:szCs w:val="20"/>
              </w:rPr>
              <w:t>Tier 3</w:t>
            </w:r>
          </w:p>
        </w:tc>
        <w:tc>
          <w:tcPr>
            <w:tcW w:w="2200" w:type="dxa"/>
          </w:tcPr>
          <w:p>
            <w:pPr>
              <w:pStyle w:val="Normal"/>
              <w:spacing w:before="60" w:after="60" w:line="240" w:lineRule="auto"/>
              <w:jc w:val="left"/>
            </w:pPr>
            <w:r>
              <w:rPr>
                <w:color w:val="457B9D"/>
                <w:sz w:val="20"/>
                <w:rFonts w:ascii="Cambria" w:hAnsi="Cambria" w:eastAsia="Cambria" w:cs="Cambria"/>
                <w:szCs w:val="20"/>
              </w:rPr>
              <w:t>After 90-day remediation expiry</w:t>
            </w:r>
          </w:p>
        </w:tc>
        <w:tc>
          <w:tcPr>
            <w:tcW w:w="2200" w:type="dxa"/>
          </w:tcPr>
          <w:p>
            <w:pPr>
              <w:pStyle w:val="Normal"/>
              <w:spacing w:before="60" w:after="60" w:line="240" w:lineRule="auto"/>
              <w:jc w:val="left"/>
            </w:pPr>
            <w:r>
              <w:rPr>
                <w:color w:val="457B9D"/>
                <w:sz w:val="20"/>
                <w:rFonts w:ascii="Cambria" w:hAnsi="Cambria" w:eastAsia="Cambria" w:cs="Cambria"/>
                <w:szCs w:val="20"/>
              </w:rPr>
              <w:t>50% reduction (full)</w:t>
            </w:r>
          </w:p>
        </w:tc>
        <w:tc>
          <w:tcPr>
            <w:tcW w:w="3200" w:type="dxa"/>
          </w:tcPr>
          <w:p>
            <w:pPr>
              <w:pStyle w:val="Normal"/>
              <w:spacing w:before="60" w:after="60" w:line="240" w:lineRule="auto"/>
              <w:jc w:val="left"/>
            </w:pPr>
            <w:r>
              <w:rPr>
                <w:color w:val="457B9D"/>
                <w:sz w:val="20"/>
                <w:rFonts w:ascii="Cambria" w:hAnsi="Cambria" w:eastAsia="Cambria" w:cs="Cambria"/>
                <w:szCs w:val="20"/>
              </w:rPr>
              <w:t>90 days</w:t>
            </w:r>
          </w:p>
        </w:tc>
      </w:tr>
    </w:tbl>
    <w:p>
      <w:pPr>
        <w:pStyle w:val="Heading2"/>
        <w:keepNext/>
        <w:keepLines/>
        <w:spacing w:before="320" w:after="120"/>
      </w:pPr>
      <w:r>
        <w:rPr>
          <w:rFonts w:ascii="Cambria" w:hAnsi="Cambria" w:eastAsia="Cambria" w:cs="Cambria"/>
          <w:b/>
          <w:color w:val="1D3557"/>
          <w:sz w:val="26"/>
          <w:szCs w:val="26"/>
        </w:rPr>
        <w:t>5.2 De Minimis Exception for Telemetry Glitches</w:t>
      </w:r>
    </w:p>
    <w:p>
      <w:pPr>
        <w:pStyle w:val="Normal"/>
        <w:spacing w:before="120" w:after="160" w:line="276" w:lineRule="auto"/>
        <w:jc w:val="both"/>
      </w:pPr>
      <w:r>
        <w:rPr>
          <w:rFonts w:ascii="Cambria" w:hAnsi="Cambria" w:eastAsia="Cambria" w:cs="Cambria"/>
          <w:color w:val="1D3557"/>
          <w:sz w:val="22"/>
          <w:szCs w:val="22"/>
        </w:rPr>
        <w:t>Telemetry signatures resulting from confirmed sensor malfunction or scheduled maintenance (with 48 hours' advance notice to the JHA MCC) do not constitute a breach. The burden of proving malfunction rests with the Party asserting it.</w:t>
      </w:r>
    </w:p>
    <w:p>
      <w:pPr>
        <w:pStyle w:val="Normal"/>
        <w:spacing w:before="120" w:after="160" w:line="276" w:lineRule="auto"/>
        <w:jc w:val="both"/>
      </w:pPr>
      <w:r>
        <w:rPr>
          <w:rFonts w:ascii="Cambria" w:hAnsi="Cambria" w:eastAsia="Cambria" w:cs="Cambria"/>
          <w:color w:val="1D3557"/>
          <w:sz w:val="22"/>
          <w:szCs w:val="22"/>
        </w:rPr>
        <w:t>The JHA MCC confirms a sensor malfunction through independent diagnostic verification by a second telemetry station or by physical inspection of the affected sensor. A malfunction confirmed by the JHA MCC technical team nullifies the corresponding breach trigger with automatic notification to all Parties.</w:t>
      </w:r>
    </w:p>
    <w:p>
      <w:pPr>
        <w:pStyle w:val="Normal"/>
        <w:keepNext/>
        <w:spacing w:before="360" w:after="120"/>
      </w:pPr>
      <w:r>
        <w:rPr>
          <w:rFonts w:ascii="Cambria" w:hAnsi="Cambria" w:eastAsia="Cambria" w:cs="Cambria"/>
          <w:b/>
          <w:color w:val="3D5A80"/>
          <w:sz w:val="22"/>
          <w:szCs w:val="22"/>
        </w:rPr>
        <w:t>This Exception Does Not Apply To</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Cryptographic AIS mismatches that persist for more than 5 minutes — these indicate potential spoofing, not sensor error</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Radar contacts within the CTC exclusion zone — these represent physical vessels, not sensor glitches</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Seismic/acoustic detections of underwater explosions — these are verified through triangulation across multiple sensor arrays</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Any telemetry signature corroborated by a second independent sensor system</w:t>
      </w:r>
    </w:p>
    <w:p>
      <w:pPr>
        <w:pStyle w:val="Heading2"/>
        <w:keepNext/>
        <w:keepLines/>
        <w:spacing w:before="320" w:after="120"/>
      </w:pPr>
      <w:r>
        <w:rPr>
          <w:rFonts w:ascii="Cambria" w:hAnsi="Cambria" w:eastAsia="Cambria" w:cs="Cambria"/>
          <w:b/>
          <w:color w:val="1D3557"/>
          <w:sz w:val="26"/>
          <w:szCs w:val="26"/>
        </w:rPr>
        <w:t>5.3 Tiered Human-in-the-Loop Governance</w:t>
      </w:r>
    </w:p>
    <w:p>
      <w:pPr>
        <w:pStyle w:val="Normal"/>
        <w:spacing w:before="120" w:after="160" w:line="276" w:lineRule="auto"/>
        <w:jc w:val="both"/>
      </w:pPr>
      <w:r>
        <w:rPr>
          <w:rFonts w:ascii="Cambria" w:hAnsi="Cambria" w:eastAsia="Cambria" w:cs="Cambria"/>
          <w:color w:val="1D3557"/>
          <w:sz w:val="22"/>
          <w:szCs w:val="22"/>
        </w:rPr>
        <w:t>The following human review thresholds apply to automated breach classifications under this Annex W.</w:t>
      </w:r>
    </w:p>
    <w:p>
      <w:pPr>
        <w:pStyle w:val="Normal"/>
        <w:keepNext/>
        <w:spacing w:before="360" w:after="120"/>
      </w:pPr>
      <w:r>
        <w:rPr>
          <w:rFonts w:ascii="Cambria" w:hAnsi="Cambria" w:eastAsia="Cambria" w:cs="Cambria"/>
          <w:b/>
          <w:color w:val="3D5A80"/>
          <w:sz w:val="22"/>
          <w:szCs w:val="22"/>
        </w:rPr>
        <w:t>a. Tier 1 (Technical Variance)</w:t>
      </w:r>
    </w:p>
    <w:p>
      <w:pPr>
        <w:pStyle w:val="Normal"/>
        <w:spacing w:before="120" w:after="160" w:line="276" w:lineRule="auto"/>
        <w:jc w:val="both"/>
      </w:pPr>
      <w:r>
        <w:rPr>
          <w:rFonts w:ascii="Cambria" w:hAnsi="Cambria" w:eastAsia="Cambria" w:cs="Cambria"/>
          <w:color w:val="1D3557"/>
          <w:sz w:val="22"/>
          <w:szCs w:val="22"/>
        </w:rPr>
        <w:t>Automated classification stands. The JHA MCC technical team logs the anomaly and provides a written determination within 7 days. Neither Party invokes ministerial consultation.</w:t>
      </w:r>
    </w:p>
    <w:p>
      <w:pPr>
        <w:pStyle w:val="Normal"/>
        <w:keepNext/>
        <w:spacing w:before="360" w:after="120"/>
      </w:pPr>
      <w:r>
        <w:rPr>
          <w:rFonts w:ascii="Cambria" w:hAnsi="Cambria" w:eastAsia="Cambria" w:cs="Cambria"/>
          <w:b/>
          <w:color w:val="3D5A80"/>
          <w:sz w:val="22"/>
          <w:szCs w:val="22"/>
        </w:rPr>
        <w:t>b. Tier 2 (Material Disruption)</w:t>
      </w:r>
    </w:p>
    <w:p>
      <w:pPr>
        <w:pStyle w:val="Normal"/>
        <w:spacing w:before="120" w:after="160" w:line="276" w:lineRule="auto"/>
        <w:jc w:val="both"/>
      </w:pPr>
      <w:r>
        <w:rPr>
          <w:rFonts w:ascii="Cambria" w:hAnsi="Cambria" w:eastAsia="Cambria" w:cs="Cambria"/>
          <w:color w:val="1D3557"/>
          <w:sz w:val="22"/>
          <w:szCs w:val="22"/>
        </w:rPr>
        <w:t>Automated classification triggers immediate notification to both Parties' designated Tier 2 hotline liaisons. A 48-hour Technical De-escalation Window opens immediately. During this 48-hour window, escrow disbursements continue normally. Joint technical teams physically or cryptographically verify whether the telemetry anomaly constitutes a bad-faith maneuver or an operational misunderstanding before any funding pause or final classification locks in. If either Party requests review, the PCC convenes within 12 hours and issues a binding determination within 72 hours.</w:t>
      </w:r>
    </w:p>
    <w:p>
      <w:pPr>
        <w:pStyle w:val="Normal"/>
        <w:keepNext/>
        <w:spacing w:before="360" w:after="120"/>
      </w:pPr>
      <w:r>
        <w:rPr>
          <w:rFonts w:ascii="Cambria" w:hAnsi="Cambria" w:eastAsia="Cambria" w:cs="Cambria"/>
          <w:b/>
          <w:color w:val="3D5A80"/>
          <w:sz w:val="22"/>
          <w:szCs w:val="22"/>
        </w:rPr>
        <w:t>c. Tier 3 (Hostile Breach)</w:t>
      </w:r>
    </w:p>
    <w:p>
      <w:pPr>
        <w:pStyle w:val="Normal"/>
        <w:spacing w:before="120" w:after="160" w:line="276" w:lineRule="auto"/>
        <w:jc w:val="both"/>
      </w:pPr>
      <w:r>
        <w:rPr>
          <w:rFonts w:ascii="Cambria" w:hAnsi="Cambria" w:eastAsia="Cambria" w:cs="Cambria"/>
          <w:color w:val="1D3557"/>
          <w:sz w:val="22"/>
          <w:szCs w:val="22"/>
        </w:rPr>
        <w:t>Automated classification triggers immediate notification to all Parties' heads of government via the Tier 3 hotline (Omani Foreign Ministry channel). A 24-hour Strategic Brake Period opens immediately (the standard review period does not apply, consistent with parent framework emergency exception). If the JHA MCC Omani Chair certifies that active communication channels have been established between the affected parties' heads of government, the countdown clock automatically pauses for an additional 24 hours to prevent an accidental kinetic or financial spiral. After the Strategic Brake Period, if no Party invokes a technical stay based on demonstrable sensor malfunction under Article 5.2 and the PCC has not voted by majority to stay activation, the Tier 3 consequences activate automatically: 50% benefit reduction, maritime module escrow freeze, and UNSC notification.</w:t>
      </w:r>
    </w:p>
    <w:p>
      <w:pPr>
        <w:pStyle w:val="Normal"/>
        <w:keepNext/>
        <w:spacing w:before="360" w:after="120"/>
      </w:pPr>
      <w:r>
        <w:rPr>
          <w:rFonts w:ascii="Cambria" w:hAnsi="Cambria" w:eastAsia="Cambria" w:cs="Cambria"/>
          <w:b/>
          <w:color w:val="3D5A80"/>
          <w:sz w:val="22"/>
          <w:szCs w:val="22"/>
        </w:rPr>
        <w:t>d. Emergency Exception (mirroring parent framework governance provisions)</w:t>
      </w:r>
    </w:p>
    <w:p>
      <w:pPr>
        <w:pStyle w:val="Normal"/>
        <w:spacing w:before="120" w:after="160" w:line="276" w:lineRule="auto"/>
        <w:jc w:val="both"/>
      </w:pPr>
      <w:r>
        <w:rPr>
          <w:rFonts w:ascii="Cambria" w:hAnsi="Cambria" w:eastAsia="Cambria" w:cs="Cambria"/>
          <w:color w:val="1D3557"/>
          <w:sz w:val="22"/>
          <w:szCs w:val="22"/>
        </w:rPr>
        <w:t>In the event of a confirmed Tier 3 Deliberate Hostile Violation involving armed boarding of a JHA-AUTHORIZED vessel, mine detonation within the HTZ confirmed by seismic/acoustic triangulation, or fissile material diversion, the 4-hour consultation window does not apply. The telemetry flag triggers immediate PCC emergency consultation within 2 hours. Consequences activate automatically upon telemetry confirmation unless the PCC votes by majority (excluding the affected Party's PCC members) to stay activation within 2 hours.</w:t>
      </w:r>
    </w:p>
    <w:p>
      <w:pPr>
        <w:pStyle w:val="Normal"/>
        <w:keepNext/>
        <w:spacing w:before="360" w:after="120"/>
      </w:pPr>
      <w:r>
        <w:rPr>
          <w:rFonts w:ascii="Cambria" w:hAnsi="Cambria" w:eastAsia="Cambria" w:cs="Cambria"/>
          <w:b/>
          <w:color w:val="3D5A80"/>
          <w:sz w:val="22"/>
          <w:szCs w:val="22"/>
        </w:rPr>
        <w:t>e. No Automatic Military Escalation (parent framework preserved)</w:t>
      </w:r>
    </w:p>
    <w:p>
      <w:pPr>
        <w:pStyle w:val="Normal"/>
        <w:spacing w:before="120" w:after="160" w:line="276" w:lineRule="auto"/>
        <w:jc w:val="both"/>
      </w:pPr>
      <w:r>
        <w:rPr>
          <w:rFonts w:ascii="Cambria" w:hAnsi="Cambria" w:eastAsia="Cambria" w:cs="Cambria"/>
          <w:color w:val="1D3557"/>
          <w:sz w:val="22"/>
          <w:szCs w:val="22"/>
        </w:rPr>
        <w:t>The framework architecture excludes kinetic military action as a consequence of Tier 3 classification. All consequences remain economic and diplomatic. The parent framework's prohibition on automatic military escalation from compliance breaches remains in full force.</w:t>
      </w:r>
    </w:p>
    <w:p>
      <w:pPr>
        <w:pStyle w:val="Heading1"/>
        <w:keepNext/>
        <w:keepLines/>
        <w:spacing w:before="480" w:after="200"/>
      </w:pPr>
      <w:r>
        <w:rPr>
          <w:rFonts w:ascii="Cambria" w:hAnsi="Cambria" w:eastAsia="Cambria" w:cs="Cambria"/>
          <w:b/>
          <w:color w:val="3D5A80"/>
          <w:sz w:val="32"/>
          <w:szCs w:val="32"/>
        </w:rPr>
        <w:t>Article 6: Earnback Protocol (Synchronized with Annex T)</w:t>
      </w:r>
    </w:p>
    <w:p>
      <w:pPr>
        <w:pStyle w:val="Normal"/>
        <w:keepNext/>
        <w:spacing w:before="200" w:after="80"/>
      </w:pPr>
      <w:r>
        <w:rPr>
          <w:rFonts w:ascii="Cambria" w:hAnsi="Cambria" w:eastAsia="Cambria" w:cs="Cambria"/>
          <w:b/>
          <w:i/>
          <w:color w:val="457B9D"/>
          <w:sz w:val="20"/>
          <w:szCs w:val="20"/>
        </w:rPr>
        <w:t>OPERATIVE AND BINDING</w:t>
      </w:r>
    </w:p>
    <w:p>
      <w:pPr>
        <w:pStyle w:val="Normal"/>
        <w:spacing w:before="120" w:after="160" w:line="276" w:lineRule="auto"/>
        <w:jc w:val="both"/>
      </w:pPr>
      <w:r>
        <w:rPr>
          <w:rFonts w:ascii="Cambria" w:hAnsi="Cambria" w:eastAsia="Cambria" w:cs="Cambria"/>
          <w:color w:val="1D3557"/>
          <w:sz w:val="22"/>
          <w:szCs w:val="22"/>
        </w:rPr>
        <w:t>Compliance restoration yields proportional benefit restoration, mirroring Annex V, Article 4.5.</w:t>
      </w:r>
    </w:p>
    <w:tbl>
      <w:tblPr>
        <w:tblW w:w="5000" w:type="pct"/>
        <w:tblBorders>
          <w:top w:val="single" w:color="3d5a80" w:sz="12"/>
          <w:left w:val="nil"/>
          <w:bottom w:val="single" w:color="3d5a80" w:sz="12"/>
          <w:right w:val="nil"/>
          <w:insideH w:val="single" w:color="d0d5dd" w:sz="4"/>
          <w:insideV w:val="nil"/>
        </w:tblBorders>
      </w:tblPr>
      <w:tblGrid>
        <w:gridCol w:w="1200"/>
        <w:gridCol w:w="1600"/>
        <w:gridCol w:w="3200"/>
        <w:gridCol w:w="3200"/>
      </w:tblGrid>
      <w:tr>
        <w:trPr>
          <w:tblHeader w:val="1"/>
        </w:trPr>
        <w:tc>
          <w:tcPr>
            <w:tcW w:w="1200" w:type="dxa"/>
            <w:shd w:val="clear" w:fill="E8ECF1" w:color="auto"/>
          </w:tcPr>
          <w:p>
            <w:pPr>
              <w:pStyle w:val="Normal"/>
              <w:spacing w:before="60" w:after="60" w:line="240" w:lineRule="auto"/>
            </w:pPr>
            <w:r>
              <w:rPr>
                <w:b/>
                <w:color w:val="1D3557"/>
                <w:sz w:val="20"/>
                <w:rFonts w:ascii="Cambria" w:hAnsi="Cambria" w:eastAsia="Cambria" w:cs="Cambria"/>
                <w:szCs w:val="20"/>
              </w:rPr>
              <w:t>Original Tier</w:t>
            </w:r>
          </w:p>
        </w:tc>
        <w:tc>
          <w:tcPr>
            <w:tcW w:w="1600" w:type="dxa"/>
            <w:shd w:val="clear" w:fill="E8ECF1" w:color="auto"/>
          </w:tcPr>
          <w:p>
            <w:pPr>
              <w:pStyle w:val="Normal"/>
              <w:spacing w:before="60" w:after="60" w:line="240" w:lineRule="auto"/>
            </w:pPr>
            <w:r>
              <w:rPr>
                <w:b/>
                <w:color w:val="1D3557"/>
                <w:sz w:val="20"/>
                <w:rFonts w:ascii="Cambria" w:hAnsi="Cambria" w:eastAsia="Cambria" w:cs="Cambria"/>
                <w:szCs w:val="20"/>
              </w:rPr>
              <w:t>Earnback Timeline</w:t>
            </w:r>
          </w:p>
        </w:tc>
        <w:tc>
          <w:tcPr>
            <w:tcW w:w="3200" w:type="dxa"/>
            <w:shd w:val="clear" w:fill="E8ECF1" w:color="auto"/>
          </w:tcPr>
          <w:p>
            <w:pPr>
              <w:pStyle w:val="Normal"/>
              <w:spacing w:before="60" w:after="60" w:line="240" w:lineRule="auto"/>
            </w:pPr>
            <w:r>
              <w:rPr>
                <w:b/>
                <w:color w:val="1D3557"/>
                <w:sz w:val="20"/>
                <w:rFonts w:ascii="Cambria" w:hAnsi="Cambria" w:eastAsia="Cambria" w:cs="Cambria"/>
                <w:szCs w:val="20"/>
              </w:rPr>
              <w:t>Benchmark</w:t>
            </w:r>
          </w:p>
        </w:tc>
        <w:tc>
          <w:tcPr>
            <w:tcW w:w="3200" w:type="dxa"/>
            <w:shd w:val="clear" w:fill="E8ECF1" w:color="auto"/>
          </w:tcPr>
          <w:p>
            <w:pPr>
              <w:pStyle w:val="Normal"/>
              <w:spacing w:before="60" w:after="60" w:line="240" w:lineRule="auto"/>
            </w:pPr>
            <w:r>
              <w:rPr>
                <w:b/>
                <w:color w:val="1D3557"/>
                <w:sz w:val="20"/>
                <w:rFonts w:ascii="Cambria" w:hAnsi="Cambria" w:eastAsia="Cambria" w:cs="Cambria"/>
                <w:szCs w:val="20"/>
              </w:rPr>
              <w:t>Verification Method</w:t>
            </w:r>
          </w:p>
        </w:tc>
      </w:tr>
      <w:tr>
        <w:tc>
          <w:tcPr>
            <w:tcW w:w="1200" w:type="dxa"/>
          </w:tcPr>
          <w:p>
            <w:pPr>
              <w:pStyle w:val="Normal"/>
              <w:spacing w:before="60" w:after="60" w:line="240" w:lineRule="auto"/>
              <w:jc w:val="left"/>
            </w:pPr>
            <w:r>
              <w:rPr>
                <w:color w:val="457B9D"/>
                <w:sz w:val="20"/>
                <w:rFonts w:ascii="Cambria" w:hAnsi="Cambria" w:eastAsia="Cambria" w:cs="Cambria"/>
                <w:szCs w:val="20"/>
              </w:rPr>
              <w:t>Tier 1 (Technical)</w:t>
            </w:r>
          </w:p>
        </w:tc>
        <w:tc>
          <w:tcPr>
            <w:tcW w:w="1600" w:type="dxa"/>
          </w:tcPr>
          <w:p>
            <w:pPr>
              <w:pStyle w:val="Normal"/>
              <w:spacing w:before="60" w:after="60" w:line="240" w:lineRule="auto"/>
              <w:jc w:val="left"/>
            </w:pPr>
            <w:r>
              <w:rPr>
                <w:color w:val="457B9D"/>
                <w:sz w:val="20"/>
                <w:rFonts w:ascii="Cambria" w:hAnsi="Cambria" w:eastAsia="Cambria" w:cs="Cambria"/>
                <w:szCs w:val="20"/>
              </w:rPr>
              <w:t>Instantaneous upon confirmation</w:t>
            </w:r>
          </w:p>
        </w:tc>
        <w:tc>
          <w:tcPr>
            <w:tcW w:w="3200" w:type="dxa"/>
          </w:tcPr>
          <w:p>
            <w:pPr>
              <w:pStyle w:val="Normal"/>
              <w:spacing w:before="60" w:after="60" w:line="240" w:lineRule="auto"/>
              <w:jc w:val="left"/>
            </w:pPr>
            <w:r>
              <w:rPr>
                <w:color w:val="457B9D"/>
                <w:sz w:val="20"/>
                <w:rFonts w:ascii="Cambria" w:hAnsi="Cambria" w:eastAsia="Cambria" w:cs="Cambria"/>
                <w:szCs w:val="20"/>
              </w:rPr>
              <w:t>Verified telemetry reset; JHA MCC confirms normal operations; PCC technical staff sign-off</w:t>
            </w:r>
          </w:p>
        </w:tc>
        <w:tc>
          <w:tcPr>
            <w:tcW w:w="3200" w:type="dxa"/>
          </w:tcPr>
          <w:p>
            <w:pPr>
              <w:pStyle w:val="Normal"/>
              <w:spacing w:before="60" w:after="60" w:line="240" w:lineRule="auto"/>
              <w:jc w:val="left"/>
            </w:pPr>
            <w:r>
              <w:rPr>
                <w:color w:val="457B9D"/>
                <w:sz w:val="20"/>
                <w:rFonts w:ascii="Cambria" w:hAnsi="Cambria" w:eastAsia="Cambria" w:cs="Cambria"/>
                <w:szCs w:val="20"/>
              </w:rPr>
              <w:t>Radar/AIS data confirms anomaly is resolved</w:t>
            </w:r>
          </w:p>
        </w:tc>
      </w:tr>
      <w:tr>
        <w:tc>
          <w:tcPr>
            <w:tcW w:w="1200" w:type="dxa"/>
          </w:tcPr>
          <w:p>
            <w:pPr>
              <w:pStyle w:val="Normal"/>
              <w:spacing w:before="60" w:after="60" w:line="240" w:lineRule="auto"/>
              <w:jc w:val="left"/>
            </w:pPr>
            <w:r>
              <w:rPr>
                <w:color w:val="457B9D"/>
                <w:sz w:val="20"/>
                <w:rFonts w:ascii="Cambria" w:hAnsi="Cambria" w:eastAsia="Cambria" w:cs="Cambria"/>
                <w:szCs w:val="20"/>
              </w:rPr>
              <w:t>Tier 2 (Material)</w:t>
            </w:r>
          </w:p>
        </w:tc>
        <w:tc>
          <w:tcPr>
            <w:tcW w:w="1600" w:type="dxa"/>
          </w:tcPr>
          <w:p>
            <w:pPr>
              <w:pStyle w:val="Normal"/>
              <w:spacing w:before="60" w:after="60" w:line="240" w:lineRule="auto"/>
              <w:jc w:val="left"/>
            </w:pPr>
            <w:r>
              <w:rPr>
                <w:color w:val="457B9D"/>
                <w:sz w:val="20"/>
                <w:rFonts w:ascii="Cambria" w:hAnsi="Cambria" w:eastAsia="Cambria" w:cs="Cambria"/>
                <w:szCs w:val="20"/>
              </w:rPr>
              <w:t>24 hours after PCC certification</w:t>
            </w:r>
          </w:p>
        </w:tc>
        <w:tc>
          <w:tcPr>
            <w:tcW w:w="3200" w:type="dxa"/>
          </w:tcPr>
          <w:p>
            <w:pPr>
              <w:pStyle w:val="Normal"/>
              <w:spacing w:before="60" w:after="60" w:line="240" w:lineRule="auto"/>
              <w:jc w:val="left"/>
            </w:pPr>
            <w:r>
              <w:rPr>
                <w:color w:val="457B9D"/>
                <w:sz w:val="20"/>
                <w:rFonts w:ascii="Cambria" w:hAnsi="Cambria" w:eastAsia="Cambria" w:cs="Cambria"/>
                <w:szCs w:val="20"/>
              </w:rPr>
              <w:t>Complete cessation of non-compliant activity + 14 consecutive days of clean telemetry</w:t>
            </w:r>
          </w:p>
        </w:tc>
        <w:tc>
          <w:tcPr>
            <w:tcW w:w="3200" w:type="dxa"/>
          </w:tcPr>
          <w:p>
            <w:pPr>
              <w:pStyle w:val="Normal"/>
              <w:spacing w:before="60" w:after="60" w:line="240" w:lineRule="auto"/>
              <w:jc w:val="left"/>
            </w:pPr>
            <w:r>
              <w:rPr>
                <w:color w:val="457B9D"/>
                <w:sz w:val="20"/>
                <w:rFonts w:ascii="Cambria" w:hAnsi="Cambria" w:eastAsia="Cambria" w:cs="Cambria"/>
                <w:szCs w:val="20"/>
              </w:rPr>
              <w:t>Cryptographic AIS chain verification; AI audit layer confirms no anomalous patterns</w:t>
            </w:r>
          </w:p>
        </w:tc>
      </w:tr>
      <w:tr>
        <w:tc>
          <w:tcPr>
            <w:tcW w:w="1200" w:type="dxa"/>
          </w:tcPr>
          <w:p>
            <w:pPr>
              <w:pStyle w:val="Normal"/>
              <w:spacing w:before="60" w:after="60" w:line="240" w:lineRule="auto"/>
              <w:jc w:val="left"/>
            </w:pPr>
            <w:r>
              <w:rPr>
                <w:color w:val="457B9D"/>
                <w:sz w:val="20"/>
                <w:rFonts w:ascii="Cambria" w:hAnsi="Cambria" w:eastAsia="Cambria" w:cs="Cambria"/>
                <w:szCs w:val="20"/>
              </w:rPr>
              <w:t>Tier 3 (Hostile)</w:t>
            </w:r>
          </w:p>
        </w:tc>
        <w:tc>
          <w:tcPr>
            <w:tcW w:w="1600" w:type="dxa"/>
          </w:tcPr>
          <w:p>
            <w:pPr>
              <w:pStyle w:val="Normal"/>
              <w:spacing w:before="60" w:after="60" w:line="240" w:lineRule="auto"/>
              <w:jc w:val="left"/>
            </w:pPr>
            <w:r>
              <w:rPr>
                <w:color w:val="457B9D"/>
                <w:sz w:val="20"/>
                <w:rFonts w:ascii="Cambria" w:hAnsi="Cambria" w:eastAsia="Cambria" w:cs="Cambria"/>
                <w:szCs w:val="20"/>
              </w:rPr>
              <w:t>72 hours after Guarantor Matrix certification</w:t>
            </w:r>
          </w:p>
        </w:tc>
        <w:tc>
          <w:tcPr>
            <w:tcW w:w="3200" w:type="dxa"/>
          </w:tcPr>
          <w:p>
            <w:pPr>
              <w:pStyle w:val="Normal"/>
              <w:spacing w:before="60" w:after="60" w:line="240" w:lineRule="auto"/>
              <w:jc w:val="left"/>
            </w:pPr>
            <w:r>
              <w:rPr>
                <w:color w:val="457B9D"/>
                <w:sz w:val="20"/>
                <w:rFonts w:ascii="Cambria" w:hAnsi="Cambria" w:eastAsia="Cambria" w:cs="Cambria"/>
                <w:szCs w:val="20"/>
              </w:rPr>
              <w:t>Immediate restoration of dual-key authorization + 90 consecutive days of clean telemetry + Guarantor Matrix consensus certification</w:t>
            </w:r>
          </w:p>
        </w:tc>
        <w:tc>
          <w:tcPr>
            <w:tcW w:w="3200" w:type="dxa"/>
          </w:tcPr>
          <w:p>
            <w:pPr>
              <w:pStyle w:val="Normal"/>
              <w:spacing w:before="60" w:after="60" w:line="240" w:lineRule="auto"/>
              <w:jc w:val="left"/>
            </w:pPr>
            <w:r>
              <w:rPr>
                <w:color w:val="457B9D"/>
                <w:sz w:val="20"/>
                <w:rFonts w:ascii="Cambria" w:hAnsi="Cambria" w:eastAsia="Cambria" w:cs="Cambria"/>
                <w:szCs w:val="20"/>
              </w:rPr>
              <w:t>IAEA + PCC + Guarantor Matrix certification</w:t>
            </w:r>
          </w:p>
        </w:tc>
      </w:tr>
    </w:tbl>
    <w:p>
      <w:pPr>
        <w:pStyle w:val="Normal"/>
        <w:keepNext/>
        <w:spacing w:before="360" w:after="120"/>
      </w:pPr>
      <w:r>
        <w:rPr>
          <w:rFonts w:ascii="Cambria" w:hAnsi="Cambria" w:eastAsia="Cambria" w:cs="Cambria"/>
          <w:b/>
          <w:color w:val="3D5A80"/>
          <w:sz w:val="22"/>
          <w:szCs w:val="22"/>
        </w:rPr>
        <w:t>Rolling Compliance Window</w:t>
      </w:r>
    </w:p>
    <w:p>
      <w:pPr>
        <w:pStyle w:val="Normal"/>
        <w:spacing w:before="120" w:after="160" w:line="276" w:lineRule="auto"/>
        <w:jc w:val="both"/>
      </w:pPr>
      <w:r>
        <w:rPr>
          <w:rFonts w:ascii="Cambria" w:hAnsi="Cambria" w:eastAsia="Cambria" w:cs="Cambria"/>
          <w:color w:val="1D3557"/>
          <w:sz w:val="22"/>
          <w:szCs w:val="22"/>
        </w:rPr>
        <w:t>Compliance is measured on a rolling 90-day window. A Tier 2 violation reduces the compliance percentage by 10 days for each day the violation persists, capped at a 30-day reduction. The clock does not reset to zero.</w:t>
      </w:r>
    </w:p>
    <w:p>
      <w:pPr>
        <w:pStyle w:val="Heading1"/>
        <w:keepNext/>
        <w:keepLines/>
        <w:spacing w:before="480" w:after="200"/>
      </w:pPr>
      <w:r>
        <w:rPr>
          <w:rFonts w:ascii="Cambria" w:hAnsi="Cambria" w:eastAsia="Cambria" w:cs="Cambria"/>
          <w:b/>
          <w:color w:val="3D5A80"/>
          <w:sz w:val="32"/>
          <w:szCs w:val="32"/>
        </w:rPr>
        <w:t>Article 7: Real-Time Compliance Dashboard (Public Wins Ledger Integration)</w:t>
      </w:r>
    </w:p>
    <w:p>
      <w:pPr>
        <w:pStyle w:val="Normal"/>
        <w:keepNext/>
        <w:spacing w:before="200" w:after="80"/>
      </w:pPr>
      <w:r>
        <w:rPr>
          <w:rFonts w:ascii="Cambria" w:hAnsi="Cambria" w:eastAsia="Cambria" w:cs="Cambria"/>
          <w:b/>
          <w:i/>
          <w:color w:val="457B9D"/>
          <w:sz w:val="20"/>
          <w:szCs w:val="20"/>
        </w:rPr>
        <w:t>OPERATIVE AND BINDING</w:t>
      </w:r>
    </w:p>
    <w:p>
      <w:pPr>
        <w:pStyle w:val="Normal"/>
        <w:spacing w:before="120" w:after="160" w:line="276" w:lineRule="auto"/>
        <w:jc w:val="both"/>
      </w:pPr>
      <w:r>
        <w:rPr>
          <w:rFonts w:ascii="Cambria" w:hAnsi="Cambria" w:eastAsia="Cambria" w:cs="Cambria"/>
          <w:color w:val="1D3557"/>
          <w:sz w:val="22"/>
          <w:szCs w:val="22"/>
        </w:rPr>
        <w:t>The JHA MCC publishes a live, publicly accessible dashboard (English, Farsi, Arabic) showing:</w:t>
      </w:r>
    </w:p>
    <w:tbl>
      <w:tblPr>
        <w:tblW w:w="5000" w:type="pct"/>
        <w:tblBorders>
          <w:top w:val="single" w:color="3d5a80" w:sz="12"/>
          <w:left w:val="nil"/>
          <w:bottom w:val="single" w:color="3d5a80" w:sz="12"/>
          <w:right w:val="nil"/>
          <w:insideH w:val="single" w:color="d0d5dd" w:sz="4"/>
          <w:insideV w:val="nil"/>
        </w:tblBorders>
      </w:tblPr>
      <w:tblGrid>
        <w:gridCol w:w="2600"/>
        <w:gridCol w:w="2200"/>
        <w:gridCol w:w="3800"/>
      </w:tblGrid>
      <w:tr>
        <w:trPr>
          <w:tblHeader w:val="1"/>
        </w:trPr>
        <w:tc>
          <w:tcPr>
            <w:tcW w:w="2600" w:type="dxa"/>
            <w:shd w:val="clear" w:fill="E8ECF1" w:color="auto"/>
          </w:tcPr>
          <w:p>
            <w:pPr>
              <w:pStyle w:val="Normal"/>
              <w:spacing w:before="60" w:after="60" w:line="240" w:lineRule="auto"/>
            </w:pPr>
            <w:r>
              <w:rPr>
                <w:b/>
                <w:color w:val="1D3557"/>
                <w:sz w:val="20"/>
                <w:rFonts w:ascii="Cambria" w:hAnsi="Cambria" w:eastAsia="Cambria" w:cs="Cambria"/>
                <w:szCs w:val="20"/>
              </w:rPr>
              <w:t>Metric</w:t>
            </w:r>
          </w:p>
        </w:tc>
        <w:tc>
          <w:tcPr>
            <w:tcW w:w="2200" w:type="dxa"/>
            <w:shd w:val="clear" w:fill="E8ECF1" w:color="auto"/>
          </w:tcPr>
          <w:p>
            <w:pPr>
              <w:pStyle w:val="Normal"/>
              <w:spacing w:before="60" w:after="60" w:line="240" w:lineRule="auto"/>
            </w:pPr>
            <w:r>
              <w:rPr>
                <w:b/>
                <w:color w:val="1D3557"/>
                <w:sz w:val="20"/>
                <w:rFonts w:ascii="Cambria" w:hAnsi="Cambria" w:eastAsia="Cambria" w:cs="Cambria"/>
                <w:szCs w:val="20"/>
              </w:rPr>
              <w:t>Data Source</w:t>
            </w:r>
          </w:p>
        </w:tc>
        <w:tc>
          <w:tcPr>
            <w:tcW w:w="3800" w:type="dxa"/>
            <w:shd w:val="clear" w:fill="E8ECF1" w:color="auto"/>
          </w:tcPr>
          <w:p>
            <w:pPr>
              <w:pStyle w:val="Normal"/>
              <w:spacing w:before="60" w:after="60" w:line="240" w:lineRule="auto"/>
            </w:pPr>
            <w:r>
              <w:rPr>
                <w:b/>
                <w:color w:val="1D3557"/>
                <w:sz w:val="20"/>
                <w:rFonts w:ascii="Cambria" w:hAnsi="Cambria" w:eastAsia="Cambria" w:cs="Cambria"/>
                <w:szCs w:val="20"/>
              </w:rPr>
              <w:t>Update Frequency</w:t>
            </w:r>
          </w:p>
        </w:tc>
      </w:tr>
      <w:tr>
        <w:tc>
          <w:tcPr>
            <w:tcW w:w="2600" w:type="dxa"/>
          </w:tcPr>
          <w:p>
            <w:pPr>
              <w:pStyle w:val="Normal"/>
              <w:spacing w:before="60" w:after="60" w:line="240" w:lineRule="auto"/>
              <w:jc w:val="left"/>
            </w:pPr>
            <w:r>
              <w:rPr>
                <w:color w:val="457B9D"/>
                <w:sz w:val="20"/>
                <w:rFonts w:ascii="Cambria" w:hAnsi="Cambria" w:eastAsia="Cambria" w:cs="Cambria"/>
                <w:szCs w:val="20"/>
              </w:rPr>
              <w:t>Current Operational Posture Tier (1–4)</w:t>
            </w:r>
          </w:p>
        </w:tc>
        <w:tc>
          <w:tcPr>
            <w:tcW w:w="2200" w:type="dxa"/>
          </w:tcPr>
          <w:p>
            <w:pPr>
              <w:pStyle w:val="Normal"/>
              <w:spacing w:before="60" w:after="60" w:line="240" w:lineRule="auto"/>
              <w:jc w:val="left"/>
            </w:pPr>
            <w:r>
              <w:rPr>
                <w:color w:val="457B9D"/>
                <w:sz w:val="20"/>
                <w:rFonts w:ascii="Cambria" w:hAnsi="Cambria" w:eastAsia="Cambria" w:cs="Cambria"/>
                <w:szCs w:val="20"/>
              </w:rPr>
              <w:t>JHA MCC declaration</w:t>
            </w:r>
          </w:p>
        </w:tc>
        <w:tc>
          <w:tcPr>
            <w:tcW w:w="3800" w:type="dxa"/>
          </w:tcPr>
          <w:p>
            <w:pPr>
              <w:pStyle w:val="Normal"/>
              <w:spacing w:before="60" w:after="60" w:line="240" w:lineRule="auto"/>
              <w:jc w:val="left"/>
            </w:pPr>
            <w:r>
              <w:rPr>
                <w:color w:val="457B9D"/>
                <w:sz w:val="20"/>
                <w:rFonts w:ascii="Cambria" w:hAnsi="Cambria" w:eastAsia="Cambria" w:cs="Cambria"/>
                <w:szCs w:val="20"/>
              </w:rPr>
              <w:t>Real-time</w:t>
            </w:r>
          </w:p>
        </w:tc>
      </w:tr>
      <w:tr>
        <w:tc>
          <w:tcPr>
            <w:tcW w:w="2600" w:type="dxa"/>
          </w:tcPr>
          <w:p>
            <w:pPr>
              <w:pStyle w:val="Normal"/>
              <w:spacing w:before="60" w:after="60" w:line="240" w:lineRule="auto"/>
              <w:jc w:val="left"/>
            </w:pPr>
            <w:r>
              <w:rPr>
                <w:color w:val="457B9D"/>
                <w:sz w:val="20"/>
                <w:rFonts w:ascii="Cambria" w:hAnsi="Cambria" w:eastAsia="Cambria" w:cs="Cambria"/>
                <w:szCs w:val="20"/>
              </w:rPr>
              <w:t>JHA-AUTHORIZED transits (last 24 hours / 7 days / 90 days)</w:t>
            </w:r>
          </w:p>
        </w:tc>
        <w:tc>
          <w:tcPr>
            <w:tcW w:w="2200" w:type="dxa"/>
          </w:tcPr>
          <w:p>
            <w:pPr>
              <w:pStyle w:val="Normal"/>
              <w:spacing w:before="60" w:after="60" w:line="240" w:lineRule="auto"/>
              <w:jc w:val="left"/>
            </w:pPr>
            <w:r>
              <w:rPr>
                <w:color w:val="457B9D"/>
                <w:sz w:val="20"/>
                <w:rFonts w:ascii="Cambria" w:hAnsi="Cambria" w:eastAsia="Cambria" w:cs="Cambria"/>
                <w:szCs w:val="20"/>
              </w:rPr>
              <w:t>Radar + AIS telemetry</w:t>
            </w:r>
          </w:p>
        </w:tc>
        <w:tc>
          <w:tcPr>
            <w:tcW w:w="3800" w:type="dxa"/>
          </w:tcPr>
          <w:p>
            <w:pPr>
              <w:pStyle w:val="Normal"/>
              <w:spacing w:before="60" w:after="60" w:line="240" w:lineRule="auto"/>
              <w:jc w:val="left"/>
            </w:pPr>
            <w:r>
              <w:rPr>
                <w:color w:val="457B9D"/>
                <w:sz w:val="20"/>
                <w:rFonts w:ascii="Cambria" w:hAnsi="Cambria" w:eastAsia="Cambria" w:cs="Cambria"/>
                <w:szCs w:val="20"/>
              </w:rPr>
              <w:t>Every 15 minutes</w:t>
            </w:r>
          </w:p>
        </w:tc>
      </w:tr>
      <w:tr>
        <w:tc>
          <w:tcPr>
            <w:tcW w:w="2600" w:type="dxa"/>
          </w:tcPr>
          <w:p>
            <w:pPr>
              <w:pStyle w:val="Normal"/>
              <w:spacing w:before="60" w:after="60" w:line="240" w:lineRule="auto"/>
              <w:jc w:val="left"/>
            </w:pPr>
            <w:r>
              <w:rPr>
                <w:color w:val="457B9D"/>
                <w:sz w:val="20"/>
                <w:rFonts w:ascii="Cambria" w:hAnsi="Cambria" w:eastAsia="Cambria" w:cs="Cambria"/>
                <w:szCs w:val="20"/>
              </w:rPr>
              <w:t>Cumulative financial releases made (by tranche)</w:t>
            </w:r>
          </w:p>
        </w:tc>
        <w:tc>
          <w:tcPr>
            <w:tcW w:w="2200" w:type="dxa"/>
          </w:tcPr>
          <w:p>
            <w:pPr>
              <w:pStyle w:val="Normal"/>
              <w:spacing w:before="60" w:after="60" w:line="240" w:lineRule="auto"/>
              <w:jc w:val="left"/>
            </w:pPr>
            <w:r>
              <w:rPr>
                <w:color w:val="457B9D"/>
                <w:sz w:val="20"/>
                <w:rFonts w:ascii="Cambria" w:hAnsi="Cambria" w:eastAsia="Cambria" w:cs="Cambria"/>
                <w:szCs w:val="20"/>
              </w:rPr>
              <w:t>Swiss facilitator + escrow ledger</w:t>
            </w:r>
          </w:p>
        </w:tc>
        <w:tc>
          <w:tcPr>
            <w:tcW w:w="3800" w:type="dxa"/>
          </w:tcPr>
          <w:p>
            <w:pPr>
              <w:pStyle w:val="Normal"/>
              <w:spacing w:before="60" w:after="60" w:line="240" w:lineRule="auto"/>
              <w:jc w:val="left"/>
            </w:pPr>
            <w:r>
              <w:rPr>
                <w:color w:val="457B9D"/>
                <w:sz w:val="20"/>
                <w:rFonts w:ascii="Cambria" w:hAnsi="Cambria" w:eastAsia="Cambria" w:cs="Cambria"/>
                <w:szCs w:val="20"/>
              </w:rPr>
              <w:t>Upon each release</w:t>
            </w:r>
          </w:p>
        </w:tc>
      </w:tr>
      <w:tr>
        <w:tc>
          <w:tcPr>
            <w:tcW w:w="2600" w:type="dxa"/>
          </w:tcPr>
          <w:p>
            <w:pPr>
              <w:pStyle w:val="Normal"/>
              <w:spacing w:before="60" w:after="60" w:line="240" w:lineRule="auto"/>
              <w:jc w:val="left"/>
            </w:pPr>
            <w:r>
              <w:rPr>
                <w:color w:val="457B9D"/>
                <w:sz w:val="20"/>
                <w:rFonts w:ascii="Cambria" w:hAnsi="Cambria" w:eastAsia="Cambria" w:cs="Cambria"/>
                <w:szCs w:val="20"/>
              </w:rPr>
              <w:t>Remaining escrow balance</w:t>
            </w:r>
          </w:p>
        </w:tc>
        <w:tc>
          <w:tcPr>
            <w:tcW w:w="2200" w:type="dxa"/>
          </w:tcPr>
          <w:p>
            <w:pPr>
              <w:pStyle w:val="Normal"/>
              <w:spacing w:before="60" w:after="60" w:line="240" w:lineRule="auto"/>
              <w:jc w:val="left"/>
            </w:pPr>
            <w:r>
              <w:rPr>
                <w:color w:val="457B9D"/>
                <w:sz w:val="20"/>
                <w:rFonts w:ascii="Cambria" w:hAnsi="Cambria" w:eastAsia="Cambria" w:cs="Cambria"/>
                <w:szCs w:val="20"/>
              </w:rPr>
              <w:t>Swiss facilitator</w:t>
            </w:r>
          </w:p>
        </w:tc>
        <w:tc>
          <w:tcPr>
            <w:tcW w:w="3800" w:type="dxa"/>
          </w:tcPr>
          <w:p>
            <w:pPr>
              <w:pStyle w:val="Normal"/>
              <w:spacing w:before="60" w:after="60" w:line="240" w:lineRule="auto"/>
              <w:jc w:val="left"/>
            </w:pPr>
            <w:r>
              <w:rPr>
                <w:color w:val="457B9D"/>
                <w:sz w:val="20"/>
                <w:rFonts w:ascii="Cambria" w:hAnsi="Cambria" w:eastAsia="Cambria" w:cs="Cambria"/>
                <w:szCs w:val="20"/>
              </w:rPr>
              <w:t>Daily at 0600 UTC</w:t>
            </w:r>
          </w:p>
        </w:tc>
      </w:tr>
      <w:tr>
        <w:tc>
          <w:tcPr>
            <w:tcW w:w="2600" w:type="dxa"/>
          </w:tcPr>
          <w:p>
            <w:pPr>
              <w:pStyle w:val="Normal"/>
              <w:spacing w:before="60" w:after="60" w:line="240" w:lineRule="auto"/>
              <w:jc w:val="left"/>
            </w:pPr>
            <w:r>
              <w:rPr>
                <w:color w:val="457B9D"/>
                <w:sz w:val="20"/>
                <w:rFonts w:ascii="Cambria" w:hAnsi="Cambria" w:eastAsia="Cambria" w:cs="Cambria"/>
                <w:szCs w:val="20"/>
              </w:rPr>
              <w:t>Active Tier 2 or Tier 3 remediation windows</w:t>
            </w:r>
          </w:p>
        </w:tc>
        <w:tc>
          <w:tcPr>
            <w:tcW w:w="2200" w:type="dxa"/>
          </w:tcPr>
          <w:p>
            <w:pPr>
              <w:pStyle w:val="Normal"/>
              <w:spacing w:before="60" w:after="60" w:line="240" w:lineRule="auto"/>
              <w:jc w:val="left"/>
            </w:pPr>
            <w:r>
              <w:rPr>
                <w:color w:val="457B9D"/>
                <w:sz w:val="20"/>
                <w:rFonts w:ascii="Cambria" w:hAnsi="Cambria" w:eastAsia="Cambria" w:cs="Cambria"/>
                <w:szCs w:val="20"/>
              </w:rPr>
              <w:t>PCC compliance log</w:t>
            </w:r>
          </w:p>
        </w:tc>
        <w:tc>
          <w:tcPr>
            <w:tcW w:w="3800" w:type="dxa"/>
          </w:tcPr>
          <w:p>
            <w:pPr>
              <w:pStyle w:val="Normal"/>
              <w:spacing w:before="60" w:after="60" w:line="240" w:lineRule="auto"/>
              <w:jc w:val="left"/>
            </w:pPr>
            <w:r>
              <w:rPr>
                <w:color w:val="457B9D"/>
                <w:sz w:val="20"/>
                <w:rFonts w:ascii="Cambria" w:hAnsi="Cambria" w:eastAsia="Cambria" w:cs="Cambria"/>
                <w:szCs w:val="20"/>
              </w:rPr>
              <w:t>Real-time</w:t>
            </w:r>
          </w:p>
        </w:tc>
      </w:tr>
      <w:tr>
        <w:tc>
          <w:tcPr>
            <w:tcW w:w="2600" w:type="dxa"/>
          </w:tcPr>
          <w:p>
            <w:pPr>
              <w:pStyle w:val="Normal"/>
              <w:spacing w:before="60" w:after="60" w:line="240" w:lineRule="auto"/>
              <w:jc w:val="left"/>
            </w:pPr>
            <w:r>
              <w:rPr>
                <w:color w:val="457B9D"/>
                <w:sz w:val="20"/>
                <w:rFonts w:ascii="Cambria" w:hAnsi="Cambria" w:eastAsia="Cambria" w:cs="Cambria"/>
                <w:szCs w:val="20"/>
              </w:rPr>
              <w:t>Status of dual-key authorizations (active/withdrawn/emergency)</w:t>
            </w:r>
          </w:p>
        </w:tc>
        <w:tc>
          <w:tcPr>
            <w:tcW w:w="2200" w:type="dxa"/>
          </w:tcPr>
          <w:p>
            <w:pPr>
              <w:pStyle w:val="Normal"/>
              <w:spacing w:before="60" w:after="60" w:line="240" w:lineRule="auto"/>
              <w:jc w:val="left"/>
            </w:pPr>
            <w:r>
              <w:rPr>
                <w:color w:val="457B9D"/>
                <w:sz w:val="20"/>
                <w:rFonts w:ascii="Cambria" w:hAnsi="Cambria" w:eastAsia="Cambria" w:cs="Cambria"/>
                <w:szCs w:val="20"/>
              </w:rPr>
              <w:t>Key terminal logs</w:t>
            </w:r>
          </w:p>
        </w:tc>
        <w:tc>
          <w:tcPr>
            <w:tcW w:w="3800" w:type="dxa"/>
          </w:tcPr>
          <w:p>
            <w:pPr>
              <w:pStyle w:val="Normal"/>
              <w:spacing w:before="60" w:after="60" w:line="240" w:lineRule="auto"/>
              <w:jc w:val="left"/>
            </w:pPr>
            <w:r>
              <w:rPr>
                <w:color w:val="457B9D"/>
                <w:sz w:val="20"/>
                <w:rFonts w:ascii="Cambria" w:hAnsi="Cambria" w:eastAsia="Cambria" w:cs="Cambria"/>
                <w:szCs w:val="20"/>
              </w:rPr>
              <w:t>Real-time</w:t>
            </w:r>
          </w:p>
        </w:tc>
      </w:tr>
      <w:tr>
        <w:tc>
          <w:tcPr>
            <w:tcW w:w="2600" w:type="dxa"/>
          </w:tcPr>
          <w:p>
            <w:pPr>
              <w:pStyle w:val="Normal"/>
              <w:spacing w:before="60" w:after="60" w:line="240" w:lineRule="auto"/>
              <w:jc w:val="left"/>
            </w:pPr>
            <w:r>
              <w:rPr>
                <w:color w:val="457B9D"/>
                <w:sz w:val="20"/>
                <w:rFonts w:ascii="Cambria" w:hAnsi="Cambria" w:eastAsia="Cambria" w:cs="Cambria"/>
                <w:szCs w:val="20"/>
              </w:rPr>
              <w:t>Stand-off compliance rate (percentage of time within limits)</w:t>
            </w:r>
          </w:p>
        </w:tc>
        <w:tc>
          <w:tcPr>
            <w:tcW w:w="2200" w:type="dxa"/>
          </w:tcPr>
          <w:p>
            <w:pPr>
              <w:pStyle w:val="Normal"/>
              <w:spacing w:before="60" w:after="60" w:line="240" w:lineRule="auto"/>
              <w:jc w:val="left"/>
            </w:pPr>
            <w:r>
              <w:rPr>
                <w:color w:val="457B9D"/>
                <w:sz w:val="20"/>
                <w:rFonts w:ascii="Cambria" w:hAnsi="Cambria" w:eastAsia="Cambria" w:cs="Cambria"/>
                <w:szCs w:val="20"/>
              </w:rPr>
              <w:t>Radar telemetry</w:t>
            </w:r>
          </w:p>
        </w:tc>
        <w:tc>
          <w:tcPr>
            <w:tcW w:w="3800" w:type="dxa"/>
          </w:tcPr>
          <w:p>
            <w:pPr>
              <w:pStyle w:val="Normal"/>
              <w:spacing w:before="60" w:after="60" w:line="240" w:lineRule="auto"/>
              <w:jc w:val="left"/>
            </w:pPr>
            <w:r>
              <w:rPr>
                <w:color w:val="457B9D"/>
                <w:sz w:val="20"/>
                <w:rFonts w:ascii="Cambria" w:hAnsi="Cambria" w:eastAsia="Cambria" w:cs="Cambria"/>
                <w:szCs w:val="20"/>
              </w:rPr>
              <w:t>Daily at 0600 UTC</w:t>
            </w:r>
          </w:p>
        </w:tc>
      </w:tr>
      <w:tr>
        <w:tc>
          <w:tcPr>
            <w:tcW w:w="2600" w:type="dxa"/>
          </w:tcPr>
          <w:p>
            <w:pPr>
              <w:pStyle w:val="Normal"/>
              <w:spacing w:before="60" w:after="60" w:line="240" w:lineRule="auto"/>
              <w:jc w:val="left"/>
            </w:pPr>
            <w:r>
              <w:rPr>
                <w:color w:val="457B9D"/>
                <w:sz w:val="20"/>
                <w:rFonts w:ascii="Cambria" w:hAnsi="Cambria" w:eastAsia="Cambria" w:cs="Cambria"/>
                <w:szCs w:val="20"/>
              </w:rPr>
              <w:t>Incident log (anonymized)</w:t>
            </w:r>
          </w:p>
        </w:tc>
        <w:tc>
          <w:tcPr>
            <w:tcW w:w="2200" w:type="dxa"/>
          </w:tcPr>
          <w:p>
            <w:pPr>
              <w:pStyle w:val="Normal"/>
              <w:spacing w:before="60" w:after="60" w:line="240" w:lineRule="auto"/>
              <w:jc w:val="left"/>
            </w:pPr>
            <w:r>
              <w:rPr>
                <w:color w:val="457B9D"/>
                <w:sz w:val="20"/>
                <w:rFonts w:ascii="Cambria" w:hAnsi="Cambria" w:eastAsia="Cambria" w:cs="Cambria"/>
                <w:szCs w:val="20"/>
              </w:rPr>
              <w:t>JHA MCC incident reports</w:t>
            </w:r>
          </w:p>
        </w:tc>
        <w:tc>
          <w:tcPr>
            <w:tcW w:w="3800" w:type="dxa"/>
          </w:tcPr>
          <w:p>
            <w:pPr>
              <w:pStyle w:val="Normal"/>
              <w:spacing w:before="60" w:after="60" w:line="240" w:lineRule="auto"/>
              <w:jc w:val="left"/>
            </w:pPr>
            <w:r>
              <w:rPr>
                <w:color w:val="457B9D"/>
                <w:sz w:val="20"/>
                <w:rFonts w:ascii="Cambria" w:hAnsi="Cambria" w:eastAsia="Cambria" w:cs="Cambria"/>
                <w:szCs w:val="20"/>
              </w:rPr>
              <w:t>Within 2 hours of incident</w:t>
            </w:r>
          </w:p>
        </w:tc>
      </w:tr>
    </w:tbl>
    <w:p>
      <w:pPr>
        <w:pStyle w:val="Normal"/>
        <w:keepNext/>
        <w:spacing w:before="360" w:after="120"/>
      </w:pPr>
      <w:r>
        <w:rPr>
          <w:rFonts w:ascii="Cambria" w:hAnsi="Cambria" w:eastAsia="Cambria" w:cs="Cambria"/>
          <w:b/>
          <w:color w:val="3D5A80"/>
          <w:sz w:val="22"/>
          <w:szCs w:val="22"/>
        </w:rPr>
        <w:t>Public Access</w:t>
      </w:r>
    </w:p>
    <w:p>
      <w:pPr>
        <w:pStyle w:val="Normal"/>
        <w:spacing w:before="120" w:after="160" w:line="276" w:lineRule="auto"/>
        <w:jc w:val="both"/>
      </w:pPr>
      <w:r>
        <w:rPr>
          <w:rFonts w:ascii="Cambria" w:hAnsi="Cambria" w:eastAsia="Cambria" w:cs="Cambria"/>
          <w:color w:val="1D3557"/>
          <w:sz w:val="22"/>
          <w:szCs w:val="22"/>
        </w:rPr>
        <w:t>The dashboard is accessible to all Parties, guarantor states, Lloyd's List, UN OCHA, IMO, and accredited media. No login is needed for read-only access to non-classified metrics.</w:t>
      </w:r>
    </w:p>
    <w:p>
      <w:pPr>
        <w:pStyle w:val="Heading1"/>
        <w:keepNext/>
        <w:keepLines/>
        <w:spacing w:before="480" w:after="200"/>
      </w:pPr>
      <w:r>
        <w:rPr>
          <w:rFonts w:ascii="Cambria" w:hAnsi="Cambria" w:eastAsia="Cambria" w:cs="Cambria"/>
          <w:b/>
          <w:color w:val="3D5A80"/>
          <w:sz w:val="32"/>
          <w:szCs w:val="32"/>
        </w:rPr>
        <w:t>Article 8: Emergency Break Points</w:t>
      </w:r>
    </w:p>
    <w:p>
      <w:pPr>
        <w:pStyle w:val="Normal"/>
        <w:keepNext/>
        <w:spacing w:before="200" w:after="80"/>
      </w:pPr>
      <w:r>
        <w:rPr>
          <w:rFonts w:ascii="Cambria" w:hAnsi="Cambria" w:eastAsia="Cambria" w:cs="Cambria"/>
          <w:b/>
          <w:i/>
          <w:color w:val="457B9D"/>
          <w:sz w:val="20"/>
          <w:szCs w:val="20"/>
        </w:rPr>
        <w:t>OPERATIVE AND BINDING</w:t>
      </w:r>
    </w:p>
    <w:p>
      <w:pPr>
        <w:pStyle w:val="Heading2"/>
        <w:keepNext/>
        <w:keepLines/>
        <w:spacing w:before="320" w:after="120"/>
      </w:pPr>
      <w:r>
        <w:rPr>
          <w:rFonts w:ascii="Cambria" w:hAnsi="Cambria" w:eastAsia="Cambria" w:cs="Cambria"/>
          <w:b/>
          <w:color w:val="1D3557"/>
          <w:sz w:val="26"/>
          <w:szCs w:val="26"/>
        </w:rPr>
        <w:t>8.1 Catastrophic Telemetry Failure</w:t>
      </w:r>
    </w:p>
    <w:p>
      <w:pPr>
        <w:pStyle w:val="Normal"/>
        <w:spacing w:before="120" w:after="160" w:line="276" w:lineRule="auto"/>
        <w:jc w:val="both"/>
      </w:pPr>
      <w:r>
        <w:rPr>
          <w:rFonts w:ascii="Cambria" w:hAnsi="Cambria" w:eastAsia="Cambria" w:cs="Cambria"/>
          <w:color w:val="1D3557"/>
          <w:sz w:val="22"/>
          <w:szCs w:val="22"/>
        </w:rPr>
        <w:t>If all three radar stations and the cryptographic AIS system fail simultaneously for more than 2 hours, the following activates automatically:</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All new transit permits pause</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Existing JHA-AUTHORIZED vessels complete their transit under visual observation (Omani and UN OCHA observer vessels)</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An emergency technical team deploys from Oman within 12 hours (mirroring Annex V's CANDOR emergency protocol)</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No Party is penalized for telemetry failure attributable to force majeure or cyberattack</w:t>
      </w:r>
    </w:p>
    <w:p>
      <w:pPr>
        <w:pStyle w:val="Normal"/>
        <w:keepNext/>
        <w:spacing w:before="360" w:after="120"/>
      </w:pPr>
      <w:r>
        <w:rPr>
          <w:rFonts w:ascii="Cambria" w:hAnsi="Cambria" w:eastAsia="Cambria" w:cs="Cambria"/>
          <w:b/>
          <w:color w:val="3D5A80"/>
          <w:sz w:val="22"/>
          <w:szCs w:val="22"/>
        </w:rPr>
        <w:t>Recovery Timeline</w:t>
      </w:r>
    </w:p>
    <w:p>
      <w:pPr>
        <w:pStyle w:val="Normal"/>
        <w:spacing w:before="120" w:after="160" w:line="276" w:lineRule="auto"/>
        <w:jc w:val="both"/>
      </w:pPr>
      <w:r>
        <w:rPr>
          <w:rFonts w:ascii="Cambria" w:hAnsi="Cambria" w:eastAsia="Cambria" w:cs="Cambria"/>
          <w:color w:val="1D3557"/>
          <w:sz w:val="22"/>
          <w:szCs w:val="22"/>
        </w:rPr>
        <w:t>If telemetry restoration does not occur within 72 hours, the JHA Council convenes an emergency session to determine whether provisional reopening continues under visual observation only, or whether a full pause activates. This determination requires a three-vote majority from Seats 1–4 of the JHA Council. No single Party unilaterally extends the pause beyond the initial 72-hour recovery window.</w:t>
      </w:r>
    </w:p>
    <w:p>
      <w:pPr>
        <w:pStyle w:val="Heading2"/>
        <w:keepNext/>
        <w:keepLines/>
        <w:spacing w:before="320" w:after="120"/>
      </w:pPr>
      <w:r>
        <w:rPr>
          <w:rFonts w:ascii="Cambria" w:hAnsi="Cambria" w:eastAsia="Cambria" w:cs="Cambria"/>
          <w:b/>
          <w:color w:val="1D3557"/>
          <w:sz w:val="26"/>
          <w:szCs w:val="26"/>
        </w:rPr>
        <w:t>8.2 Dual-Key Unavailability</w:t>
      </w:r>
    </w:p>
    <w:p>
      <w:pPr>
        <w:pStyle w:val="Normal"/>
        <w:spacing w:before="120" w:after="160" w:line="276" w:lineRule="auto"/>
        <w:jc w:val="both"/>
      </w:pPr>
      <w:r>
        <w:rPr>
          <w:rFonts w:ascii="Cambria" w:hAnsi="Cambria" w:eastAsia="Cambria" w:cs="Cambria"/>
          <w:color w:val="1D3557"/>
          <w:sz w:val="22"/>
          <w:szCs w:val="22"/>
        </w:rPr>
        <w:t>If either key terminal is offline for more than 4 hours without prior notification:</w:t>
      </w:r>
    </w:p>
    <w:p>
      <w:pPr>
        <w:pStyle w:val="Normal"/>
        <w:spacing w:before="80" w:after="80" w:line="276" w:lineRule="auto"/>
        <w:ind w:left="360" w:hanging="360"/>
      </w:pPr>
      <w:r>
        <w:rPr>
          <w:rFonts w:ascii="Cambria" w:hAnsi="Cambria" w:eastAsia="Cambria" w:cs="Cambria"/>
          <w:b/>
          <w:color w:val="1D3557"/>
          <w:sz w:val="22"/>
          <w:szCs w:val="22"/>
        </w:rPr>
        <w:t xml:space="preserve">1. </w:t>
      </w:r>
      <w:r>
        <w:rPr>
          <w:rFonts w:ascii="Cambria" w:hAnsi="Cambria" w:eastAsia="Cambria" w:cs="Cambria"/>
          <w:color w:val="1D3557"/>
          <w:sz w:val="22"/>
          <w:szCs w:val="22"/>
        </w:rPr>
        <w:t>The remaining key holder operates unilaterally for 24 hours for emergency transit only</w:t>
      </w:r>
    </w:p>
    <w:p>
      <w:pPr>
        <w:pStyle w:val="Normal"/>
        <w:spacing w:before="80" w:after="80" w:line="276" w:lineRule="auto"/>
        <w:ind w:left="360" w:hanging="360"/>
      </w:pPr>
      <w:r>
        <w:rPr>
          <w:rFonts w:ascii="Cambria" w:hAnsi="Cambria" w:eastAsia="Cambria" w:cs="Cambria"/>
          <w:b/>
          <w:color w:val="1D3557"/>
          <w:sz w:val="22"/>
          <w:szCs w:val="22"/>
        </w:rPr>
        <w:t xml:space="preserve">2. </w:t>
      </w:r>
      <w:r>
        <w:rPr>
          <w:rFonts w:ascii="Cambria" w:hAnsi="Cambria" w:eastAsia="Cambria" w:cs="Cambria"/>
          <w:color w:val="1D3557"/>
          <w:sz w:val="22"/>
          <w:szCs w:val="22"/>
        </w:rPr>
        <w:t>After 24 hours, all operations pause until dual-key capability is restored</w:t>
      </w:r>
    </w:p>
    <w:p>
      <w:pPr>
        <w:pStyle w:val="Normal"/>
        <w:spacing w:before="80" w:after="80" w:line="276" w:lineRule="auto"/>
        <w:ind w:left="360" w:hanging="360"/>
      </w:pPr>
      <w:r>
        <w:rPr>
          <w:rFonts w:ascii="Cambria" w:hAnsi="Cambria" w:eastAsia="Cambria" w:cs="Cambria"/>
          <w:b/>
          <w:color w:val="1D3557"/>
          <w:sz w:val="22"/>
          <w:szCs w:val="22"/>
        </w:rPr>
        <w:t xml:space="preserve">3. </w:t>
      </w:r>
      <w:r>
        <w:rPr>
          <w:rFonts w:ascii="Cambria" w:hAnsi="Cambria" w:eastAsia="Cambria" w:cs="Cambria"/>
          <w:color w:val="1D3557"/>
          <w:sz w:val="22"/>
          <w:szCs w:val="22"/>
        </w:rPr>
        <w:t>The Joint Secretariat convenes an emergency session within 6 hours</w:t>
      </w:r>
    </w:p>
    <w:p>
      <w:pPr>
        <w:pStyle w:val="Heading2"/>
        <w:keepNext/>
        <w:keepLines/>
        <w:spacing w:before="320" w:after="120"/>
      </w:pPr>
      <w:r>
        <w:rPr>
          <w:rFonts w:ascii="Cambria" w:hAnsi="Cambria" w:eastAsia="Cambria" w:cs="Cambria"/>
          <w:b/>
          <w:color w:val="1D3557"/>
          <w:sz w:val="26"/>
          <w:szCs w:val="26"/>
        </w:rPr>
        <w:t>8.3 Permanent Closure (Entombment Equivalent)</w:t>
      </w:r>
    </w:p>
    <w:p>
      <w:pPr>
        <w:pStyle w:val="Normal"/>
        <w:spacing w:before="120" w:after="160" w:line="276" w:lineRule="auto"/>
        <w:jc w:val="both"/>
      </w:pPr>
      <w:r>
        <w:rPr>
          <w:rFonts w:ascii="Cambria" w:hAnsi="Cambria" w:eastAsia="Cambria" w:cs="Cambria"/>
          <w:color w:val="1D3557"/>
          <w:sz w:val="22"/>
          <w:szCs w:val="22"/>
        </w:rPr>
        <w:t>If the HTZ becomes permanently impassable due to military action, mining, or infrastructure destruction:</w:t>
      </w:r>
    </w:p>
    <w:p>
      <w:pPr>
        <w:pStyle w:val="Normal"/>
        <w:spacing w:before="80" w:after="80" w:line="276" w:lineRule="auto"/>
        <w:ind w:left="360" w:hanging="360"/>
      </w:pPr>
      <w:r>
        <w:rPr>
          <w:rFonts w:ascii="Cambria" w:hAnsi="Cambria" w:eastAsia="Cambria" w:cs="Cambria"/>
          <w:b/>
          <w:color w:val="1D3557"/>
          <w:sz w:val="22"/>
          <w:szCs w:val="22"/>
        </w:rPr>
        <w:t xml:space="preserve">1. </w:t>
      </w:r>
      <w:r>
        <w:rPr>
          <w:rFonts w:ascii="Cambria" w:hAnsi="Cambria" w:eastAsia="Cambria" w:cs="Cambria"/>
          <w:color w:val="1D3557"/>
          <w:sz w:val="22"/>
          <w:szCs w:val="22"/>
        </w:rPr>
        <w:t>Article 5 (Emergency Break Points) of Annex V applies analogously</w:t>
      </w:r>
    </w:p>
    <w:p>
      <w:pPr>
        <w:pStyle w:val="Normal"/>
        <w:spacing w:before="80" w:after="80" w:line="276" w:lineRule="auto"/>
        <w:ind w:left="360" w:hanging="360"/>
      </w:pPr>
      <w:r>
        <w:rPr>
          <w:rFonts w:ascii="Cambria" w:hAnsi="Cambria" w:eastAsia="Cambria" w:cs="Cambria"/>
          <w:b/>
          <w:color w:val="1D3557"/>
          <w:sz w:val="22"/>
          <w:szCs w:val="22"/>
        </w:rPr>
        <w:t xml:space="preserve">2. </w:t>
      </w:r>
      <w:r>
        <w:rPr>
          <w:rFonts w:ascii="Cambria" w:hAnsi="Cambria" w:eastAsia="Cambria" w:cs="Cambria"/>
          <w:color w:val="1D3557"/>
          <w:sz w:val="22"/>
          <w:szCs w:val="22"/>
        </w:rPr>
        <w:t>50% of remaining escrowed funds release to Iran as compensation for lost transit revenue</w:t>
      </w:r>
    </w:p>
    <w:p>
      <w:pPr>
        <w:pStyle w:val="Normal"/>
        <w:spacing w:before="80" w:after="80" w:line="276" w:lineRule="auto"/>
        <w:ind w:left="360" w:hanging="360"/>
      </w:pPr>
      <w:r>
        <w:rPr>
          <w:rFonts w:ascii="Cambria" w:hAnsi="Cambria" w:eastAsia="Cambria" w:cs="Cambria"/>
          <w:b/>
          <w:color w:val="1D3557"/>
          <w:sz w:val="22"/>
          <w:szCs w:val="22"/>
        </w:rPr>
        <w:t xml:space="preserve">3. </w:t>
      </w:r>
      <w:r>
        <w:rPr>
          <w:rFonts w:ascii="Cambria" w:hAnsi="Cambria" w:eastAsia="Cambria" w:cs="Cambria"/>
          <w:color w:val="1D3557"/>
          <w:sz w:val="22"/>
          <w:szCs w:val="22"/>
        </w:rPr>
        <w:t>50% holds for 90 days pending reconstruction assessment</w:t>
      </w:r>
    </w:p>
    <w:p>
      <w:pPr>
        <w:pStyle w:val="Normal"/>
        <w:spacing w:before="80" w:after="80" w:line="276" w:lineRule="auto"/>
        <w:ind w:left="360" w:hanging="360"/>
      </w:pPr>
      <w:r>
        <w:rPr>
          <w:rFonts w:ascii="Cambria" w:hAnsi="Cambria" w:eastAsia="Cambria" w:cs="Cambria"/>
          <w:b/>
          <w:color w:val="1D3557"/>
          <w:sz w:val="22"/>
          <w:szCs w:val="22"/>
        </w:rPr>
        <w:t xml:space="preserve">4. </w:t>
      </w:r>
      <w:r>
        <w:rPr>
          <w:rFonts w:ascii="Cambria" w:hAnsi="Cambria" w:eastAsia="Cambria" w:cs="Cambria"/>
          <w:color w:val="1D3557"/>
          <w:sz w:val="22"/>
          <w:szCs w:val="22"/>
        </w:rPr>
        <w:t>The JHA Council determines reconstruction feasibility by unanimous vote</w:t>
      </w:r>
    </w:p>
    <w:p>
      <w:pPr>
        <w:pStyle w:val="Heading1"/>
        <w:keepNext/>
        <w:keepLines/>
        <w:spacing w:before="480" w:after="200"/>
      </w:pPr>
      <w:r>
        <w:rPr>
          <w:rFonts w:ascii="Cambria" w:hAnsi="Cambria" w:eastAsia="Cambria" w:cs="Cambria"/>
          <w:b/>
          <w:color w:val="3D5A80"/>
          <w:sz w:val="32"/>
          <w:szCs w:val="32"/>
        </w:rPr>
        <w:t>Article 9: Relationship to Existing Annexes</w:t>
      </w:r>
    </w:p>
    <w:p>
      <w:pPr>
        <w:pStyle w:val="Normal"/>
        <w:keepNext/>
        <w:spacing w:before="200" w:after="80"/>
      </w:pPr>
      <w:r>
        <w:rPr>
          <w:rFonts w:ascii="Cambria" w:hAnsi="Cambria" w:eastAsia="Cambria" w:cs="Cambria"/>
          <w:b/>
          <w:i/>
          <w:color w:val="457B9D"/>
          <w:sz w:val="20"/>
          <w:szCs w:val="20"/>
        </w:rPr>
        <w:t>OPERATIVE AND BINDING</w:t>
      </w:r>
    </w:p>
    <w:p>
      <w:pPr>
        <w:pStyle w:val="Heading2"/>
        <w:keepNext/>
        <w:keepLines/>
        <w:spacing w:before="320" w:after="120"/>
      </w:pPr>
      <w:r>
        <w:rPr>
          <w:rFonts w:ascii="Cambria" w:hAnsi="Cambria"/>
          <w:b/>
          <w:color w:val="1d3557"/>
          <w:sz w:val="26"/>
        </w:rPr>
        <w:t xml:space="preserve">9.1 Conjunction with Annex N.a (Maritime Backdoor Closure)</w:t>
      </w:r>
    </w:p>
    <w:p>
      <w:pPr>
        <w:spacing w:before="120" w:after="160" w:line="276" w:lineRule="auto"/>
        <w:jc w:val="both"/>
      </w:pPr>
      <w:r>
        <w:rPr>
          <w:rFonts w:ascii="Cambria" w:hAnsi="Cambria"/>
          <w:color w:val="1d3557"/>
          <w:sz w:val="22"/>
        </w:rPr>
        <w:t xml:space="preserve">This Annex W provides the real-time telemetry and dual-key architecture that makes Annex N.a's automatic penalties verifiable in real time. No interdiction event under Annex N.a is classified without radar and AIS confirmation from this Annex W's telemetry infrastructure.</w:t>
      </w:r>
    </w:p>
    <w:p>
      <w:pPr>
        <w:pStyle w:val="Heading2"/>
        <w:keepNext/>
        <w:keepLines/>
        <w:spacing w:before="320" w:after="120"/>
      </w:pPr>
      <w:r>
        <w:rPr>
          <w:rFonts w:ascii="Cambria" w:hAnsi="Cambria"/>
          <w:b/>
          <w:color w:val="1d3557"/>
          <w:sz w:val="26"/>
        </w:rPr>
        <w:t xml:space="preserve">9.2 Conjunction with Annex T (Stepback/Earnback)</w:t>
      </w:r>
    </w:p>
    <w:p>
      <w:pPr>
        <w:spacing w:before="120" w:after="160" w:line="276" w:lineRule="auto"/>
        <w:jc w:val="both"/>
      </w:pPr>
      <w:r>
        <w:rPr>
          <w:rFonts w:ascii="Cambria" w:hAnsi="Cambria"/>
          <w:color w:val="1d3557"/>
          <w:sz w:val="22"/>
        </w:rPr>
        <w:t xml:space="preserve">This Annex W's automated breach triggers feed directly into Annex T's tiered consequences. Annex T's Humanitarian Firewall and cross-module isolation provisions apply unchanged.</w:t>
      </w:r>
    </w:p>
    <w:p>
      <w:pPr>
        <w:pStyle w:val="Heading2"/>
        <w:keepNext/>
        <w:keepLines/>
        <w:spacing w:before="320" w:after="120"/>
      </w:pPr>
      <w:r>
        <w:rPr>
          <w:rFonts w:ascii="Cambria" w:hAnsi="Cambria"/>
          <w:b/>
          <w:color w:val="1d3557"/>
          <w:sz w:val="26"/>
        </w:rPr>
        <w:t xml:space="preserve">9.3 Conjunction with Annex V (Nuclear Dust Protocol)</w:t>
      </w:r>
    </w:p>
    <w:p>
      <w:pPr>
        <w:spacing w:before="120" w:after="160" w:line="276" w:lineRule="auto"/>
        <w:jc w:val="both"/>
      </w:pPr>
      <w:r>
        <w:rPr>
          <w:rFonts w:ascii="Cambria" w:hAnsi="Cambria"/>
          <w:color w:val="1d3557"/>
          <w:sz w:val="22"/>
        </w:rPr>
        <w:t xml:space="preserve">This Annex W mirrors Annex V's telemetry, dual-key, and per-transaction release architecture for the maritime domain. Both annexes share the same verification philosophy, data-sharing symmetry, and earnback logic. The Parties recognize Annex V and Annex W as structurally parallel modules operating on independent performance tracks.</w:t>
      </w:r>
    </w:p>
    <w:p>
      <w:pPr>
        <w:spacing w:before="120" w:after="160" w:line="276" w:lineRule="auto"/>
        <w:jc w:val="both"/>
      </w:pPr>
      <w:r>
        <w:rPr>
          <w:rFonts w:ascii="Cambria" w:hAnsi="Cambria"/>
          <w:color w:val="1d3557"/>
          <w:sz w:val="22"/>
        </w:rPr>
        <w:t xml:space="preserve">The maritime escrow release schedule under this Annex W derives exclusively from maritime performance metrics. The Nuclear Dust extraction schedule under Annex V derives exclusively from extraction and recovery milestones. Neither schedule exerts cross-module influence over the other. A stoppage in one module does not freeze, delay, or alter the tranche progression in the other. This mutual independence constitutes an intentional architectural feature, not a gap.</w:t>
      </w:r>
    </w:p>
    <w:p>
      <w:pPr>
        <w:spacing w:before="120" w:after="160" w:line="276" w:lineRule="auto"/>
        <w:jc w:val="both"/>
      </w:pPr>
      <w:r>
        <w:rPr>
          <w:rFonts w:ascii="Cambria" w:hAnsi="Cambria"/>
          <w:color w:val="1d3557"/>
          <w:sz w:val="22"/>
        </w:rPr>
        <w:t xml:space="preserve">Both modules share the same escrow pool administered by the Swiss facilitator. The accounting system maintains separate sub-ledgers for each module, ensuring transparent tracking of module-specific releases without commingling or cross-collateralization.</w:t>
      </w:r>
    </w:p>
    <w:p>
      <w:pPr>
        <w:pStyle w:val="Heading2"/>
        <w:keepNext/>
        <w:keepLines/>
        <w:spacing w:before="320" w:after="120"/>
      </w:pPr>
      <w:r>
        <w:rPr>
          <w:rFonts w:ascii="Cambria" w:hAnsi="Cambria"/>
          <w:b/>
          <w:color w:val="1d3557"/>
          <w:sz w:val="26"/>
        </w:rPr>
        <w:t xml:space="preserve">9.4 Conjunction with Annex U (Shared Digital Registry)</w:t>
      </w:r>
    </w:p>
    <w:p>
      <w:pPr>
        <w:spacing w:before="120" w:after="160" w:line="276" w:lineRule="auto"/>
        <w:jc w:val="both"/>
      </w:pPr>
      <w:r>
        <w:rPr>
          <w:rFonts w:ascii="Cambria" w:hAnsi="Cambria"/>
          <w:color w:val="1d3557"/>
          <w:sz w:val="22"/>
        </w:rPr>
        <w:t xml:space="preserve">All telemetry data, breach classifications, and financial releases under this Annex W are recorded in the Shared Digital Registry established under Annex U, Article 5. The Registry's automated geolocation and breach detection tools apply to maritime incidents.</w:t>
      </w:r>
    </w:p>
    <w:p>
      <w:pPr>
        <w:pStyle w:val="Heading2"/>
        <w:keepNext/>
        <w:keepLines/>
        <w:spacing w:before="320" w:after="120"/>
      </w:pPr>
      <w:r>
        <w:rPr>
          <w:rFonts w:ascii="Cambria" w:hAnsi="Cambria"/>
          <w:b/>
          <w:color w:val="1d3557"/>
          <w:sz w:val="26"/>
        </w:rPr>
        <w:t xml:space="preserve">9.5 No Amendment of Parent Framework</w:t>
      </w:r>
    </w:p>
    <w:p>
      <w:pPr>
        <w:spacing w:before="120" w:after="160" w:line="276" w:lineRule="auto"/>
        <w:jc w:val="both"/>
      </w:pPr>
      <w:r>
        <w:rPr>
          <w:rFonts w:ascii="Cambria" w:hAnsi="Cambria"/>
          <w:color w:val="1d3557"/>
          <w:sz w:val="22"/>
        </w:rPr>
        <w:t xml:space="preserve">This Annex W does not amend the parent framework. It is a modular, self-contained addendum that supplements Annexes N.a, T, U, and V. All parent framework provisions remain operative.</w:t>
      </w:r>
    </w:p>
    <w:p>
      <w:pPr>
        <w:pStyle w:val="Heading1"/>
        <w:keepNext/>
        <w:keepLines/>
        <w:spacing w:before="480" w:after="200"/>
      </w:pPr>
      <w:r>
        <w:rPr>
          <w:rFonts w:ascii="Cambria" w:hAnsi="Cambria"/>
          <w:b/>
          <w:color w:val="3d5a80"/>
          <w:sz w:val="32"/>
        </w:rPr>
        <w:t xml:space="preserve">Article 10: Incorporation by Reference</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This Annex W is incorporable into any existing or future agreement through the following adoption sentence:</w:t>
      </w:r>
    </w:p>
    <w:p>
      <w:pPr>
        <w:spacing w:before="120" w:after="120" w:line="276" w:lineRule="auto"/>
        <w:ind w:left="720" w:right="720"/>
      </w:pPr>
      <w:r>
        <w:rPr>
          <w:rFonts w:ascii="Cambria" w:hAnsi="Cambria"/>
          <w:i/>
          <w:color w:val="457b9d"/>
          <w:sz w:val="22"/>
        </w:rPr>
        <w:t xml:space="preserve">"The Parties adopt Annex W (Maritime Telemetry &amp; Dual-Key Transit Protocol) as an operative provision of this Agreement. In the event of any inconsistency, Annex W governs with respect to maritime telemetry, dual-key transit authorization, immediate conditional reopening, performance-based asset releases, automated breach triggers, earnback procedures, emergency break points, and the Real-Time Compliance Dashboard."</w:t>
      </w:r>
    </w:p>
    <w:p>
      <w:pPr>
        <w:spacing w:before="120" w:after="160" w:line="276" w:lineRule="auto"/>
        <w:jc w:val="both"/>
      </w:pPr>
      <w:r>
        <w:rPr>
          <w:rFonts w:ascii="Cambria" w:hAnsi="Cambria"/>
          <w:color w:val="1d3557"/>
          <w:sz w:val="22"/>
        </w:rPr>
        <w:t xml:space="preserve">No amendment of the parent framework is needed. This Annex W enters into force upon signature by both Parties or upon provisional application by exchange of diplomatic notes.</w:t>
      </w:r>
    </w:p>
    <w:p>
      <w:pPr>
        <w:pStyle w:val="Heading1"/>
        <w:keepNext/>
        <w:keepLines/>
        <w:spacing w:before="480" w:after="200"/>
      </w:pPr>
      <w:r>
        <w:rPr>
          <w:rFonts w:ascii="Cambria" w:hAnsi="Cambria"/>
          <w:b/>
          <w:color w:val="3d5a80"/>
          <w:sz w:val="32"/>
        </w:rPr>
        <w:t xml:space="preserve">Article 11: Provisional Application</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The Parties apply this Annex W provisionally for 90 days, pending formal incorporation. Exchange of diplomatic notes between the United States and the Islamic Republic of Iran effects provisional application, with notification to the Joint Secretariat.</w:t>
      </w:r>
    </w:p>
    <w:p>
      <w:pPr>
        <w:spacing w:before="120" w:after="160" w:line="276" w:lineRule="auto"/>
        <w:jc w:val="both"/>
      </w:pPr>
      <w:r>
        <w:rPr>
          <w:rFonts w:ascii="Cambria" w:hAnsi="Cambria"/>
          <w:color w:val="1d3557"/>
          <w:sz w:val="22"/>
        </w:rPr>
        <w:t xml:space="preserve">During provisional application, all provisions of this Annex W are operative and binding, including: the full telemetry infrastructure; dual-key authorization; immediate conditional reopening; performance-based asset releases; automated breach triggers; the Real-Time Compliance Dashboard; and emergency break-point protocols.</w:t>
      </w:r>
    </w:p>
    <w:p>
      <w:pPr>
        <w:spacing w:before="120" w:after="160" w:line="276" w:lineRule="auto"/>
        <w:jc w:val="both"/>
      </w:pPr>
      <w:r>
        <w:rPr>
          <w:rFonts w:ascii="Cambria" w:hAnsi="Cambria"/>
          <w:color w:val="1d3557"/>
          <w:sz w:val="22"/>
        </w:rPr>
        <w:t xml:space="preserve">Either Party terminates provisional application with 14 days' written notice to the Joint Secretariat and all guarantor states. Termination does not affect:</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Telemetry data collected during provisional application</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Financial tranches already released</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Breach classifications that occurred during provisional application</w:t>
      </w:r>
    </w:p>
    <w:p>
      <w:pPr>
        <w:pStyle w:val="Heading1"/>
        <w:keepNext/>
        <w:keepLines/>
        <w:spacing w:before="480" w:after="200"/>
      </w:pPr>
      <w:r>
        <w:rPr>
          <w:rFonts w:ascii="Cambria" w:hAnsi="Cambria"/>
          <w:b/>
          <w:color w:val="3d5a80"/>
          <w:sz w:val="32"/>
        </w:rPr>
        <w:t xml:space="preserve">Appendix A: Victory Speech Templates (Non-Binding Political Communication)</w:t>
      </w:r>
    </w:p>
    <w:p>
      <w:pPr>
        <w:spacing w:before="120" w:after="160" w:line="276" w:lineRule="auto"/>
        <w:jc w:val="both"/>
      </w:pPr>
      <w:r>
        <w:rPr>
          <w:rFonts w:ascii="Cambria" w:hAnsi="Cambria"/>
          <w:color w:val="1d3557"/>
          <w:sz w:val="22"/>
        </w:rPr>
        <w:t xml:space="preserve">The following speech templates are provided as illustrative political framing guidance for the Parties. These templates carry no operative legal force and do not constitute binding obligations under this Annex W. Their purpose is to lock in mutually acceptable narrative frames that both Parties deploy simultaneously upon signature, preventing a "race to define the agreement" that undermines domestic ratification in either capital.</w:t>
      </w:r>
    </w:p>
    <w:p>
      <w:pPr>
        <w:keepNext/>
        <w:spacing w:before="360" w:after="120"/>
      </w:pPr>
      <w:r>
        <w:rPr>
          <w:rFonts w:ascii="Cambria" w:hAnsi="Cambria"/>
          <w:b/>
          <w:color w:val="3d5a80"/>
          <w:sz w:val="22"/>
        </w:rPr>
        <w:t xml:space="preserve">A.1 Islamic Republic of Iran</w:t>
      </w:r>
    </w:p>
    <w:p>
      <w:pPr>
        <w:spacing w:before="200" w:after="60"/>
      </w:pPr>
      <w:r>
        <w:rPr>
          <w:rFonts w:ascii="Cambria" w:hAnsi="Cambria"/>
          <w:b/>
          <w:color w:val="457b9d"/>
          <w:sz w:val="20"/>
        </w:rPr>
        <w:t>Iran:</w:t>
      </w:r>
    </w:p>
    <w:p>
      <w:pPr>
        <w:spacing w:before="40" w:after="40" w:line="276" w:lineRule="auto"/>
        <w:ind w:left="720" w:right="720"/>
      </w:pPr>
      <w:r>
        <w:rPr>
          <w:rFonts w:ascii="Cambria" w:hAnsi="Cambria"/>
          <w:i/>
          <w:color w:val="1d3557"/>
          <w:sz w:val="20"/>
        </w:rPr>
        <w:t xml:space="preserve">“Today, the Islamic Republic of Iran has achieved a historic victory. Within hours of this agreement taking effect, $2 billion of Iran's sovereign assets — frozen for years — have been returned to the Iranian nation. This is not aid. This is not charity. This is Iran's property, restored.”</w:t>
      </w:r>
    </w:p>
    <w:p>
      <w:pPr>
        <w:spacing w:before="40" w:after="40" w:line="276" w:lineRule="auto"/>
        <w:ind w:left="720" w:right="720"/>
      </w:pPr>
      <w:r>
        <w:rPr>
          <w:rFonts w:ascii="Cambria" w:hAnsi="Cambria"/>
          <w:i/>
          <w:color w:val="1d3557"/>
          <w:sz w:val="20"/>
        </w:rPr>
        <w:t xml:space="preserve">“The nuclear dust left by the aggressors' military strikes is being removed from Iranian soil — under Iranian sovereignty, by international technical teams operating with Iranian approval and dual-key control. The IAEA confirms that Iran's nuclear program is moving toward peaceful, civilian energy production, not weapons.”</w:t>
      </w:r>
    </w:p>
    <w:p>
      <w:pPr>
        <w:spacing w:before="40" w:after="40" w:line="276" w:lineRule="auto"/>
        <w:ind w:left="720" w:right="720"/>
      </w:pPr>
      <w:r>
        <w:rPr>
          <w:rFonts w:ascii="Cambria" w:hAnsi="Cambria"/>
          <w:i/>
          <w:color w:val="1d3557"/>
          <w:sz w:val="20"/>
        </w:rPr>
        <w:t xml:space="preserve">“The Strait of Hormuz — Iran's strategic waterway — is now open under joint authority where Iran holds a permanent seat and a veto on governance questions. The PGSA continues to exercise Iranian coastal sovereignty. The United States has not imposed tolls. Iran's rights under UNCLOS are fully preserved.”</w:t>
      </w:r>
    </w:p>
    <w:p>
      <w:pPr>
        <w:spacing w:before="40" w:after="40" w:line="276" w:lineRule="auto"/>
        <w:ind w:left="720" w:right="720"/>
      </w:pPr>
      <w:r>
        <w:rPr>
          <w:rFonts w:ascii="Cambria" w:hAnsi="Cambria"/>
          <w:i/>
          <w:color w:val="1d3557"/>
          <w:sz w:val="20"/>
        </w:rPr>
        <w:t xml:space="preserve">“The Iranian nation has prevailed through resistance, wisdom, and sovereign choice. This agreement proves that maximum pressure failed — and Iran's strategic patience succeeded.”</w:t>
      </w:r>
    </w:p>
    <w:p>
      <w:pPr>
        <w:keepNext/>
        <w:spacing w:before="360" w:after="120"/>
      </w:pPr>
      <w:r>
        <w:rPr>
          <w:rFonts w:ascii="Cambria" w:hAnsi="Cambria"/>
          <w:b/>
          <w:color w:val="3d5a80"/>
          <w:sz w:val="22"/>
        </w:rPr>
        <w:t xml:space="preserve">A.2 United States of America</w:t>
      </w:r>
    </w:p>
    <w:p>
      <w:pPr>
        <w:spacing w:before="200" w:after="60"/>
      </w:pPr>
      <w:r>
        <w:rPr>
          <w:rFonts w:ascii="Cambria" w:hAnsi="Cambria"/>
          <w:b/>
          <w:color w:val="457b9d"/>
          <w:sz w:val="20"/>
        </w:rPr>
        <w:t>United States:</w:t>
      </w:r>
    </w:p>
    <w:p>
      <w:pPr>
        <w:spacing w:before="40" w:after="40" w:line="276" w:lineRule="auto"/>
        <w:ind w:left="720" w:right="720"/>
      </w:pPr>
      <w:r>
        <w:rPr>
          <w:rFonts w:ascii="Cambria" w:hAnsi="Cambria"/>
          <w:i/>
          <w:color w:val="1d3557"/>
          <w:sz w:val="20"/>
        </w:rPr>
        <w:t xml:space="preserve">“Today, the United States has secured a major national security victory. The Strait of Hormuz — the world's most dangerous chokepoint — is open for business, effective immediately. No tolls. No Iranian fees. International shipping transits freely, and American gas prices begin falling within weeks.”</w:t>
      </w:r>
    </w:p>
    <w:p>
      <w:pPr>
        <w:spacing w:before="40" w:after="40" w:line="276" w:lineRule="auto"/>
        <w:ind w:left="720" w:right="720"/>
      </w:pPr>
      <w:r>
        <w:rPr>
          <w:rFonts w:ascii="Cambria" w:hAnsi="Cambria"/>
          <w:i/>
          <w:color w:val="1d3557"/>
          <w:sz w:val="20"/>
        </w:rPr>
        <w:t xml:space="preserve">“Iran's nuclear weapons-grade material — the nuclear dust left from their program — is being removed and contained under IAEA lock and key. Iran's enrichment is capped. The breakout time that threatened Israel and our Gulf allies has been eliminated.”</w:t>
      </w:r>
    </w:p>
    <w:p>
      <w:pPr>
        <w:spacing w:before="40" w:after="40" w:line="276" w:lineRule="auto"/>
        <w:ind w:left="720" w:right="720"/>
      </w:pPr>
      <w:r>
        <w:rPr>
          <w:rFonts w:ascii="Cambria" w:hAnsi="Cambria"/>
          <w:i/>
          <w:color w:val="1d3557"/>
          <w:sz w:val="20"/>
        </w:rPr>
        <w:t xml:space="preserve">“And here's what you won't hear from the media: Iran got no new money from tolls. Their own frozen assets — $2 billion released today, more as they comply — are being returned as performance-based relief, verified in real time by IAEA sensors and JHA telemetry. No concessions. No capitulation. Just maximum pressure delivering maximum results.”</w:t>
      </w:r>
    </w:p>
    <w:p>
      <w:pPr>
        <w:pStyle w:val="Heading1"/>
        <w:keepNext/>
        <w:keepLines/>
        <w:spacing w:before="480" w:after="200"/>
      </w:pPr>
      <w:r>
        <w:rPr>
          <w:rFonts w:ascii="Cambria" w:hAnsi="Cambria"/>
          <w:b/>
          <w:color w:val="3d5a80"/>
          <w:sz w:val="32"/>
        </w:rPr>
        <w:t xml:space="preserve">Signature Block</w:t>
      </w:r>
    </w:p>
    <w:p>
      <w:pPr>
        <w:spacing w:before="120" w:after="160" w:line="276" w:lineRule="auto"/>
        <w:jc w:val="both"/>
      </w:pPr>
      <w:r>
        <w:rPr>
          <w:rFonts w:ascii="Cambria" w:hAnsi="Cambria"/>
          <w:color w:val="1d3557"/>
          <w:sz w:val="22"/>
        </w:rPr>
        <w:t xml:space="preserve">In witness whereof, the undersigned, being duly authorized by their respective governments, have signed this Annex W: Maritime Telemetry &amp; Dual-Key Transit Protocol.</w:t>
      </w:r>
    </w:p>
    <w:p>
      <w:pPr>
        <w:spacing w:before="120" w:after="160" w:line="276" w:lineRule="auto"/>
        <w:jc w:val="both"/>
      </w:pPr>
      <w:r>
        <w:rPr>
          <w:rFonts w:ascii="Cambria" w:hAnsi="Cambria"/>
          <w:color w:val="1d3557"/>
          <w:sz w:val="22"/>
        </w:rPr>
        <w:t xml:space="preserve">Done at ____________________, this _______ day of _____________________, 2026, in triplicate in the English language.</w:t>
      </w:r>
    </w:p>
    <w:p>
      <w:pPr>
        <w:spacing w:before="600"/>
      </w:pPr>
    </w:p>
    <w:p>
      <w:r>
        <w:rPr>
          <w:rFonts w:ascii="Cambria" w:hAnsi="Cambria"/>
          <w:b/>
          <w:color w:val="1d3557"/>
          <w:sz w:val="22"/>
        </w:rPr>
        <w:t>For the Islamic Republic of Iran (as affected Party and Iran Key holder, designating PGSA liaison to JHA MCC):</w:t>
      </w:r>
    </w:p>
    <w:p>
      <w:r>
        <w:t>Name: ____________________</w:t>
      </w:r>
    </w:p>
    <w:p>
      <w:r>
        <w:t>Title: ____________________</w:t>
      </w:r>
    </w:p>
    <w:p>
      <w:r>
        <w:t>Date: ____________________</w:t>
      </w:r>
    </w:p>
    <w:p>
      <w:pPr>
        <w:spacing w:before="400"/>
      </w:pPr>
    </w:p>
    <w:p>
      <w:r>
        <w:rPr>
          <w:rFonts w:ascii="Cambria" w:hAnsi="Cambria"/>
          <w:b/>
          <w:color w:val="1d3557"/>
          <w:sz w:val="22"/>
        </w:rPr>
        <w:t>For the United States of America (as endorsing Party, maintaining non-recognition of PGSA as tolling authority):</w:t>
      </w:r>
    </w:p>
    <w:p>
      <w:r>
        <w:t>Name: ____________________</w:t>
      </w:r>
    </w:p>
    <w:p>
      <w:r>
        <w:t>Title: ____________________</w:t>
      </w:r>
    </w:p>
    <w:p>
      <w:r>
        <w:t>Date: ____________________</w:t>
      </w:r>
    </w:p>
    <w:p>
      <w:pPr>
        <w:spacing w:before="400"/>
      </w:pPr>
    </w:p>
    <w:p>
      <w:r>
        <w:rPr>
          <w:rFonts w:ascii="Cambria" w:hAnsi="Cambria"/>
          <w:b/>
          <w:color w:val="1d3557"/>
          <w:sz w:val="22"/>
        </w:rPr>
        <w:t>For the Sultanate of Oman (as JHA MCC host and JHA Key holder):</w:t>
      </w:r>
    </w:p>
    <w:p>
      <w:r>
        <w:t>Name: ____________________</w:t>
      </w:r>
    </w:p>
    <w:p>
      <w:r>
        <w:t>Title: ____________________</w:t>
      </w:r>
    </w:p>
    <w:p>
      <w:r>
        <w:t>Date: ____________________</w:t>
      </w:r>
    </w:p>
    <w:p>
      <w:pPr>
        <w:spacing w:before="400"/>
      </w:pPr>
    </w:p>
    <w:p>
      <w:r>
        <w:rPr>
          <w:rFonts w:ascii="Cambria" w:hAnsi="Cambria"/>
          <w:b/>
          <w:color w:val="1d3557"/>
          <w:sz w:val="22"/>
        </w:rPr>
        <w:t>For the Persian Gulf Strait Authority (PGSA) — acknowledged as existing Iranian administrative body for functional coordination; no US recognition of separate legal personality or tolling authority:</w:t>
      </w:r>
    </w:p>
    <w:p>
      <w:r>
        <w:t>Name: ____________________</w:t>
      </w:r>
    </w:p>
    <w:p>
      <w:r>
        <w:t>Title: PGSA Liaison Officer to JHA MCC</w:t>
      </w:r>
    </w:p>
    <w:p>
      <w:r>
        <w:t>Date: ____________________</w:t>
      </w:r>
    </w:p>
    <w:p>
      <w:pPr>
        <w:spacing w:before="400"/>
      </w:pPr>
    </w:p>
    <w:p>
      <w:r>
        <w:rPr>
          <w:rFonts w:ascii="Cambria" w:hAnsi="Cambria"/>
          <w:b/>
          <w:color w:val="1d3557"/>
          <w:sz w:val="22"/>
        </w:rPr>
        <w:t>For the International Atomic Energy Agency (as verification observer):</w:t>
      </w:r>
    </w:p>
    <w:p>
      <w:r>
        <w:t>Name: Rafael Mariano Grossi, Director General</w:t>
      </w:r>
    </w:p>
    <w:p>
      <w:r>
        <w:t>Date: ____________________</w:t>
      </w:r>
    </w:p>
    <w:p>
      <w:pPr>
        <w:spacing w:before="400"/>
      </w:pPr>
    </w:p>
    <w:p>
      <w:r>
        <w:rPr>
          <w:rFonts w:ascii="Cambria" w:hAnsi="Cambria"/>
          <w:b/>
          <w:color w:val="1d3557"/>
          <w:sz w:val="22"/>
        </w:rPr>
        <w:t>Witnessed by:</w:t>
      </w:r>
    </w:p>
    <w:tbl>
      <w:tblPr>
        <w:tblW w:w="5000" w:type="pct"/>
        <w:tblBorders>
          <w:top w:val="single" w:color="3d5a80" w:sz="12"/>
          <w:left w:val="nil"/>
          <w:bottom w:val="single" w:color="3d5a80" w:sz="12"/>
          <w:right w:val="nil"/>
          <w:insideH w:val="single" w:color="d0d5dd" w:sz="4"/>
          <w:insideV w:val="nil"/>
        </w:tblBorders>
      </w:tblPr>
      <w:tblGrid>
        <w:gridCol w:w="4300"/>
        <w:gridCol w:w="4300"/>
      </w:tblGrid>
      <w:tr>
        <w:tc>
          <w:tcPr>
            <w:tcW w:w="4300" w:type="dxa"/>
          </w:tcPr>
          <w:p>
            <w:pPr>
              <w:spacing w:before="60" w:after="60" w:line="240" w:lineRule="auto"/>
              <w:jc w:val="left"/>
            </w:pPr>
            <w:r>
              <w:rPr>
                <w:color w:val="457b9d"/>
                <w:sz w:val="20"/>
              </w:rPr>
              <w:t xml:space="preserve">Joint Secretariat (Muscat)</w:t>
            </w:r>
          </w:p>
        </w:tc>
        <w:tc>
          <w:tcPr>
            <w:tcW w:w="4300" w:type="dxa"/>
          </w:tcPr>
          <w:p>
            <w:pPr>
              <w:spacing w:before="60" w:after="60" w:line="240" w:lineRule="auto"/>
              <w:jc w:val="left"/>
            </w:pPr>
            <w:r>
              <w:rPr>
                <w:color w:val="457b9d"/>
                <w:sz w:val="20"/>
              </w:rPr>
              <w:t xml:space="preserve">People's Republic of China (as technical observer)</w:t>
            </w:r>
          </w:p>
        </w:tc>
      </w:tr>
      <w:tr>
        <w:tc>
          <w:tcPr>
            <w:tcW w:w="4300" w:type="dxa"/>
          </w:tcPr>
          <w:p>
            <w:pPr>
              <w:spacing w:before="60" w:after="60" w:line="240" w:lineRule="auto"/>
              <w:jc w:val="left"/>
            </w:pPr>
            <w:r>
              <w:rPr>
                <w:color w:val="457b9d"/>
                <w:sz w:val="20"/>
              </w:rPr>
              <w:t xml:space="preserve">Russian Federation (as escrow guarantor)</w:t>
            </w:r>
          </w:p>
        </w:tc>
        <w:tc>
          <w:tcPr>
            <w:tcW w:w="4300" w:type="dxa"/>
          </w:tcPr>
          <w:p>
            <w:pPr>
              <w:spacing w:before="60" w:after="60" w:line="240" w:lineRule="auto"/>
              <w:jc w:val="left"/>
            </w:pPr>
            <w:r>
              <w:rPr>
                <w:color w:val="457b9d"/>
                <w:sz w:val="20"/>
              </w:rPr>
              <w:t xml:space="preserve">European Union (E3+ — United Kingdom, France, Germany, and EU representative)</w:t>
            </w:r>
          </w:p>
        </w:tc>
      </w:tr>
    </w:tbl>
    <w:p>
      <w:pPr>
        <w:sectPr>
          <w:headerReference w:type="default" r:id="Rabf5f19b2580496c"/>
          <w:footerReference w:type="default" r:id="Rac761a3f33a6404e"/>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7f5c83a48e794c41"/>
                    <a:stretch>
                      <a:fillRect/>
                    </a:stretch>
                  </pic:blipFill>
                  <pic:spPr>
                    <a:xfrm>
                      <a:off x="0" y="0"/>
                      <a:ext cx="7560000" cy="10692000"/>
                    </a:xfrm>
                    <a:prstGeom prst="rect"/>
                  </pic:spPr>
                </pic:pic>
              </a:graphicData>
            </a:graphic>
          </wp:anchor>
        </w:drawing>
      </w:r>
    </w:p>
    <w:p>
      <w:pPr>
        <w:spacing w:before="7000"/>
      </w:pPr>
      <w:r/>
    </w:p>
    <w:p>
      <w:pPr>
        <w:jc w:val="center"/>
      </w:pPr>
      <w:r>
        <w:rPr>
          <w:rFonts w:ascii="Cambria" w:hAnsi="Cambria"/>
          <w:color w:val="e0e6ed"/>
          <w:spacing w:val="30"/>
          <w:sz w:val="48"/>
        </w:rPr>
        <w:t>Annex W</w:t>
      </w:r>
    </w:p>
    <w:p>
      <w:pPr>
        <w:spacing w:before="400"/>
        <w:jc w:val="center"/>
      </w:pPr>
      <w:r>
        <w:rPr>
          <w:rFonts w:ascii="Cambria" w:hAnsi="Cambria"/>
          <w:color w:val="e0e6ed"/>
          <w:sz w:val="28"/>
        </w:rPr>
        <w:t>Maritime Telemetry &amp; Dual-Key Transit Protocol</w:t>
      </w:r>
    </w:p>
    <w:p>
      <w:pPr>
        <w:spacing w:before="600"/>
        <w:jc w:val="center"/>
      </w:pPr>
      <w:r>
        <w:rPr>
          <w:rFonts w:ascii="Cambria" w:hAnsi="Cambria"/>
          <w:color w:val="b8860b"/>
          <w:sz w:val="20"/>
        </w:rPr>
        <w:t>Version 1.5  |  Integrated Stabilization Measure</w:t>
      </w:r>
    </w:p>
    <w:p>
      <w:pPr>
        <w:spacing w:before="200"/>
        <w:jc w:val="center"/>
      </w:pPr>
      <w:r>
        <w:rPr>
          <w:rFonts w:ascii="Cambria" w:hAnsi="Cambria"/>
          <w:color w:val="8d99ae"/>
          <w:sz w:val="18"/>
        </w:rPr>
        <w:t>Self-Contained  |  Incorporable by Reference  |  Confidential</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mbria" w:hAnsi="Cambria"/>
        <w:color w:val="8d99ae"/>
        <w:sz w:val="18"/>
      </w:rPr>
      <w:fldChar w:fldCharType="begin"/>
    </w:r>
    <w:r>
      <w:rPr>
        <w:rFonts w:ascii="Cambria" w:hAnsi="Cambria"/>
        <w:color w:val="8d99ae"/>
        <w:sz w:val="18"/>
      </w:rPr>
      <w:instrText xml:space="preserve"> PAGE </w:instrText>
    </w:r>
    <w:r>
      <w:rPr>
        <w:rFonts w:ascii="Cambria" w:hAnsi="Cambria"/>
        <w:color w:val="8d99ae"/>
        <w:sz w:val="18"/>
      </w:rPr>
      <w:fldChar w:fldCharType="separate"/>
    </w:r>
    <w:r>
      <w:rPr>
        <w:rFonts w:ascii="Cambria" w:hAnsi="Cambria"/>
        <w:color w:val="8d99ae"/>
        <w:sz w:val="18"/>
      </w:rPr>
      <w:t>1</w:t>
    </w:r>
    <w:r>
      <w:rPr>
        <w:rFonts w:ascii="Cambria" w:hAnsi="Cambria"/>
        <w:color w:val="8d99ae"/>
        <w:sz w:val="18"/>
      </w:rPr>
      <w:fldChar w:fldCharType="end"/>
    </w:r>
  </w:p>
</w:ftr>
</file>

<file path=word/header1.xml><?xml version="1.0" encoding="utf-8"?>
<w:hdr xmlns:w="http://schemas.openxmlformats.org/wordprocessingml/2006/main">
  <w:p>
    <w:pPr>
      <w:jc w:val="right"/>
    </w:pPr>
    <w:r>
      <w:rPr>
        <w:rFonts w:ascii="Cambria" w:hAnsi="Cambria"/>
        <w:color w:val="8d99ae"/>
        <w:sz w:val="18"/>
      </w:rPr>
      <w:t>Annex W  |  Maritime Telemetry &amp; Dual-Key Transit Protocol</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76" w:lineRule="auto"/>
    </w:pPr>
    <w:rPr>
      <w:rFonts w:ascii="Cambria" w:hAnsi="Cambria"/>
      <w:color w:val="1d3557"/>
      <w:sz w:val="22"/>
    </w:rPr>
  </w:style>
  <w:style w:type="paragraph" w:styleId="Heading1">
    <w:name w:val="heading 1"/>
    <w:basedOn w:val="Normal"/>
    <w:pPr>
      <w:keepNext/>
      <w:keepLines/>
      <w:spacing w:before="400" w:after="200"/>
      <w:outlineLvl w:val="0"/>
    </w:pPr>
    <w:rPr>
      <w:rFonts w:ascii="Cambria" w:hAnsi="Cambria"/>
      <w:b/>
      <w:color w:val="3d5a80"/>
      <w:sz w:val="32"/>
    </w:rPr>
  </w:style>
  <w:style w:type="paragraph" w:styleId="Heading2">
    <w:name w:val="heading 2"/>
    <w:basedOn w:val="Normal"/>
    <w:pPr>
      <w:keepNext/>
      <w:keepLines/>
      <w:spacing w:before="280" w:after="120"/>
      <w:outlineLvl w:val="1"/>
    </w:pPr>
    <w:rPr>
      <w:rFonts w:ascii="Cambria" w:hAnsi="Cambria"/>
      <w:b/>
      <w:color w:val="1d3557"/>
      <w:sz w:val="26"/>
    </w:rPr>
  </w:style>
</w:styles>
</file>

<file path=word/_rels/document.xml.rels><?xml version='1.0' encoding='UTF-8'?>
<Relationships xmlns="http://schemas.openxmlformats.org/package/2006/relationships"><Relationship Id="R2cfebd8221b94e5e" Type="http://schemas.openxmlformats.org/officeDocument/2006/relationships/image" Target="media/image.png" /><Relationship Id="R7f5c83a48e794c41" Type="http://schemas.openxmlformats.org/officeDocument/2006/relationships/image" Target="media/image2.png" /><Relationship Id="Rab41e45603ca45d0" Type="http://schemas.openxmlformats.org/officeDocument/2006/relationships/styles" Target="styles.xml" /><Relationship Id="Rabf5f19b2580496c" Type="http://schemas.openxmlformats.org/officeDocument/2006/relationships/header" Target="header1.xml" /><Relationship Id="Rac761a3f33a6404e" Type="http://schemas.openxmlformats.org/officeDocument/2006/relationships/footer" Target="footer1.xml" /><Relationship Id="Rd9addb09aa1b41c0" Type="http://schemas.openxmlformats.org/officeDocument/2006/relationships/settings" Target="settings.xml" /></Relationships>
</file>