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EndnoteText"/>
        <w:spacing w:after="60" w:before="480"/>
        <w:jc w:val="center"/>
      </w:pPr>
      <w:r>
        <w:rPr>
          <w:b/>
          <w:color w:val="9C7A2E"/>
          <w:sz w:val="22"/>
          <w:szCs w:val="22"/>
          <w:rFonts w:ascii="Calibri" w:hAnsi="Calibri" w:eastAsia="Calibri" w:cs="Calibri"/>
          <w:caps/>
        </w:rPr>
        <w:t>DIPLOMATIC WORKING DOCUMENT</w:t>
      </w:r>
    </w:p>
    <w:p>
      <w:pPr>
        <w:pStyle w:val="EndnoteText"/>
        <w:pBdr>
          <w:bottom w:val="single" w:color="9C7A2E" w:sz="12" w:space="6"/>
        </w:pBdr>
        <w:spacing w:after="40"/>
        <w:jc w:val="center"/>
      </w:pPr>
      <w:r>
        <w:rPr>
          <w:rFonts w:ascii="Calibri" w:hAnsi="Calibri" w:eastAsia="Calibri" w:cs="Calibri"/>
          <w:color w:val="232323"/>
          <w:sz w:val="21"/>
          <w:szCs w:val="20"/>
        </w:rPr>
        <w:t/>
      </w:r>
    </w:p>
    <w:p>
      <w:pPr>
        <w:pStyle w:val="EndnoteText"/>
        <w:spacing w:after="40" w:before="200"/>
        <w:jc w:val="center"/>
      </w:pPr>
      <w:r>
        <w:rPr>
          <w:b/>
          <w:color w:val="1F3B5B"/>
          <w:sz w:val="60"/>
          <w:szCs w:val="60"/>
          <w:rFonts w:ascii="Calibri" w:hAnsi="Calibri" w:eastAsia="Calibri" w:cs="Calibri"/>
        </w:rPr>
        <w:t>THE SUNFLOWER ACCORD</w:t>
      </w:r>
    </w:p>
    <w:p>
      <w:pPr>
        <w:pStyle w:val="EndnoteText"/>
        <w:spacing w:after="220"/>
        <w:jc w:val="center"/>
      </w:pPr>
      <w:r>
        <w:rPr>
          <w:color w:val="2E5E8C"/>
          <w:sz w:val="30"/>
          <w:szCs w:val="30"/>
          <w:rFonts w:ascii="Calibri" w:hAnsi="Calibri" w:eastAsia="Calibri" w:cs="Calibri"/>
        </w:rPr>
        <w:t>Integrated Memorandum of Understanding and Phased Peace Architecture</w:t>
      </w:r>
    </w:p>
    <w:p>
      <w:pPr>
        <w:pStyle w:val="EndnoteText"/>
        <w:spacing w:after="30"/>
        <w:jc w:val="center"/>
      </w:pPr>
      <w:r>
        <w:rPr>
          <w:i/>
          <w:color w:val="555555"/>
          <w:sz w:val="24"/>
          <w:szCs w:val="24"/>
          <w:rFonts w:ascii="Calibri" w:hAnsi="Calibri" w:eastAsia="Calibri" w:cs="Calibri"/>
        </w:rPr>
        <w:t>A Bridging Instrument for United States – Islamic Republic of Iran Stabilization</w:t>
      </w:r>
    </w:p>
    <w:p>
      <w:pPr>
        <w:pStyle w:val="EndnoteText"/>
        <w:spacing w:after="260"/>
        <w:jc w:val="center"/>
      </w:pPr>
      <w:r>
        <w:rPr>
          <w:b/>
          <w:color w:val="9C7A2E"/>
          <w:sz w:val="22"/>
          <w:szCs w:val="22"/>
          <w:rFonts w:ascii="Calibri" w:hAnsi="Calibri" w:eastAsia="Calibri" w:cs="Calibri"/>
        </w:rPr>
        <w:t>Phase I Signing Instrument · Phase II Convergence · Phase III Normalization</w:t>
      </w:r>
    </w:p>
    <w:p>
      <w:pPr>
        <w:pStyle w:val="EndnoteText"/>
        <w:pBdr>
          <w:top w:val="single" w:color="C9C9C9" w:sz="6" w:space="6"/>
          <w:bottom w:val="single" w:color="C9C9C9" w:sz="6" w:space="6"/>
        </w:pBdr>
        <w:spacing w:after="40"/>
        <w:jc w:val="center"/>
      </w:pPr>
      <w:r>
        <w:rPr>
          <w:color w:val="1F3B5B"/>
          <w:sz w:val="22"/>
          <w:szCs w:val="22"/>
          <w:rFonts w:ascii="Calibri" w:hAnsi="Calibri" w:eastAsia="Calibri" w:cs="Calibri"/>
        </w:rPr>
        <w:t xml:space="preserve">Version 5.0  ·  June 2026  ·  Final Negotiating Text</w:t>
      </w:r>
    </w:p>
    <w:p>
      <w:pPr>
        <w:pStyle w:val="EndnoteText"/>
        <w:spacing w:after="40" w:before="220"/>
        <w:jc w:val="center"/>
      </w:pPr>
      <w:r>
        <w:rPr>
          <w:color w:val="555555"/>
          <w:sz w:val="20"/>
          <w:szCs w:val="20"/>
          <w:rFonts w:ascii="Calibri" w:hAnsi="Calibri" w:eastAsia="Calibri" w:cs="Calibri"/>
        </w:rPr>
        <w:t>Built on the Stability First Enhanced Accord as operative core, and on the</w:t>
      </w:r>
    </w:p>
    <w:p>
      <w:pPr>
        <w:spacing w:after="40"/>
        <w:jc w:val="center"/>
      </w:pPr>
      <w:r>
        <w:rPr>
          <w:color w:val="555555"/>
          <w:sz w:val="20"/>
          <w:szCs w:val="20"/>
          <w:rFonts w:ascii="Calibri" w:hAnsi="Calibri" w:eastAsia="Calibri" w:cs="Calibri"/>
        </w:rPr>
        <w:t>Sunflower Seed Peace Architecture v2.5 as governing geometry. Integrates Annexes M through Z,</w:t>
      </w:r>
    </w:p>
    <w:p>
      <w:pPr>
        <w:spacing w:after="240"/>
        <w:jc w:val="center"/>
      </w:pPr>
      <w:r>
        <w:rPr>
          <w:color w:val="555555"/>
          <w:sz w:val="20"/>
          <w:szCs w:val="20"/>
          <w:rFonts w:ascii="Calibri" w:hAnsi="Calibri" w:eastAsia="Calibri" w:cs="Calibri"/>
        </w:rPr>
        <w:t>the Phase II Nuclear and Maritime Annexes, and the Final Steps / Provisional Steps lineages — with the</w:t>
      </w:r>
    </w:p>
    <w:p>
      <w:pPr>
        <w:spacing w:after="240" w:before="0"/>
        <w:jc w:val="center"/>
      </w:pPr>
      <w:r>
        <w:rPr>
          <w:color w:val="555555"/>
          <w:sz w:val="20"/>
          <w:szCs w:val="20"/>
          <w:rFonts w:ascii="Calibri" w:hAnsi="Calibri" w:eastAsia="Calibri" w:cs="Calibri"/>
        </w:rPr>
        <w:t>Provisional Steps Framework’s step-back / earn-back enforcement adopted in place of the Snap Line.</w:t>
      </w:r>
    </w:p>
    <w:p>
      <w:pPr>
        <w:spacing w:before="200"/>
        <w:jc w:val="center"/>
      </w:pPr>
      <w:r>
        <w:rPr>
          <w:b/>
          <w:bCs/>
          <w:color w:val="9C7A2E"/>
          <w:sz w:val="24"/>
          <w:szCs w:val="24"/>
          <w:rFonts w:ascii="Calibri" w:hAnsi="Calibri" w:eastAsia="Calibri" w:cs="Calibri"/>
        </w:rPr>
        <w:t>Parallel · Contained · Restored · Permanent</w:t>
      </w:r>
    </w:p>
    <w:p>
      <w:pPr>
        <w:spacing w:before="360"/>
        <w:jc w:val="center"/>
      </w:pPr>
      <w:r>
        <w:rPr>
          <w:caps/>
          <w:color w:val="888888"/>
          <w:sz w:val="16"/>
          <w:szCs w:val="16"/>
          <w:rFonts w:ascii="Calibri" w:hAnsi="Calibri" w:eastAsia="Calibri" w:cs="Calibri"/>
        </w:rPr>
        <w:t>AUTHORIZED NEGOTIATORS ONLY — CONFIDENTIAL — NOT FOR PUBLIC DISTRIBUTION</w:t>
      </w:r>
    </w:p>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Contents</w:t>
      </w:r>
    </w:p>
    <w:p>
      <w:pPr>
        <w:pStyle w:val="EndnoteText"/>
        <w:spacing w:after="140" w:before="0" w:line="276"/>
      </w:pPr>
      <w:r>
        <w:rPr>
          <w:i/>
          <w:color w:val="777777"/>
          <w:sz w:val="19"/>
          <w:szCs w:val="19"/>
          <w:rFonts w:ascii="Calibri" w:hAnsi="Calibri" w:eastAsia="Calibri" w:cs="Calibri"/>
        </w:rPr>
        <w:t>Right-click the field below and select “Update Field”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Mediator’s Preface: How This Instrument Works</w:t>
      </w:r>
    </w:p>
    <w:p>
      <w:pPr>
        <w:pStyle w:val="EndnoteText"/>
        <w:spacing w:after="140" w:before="0" w:line="276"/>
      </w:pPr>
      <w:r>
        <w:rPr>
          <w:rFonts w:ascii="Calibri" w:hAnsi="Calibri" w:eastAsia="Calibri" w:cs="Calibri"/>
          <w:color w:val="232323"/>
          <w:sz w:val="21"/>
          <w:szCs w:val="20"/>
        </w:rPr>
        <w:t>This document exists to close the last distance. Every prior text in this lineage — the Stability First Enhanced Accord and its 14-Day Implementation Directive, the Final Steps Accord, the Provisional Steps Framework, the Sunflower Seed Peace Architecture, and Annexes M through Z — solves a piece of the problem. None of them, standing alone, is a thing two leaders sign in the same room on the same morning. This instrument is that thing.</w:t>
      </w:r>
    </w:p>
    <w:p>
      <w:pPr>
        <w:pStyle w:val="EndnoteText"/>
        <w:spacing w:after="140" w:before="0" w:line="276"/>
      </w:pPr>
      <w:r>
        <w:rPr>
          <w:rFonts w:ascii="Calibri" w:hAnsi="Calibri" w:eastAsia="Calibri" w:cs="Calibri"/>
          <w:color w:val="232323"/>
          <w:sz w:val="21"/>
          <w:szCs w:val="20"/>
        </w:rPr>
        <w:t xml:space="preserve">It does three jobs at once. </w:t>
      </w:r>
      <w:r>
        <w:rPr>
          <w:b/>
          <w:rFonts w:ascii="Calibri" w:hAnsi="Calibri" w:eastAsia="Calibri" w:cs="Calibri"/>
          <w:color w:val="232323"/>
          <w:sz w:val="21"/>
          <w:szCs w:val="20"/>
        </w:rPr>
        <w:t>First</w:t>
      </w:r>
      <w:r>
        <w:rPr>
          <w:rFonts w:ascii="Calibri" w:hAnsi="Calibri" w:eastAsia="Calibri" w:cs="Calibri"/>
          <w:color w:val="232323"/>
          <w:sz w:val="21"/>
          <w:szCs w:val="20"/>
        </w:rPr>
        <w:t xml:space="preserve">, it consolidates the operative Phase I core into a single signable Memorandum of Understanding (Part A). </w:t>
      </w:r>
      <w:r>
        <w:rPr>
          <w:b/>
          <w:rFonts w:ascii="Calibri" w:hAnsi="Calibri" w:eastAsia="Calibri" w:cs="Calibri"/>
          <w:color w:val="232323"/>
          <w:sz w:val="21"/>
          <w:szCs w:val="20"/>
        </w:rPr>
        <w:t>Second</w:t>
      </w:r>
      <w:r>
        <w:rPr>
          <w:rFonts w:ascii="Calibri" w:hAnsi="Calibri" w:eastAsia="Calibri" w:cs="Calibri"/>
          <w:color w:val="232323"/>
          <w:sz w:val="21"/>
          <w:szCs w:val="20"/>
        </w:rPr>
        <w:t xml:space="preserve">, it resolves the five gaps that, as of the current negotiation record, still keep the page unsigned (Part 0). </w:t>
      </w:r>
      <w:r>
        <w:rPr>
          <w:b/>
          <w:rFonts w:ascii="Calibri" w:hAnsi="Calibri" w:eastAsia="Calibri" w:cs="Calibri"/>
          <w:color w:val="232323"/>
          <w:sz w:val="21"/>
          <w:szCs w:val="20"/>
        </w:rPr>
        <w:t>Third</w:t>
      </w:r>
      <w:r>
        <w:rPr>
          <w:rFonts w:ascii="Calibri" w:hAnsi="Calibri" w:eastAsia="Calibri" w:cs="Calibri"/>
          <w:color w:val="232323"/>
          <w:sz w:val="21"/>
          <w:szCs w:val="20"/>
        </w:rPr>
        <w:t>, it writes Phase II and Phase III as fully operational architecture — not aspirations, but mechanisms with triggers, windows, and certificates — so that signature today commits both Parties to a known road rather than an open horizon (Parts B and C).</w:t>
      </w:r>
    </w:p>
    <w:p>
      <w:pPr>
        <w:pStyle w:val="EndnoteText"/>
        <w:spacing w:after="140" w:before="0" w:line="276"/>
      </w:pPr>
      <w:r>
        <w:rPr>
          <w:rFonts w:ascii="Calibri" w:hAnsi="Calibri" w:eastAsia="Calibri" w:cs="Calibri"/>
          <w:color w:val="232323"/>
          <w:sz w:val="21"/>
          <w:szCs w:val="20"/>
        </w:rPr>
        <w:t>The governing geometry is the Sunflower Seed. Phase I runs four parallel symmetrical stripes — Security, Political, Economic, Social — so no single dispute freezes the whole. Phase II is the Kernel: one contained, planned point of asymmetry where each Party gives what only it gives, in the domain where each holds the key. Phase III is the Seed Shell: full symmetry restored, locked, and made permanent. The operative engine inside that geometry is Stability First: Mirror Pairings, the PRDD compliance channel, the escrow architecture, the step-back / earn-back ladder, and the safety valves that protect both Parties from the cost of an honest mistake.</w:t>
      </w:r>
    </w:p>
    <w:p>
      <w:pPr>
        <w:pStyle w:val="EndnoteText"/>
        <w:spacing w:after="140" w:before="0" w:line="276"/>
      </w:pPr>
      <w:r>
        <w:rPr>
          <w:rFonts w:ascii="Calibri" w:hAnsi="Calibri" w:eastAsia="Calibri" w:cs="Calibri"/>
          <w:color w:val="232323"/>
          <w:sz w:val="21"/>
          <w:szCs w:val="20"/>
        </w:rPr>
        <w:t>The drafting voice follows the Immutable Present-Tense Matrix. Every clause describes a live operational reality, framed as a feature of the shared architecture rather than a concession by one Party to the other. the Framework constrains both Parties equally. Neither restrains itself for the other’s benefit; both move inside the same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FBF6E7" w:val="clear" w:color="auto"/>
            <w:tcMar>
              <w:top w:type="dxa" w:w="130"/>
              <w:left w:type="dxa" w:w="180"/>
              <w:bottom w:type="dxa" w:w="130"/>
              <w:right w:type="dxa" w:w="160"/>
            </w:tcMar>
          </w:tcPr>
          <w:p>
            <w:pPr>
              <w:pStyle w:val="EndnoteText"/>
              <w:spacing w:after="60"/>
            </w:pPr>
            <w:r>
              <w:rPr>
                <w:b/>
                <w:color w:val="1F3B5B"/>
                <w:rFonts w:ascii="Calibri" w:hAnsi="Calibri" w:eastAsia="Calibri" w:cs="Calibri"/>
                <w:sz w:val="21"/>
                <w:szCs w:val="20"/>
              </w:rPr>
              <w:t>Status of this text</w:t>
            </w:r>
          </w:p>
          <w:p>
            <w:pPr>
              <w:pStyle w:val="EndnoteText"/>
              <w:spacing w:after="60" w:line="268"/>
            </w:pPr>
            <w:r>
              <w:rPr>
                <w:rFonts w:ascii="Calibri" w:hAnsi="Calibri" w:eastAsia="Calibri" w:cs="Calibri"/>
                <w:color w:val="232323"/>
                <w:sz w:val="21"/>
                <w:szCs w:val="20"/>
              </w:rPr>
              <w:t>This instrument is a working draft for the table, not a treaty in force. It creates the structure both Parties sign into. Bracketed values mark the small number of figures that final negotiation confirms. Each integrated Annex enters by reference through a single sentence of adoption (Part D); the Annexes carry the granular technical text, and this instrument carries the architecture that holds them together.</w:t>
            </w:r>
          </w:p>
        </w:tc>
      </w:tr>
    </w:tbl>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Executive Summary</w:t>
      </w:r>
    </w:p>
    <w:p>
      <w:pPr>
        <w:pStyle w:val="EndnoteText"/>
        <w:spacing w:after="140" w:before="0" w:line="276"/>
      </w:pPr>
      <w:r>
        <w:rPr>
          <w:rFonts w:ascii="Calibri" w:hAnsi="Calibri" w:eastAsia="Calibri" w:cs="Calibri"/>
          <w:color w:val="232323"/>
          <w:sz w:val="21"/>
          <w:szCs w:val="20"/>
        </w:rPr>
        <w:t>The Sunflower Accord converts a stalled exchange into a sequenced, verified, performance-contingent peace. Iran caps and neutralizes its highly enriched uranium and reopens the Strait of Hormuz; the United States lets Iranian oil flow and releases value in escrow-protected, reversible tranches. Nobody moves alone, nothing is unconditional, no cash moves on Day 1, and either Party walks an orderly exit ramp if the other cheats.</w:t>
      </w:r>
    </w:p>
    <w:p>
      <w:pPr>
        <w:pStyle w:val="Heading2"/>
      </w:pPr>
      <w:r>
        <w:rPr>
          <w:rFonts w:ascii="Calibri" w:cs="Calibri" w:eastAsia="Calibri" w:hAnsi="Calibri"/>
          <w:b/>
          <w:color w:val="2E5E8C"/>
          <w:sz w:val="24"/>
          <w:szCs w:val="24"/>
        </w:rPr>
        <w:t>The core trade, in one paragraph</w:t>
      </w:r>
    </w:p>
    <w:p>
      <w:pPr>
        <w:pStyle w:val="EndnoteText"/>
        <w:spacing w:after="140" w:before="0" w:line="276"/>
      </w:pPr>
      <w:r>
        <w:rPr>
          <w:rFonts w:ascii="Calibri" w:hAnsi="Calibri" w:eastAsia="Calibri" w:cs="Calibri"/>
          <w:color w:val="232323"/>
          <w:sz w:val="21"/>
          <w:szCs w:val="20"/>
        </w:rPr>
        <w:t>Iran reopens Hormuz to unrestricted commercial transit and accepts a binding 3.67% enrichment cap, a twelve-year moratorium, and verified neutralization of its 60% stockpile — neutralized in-country under joint dual-key custody by default, or, by Day 730, irreversibly transformed into fertilizer, with neutral-state export available only if Iran elects it. The United States puts no cash on the table on Day 1: a $500M mutual escrow deposit releases only after thirty verified days, oil and SWIFT restore, and frozen assets stage out on a front-loaded but reversible schedule — every step tied to IAEA-verified compliance and governed by step-back and earn-back rather than an automatic cut-off. The hard nuclear and regional questions move to Phase II and Phase III on a written, binding timeline rather than dissolving into “later.”</w:t>
      </w:r>
    </w:p>
    <w:p>
      <w:pPr>
        <w:pStyle w:val="Heading2"/>
      </w:pPr>
      <w:r>
        <w:rPr>
          <w:rFonts w:ascii="Calibri" w:cs="Calibri" w:eastAsia="Calibri" w:hAnsi="Calibri"/>
          <w:b/>
          <w:color w:val="2E5E8C"/>
          <w:sz w:val="24"/>
          <w:szCs w:val="24"/>
        </w:rPr>
        <w:t>Why both capitals declare a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val="1"/>
        </w:trPr>
        <w:tc>
          <w:tcPr>
            <w:tcW w:type="dxa" w:w="15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Dimension</w:t>
            </w:r>
          </w:p>
        </w:tc>
        <w:tc>
          <w:tcPr>
            <w:tcW w:type="dxa" w:w="39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The United States declares</w:t>
            </w:r>
          </w:p>
        </w:tc>
        <w:tc>
          <w:tcPr>
            <w:tcW w:type="dxa" w:w="39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 declares</w:t>
            </w:r>
          </w:p>
        </w:tc>
      </w:tr>
      <w:tr>
        <w:tc>
          <w:tcPr>
            <w:tcW w:type="dxa" w:w="1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Nuclear</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This instrument neutralizes weapons-usable material in-country under joint dual-key by default — or irreversibly transformed into fertilizer — with U.S. control of any material that remains usable; 3.67% cap; 12-year moratorium. “The exact opposite of the old deal.”</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sovereign right to neutralize at home under dual-key; material never leaves unless Iran chooses; the NPT right to peaceful enrichment operationalized at Natanz and the medical-isotope center.</w:t>
            </w:r>
          </w:p>
        </w:tc>
      </w:tr>
      <w:tr>
        <w:tc>
          <w:tcPr>
            <w:tcW w:type="dxa" w:w="1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Hormuz</w:t>
            </w:r>
          </w:p>
        </w:tc>
        <w:tc>
          <w:tcPr>
            <w:tcW w:type="dxa" w:w="39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Unrestricted freedom of navigation; zero tolls; no Iranian checkpoints, management authority, or revenue share.</w:t>
            </w:r>
          </w:p>
        </w:tc>
        <w:tc>
          <w:tcPr>
            <w:tcW w:type="dxa" w:w="39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Coastal-state position acknowledged on the record, and payment for the services Iran performs in the strait.</w:t>
            </w:r>
          </w:p>
        </w:tc>
      </w:tr>
      <w:tr>
        <w:tc>
          <w:tcPr>
            <w:tcW w:type="dxa" w:w="1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Economy</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cash on Day 1; a $500M escrow releases only at Day 30; assets stage slowly and stay reversible.</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The siege is lifting: oil at 2.1 mbpd, SWIFT restored, $500M at Day 30, and a fund both leaders control jointly.</w:t>
            </w:r>
          </w:p>
        </w:tc>
      </w:tr>
      <w:tr>
        <w:tc>
          <w:tcPr>
            <w:tcW w:type="dxa" w:w="1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Region</w:t>
            </w:r>
          </w:p>
        </w:tc>
        <w:tc>
          <w:tcPr>
            <w:tcW w:type="dxa" w:w="39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legal linkage of Hormuz to Lebanon; no third-party military action breaches the deal; the Gulf states, Türkiye, China, and Russia endorse.</w:t>
            </w:r>
          </w:p>
        </w:tc>
        <w:tc>
          <w:tcPr>
            <w:tcW w:type="dxa" w:w="39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region-wide ceasefire and a written door into talks on Lebanon and the wider conflict.</w:t>
            </w:r>
          </w:p>
        </w:tc>
      </w:tr>
      <w:tr>
        <w:tc>
          <w:tcPr>
            <w:tcW w:type="dxa" w:w="1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Enforcement</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14-day exit ramp; graduated step-back means cheating costs Iran money quickly.</w:t>
            </w:r>
          </w:p>
        </w:tc>
        <w:tc>
          <w:tcPr>
            <w:tcW w:type="dxa" w:w="39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Step-back / earn-back and human review replace cliff-edge snapback; a fast lane rewards clean compliance.</w:t>
            </w:r>
          </w:p>
        </w:tc>
      </w:tr>
    </w:tbl>
    <w:p>
      <w:pPr>
        <w:pStyle w:val="Heading2"/>
      </w:pPr>
      <w:r>
        <w:rPr>
          <w:rFonts w:ascii="Calibri" w:cs="Calibri" w:eastAsia="Calibri" w:hAnsi="Calibri"/>
          <w:b/>
          <w:color w:val="2E5E8C"/>
          <w:sz w:val="24"/>
          <w:szCs w:val="24"/>
        </w:rPr>
        <w:t>What stays parked, and where it goes</w:t>
      </w:r>
    </w:p>
    <w:p>
      <w:pPr>
        <w:pStyle w:val="EndnoteText"/>
        <w:spacing w:after="140" w:before="0" w:line="276"/>
      </w:pPr>
      <w:r>
        <w:rPr>
          <w:rFonts w:ascii="Calibri" w:hAnsi="Calibri" w:eastAsia="Calibri" w:cs="Calibri"/>
          <w:color w:val="232323"/>
          <w:sz w:val="21"/>
          <w:szCs w:val="20"/>
        </w:rPr>
        <w:t>The maximalist ends of each position do not vanish; they relocate to phases built to carry them. Physical removal of material, the full duration of restrictions, regional normalization, and compensation questions all have a named home in Part B or Part C, with triggers that make progress automatic when compliance holds.</w:t>
      </w:r>
    </w:p>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The Deal at a Glance</w:t>
      </w:r>
    </w:p>
    <w:p>
      <w:pPr>
        <w:pStyle w:val="EndnoteText"/>
        <w:spacing w:after="140" w:before="0" w:line="276"/>
      </w:pPr>
      <w:r>
        <w:rPr>
          <w:rFonts w:ascii="Calibri" w:hAnsi="Calibri" w:eastAsia="Calibri" w:cs="Calibri"/>
          <w:color w:val="232323"/>
          <w:sz w:val="21"/>
          <w:szCs w:val="20"/>
        </w:rPr>
        <w:t>A plain-language control sheet for principals — no architecture, no legal prose. It changes no obligation; it shows what each side does, and what happens if either cheats.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rPr>
          <w:tblHeader w:val="1"/>
        </w:trPr>
        <w:tc>
          <w:tcPr>
            <w:tcW w:type="dxa" w:w="1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When</w:t>
            </w:r>
          </w:p>
        </w:tc>
        <w:tc>
          <w:tcPr>
            <w:tcW w:type="dxa" w:w="41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 does</w:t>
            </w:r>
          </w:p>
        </w:tc>
        <w:tc>
          <w:tcPr>
            <w:tcW w:type="dxa" w:w="41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United States does</w:t>
            </w:r>
          </w:p>
        </w:tc>
      </w:tr>
      <w:tr>
        <w:tc>
          <w:tcPr>
            <w:tcW w:type="dxa" w:w="1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Day 1</w:t>
            </w:r>
          </w:p>
        </w:tc>
        <w:tc>
          <w:tcPr>
            <w:tcW w:type="dxa" w:w="41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Caps enrichment at 3.67%; places the HEU stockpile under joint dual-lock</w:t>
            </w:r>
          </w:p>
        </w:tc>
        <w:tc>
          <w:tcPr>
            <w:tcW w:type="dxa" w:w="41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Places $500M in escrow — held, not released; issues oil and banking permits</w:t>
            </w:r>
          </w:p>
        </w:tc>
      </w:tr>
      <w:tr>
        <w:tc>
          <w:tcPr>
            <w:tcW w:type="dxa" w:w="1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Day 7</w:t>
            </w:r>
          </w:p>
        </w:tc>
        <w:tc>
          <w:tcPr>
            <w:tcW w:type="dxa" w:w="41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Clears mines; withdraws small craft from the corridor</w:t>
            </w:r>
          </w:p>
        </w:tc>
        <w:tc>
          <w:tcPr>
            <w:tcW w:type="dxa" w:w="41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Lifts the naval blockade in proportion; humanitarian micro-release begins</w:t>
            </w:r>
          </w:p>
        </w:tc>
      </w:tr>
      <w:tr>
        <w:tc>
          <w:tcPr>
            <w:tcW w:type="dxa" w:w="1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Day 30</w:t>
            </w:r>
          </w:p>
        </w:tc>
        <w:tc>
          <w:tcPr>
            <w:tcW w:type="dxa" w:w="41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Sustains verified compliance for 30 days</w:t>
            </w:r>
          </w:p>
        </w:tc>
        <w:tc>
          <w:tcPr>
            <w:tcW w:type="dxa" w:w="41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Releases the $500M; frozen-asset Tranche 1 (10%) flows</w:t>
            </w:r>
          </w:p>
        </w:tc>
      </w:tr>
      <w:tr>
        <w:tc>
          <w:tcPr>
            <w:tcW w:type="dxa" w:w="1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Day 60</w:t>
            </w:r>
          </w:p>
        </w:tc>
        <w:tc>
          <w:tcPr>
            <w:tcW w:type="dxa" w:w="41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Hits the disposition milestone (export underway or downblending at rate)</w:t>
            </w:r>
          </w:p>
        </w:tc>
        <w:tc>
          <w:tcPr>
            <w:tcW w:type="dxa" w:w="41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Good-faith fast lane opens; structural-relief track converts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1"/>
        </w:trPr>
        <w:tc>
          <w:tcPr>
            <w:tcW w:type="dxa" w:w="2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If a Party cheats</w:t>
            </w:r>
          </w:p>
        </w:tc>
        <w:tc>
          <w:tcPr>
            <w:tcW w:type="dxa" w:w="69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What happens</w:t>
            </w:r>
          </w:p>
        </w:tc>
      </w:tr>
      <w:tr>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If Iran cheats</w:t>
            </w:r>
          </w:p>
        </w:tc>
        <w:tc>
          <w:tcPr>
            <w:tcW w:type="dxa" w:w="69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Benefits step back gradually in proportion to the violation — no automatic cut-off; Iran earns them back on clean compliance; the United States exits on 14 days' notice.</w:t>
            </w:r>
          </w:p>
        </w:tc>
      </w:tr>
      <w:tr>
        <w:tc>
          <w:tcPr>
            <w:tcW w:type="dxa" w:w="2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If the United States cheats</w:t>
            </w:r>
          </w:p>
        </w:tc>
        <w:tc>
          <w:tcPr>
            <w:tcW w:type="dxa" w:w="69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Iran steps back its own cooperation in proportion; the exit ramp is equally available to Iran; humanitarian flows and oil continue either 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FBF6E7" w:val="clear" w:color="auto"/>
            <w:tcMar>
              <w:top w:type="dxa" w:w="130"/>
              <w:left w:type="dxa" w:w="180"/>
              <w:bottom w:type="dxa" w:w="130"/>
              <w:right w:type="dxa" w:w="160"/>
            </w:tcMar>
          </w:tcPr>
          <w:p>
            <w:pPr>
              <w:pStyle w:val="EndnoteText"/>
              <w:spacing w:after="60"/>
            </w:pPr>
            <w:r>
              <w:rPr>
                <w:b/>
                <w:color w:val="1F3B5B"/>
                <w:rFonts w:ascii="Calibri" w:hAnsi="Calibri" w:eastAsia="Calibri" w:cs="Calibri"/>
                <w:sz w:val="21"/>
                <w:szCs w:val="20"/>
              </w:rPr>
              <w:t>The one-sentence version</w:t>
            </w:r>
          </w:p>
          <w:p>
            <w:pPr>
              <w:pStyle w:val="EndnoteText"/>
              <w:spacing w:after="60" w:line="268"/>
            </w:pPr>
            <w:r>
              <w:rPr>
                <w:rFonts w:ascii="Calibri" w:hAnsi="Calibri" w:eastAsia="Calibri" w:cs="Calibri"/>
                <w:color w:val="232323"/>
                <w:sz w:val="21"/>
                <w:szCs w:val="20"/>
              </w:rPr>
              <w:t>Iran neutralizes its weapons-usable uranium and opens the strait; the United States lets the oil and money flow on a verified, reversible schedule; no cash moves on Day 1; and either side walks away in an orderly way if the other breaks faith.</w:t>
            </w:r>
          </w:p>
        </w:tc>
      </w:tr>
    </w:tbl>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Part 0 — The Bridging Logic: Closing the Five Remaining Gaps</w:t>
      </w:r>
    </w:p>
    <w:p>
      <w:pPr>
        <w:pStyle w:val="EndnoteText"/>
        <w:spacing w:after="140" w:before="0" w:line="276"/>
      </w:pPr>
      <w:r>
        <w:rPr>
          <w:rFonts w:ascii="Calibri" w:hAnsi="Calibri" w:eastAsia="Calibri" w:cs="Calibri"/>
          <w:color w:val="232323"/>
          <w:sz w:val="21"/>
          <w:szCs w:val="20"/>
        </w:rPr>
        <w:t>The negotiation record shows agreement on the shape of a deal and deadlock on five mechanisms. This Part states each gap as the Parties state it, then shows the single mechanism that lets both sides hold their line. This instrument operationalizes each mechanism in full later; the cross-reference appears beside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val="1"/>
        </w:trPr>
        <w:tc>
          <w:tcPr>
            <w:tcW w:type="dxa" w:w="25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Gap</w:t>
            </w:r>
          </w:p>
        </w:tc>
        <w:tc>
          <w:tcPr>
            <w:tcW w:type="dxa" w:w="45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Bridging mechanism</w:t>
            </w:r>
          </w:p>
        </w:tc>
        <w:tc>
          <w:tcPr>
            <w:tcW w:type="dxa" w:w="23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Operationalized in</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1. Enriched-uranium stockpile</w:t>
            </w:r>
          </w:p>
        </w:tc>
        <w:tc>
          <w:tcPr>
            <w:tcW w:type="dxa" w:w="4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Export off Iranian soil by default; in-country only under joint dual-key custody; $1B fund + per-kg incentive; seven-pathway menu including fertilizer (Pathway W).</w:t>
            </w:r>
          </w:p>
        </w:tc>
        <w:tc>
          <w:tcPr>
            <w:tcW w:type="dxa" w:w="23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Part B-1; Annexes O, P, V, Y, Z</w:t>
            </w:r>
          </w:p>
        </w:tc>
      </w:tr>
      <w:tr>
        <w:tc>
          <w:tcPr>
            <w:tcW w:type="dxa" w:w="2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2. Sequencing of relief</w:t>
            </w:r>
          </w:p>
        </w:tc>
        <w:tc>
          <w:tcPr>
            <w:tcW w:type="dxa" w:w="45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Synchronized Reciprocal Motion: 15-day micro-cycles pairing each nuclear step with a relief tranche.</w:t>
            </w:r>
          </w:p>
        </w:tc>
        <w:tc>
          <w:tcPr>
            <w:tcW w:type="dxa" w:w="23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Part A Art. 5; Part B; Annex S</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3. Frozen-funds mechanism</w:t>
            </w:r>
          </w:p>
        </w:tc>
        <w:tc>
          <w:tcPr>
            <w:tcW w:type="dxa" w:w="4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Neutral Swiss-Omani escrow; $500M released only at Day 30; front-loaded but reversible asset schedule; step-back / earn-back.</w:t>
            </w:r>
          </w:p>
        </w:tc>
        <w:tc>
          <w:tcPr>
            <w:tcW w:type="dxa" w:w="23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Part A Art. 5; Annex T</w:t>
            </w:r>
          </w:p>
        </w:tc>
      </w:tr>
      <w:tr>
        <w:tc>
          <w:tcPr>
            <w:tcW w:type="dxa" w:w="2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4. Control of Hormuz</w:t>
            </w:r>
          </w:p>
        </w:tc>
        <w:tc>
          <w:tcPr>
            <w:tcW w:type="dxa" w:w="45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Freedom-of-navigation guarantee with zero tolls and no Iranian authority; coastal-state statement; fund pays for services.</w:t>
            </w:r>
          </w:p>
        </w:tc>
        <w:tc>
          <w:tcPr>
            <w:tcW w:type="dxa" w:w="23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Part B-2; Annexes N, N.a, W</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5. Lebanon / regional linkage</w:t>
            </w:r>
          </w:p>
        </w:tc>
        <w:tc>
          <w:tcPr>
            <w:tcW w:type="dxa" w:w="4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Decoupled instruments moving together: no legal linkage, parallel rolling ceasefire, third-party non-liability, scheduled Phase III talks.</w:t>
            </w:r>
          </w:p>
        </w:tc>
        <w:tc>
          <w:tcPr>
            <w:tcW w:type="dxa" w:w="23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Part 0; Part C-3; Annexes M, U</w:t>
            </w:r>
          </w:p>
        </w:tc>
      </w:tr>
    </w:tbl>
    <w:p>
      <w:pPr>
        <w:pBdr>
          <w:bottom w:val="single" w:color="2E5E8C" w:sz="6"/>
        </w:pBdr>
        <w:spacing w:after="120" w:before="40"/>
      </w:pPr>
      <w:r>
        <w:rPr>
          <w:sz w:val="21"/>
          <w:szCs w:val="21"/>
          <w:rFonts w:ascii="Calibri" w:hAnsi="Calibri" w:eastAsia="Calibri" w:cs="Calibri"/>
          <w:color w:val="232323"/>
        </w:rPr>
        <w:t/>
      </w:r>
    </w:p>
    <w:p>
      <w:pPr>
        <w:pStyle w:val="Heading2"/>
      </w:pPr>
      <w:r>
        <w:rPr>
          <w:rFonts w:ascii="Calibri" w:cs="Calibri" w:eastAsia="Calibri" w:hAnsi="Calibri"/>
          <w:b/>
          <w:color w:val="2E5E8C"/>
          <w:sz w:val="24"/>
          <w:szCs w:val="24"/>
        </w:rPr>
        <w:t>Gap 1 — The enriched-uranium stockpile</w:t>
      </w:r>
    </w:p>
    <w:p>
      <w:pPr>
        <w:pStyle w:val="EndnoteText"/>
        <w:spacing w:after="130" w:line="276"/>
      </w:pPr>
      <w:r>
        <w:rPr>
          <w:b/>
          <w:rFonts w:ascii="Calibri" w:hAnsi="Calibri" w:eastAsia="Calibri" w:cs="Calibri"/>
          <w:color w:val="232323"/>
          <w:sz w:val="21"/>
          <w:szCs w:val="20"/>
        </w:rPr>
        <w:t xml:space="preserve">The collision. </w:t>
      </w:r>
      <w:r>
        <w:rPr>
          <w:rFonts w:ascii="Calibri" w:hAnsi="Calibri" w:eastAsia="Calibri" w:cs="Calibri"/>
          <w:color w:val="232323"/>
          <w:sz w:val="21"/>
          <w:szCs w:val="20"/>
        </w:rPr>
        <w:t>The United States requires that the 60% highly enriched uranium be removed and the program rolled back. Iran’s Supreme Leader has forbidden the material from leaving the country. As written, one demand cancels the other.</w:t>
      </w:r>
    </w:p>
    <w:p>
      <w:pPr>
        <w:pStyle w:val="EndnoteText"/>
        <w:spacing w:after="130" w:line="276"/>
      </w:pPr>
      <w:r>
        <w:rPr>
          <w:b/>
          <w:rFonts w:ascii="Calibri" w:hAnsi="Calibri" w:eastAsia="Calibri" w:cs="Calibri"/>
          <w:color w:val="232323"/>
          <w:sz w:val="21"/>
          <w:szCs w:val="20"/>
        </w:rPr>
        <w:t xml:space="preserve">The bridge. </w:t>
      </w:r>
      <w:r>
        <w:rPr>
          <w:rFonts w:ascii="Calibri" w:hAnsi="Calibri" w:eastAsia="Calibri" w:cs="Calibri"/>
          <w:color w:val="232323"/>
          <w:sz w:val="21"/>
          <w:szCs w:val="20"/>
        </w:rPr>
        <w:t>This instrument redefines removal from a question of geography to one of usability. By default the material neutralizes in-country under the Dual-Key Custody Protocol (Annex Y) — IAEA and U.S.-designated locks jointly control it, with no Iranian unilateral access and no route to re-enrich — and, absent another choice, becomes irreversible fertilizer by Day 730 (Pathway W). The fatwa holds: the material does not leave Iran unless Iran itself elects the optional, consensual export lane to Oman. Either way, the outcome the United States needs holds: no weapons-usable material remains under Iran’s sole control, and the United States holds one of the two keys to anything that stays intact.</w:t>
      </w:r>
    </w:p>
    <w:p>
      <w:pPr>
        <w:pStyle w:val="EndnoteText"/>
        <w:spacing w:after="130" w:line="276"/>
      </w:pPr>
      <w:r>
        <w:rPr>
          <w:b/>
          <w:rFonts w:ascii="Calibri" w:hAnsi="Calibri" w:eastAsia="Calibri" w:cs="Calibri"/>
          <w:color w:val="232323"/>
          <w:sz w:val="21"/>
          <w:szCs w:val="20"/>
        </w:rPr>
        <w:t xml:space="preserve">The face-savers. </w:t>
      </w:r>
      <w:r>
        <w:rPr>
          <w:rFonts w:ascii="Calibri" w:hAnsi="Calibri" w:eastAsia="Calibri" w:cs="Calibri"/>
          <w:color w:val="232323"/>
          <w:sz w:val="21"/>
          <w:szCs w:val="20"/>
        </w:rPr>
        <w:t>Seven pathways exist, not one (Annex Z), including the irreversible fertilizer route of Pathway W. For a negotiator who needs the optics of retention, the in-country dual-key route preserves sovereign geography while satisfying the demand for effective external control. If Iran selects no pathway by Day 180, in-country downblending activates automatically with no penalty. A $1B Joint Disposition Fund, co-funded equally, rewards verified progress on any pathway, so a mutually acceptable disposition is the financially favored choice. Each capital selects the language its audience needs while the verified outcome is identical.</w:t>
      </w:r>
    </w:p>
    <w:p>
      <w:pPr>
        <w:pStyle w:val="Heading2"/>
      </w:pPr>
      <w:r>
        <w:rPr>
          <w:rFonts w:ascii="Calibri" w:cs="Calibri" w:eastAsia="Calibri" w:hAnsi="Calibri"/>
          <w:b/>
          <w:color w:val="2E5E8C"/>
          <w:sz w:val="24"/>
          <w:szCs w:val="24"/>
        </w:rPr>
        <w:t>Gap 2 — The sequencing of sanctions relief</w:t>
      </w:r>
    </w:p>
    <w:p>
      <w:pPr>
        <w:pStyle w:val="EndnoteText"/>
        <w:spacing w:after="130" w:line="276"/>
      </w:pPr>
      <w:r>
        <w:rPr>
          <w:b/>
          <w:rFonts w:ascii="Calibri" w:hAnsi="Calibri" w:eastAsia="Calibri" w:cs="Calibri"/>
          <w:color w:val="232323"/>
          <w:sz w:val="21"/>
          <w:szCs w:val="20"/>
        </w:rPr>
        <w:t xml:space="preserve">The collision. </w:t>
      </w:r>
      <w:r>
        <w:rPr>
          <w:rFonts w:ascii="Calibri" w:hAnsi="Calibri" w:eastAsia="Calibri" w:cs="Calibri"/>
          <w:color w:val="232323"/>
          <w:sz w:val="21"/>
          <w:szCs w:val="20"/>
        </w:rPr>
        <w:t>Iran requires process certainty — relief it predicts and defends at home. The United States requires that no value moves ahead of verified performance, and that everything stays reversible.</w:t>
      </w:r>
    </w:p>
    <w:p>
      <w:pPr>
        <w:pStyle w:val="EndnoteText"/>
        <w:spacing w:after="130" w:line="276"/>
      </w:pPr>
      <w:r>
        <w:rPr>
          <w:b/>
          <w:rFonts w:ascii="Calibri" w:hAnsi="Calibri" w:eastAsia="Calibri" w:cs="Calibri"/>
          <w:color w:val="232323"/>
          <w:sz w:val="21"/>
          <w:szCs w:val="20"/>
        </w:rPr>
        <w:t xml:space="preserve">The bridge. </w:t>
      </w:r>
      <w:r>
        <w:rPr>
          <w:rFonts w:ascii="Calibri" w:hAnsi="Calibri" w:eastAsia="Calibri" w:cs="Calibri"/>
          <w:color w:val="232323"/>
          <w:sz w:val="21"/>
          <w:szCs w:val="20"/>
        </w:rPr>
        <w:t>Synchronized Reciprocal Motion, executed through the 15-Day Micro-Cycle engine (Part B) and the 60-Day Reciprocal Sequencing Schedule (Annex S). Neither Party is ever exposed to more than fifteen days of unreciprocated compliance. the Framework pairs each nuclear deliverable with a defined relief tranche; a Compliance Cycle Release Certificate authorizes each disbursement. Iran reads the entire schedule in advance — the certainty it needs — while every release remains gated on an IAEA certificate — the conditionality the United States needs.</w:t>
      </w:r>
    </w:p>
    <w:p>
      <w:pPr>
        <w:pStyle w:val="Heading2"/>
      </w:pPr>
      <w:r>
        <w:rPr>
          <w:rFonts w:ascii="Calibri" w:cs="Calibri" w:eastAsia="Calibri" w:hAnsi="Calibri"/>
          <w:b/>
          <w:color w:val="2E5E8C"/>
          <w:sz w:val="24"/>
          <w:szCs w:val="24"/>
        </w:rPr>
        <w:t>Gap 3 — The frozen-funds mechanism</w:t>
      </w:r>
    </w:p>
    <w:p>
      <w:pPr>
        <w:pStyle w:val="EndnoteText"/>
        <w:spacing w:after="130" w:line="276"/>
      </w:pPr>
      <w:r>
        <w:rPr>
          <w:b/>
          <w:rFonts w:ascii="Calibri" w:hAnsi="Calibri" w:eastAsia="Calibri" w:cs="Calibri"/>
          <w:color w:val="232323"/>
          <w:sz w:val="21"/>
          <w:szCs w:val="20"/>
        </w:rPr>
        <w:t xml:space="preserve">The collision. </w:t>
      </w:r>
      <w:r>
        <w:rPr>
          <w:rFonts w:ascii="Calibri" w:hAnsi="Calibri" w:eastAsia="Calibri" w:cs="Calibri"/>
          <w:color w:val="232323"/>
          <w:sz w:val="21"/>
          <w:szCs w:val="20"/>
        </w:rPr>
        <w:t>Iran requires release of its frozen assets. The United States refuses to hand over cash before the agreement enters into force and performs, and rejects anything resembling the cash transfers of the prior deal.</w:t>
      </w:r>
    </w:p>
    <w:p>
      <w:pPr>
        <w:pStyle w:val="EndnoteText"/>
        <w:spacing w:after="130" w:line="276"/>
      </w:pPr>
      <w:r>
        <w:rPr>
          <w:b/>
          <w:rFonts w:ascii="Calibri" w:hAnsi="Calibri" w:eastAsia="Calibri" w:cs="Calibri"/>
          <w:color w:val="232323"/>
          <w:sz w:val="21"/>
          <w:szCs w:val="20"/>
        </w:rPr>
        <w:t xml:space="preserve">The bridge. </w:t>
      </w:r>
      <w:r>
        <w:rPr>
          <w:rFonts w:ascii="Calibri" w:hAnsi="Calibri" w:eastAsia="Calibri" w:cs="Calibri"/>
          <w:color w:val="232323"/>
          <w:sz w:val="21"/>
          <w:szCs w:val="20"/>
        </w:rPr>
        <w:t>A neutral Swiss-Omani escrow, never a U.S. transfer. No cash moves on Day 1: a $500M mutual escrow deposit releases only after thirty verified days, and frozen assets follow a front-loaded but fully reversible schedule — 15% at Day 30, 30% by Day 60, 45% by Day 180, 65% by Day 360, and 100% only at Month 24. The United States describes narrow, reversible escrow steps rather than a cash gift; Iran describes economic relief earned by performance, with a $50M discretionary fund and a good-faith fast lane that releases the next tranche early for sustained clean compliance. Humanitarian-badged funds pass a one-way firewall and never reverse; everything else answers to step-back and earn-back, never a cliff-edge cut-off.</w:t>
      </w:r>
    </w:p>
    <w:p>
      <w:pPr>
        <w:pStyle w:val="Heading2"/>
      </w:pPr>
      <w:r>
        <w:rPr>
          <w:rFonts w:ascii="Calibri" w:cs="Calibri" w:eastAsia="Calibri" w:hAnsi="Calibri"/>
          <w:b/>
          <w:color w:val="2E5E8C"/>
          <w:sz w:val="24"/>
          <w:szCs w:val="24"/>
        </w:rPr>
        <w:t>Gap 4 — Control of the Strait of Hormuz</w:t>
      </w:r>
    </w:p>
    <w:p>
      <w:pPr>
        <w:pStyle w:val="EndnoteText"/>
        <w:spacing w:after="130" w:line="276"/>
      </w:pPr>
      <w:r>
        <w:rPr>
          <w:b/>
          <w:rFonts w:ascii="Calibri" w:hAnsi="Calibri" w:eastAsia="Calibri" w:cs="Calibri"/>
          <w:color w:val="232323"/>
          <w:sz w:val="21"/>
          <w:szCs w:val="20"/>
        </w:rPr>
        <w:t xml:space="preserve">The collision. </w:t>
      </w:r>
      <w:r>
        <w:rPr>
          <w:rFonts w:ascii="Calibri" w:hAnsi="Calibri" w:eastAsia="Calibri" w:cs="Calibri"/>
          <w:color w:val="232323"/>
          <w:sz w:val="21"/>
          <w:szCs w:val="20"/>
        </w:rPr>
        <w:t>The United States requires full freedom of navigation — no Iranian tolls, checkpoints, or management authority. Iran treats the strait as sovereign and requires management standing and revenue.</w:t>
      </w:r>
    </w:p>
    <w:p>
      <w:pPr>
        <w:pStyle w:val="EndnoteText"/>
        <w:spacing w:after="130" w:line="276"/>
      </w:pPr>
      <w:r>
        <w:rPr>
          <w:b/>
          <w:rFonts w:ascii="Calibri" w:hAnsi="Calibri" w:eastAsia="Calibri" w:cs="Calibri"/>
          <w:color w:val="232323"/>
          <w:sz w:val="21"/>
          <w:szCs w:val="20"/>
        </w:rPr>
        <w:t xml:space="preserve">The bridge. </w:t>
      </w:r>
      <w:r>
        <w:rPr>
          <w:rFonts w:ascii="Calibri" w:hAnsi="Calibri" w:eastAsia="Calibri" w:cs="Calibri"/>
          <w:color w:val="232323"/>
          <w:sz w:val="21"/>
          <w:szCs w:val="20"/>
        </w:rPr>
        <w:t>A freedom-of-navigation guarantee with zero tolls (Part B-2). the Framework halts no vessel, boards no vessel, and delays no vessel over a fee, and no Iranian toll, checkpoint, or management authority exists at all. The Non-Interdiction Protocol (Annex N) and its Backdoor-Closure enforcement (Annex N.a) guarantee free passage; a Maritime Stability Board in Muscat takes notifications but holds no regulatory power. Iran’s face-savers are deliberately non-operational: a Sovereign Coastal Statement acknowledges its coastal-state position under the law of the sea, this instrument recognizes its territorial authority (the PGSA) only within 12 nautical miles and never over the corridor, and a Multilateral Maritime Maintenance Fund reimburses Iran for verified services it performs — value for work, never a toll. The United States gets an open international waterway; Iran gets standing and payment for services without a cent of tribute.</w:t>
      </w:r>
    </w:p>
    <w:p>
      <w:pPr>
        <w:pStyle w:val="Heading2"/>
      </w:pPr>
      <w:r>
        <w:rPr>
          <w:rFonts w:ascii="Calibri" w:cs="Calibri" w:eastAsia="Calibri" w:hAnsi="Calibri"/>
          <w:b/>
          <w:color w:val="2E5E8C"/>
          <w:sz w:val="24"/>
          <w:szCs w:val="24"/>
        </w:rPr>
        <w:t>Gap 5 — The Lebanon and regional linkage</w:t>
      </w:r>
    </w:p>
    <w:p>
      <w:pPr>
        <w:pStyle w:val="EndnoteText"/>
        <w:spacing w:after="130" w:line="276"/>
      </w:pPr>
      <w:r>
        <w:rPr>
          <w:b/>
          <w:rFonts w:ascii="Calibri" w:hAnsi="Calibri" w:eastAsia="Calibri" w:cs="Calibri"/>
          <w:color w:val="232323"/>
          <w:sz w:val="21"/>
          <w:szCs w:val="20"/>
        </w:rPr>
        <w:t xml:space="preserve">The collision. </w:t>
      </w:r>
      <w:r>
        <w:rPr>
          <w:rFonts w:ascii="Calibri" w:hAnsi="Calibri" w:eastAsia="Calibri" w:cs="Calibri"/>
          <w:color w:val="232323"/>
          <w:sz w:val="21"/>
          <w:szCs w:val="20"/>
        </w:rPr>
        <w:t>Iran wants the ceasefire tied to Lebanon and the wider conflict. The United States refuses any formal linkage that lets Hormuz be traded for a regional outcome.</w:t>
      </w:r>
    </w:p>
    <w:p>
      <w:pPr>
        <w:pStyle w:val="EndnoteText"/>
        <w:spacing w:after="130" w:line="276"/>
      </w:pPr>
      <w:r>
        <w:rPr>
          <w:b/>
          <w:rFonts w:ascii="Calibri" w:hAnsi="Calibri" w:eastAsia="Calibri" w:cs="Calibri"/>
          <w:color w:val="232323"/>
          <w:sz w:val="21"/>
          <w:szCs w:val="20"/>
        </w:rPr>
        <w:t xml:space="preserve">The bridge. </w:t>
      </w:r>
      <w:r>
        <w:rPr>
          <w:rFonts w:ascii="Calibri" w:hAnsi="Calibri" w:eastAsia="Calibri" w:cs="Calibri"/>
          <w:color w:val="232323"/>
          <w:sz w:val="21"/>
          <w:szCs w:val="20"/>
        </w:rPr>
        <w:t>Decoupled instruments that point the same direction. The maritime and nuclear cores carry no legal dependency on any regional front — the United States’ line holds, reinforced by an explicit firewall (Article 6.1) that bars either Party from invoking regional ceasefire status to delay performance, and by a third-party non-liability clause (Article 6.4) so no third party collapses the cores. A separate, time-limited region-wide ceasefire and a territorial freeze-in-place (Annexes M and U) run in parallel, and Phase III opens a written, scheduled track toward broader regional talks and normalization. The United States states that Hormuz is not linked to Lebanon; Iran states that the deal opens the door to resolving it. Both statements are true because the architecture keeps the instruments separate while moving them together.</w:t>
      </w:r>
    </w:p>
    <w:p>
      <w:pPr>
        <w:pStyle w:val="EndnoteText"/>
      </w:pPr>
      <w:r>
        <w:rPr>
          <w:rFonts w:ascii="Calibri" w:hAnsi="Calibri" w:eastAsia="Calibri" w:cs="Calibri"/>
          <w:color w:val="232323"/>
          <w:sz w:val="20"/>
          <w:szCs w:val="20"/>
        </w:rPr>
        <w:br w:type="page"/>
      </w:r>
    </w:p>
    <w:p>
      <w:pPr>
        <w:pStyle w:val="EndnoteText"/>
        <w:spacing w:after="60" w:before="200"/>
        <w:jc w:val="center"/>
      </w:pPr>
      <w:r>
        <w:rPr>
          <w:b/>
          <w:color w:val="9C7A2E"/>
          <w:sz w:val="40"/>
          <w:szCs w:val="40"/>
          <w:rFonts w:ascii="Calibri" w:hAnsi="Calibri" w:eastAsia="Calibri" w:cs="Calibri"/>
        </w:rPr>
        <w:t>PART A</w:t>
      </w:r>
    </w:p>
    <w:p>
      <w:pPr>
        <w:pStyle w:val="EndnoteText"/>
        <w:spacing w:after="200"/>
        <w:jc w:val="center"/>
      </w:pPr>
      <w:r>
        <w:rPr>
          <w:b/>
          <w:color w:val="1F3B5B"/>
          <w:sz w:val="30"/>
          <w:szCs w:val="30"/>
          <w:rFonts w:ascii="Calibri" w:hAnsi="Calibri" w:eastAsia="Calibri" w:cs="Calibri"/>
        </w:rPr>
        <w:t>The Memorandum of Understanding</w:t>
      </w:r>
    </w:p>
    <w:p>
      <w:pPr>
        <w:pStyle w:val="EndnoteText"/>
        <w:spacing w:after="200"/>
        <w:jc w:val="center"/>
      </w:pPr>
      <w:r>
        <w:rPr>
          <w:i/>
          <w:color w:val="666666"/>
          <w:sz w:val="20"/>
          <w:szCs w:val="20"/>
          <w:rFonts w:ascii="Calibri" w:hAnsi="Calibri" w:eastAsia="Calibri" w:cs="Calibri"/>
        </w:rPr>
        <w:t>The signable Phase I core. Articles 1 through 13 enter into force on signature.</w:t>
      </w:r>
    </w:p>
    <w:p>
      <w:pPr>
        <w:pStyle w:val="Heading1"/>
      </w:pPr>
      <w:r>
        <w:rPr>
          <w:rFonts w:ascii="Calibri" w:cs="Calibri" w:eastAsia="Calibri" w:hAnsi="Calibri"/>
          <w:b/>
          <w:color w:val="1F3B5B"/>
          <w:sz w:val="30"/>
          <w:szCs w:val="30"/>
        </w:rPr>
        <w:t>Preamble</w:t>
      </w:r>
    </w:p>
    <w:p>
      <w:pPr>
        <w:pStyle w:val="EndnoteText"/>
        <w:spacing w:after="140" w:before="0" w:line="276"/>
      </w:pPr>
      <w:r>
        <w:rPr>
          <w:rFonts w:ascii="Calibri" w:hAnsi="Calibri" w:eastAsia="Calibri" w:cs="Calibri"/>
          <w:color w:val="232323"/>
          <w:sz w:val="21"/>
          <w:szCs w:val="20"/>
        </w:rPr>
        <w:t>The United States of America and the Islamic Republic of Iran (each a “Party,” together the “Parties”), convening under the auspices of the Islamic Republic of Pakistan as primary mediator and the Sultanate of Oman as co-facilitator, and with the verification participation of the International Atomic Energy Agency,</w:t>
      </w:r>
    </w:p>
    <w:p>
      <w:pPr>
        <w:pStyle w:val="EndnoteText"/>
        <w:spacing w:after="140" w:before="0" w:line="276"/>
      </w:pPr>
      <w:r>
        <w:rPr>
          <w:b/>
          <w:rFonts w:ascii="Calibri" w:hAnsi="Calibri" w:eastAsia="Calibri" w:cs="Calibri"/>
          <w:color w:val="232323"/>
          <w:sz w:val="21"/>
          <w:szCs w:val="20"/>
        </w:rPr>
        <w:t xml:space="preserve">RECALLING </w:t>
      </w:r>
      <w:r>
        <w:rPr>
          <w:rFonts w:ascii="Calibri" w:hAnsi="Calibri" w:eastAsia="Calibri" w:cs="Calibri"/>
          <w:color w:val="232323"/>
          <w:sz w:val="21"/>
          <w:szCs w:val="20"/>
        </w:rPr>
        <w:t>the legally binding non-proliferation obligations applicable to all state parties and the primacy of the Nuclear Non-Proliferation Treaty as the cornerstone of the global non-proliferation regime;</w:t>
      </w:r>
    </w:p>
    <w:p>
      <w:pPr>
        <w:pStyle w:val="EndnoteText"/>
        <w:spacing w:after="140" w:before="0" w:line="276"/>
      </w:pPr>
      <w:r>
        <w:rPr>
          <w:b/>
          <w:rFonts w:ascii="Calibri" w:hAnsi="Calibri" w:eastAsia="Calibri" w:cs="Calibri"/>
          <w:color w:val="232323"/>
          <w:sz w:val="21"/>
          <w:szCs w:val="20"/>
        </w:rPr>
        <w:t xml:space="preserve">RECOGNIZING </w:t>
      </w:r>
      <w:r>
        <w:rPr>
          <w:rFonts w:ascii="Calibri" w:hAnsi="Calibri" w:eastAsia="Calibri" w:cs="Calibri"/>
          <w:color w:val="232323"/>
          <w:sz w:val="21"/>
          <w:szCs w:val="20"/>
        </w:rPr>
        <w:t>that the present stockpile of highly enriched uranium and the disruption of transit through the Strait of Hormuz together constitute the central risks to regional and global stability, and that each admits a verified, reciprocal solution;</w:t>
      </w:r>
    </w:p>
    <w:p>
      <w:pPr>
        <w:pStyle w:val="EndnoteText"/>
        <w:spacing w:after="140" w:before="0" w:line="276"/>
      </w:pPr>
      <w:r>
        <w:rPr>
          <w:b/>
          <w:rFonts w:ascii="Calibri" w:hAnsi="Calibri" w:eastAsia="Calibri" w:cs="Calibri"/>
          <w:color w:val="232323"/>
          <w:sz w:val="21"/>
          <w:szCs w:val="20"/>
        </w:rPr>
        <w:t xml:space="preserve">AFFIRMING </w:t>
      </w:r>
      <w:r>
        <w:rPr>
          <w:rFonts w:ascii="Calibri" w:hAnsi="Calibri" w:eastAsia="Calibri" w:cs="Calibri"/>
          <w:color w:val="232323"/>
          <w:sz w:val="21"/>
          <w:szCs w:val="20"/>
        </w:rPr>
        <w:t>Iran’s sovereign right to peaceful nuclear energy under Article IV of the Non-Proliferation Treaty, operationalized through a capped enrichment regime and an international medical-isotope center;</w:t>
      </w:r>
    </w:p>
    <w:p>
      <w:pPr>
        <w:pStyle w:val="EndnoteText"/>
        <w:spacing w:after="140" w:before="0" w:line="276"/>
      </w:pPr>
      <w:r>
        <w:rPr>
          <w:b/>
          <w:rFonts w:ascii="Calibri" w:hAnsi="Calibri" w:eastAsia="Calibri" w:cs="Calibri"/>
          <w:color w:val="232323"/>
          <w:sz w:val="21"/>
          <w:szCs w:val="20"/>
        </w:rPr>
        <w:t xml:space="preserve">HAVING REGARD TO </w:t>
      </w:r>
      <w:r>
        <w:rPr>
          <w:rFonts w:ascii="Calibri" w:hAnsi="Calibri" w:eastAsia="Calibri" w:cs="Calibri"/>
          <w:color w:val="232323"/>
          <w:sz w:val="21"/>
          <w:szCs w:val="20"/>
        </w:rPr>
        <w:t>the deadlock between a demand for zero enrichment and an assertion of recognized enrichment rights, and to the need for a solution each Party defends to its own constituency;</w:t>
      </w:r>
    </w:p>
    <w:p>
      <w:pPr>
        <w:pStyle w:val="EndnoteText"/>
        <w:spacing w:after="140" w:before="0" w:line="276"/>
      </w:pPr>
      <w:r>
        <w:rPr>
          <w:b/>
          <w:rFonts w:ascii="Calibri" w:hAnsi="Calibri" w:eastAsia="Calibri" w:cs="Calibri"/>
          <w:color w:val="232323"/>
          <w:sz w:val="21"/>
          <w:szCs w:val="20"/>
        </w:rPr>
        <w:t xml:space="preserve">ACKNOWLEDGING </w:t>
      </w:r>
      <w:r>
        <w:rPr>
          <w:rFonts w:ascii="Calibri" w:hAnsi="Calibri" w:eastAsia="Calibri" w:cs="Calibri"/>
          <w:color w:val="232323"/>
          <w:sz w:val="21"/>
          <w:szCs w:val="20"/>
        </w:rPr>
        <w:t>that the Islamic Republic of Iran, as a coastal state with a long history of ensuring safe passage in the Persian Gulf, holds legitimate interests in the stability and environmental health of the Strait of Hormuz, and that this instrument respects Iran’s sovereign equality and its right to peaceful nuclear energy under the Non-Proliferation Treaty;</w:t>
      </w:r>
    </w:p>
    <w:p>
      <w:pPr>
        <w:pStyle w:val="EndnoteText"/>
        <w:spacing w:after="140" w:before="0" w:line="276"/>
      </w:pPr>
      <w:r>
        <w:rPr>
          <w:b/>
          <w:rFonts w:ascii="Calibri" w:hAnsi="Calibri" w:eastAsia="Calibri" w:cs="Calibri"/>
          <w:color w:val="232323"/>
          <w:sz w:val="21"/>
          <w:szCs w:val="20"/>
        </w:rPr>
        <w:t xml:space="preserve">PROCEEDING </w:t>
      </w:r>
      <w:r>
        <w:rPr>
          <w:rFonts w:ascii="Calibri" w:hAnsi="Calibri" w:eastAsia="Calibri" w:cs="Calibri"/>
          <w:color w:val="232323"/>
          <w:sz w:val="21"/>
          <w:szCs w:val="20"/>
        </w:rPr>
        <w:t>under the principle of Synchronized Reciprocal Motion, by which no Party makes a unilateral advance concession and every obligation pairs with an immediate, verifiable, proportional counterpart;</w:t>
      </w:r>
    </w:p>
    <w:p>
      <w:pPr>
        <w:pStyle w:val="EndnoteText"/>
        <w:spacing w:after="140" w:before="0" w:line="276"/>
      </w:pPr>
      <w:r>
        <w:rPr>
          <w:b/>
          <w:rFonts w:ascii="Calibri" w:hAnsi="Calibri" w:eastAsia="Calibri" w:cs="Calibri"/>
          <w:color w:val="232323"/>
          <w:sz w:val="21"/>
          <w:szCs w:val="20"/>
        </w:rPr>
        <w:t xml:space="preserve">THE PARTIES AGREE </w:t>
      </w:r>
      <w:r>
        <w:rPr>
          <w:rFonts w:ascii="Calibri" w:hAnsi="Calibri" w:eastAsia="Calibri" w:cs="Calibri"/>
          <w:color w:val="232323"/>
          <w:sz w:val="21"/>
          <w:szCs w:val="20"/>
        </w:rPr>
        <w:t>as follows, intending to be bound by Articles 1 through 13 of this Part on signature, and committing to the Phase II and Phase III architecture set out in Parts B and C on the binding timeline of Article 11.</w:t>
      </w:r>
    </w:p>
    <w:p>
      <w:pPr>
        <w:pStyle w:val="Heading1"/>
      </w:pPr>
      <w:r>
        <w:rPr>
          <w:rFonts w:ascii="Calibri" w:cs="Calibri" w:eastAsia="Calibri" w:hAnsi="Calibri"/>
          <w:b/>
          <w:color w:val="1F3B5B"/>
          <w:sz w:val="30"/>
          <w:szCs w:val="30"/>
        </w:rPr>
        <w:t>Article 1 — Definitions and Governing Principles</w:t>
      </w:r>
    </w:p>
    <w:p>
      <w:pPr>
        <w:pStyle w:val="Heading2"/>
      </w:pPr>
      <w:r>
        <w:rPr>
          <w:rFonts w:ascii="Calibri" w:cs="Calibri" w:eastAsia="Calibri" w:hAnsi="Calibri"/>
          <w:b/>
          <w:color w:val="2E5E8C"/>
          <w:sz w:val="24"/>
          <w:szCs w:val="24"/>
        </w:rPr>
        <w:t>1.1 Synchronized Reciprocal Motion</w:t>
      </w:r>
    </w:p>
    <w:p>
      <w:pPr>
        <w:pStyle w:val="EndnoteText"/>
        <w:spacing w:after="140" w:before="0" w:line="276"/>
      </w:pPr>
      <w:r>
        <w:rPr>
          <w:rFonts w:ascii="Calibri" w:hAnsi="Calibri" w:eastAsia="Calibri" w:cs="Calibri"/>
          <w:color w:val="232323"/>
          <w:sz w:val="21"/>
          <w:szCs w:val="20"/>
        </w:rPr>
        <w:t>Every value one Party provides pairs with a verified counterpart value the other Party provides within the same cycle. No transfer stands alone. If a paired counterpart fails verification, the paired transfer suspends until the verification channel restores it.</w:t>
      </w:r>
    </w:p>
    <w:p>
      <w:pPr>
        <w:pStyle w:val="Heading2"/>
      </w:pPr>
      <w:r>
        <w:rPr>
          <w:rFonts w:ascii="Calibri" w:cs="Calibri" w:eastAsia="Calibri" w:hAnsi="Calibri"/>
          <w:b/>
          <w:color w:val="2E5E8C"/>
          <w:sz w:val="24"/>
          <w:szCs w:val="24"/>
        </w:rPr>
        <w:t>1.2 Mutual Architecture</w:t>
      </w:r>
    </w:p>
    <w:p>
      <w:pPr>
        <w:pStyle w:val="EndnoteText"/>
        <w:spacing w:after="140" w:before="0" w:line="276"/>
      </w:pPr>
      <w:r>
        <w:rPr>
          <w:rFonts w:ascii="Calibri" w:hAnsi="Calibri" w:eastAsia="Calibri" w:cs="Calibri"/>
          <w:color w:val="232323"/>
          <w:sz w:val="21"/>
          <w:szCs w:val="20"/>
        </w:rPr>
        <w:t>Each constraint in this instrument is a feature of the shared framework, binding both Parties equally, rather than a restraint by one Party for the benefit of the other. the Framework architecture excludes kinetic enforcement; commercial transit operates under an absolute non-interdiction protocol; stockpile thresholds execute automatically under the verification architecture.</w:t>
      </w:r>
    </w:p>
    <w:p>
      <w:pPr>
        <w:pStyle w:val="Heading2"/>
      </w:pPr>
      <w:r>
        <w:rPr>
          <w:rFonts w:ascii="Calibri" w:cs="Calibri" w:eastAsia="Calibri" w:hAnsi="Calibri"/>
          <w:b/>
          <w:color w:val="2E5E8C"/>
          <w:sz w:val="24"/>
          <w:szCs w:val="24"/>
        </w:rPr>
        <w:t>1.3 Nobody Moves Alone</w:t>
      </w:r>
    </w:p>
    <w:p>
      <w:pPr>
        <w:pStyle w:val="EndnoteText"/>
        <w:spacing w:after="140" w:before="0" w:line="276"/>
      </w:pPr>
      <w:r>
        <w:rPr>
          <w:rFonts w:ascii="Calibri" w:hAnsi="Calibri" w:eastAsia="Calibri" w:cs="Calibri"/>
          <w:color w:val="232323"/>
          <w:sz w:val="21"/>
          <w:szCs w:val="20"/>
        </w:rPr>
        <w:t>No Party provides Day-1 value without simultaneously receiving verified reciprocal value. The Day-1 Mirror Pairings of Article 2 carry equal political and legal weight on both sides; neither pairing is a unilateral concession.</w:t>
      </w:r>
    </w:p>
    <w:p>
      <w:pPr>
        <w:pStyle w:val="Heading2"/>
      </w:pPr>
      <w:r>
        <w:rPr>
          <w:rFonts w:ascii="Calibri" w:cs="Calibri" w:eastAsia="Calibri" w:hAnsi="Calibri"/>
          <w:b/>
          <w:color w:val="2E5E8C"/>
          <w:sz w:val="24"/>
          <w:szCs w:val="24"/>
        </w:rPr>
        <w:t>1.4 Performance-Contingent Benefit</w:t>
      </w:r>
    </w:p>
    <w:p>
      <w:pPr>
        <w:pStyle w:val="EndnoteText"/>
        <w:spacing w:after="140" w:before="0" w:line="276"/>
      </w:pPr>
      <w:r>
        <w:rPr>
          <w:rFonts w:ascii="Calibri" w:hAnsi="Calibri" w:eastAsia="Calibri" w:cs="Calibri"/>
          <w:color w:val="232323"/>
          <w:sz w:val="21"/>
          <w:szCs w:val="20"/>
        </w:rPr>
        <w:t>Every benefit is conditional. No benefit is unconditional. Each Party retains the exit ramp of Article 8 on fourteen days’ notice. A quarterly review recurs every ninety days.</w:t>
      </w:r>
    </w:p>
    <w:p>
      <w:pPr>
        <w:pStyle w:val="Heading2"/>
      </w:pPr>
      <w:r>
        <w:rPr>
          <w:rFonts w:ascii="Calibri" w:cs="Calibri" w:eastAsia="Calibri" w:hAnsi="Calibri"/>
          <w:b/>
          <w:color w:val="2E5E8C"/>
          <w:sz w:val="24"/>
          <w:szCs w:val="24"/>
        </w:rPr>
        <w:t>1.5 Non-Recognition and Non-Amnesty</w:t>
      </w:r>
    </w:p>
    <w:p>
      <w:pPr>
        <w:pStyle w:val="EndnoteText"/>
        <w:spacing w:after="140" w:before="0" w:line="276"/>
      </w:pPr>
      <w:r>
        <w:rPr>
          <w:rFonts w:ascii="Calibri" w:hAnsi="Calibri" w:eastAsia="Calibri" w:cs="Calibri"/>
          <w:color w:val="232323"/>
          <w:sz w:val="21"/>
          <w:szCs w:val="20"/>
        </w:rPr>
        <w:t>Nothing here constitutes recognition of the other Party’s government, political system, or regional policies; this is a transactional arrangement. Nothing here grants amnesty, immunity, or retrospective forgiveness for any prior action. Executive authority suffices for entry into force where legislative ratification itself triggers a recognition dispute. This use of executive authority is consistent with the model of the 1981 Algiers Accords, which the United States and Iran have previously implemented without legislative ratification.</w:t>
      </w:r>
    </w:p>
    <w:p>
      <w:pPr>
        <w:pStyle w:val="Heading2"/>
      </w:pPr>
      <w:r>
        <w:rPr>
          <w:rFonts w:ascii="Calibri" w:cs="Calibri" w:eastAsia="Calibri" w:hAnsi="Calibri"/>
          <w:b/>
          <w:color w:val="2E5E8C"/>
          <w:sz w:val="24"/>
          <w:szCs w:val="24"/>
        </w:rPr>
        <w:t>1.6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1"/>
        </w:trPr>
        <w:tc>
          <w:tcPr>
            <w:tcW w:type="dxa" w:w="22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Term</w:t>
            </w:r>
          </w:p>
        </w:tc>
        <w:tc>
          <w:tcPr>
            <w:tcW w:type="dxa" w:w="71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Operative meaning</w:t>
            </w:r>
          </w:p>
        </w:tc>
      </w:tr>
      <w:tr>
        <w:tc>
          <w:tcPr>
            <w:tcW w:type="dxa" w:w="22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HEU</w:t>
            </w:r>
          </w:p>
        </w:tc>
        <w:tc>
          <w:tcPr>
            <w:tcW w:type="dxa" w:w="71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Uranium enriched to 20% U-235 or above. The baseline stockpile is as recorded in the IAEA's most recent public safeguards report (working figure at signature: approximately 440–500 kg at ~60% U-235), updating automatically by reference to subsequent IAEA public reports; a reported change in baseline informs monitoring but is not itself a breach.</w:t>
            </w:r>
          </w:p>
        </w:tc>
      </w:tr>
      <w:tr>
        <w:tc>
          <w:tcPr>
            <w:tcW w:type="dxa" w:w="22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Medical-grade LEU</w:t>
            </w:r>
          </w:p>
        </w:tc>
        <w:tc>
          <w:tcPr>
            <w:tcW w:type="dxa" w:w="71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Uranium at exactly 19.75% U-235, suitable for medical isotope targets, incapable of supporting a weapon.</w:t>
            </w:r>
          </w:p>
        </w:tc>
      </w:tr>
      <w:tr>
        <w:tc>
          <w:tcPr>
            <w:tcW w:type="dxa" w:w="22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Step-back / earn-back</w:t>
            </w:r>
          </w:p>
        </w:tc>
        <w:tc>
          <w:tcPr>
            <w:tcW w:type="dxa" w:w="71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The graduated, reversible penalty system of Article 7.3: benefit reduces in proportion to a violation and restores fully on verified remediation and sustained compliance. It replaces any automatic, irreversible suspension.</w:t>
            </w:r>
          </w:p>
        </w:tc>
      </w:tr>
      <w:tr>
        <w:tc>
          <w:tcPr>
            <w:tcW w:type="dxa" w:w="22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Dual-key custody</w:t>
            </w:r>
          </w:p>
        </w:tc>
        <w:tc>
          <w:tcPr>
            <w:tcW w:type="dxa" w:w="71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Storage of nuclear material under two independent locks — one IAEA, one U.S.-designated technical agent — so neither Party opens the store unilaterally (Annex Y).</w:t>
            </w:r>
          </w:p>
        </w:tc>
      </w:tr>
      <w:tr>
        <w:tc>
          <w:tcPr>
            <w:tcW w:type="dxa" w:w="22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PRDD</w:t>
            </w:r>
          </w:p>
        </w:tc>
        <w:tc>
          <w:tcPr>
            <w:tcW w:type="dxa" w:w="71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Petroleum Revenue Direct Deposit: the Swiss-escrow channel crediting oil revenue to the Central Bank of Iran on verified compliance.</w:t>
            </w:r>
          </w:p>
        </w:tc>
      </w:tr>
      <w:tr>
        <w:tc>
          <w:tcPr>
            <w:tcW w:type="dxa" w:w="22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PCC</w:t>
            </w:r>
          </w:p>
        </w:tc>
        <w:tc>
          <w:tcPr>
            <w:tcW w:type="dxa" w:w="71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Political &amp; Compliance Council: the single political and compliance body in Geneva (formerly the Joint Implementation Group).</w:t>
            </w:r>
          </w:p>
        </w:tc>
      </w:tr>
      <w:tr>
        <w:tc>
          <w:tcPr>
            <w:tcW w:type="dxa" w:w="22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MSB</w:t>
            </w:r>
          </w:p>
        </w:tc>
        <w:tc>
          <w:tcPr>
            <w:tcW w:type="dxa" w:w="71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Maritime Stability Board: the advisory maritime body of Part B-2 (merging the former transit authority and coordination center); no governing or revenue power.</w:t>
            </w:r>
          </w:p>
        </w:tc>
      </w:tr>
      <w:tr>
        <w:tc>
          <w:tcPr>
            <w:tcW w:type="dxa" w:w="22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Mirror Pairing</w:t>
            </w:r>
          </w:p>
        </w:tc>
        <w:tc>
          <w:tcPr>
            <w:tcW w:type="dxa" w:w="71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Day-1 pair in which a U.S. action and an Iranian action of equal weight execute simultaneously.</w:t>
            </w:r>
          </w:p>
        </w:tc>
      </w:tr>
    </w:tbl>
    <w:p>
      <w:pPr>
        <w:pStyle w:val="Heading2"/>
      </w:pPr>
      <w:r>
        <w:rPr>
          <w:rFonts w:ascii="Calibri" w:cs="Calibri" w:eastAsia="Calibri" w:hAnsi="Calibri"/>
          <w:b/>
          <w:color w:val="2E5E8C"/>
          <w:sz w:val="24"/>
          <w:szCs w:val="24"/>
        </w:rPr>
        <w:t>1.7 No Regime Change, Framing Autonomy, and Sovereign Equality</w:t>
      </w:r>
    </w:p>
    <w:p>
      <w:pPr>
        <w:pStyle w:val="EndnoteText"/>
        <w:spacing w:after="140" w:before="0" w:line="276"/>
      </w:pPr>
      <w:r>
        <w:rPr>
          <w:rFonts w:ascii="Calibri" w:hAnsi="Calibri" w:eastAsia="Calibri" w:cs="Calibri"/>
          <w:color w:val="232323"/>
          <w:sz w:val="21"/>
          <w:szCs w:val="20"/>
        </w:rPr>
        <w:t>This instrument is a stabilization and verification mechanism, not a tool for regime change, intelligence gathering, or internal political disruption. Each Party describes this instrument to its own public in its own terminology; neither Party requires the other to adopt a specific label such as concession, surrender, or victory, and neither Party adopts language that implies subordination. Any joint statement uses only mutually agreed technical language. A narrative dispute-resolution process (Annex R.b) handles any framing that materially misrepresents a verified technical fact. All governance bodies operate by consensus where both Parties are present.</w:t>
      </w:r>
    </w:p>
    <w:p>
      <w:pPr>
        <w:pStyle w:val="Heading2"/>
      </w:pPr>
      <w:r>
        <w:rPr>
          <w:rFonts w:ascii="Calibri" w:cs="Calibri" w:eastAsia="Calibri" w:hAnsi="Calibri"/>
          <w:b/>
          <w:color w:val="2E5E8C"/>
          <w:sz w:val="24"/>
          <w:szCs w:val="24"/>
        </w:rPr>
        <w:t>1.8 No misuse of framework data (binding, non-waivable)</w:t>
      </w:r>
    </w:p>
    <w:p>
      <w:pPr>
        <w:pStyle w:val="EndnoteText"/>
        <w:spacing w:after="140" w:before="0" w:line="276"/>
      </w:pPr>
      <w:r>
        <w:rPr>
          <w:rFonts w:ascii="Calibri" w:hAnsi="Calibri" w:eastAsia="Calibri" w:cs="Calibri"/>
          <w:color w:val="232323"/>
          <w:sz w:val="21"/>
          <w:szCs w:val="20"/>
        </w:rPr>
        <w:t>No access, telemetry, monitoring feed, escrow record, or other data generated under this Framework serves no intelligence-collection purpose, internal political disruption, or any regime-change activity directed at either Party. This article is binding and non-waivable; a verified violation classifies as a Tier-3 deliberate hostile violation under Article 7.3 and automatically suspends the offending Party’s data access pending remediation. The clause exists so that verification never becomes a vector for the very hostility the instrument is built to wind down.</w:t>
      </w:r>
    </w:p>
    <w:p>
      <w:pPr>
        <w:pStyle w:val="Heading2"/>
      </w:pPr>
      <w:r>
        <w:rPr>
          <w:rFonts w:ascii="Calibri" w:cs="Calibri" w:eastAsia="Calibri" w:hAnsi="Calibri"/>
          <w:b/>
          <w:color w:val="2E5E8C"/>
          <w:sz w:val="24"/>
          <w:szCs w:val="24"/>
        </w:rPr>
        <w:t>1.9 No U.S. veto over enumerated Iranian decisions</w:t>
      </w:r>
    </w:p>
    <w:p>
      <w:pPr>
        <w:pStyle w:val="EndnoteText"/>
        <w:spacing w:after="140" w:before="0" w:line="276"/>
      </w:pPr>
      <w:r>
        <w:rPr>
          <w:rFonts w:ascii="Calibri" w:hAnsi="Calibri" w:eastAsia="Calibri" w:cs="Calibri"/>
          <w:color w:val="232323"/>
          <w:sz w:val="21"/>
          <w:szCs w:val="20"/>
        </w:rPr>
        <w:t>To make the balance explicit, the United States holds no veto over any of the following sovereign Iranian decisions: the selection of an in-country transformation pathway (N, O, T, or W); the denial of U.S. observer access to an IAEA custody facility (Article 3.5); the termination of IAEA custody after Day 365 on the conditions of Article 3.2; or the automatic suspension for monitoring failure (Article 7.5). Each operates on Iran’s determination or automatically, without requiring U.S. concurrence.</w:t>
      </w:r>
    </w:p>
    <w:p>
      <w:pPr>
        <w:pStyle w:val="Heading2"/>
      </w:pPr>
      <w:r>
        <w:rPr>
          <w:rFonts w:ascii="Calibri" w:cs="Calibri" w:eastAsia="Calibri" w:hAnsi="Calibri"/>
          <w:b/>
          <w:color w:val="2E5E8C"/>
          <w:sz w:val="24"/>
          <w:szCs w:val="24"/>
        </w:rPr>
        <w:t>1.10 No unilateral reinterpretation</w:t>
      </w:r>
    </w:p>
    <w:p>
      <w:pPr>
        <w:pStyle w:val="EndnoteText"/>
        <w:spacing w:after="140" w:before="0" w:line="276"/>
      </w:pPr>
      <w:r>
        <w:rPr>
          <w:rFonts w:ascii="Calibri" w:hAnsi="Calibri" w:eastAsia="Calibri" w:cs="Calibri"/>
          <w:color w:val="232323"/>
          <w:sz w:val="21"/>
          <w:szCs w:val="20"/>
        </w:rPr>
        <w:t>Neither Party unilaterally reinterprets any provision of this instrument in a manner that materially alters its obligations or the other Party’s benefits. A disputed interpretation resolves through the PCC dispute process (Article 7.4) and, where necessary, binding arbitration under Annex T. The clause closes the door on the creative compliance that hollowed out earlier agreements: the text means what the Parties agreed it means, not what one Party later prefers.</w:t>
      </w:r>
    </w:p>
    <w:p>
      <w:pPr>
        <w:pStyle w:val="Heading2"/>
      </w:pPr>
      <w:r>
        <w:rPr>
          <w:rFonts w:ascii="Calibri" w:cs="Calibri" w:eastAsia="Calibri" w:hAnsi="Calibri"/>
          <w:b/>
          <w:color w:val="2E5E8C"/>
          <w:sz w:val="24"/>
          <w:szCs w:val="24"/>
        </w:rPr>
        <w:t>1.11 No preconditions on Track II channels</w:t>
      </w:r>
    </w:p>
    <w:p>
      <w:pPr>
        <w:pStyle w:val="EndnoteText"/>
        <w:spacing w:after="140" w:before="0" w:line="276"/>
      </w:pPr>
      <w:r>
        <w:rPr>
          <w:rFonts w:ascii="Calibri" w:hAnsi="Calibri" w:eastAsia="Calibri" w:cs="Calibri"/>
          <w:color w:val="232323"/>
          <w:sz w:val="21"/>
          <w:szCs w:val="20"/>
        </w:rPr>
        <w:t>Neither Party’s legislature imposes preconditions on the existence, staffing, funding, or agenda of the Track II diplomacy channels — quiet negotiation, religious mediation, and business backchannels — that keep the instrument alive during a crisis. These channels draw on the Framework’s administrative budget rather than annual appropriations, so that an appropriations cycle cannot starve them, while remaining subject to each Party’s ordinary law. The point is continuity of contact, not insulation from accountability.</w:t>
      </w:r>
    </w:p>
    <w:p>
      <w:pPr>
        <w:pStyle w:val="Heading1"/>
      </w:pPr>
      <w:r>
        <w:rPr>
          <w:rFonts w:ascii="Calibri" w:cs="Calibri" w:eastAsia="Calibri" w:hAnsi="Calibri"/>
          <w:b/>
          <w:color w:val="1F3B5B"/>
          <w:sz w:val="30"/>
          <w:szCs w:val="30"/>
        </w:rPr>
        <w:t>Article 2 — Day-1 Mirror Pairings</w:t>
      </w:r>
    </w:p>
    <w:p>
      <w:pPr>
        <w:pStyle w:val="EndnoteText"/>
        <w:spacing w:after="140" w:before="0" w:line="276"/>
      </w:pPr>
      <w:r>
        <w:rPr>
          <w:rFonts w:ascii="Calibri" w:hAnsi="Calibri" w:eastAsia="Calibri" w:cs="Calibri"/>
          <w:color w:val="232323"/>
          <w:sz w:val="21"/>
          <w:szCs w:val="20"/>
        </w:rPr>
        <w:t>On the hour of signature, four pairings execute together. Each U.S. action and its Iranian counterpart hold equal weight. No cash changes hands on Day 1: the first financial instrument is a mutual escrow deposit that releases only after thirty days of verified compliance — the exact opposite of an upfront transfer. If any pairing fails, all pairings suspend until the failure remedies — the non-severability rule that protects both Parties from moving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val="1"/>
        </w:trPr>
        <w:tc>
          <w:tcPr>
            <w:tcW w:type="dxa" w:w="9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Pairing</w:t>
            </w:r>
          </w:p>
        </w:tc>
        <w:tc>
          <w:tcPr>
            <w:tcW w:type="dxa" w:w="42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United States provides</w:t>
            </w:r>
          </w:p>
        </w:tc>
        <w:tc>
          <w:tcPr>
            <w:tcW w:type="dxa" w:w="423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 provides</w:t>
            </w:r>
          </w:p>
        </w:tc>
      </w:tr>
      <w:tr>
        <w:tc>
          <w:tcPr>
            <w:tcW w:type="dxa" w:w="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1</w:t>
            </w:r>
          </w:p>
        </w:tc>
        <w:tc>
          <w:tcPr>
            <w:tcW w:type="dxa" w:w="42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Mutual Escrow Deposit: $500M placed into the Swiss-Omani escrow account, released to Iran only on Day 30 on IAEA certification of verified custody and no enrichment above 3.67%</w:t>
            </w:r>
          </w:p>
        </w:tc>
        <w:tc>
          <w:tcPr>
            <w:tcW w:type="dxa" w:w="42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Enrichment-cap order posted at 3.67%, effective immediately, and the entire HEU stockpile placed under IAEA dual-lock custody</w:t>
            </w:r>
          </w:p>
        </w:tc>
      </w:tr>
      <w:tr>
        <w:tc>
          <w:tcPr>
            <w:tcW w:type="dxa" w:w="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2</w:t>
            </w:r>
          </w:p>
        </w:tc>
        <w:tc>
          <w:tcPr>
            <w:tcW w:type="dxa" w:w="42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OFAC General License covering frozen-asset and escrow transfers</w:t>
            </w:r>
          </w:p>
        </w:tc>
        <w:tc>
          <w:tcPr>
            <w:tcW w:type="dxa" w:w="42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 inspector access; border crossing confirmed</w:t>
            </w:r>
          </w:p>
        </w:tc>
      </w:tr>
      <w:tr>
        <w:tc>
          <w:tcPr>
            <w:tcW w:type="dxa" w:w="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3</w:t>
            </w:r>
          </w:p>
        </w:tc>
        <w:tc>
          <w:tcPr>
            <w:tcW w:type="dxa" w:w="42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Oil-export normalization permits issued</w:t>
            </w:r>
          </w:p>
        </w:tc>
        <w:tc>
          <w:tcPr>
            <w:tcW w:type="dxa" w:w="423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IRGC-Navy small-craft withdrawal from the commercial corridor</w:t>
            </w:r>
          </w:p>
        </w:tc>
      </w:tr>
      <w:tr>
        <w:tc>
          <w:tcPr>
            <w:tcW w:type="dxa" w:w="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4</w:t>
            </w:r>
          </w:p>
        </w:tc>
        <w:tc>
          <w:tcPr>
            <w:tcW w:type="dxa" w:w="42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SWIFT reconnection for Bank Melli and Bank Sepah</w:t>
            </w:r>
          </w:p>
        </w:tc>
        <w:tc>
          <w:tcPr>
            <w:tcW w:type="dxa" w:w="423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24/7 maritime de-confliction hotline staffed, Farsi-English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FBF6E7" w:val="clear" w:color="auto"/>
            <w:tcMar>
              <w:top w:type="dxa" w:w="130"/>
              <w:left w:type="dxa" w:w="180"/>
              <w:bottom w:type="dxa" w:w="130"/>
              <w:right w:type="dxa" w:w="160"/>
            </w:tcMar>
          </w:tcPr>
          <w:p>
            <w:pPr>
              <w:pStyle w:val="EndnoteText"/>
              <w:spacing w:after="60"/>
            </w:pPr>
            <w:r>
              <w:rPr>
                <w:b/>
                <w:color w:val="232323"/>
                <w:rFonts w:ascii="Calibri" w:hAnsi="Calibri" w:eastAsia="Calibri" w:cs="Calibri"/>
                <w:sz w:val="21"/>
                <w:szCs w:val="20"/>
              </w:rPr>
              <w:t>Mirror-Day-1 cost</w:t>
            </w:r>
          </w:p>
          <w:p>
            <w:pPr>
              <w:pStyle w:val="EndnoteText"/>
              <w:spacing w:after="60" w:line="268"/>
            </w:pPr>
            <w:r>
              <w:rPr>
                <w:rFonts w:ascii="Calibri" w:hAnsi="Calibri" w:eastAsia="Calibri" w:cs="Calibri"/>
                <w:color w:val="232323"/>
                <w:sz w:val="21"/>
                <w:szCs w:val="20"/>
              </w:rPr>
              <w:t>The $500M escrow deposit and the dual-lock placement of the stockpile carry equal political and legal weight, and neither realizes on Day 1: the deposit waits on a Day-30 certificate, and the material sits under joint lock from the first hour. Neither Party receives its benefit before the other.</w:t>
            </w:r>
          </w:p>
        </w:tc>
      </w:tr>
    </w:tbl>
    <w:p>
      <w:pPr>
        <w:pStyle w:val="Heading1"/>
      </w:pPr>
      <w:r>
        <w:rPr>
          <w:rFonts w:ascii="Calibri" w:cs="Calibri" w:eastAsia="Calibri" w:hAnsi="Calibri"/>
          <w:b/>
          <w:color w:val="1F3B5B"/>
          <w:sz w:val="30"/>
          <w:szCs w:val="30"/>
        </w:rPr>
        <w:t>Article 3 — Nuclear Stabilization Core</w:t>
      </w:r>
    </w:p>
    <w:p>
      <w:pPr>
        <w:pStyle w:val="Heading2"/>
      </w:pPr>
      <w:r>
        <w:rPr>
          <w:rFonts w:ascii="Calibri" w:cs="Calibri" w:eastAsia="Calibri" w:hAnsi="Calibri"/>
          <w:b/>
          <w:color w:val="2E5E8C"/>
          <w:sz w:val="24"/>
          <w:szCs w:val="24"/>
        </w:rPr>
        <w:t>3.1 The enrichment cap and the moratorium</w:t>
      </w:r>
    </w:p>
    <w:p>
      <w:pPr>
        <w:pStyle w:val="EndnoteText"/>
        <w:spacing w:after="140" w:before="0" w:line="276"/>
      </w:pPr>
      <w:r>
        <w:rPr>
          <w:rFonts w:ascii="Calibri" w:hAnsi="Calibri" w:eastAsia="Calibri" w:cs="Calibri"/>
          <w:color w:val="232323"/>
          <w:sz w:val="21"/>
          <w:szCs w:val="20"/>
        </w:rPr>
        <w:t>Enrichment on Iranian soil caps at 3.67% U-235 from Day 1. No new centrifuge capacity installs at any facility during the moratorium. HEU production stops. The moratorium runs twelve years from entry into force. A verified IAEA finding of enrichment above 3.67% at any facility extends the moratorium automatically by twenty-four months per incident, up to a cumulative cap of twenty-five years, with no further act required of either Party and no congressional or UN vote needed. A clean record shortens nothing below the twelve-year floor; a violation only lengthens. Cheating makes the deal longer, automatically.</w:t>
      </w:r>
    </w:p>
    <w:p>
      <w:pPr>
        <w:pStyle w:val="Heading2"/>
      </w:pPr>
      <w:r>
        <w:rPr>
          <w:rFonts w:ascii="Calibri" w:cs="Calibri" w:eastAsia="Calibri" w:hAnsi="Calibri"/>
          <w:b/>
          <w:color w:val="2E5E8C"/>
          <w:sz w:val="24"/>
          <w:szCs w:val="24"/>
        </w:rPr>
        <w:t>3.2 Disposition of the stockpile</w:t>
      </w:r>
    </w:p>
    <w:p>
      <w:pPr>
        <w:pStyle w:val="EndnoteText"/>
        <w:spacing w:after="140" w:before="0" w:line="276"/>
      </w:pPr>
      <w:r>
        <w:rPr>
          <w:rFonts w:ascii="Calibri" w:hAnsi="Calibri" w:eastAsia="Calibri" w:cs="Calibri"/>
          <w:color w:val="232323"/>
          <w:sz w:val="21"/>
          <w:szCs w:val="20"/>
        </w:rPr>
        <w:t>The 60% stockpile neutralizes under verified custody, on Iranian soil unless Iran chooses otherwise. The material respects the constraint that it does not leave the country. The default disposition is an in-country sequence: Pathway A (in-country downblending under dual-key custody) activates automatically at Day 180, and Pathway W (Agriculture and Food Security) activates automatically at Day 730 as the irreversible final back-stop. As Iran’s irrevocable, unilateral right — exercisable at any time, without U.S. concurrence, joint review, or veto, and operative on 14-day advance notification to the PCC and IAEA technical clearance — Iran instead selects any In-Iran Transformation Pathway (N, O, T, or W per Annex Z). An in-country election runs under the Dual-Key Custody Protocol (Annex Y): the material stays in Iran under joint IAEA and U.S.-designated lock, with no Iranian unilateral access and no route to re-enrich or divert. An optional export lane to Oman under IAEA custody (Pathway B) is available only with Iran’s explicit, revocable, written consent; it is never compelled. All resulting medical-grade material carries a permanent legal restriction to isotope use at the converted Fordow center under joint supervision; diversion or re-enrichment constitutes a Tier-3 deliberate hostile violation.</w:t>
      </w:r>
    </w:p>
    <w:p>
      <w:pPr>
        <w:pStyle w:val="EndnoteText"/>
        <w:spacing w:after="130" w:line="276"/>
      </w:pPr>
      <w:r>
        <w:rPr>
          <w:b/>
          <w:rFonts w:ascii="Calibri" w:hAnsi="Calibri" w:eastAsia="Calibri" w:cs="Calibri"/>
          <w:color w:val="232323"/>
          <w:sz w:val="21"/>
          <w:szCs w:val="20"/>
        </w:rPr>
        <w:t xml:space="preserve">The forced-choice clock. </w:t>
      </w:r>
      <w:r>
        <w:rPr>
          <w:rFonts w:ascii="Calibri" w:hAnsi="Calibri" w:eastAsia="Calibri" w:cs="Calibri"/>
          <w:color w:val="232323"/>
          <w:sz w:val="21"/>
          <w:szCs w:val="20"/>
        </w:rPr>
        <w:t>Three dates prevent indefinite stalling. Day 180: Pathway A auto-activates and downblending under dual-key begins. Day 365 (Phase I close): if Iran has selected no final disposition pathway, a 90-day consultation opens with the Joint Disposition Fund live to incentivize a choice; absent selection, the material continues its in-country path toward the Day-730 back-stop, and the optional Oman lane becomes available for Iran to elect by consent. Day 730: Pathway W (fertilizer) auto-activates as the irreversible final default, with no U.S. veto able to block it. No economic penalty attaches to the passage of time alone, and the material stays under dual-key custody throughout.</w:t>
      </w:r>
    </w:p>
    <w:p>
      <w:pPr>
        <w:pStyle w:val="EndnoteText"/>
        <w:spacing w:after="130" w:line="276"/>
      </w:pPr>
      <w:r>
        <w:rPr>
          <w:b/>
          <w:rFonts w:ascii="Calibri" w:hAnsi="Calibri" w:eastAsia="Calibri" w:cs="Calibri"/>
          <w:color w:val="232323"/>
          <w:sz w:val="21"/>
          <w:szCs w:val="20"/>
        </w:rPr>
        <w:t xml:space="preserve">Custody-termination right (after Day 365). </w:t>
      </w:r>
      <w:r>
        <w:rPr>
          <w:rFonts w:ascii="Calibri" w:hAnsi="Calibri" w:eastAsia="Calibri" w:cs="Calibri"/>
          <w:color w:val="232323"/>
          <w:sz w:val="21"/>
          <w:szCs w:val="20"/>
        </w:rPr>
        <w:t>After Day 365, Iran retains the right to request termination of IAEA custody and return to sovereign control on 180 days' notice, provided no downblending or transformation has commenced. Escrow funds already disbursed before the termination notice are retained; undisbursed tranches tied to the terminated custody arrangement are suspended but not forfeited, and reinstate if Iran resumes IAEA custody within 180 days. This right rests on Iran’s own determination and requires no external approval; the United States holds no veto over it. Because Pathway A downblending begins at Day 180 in the default path, the right is available only where Iran has instead kept the material intact under dual-key without processing.</w:t>
      </w:r>
    </w:p>
    <w:p>
      <w:pPr>
        <w:pStyle w:val="EndnoteText"/>
        <w:spacing w:after="130" w:line="276"/>
      </w:pPr>
      <w:r>
        <w:rPr>
          <w:b/>
          <w:rFonts w:ascii="Calibri" w:hAnsi="Calibri" w:eastAsia="Calibri" w:cs="Calibri"/>
          <w:color w:val="232323"/>
          <w:sz w:val="21"/>
          <w:szCs w:val="20"/>
        </w:rPr>
        <w:t xml:space="preserve">Five-year custody review. </w:t>
      </w:r>
      <w:r>
        <w:rPr>
          <w:rFonts w:ascii="Calibri" w:hAnsi="Calibri" w:eastAsia="Calibri" w:cs="Calibri"/>
          <w:color w:val="232323"/>
          <w:sz w:val="21"/>
          <w:szCs w:val="20"/>
        </w:rPr>
        <w:t>Five years after Phase III certification, either Party retains the right to propose converting the Dual-Key Custody Protocol to IAEA-only custody (removing the U.S.-designated agent). Conversion requires mutual written consent and IAEA certification of 36 consecutive months with no Tier-2 or higher violation; absent agreement, dual-key custody continues. After a further 24 months of IAEA-only custody, Iran retains the right to request full removal of special custody arrangements, subject to PCC majority approval. This review affects neither the 3.67% cap nor the moratorium.</w:t>
      </w:r>
    </w:p>
    <w:p>
      <w:pPr>
        <w:pStyle w:val="EndnoteText"/>
        <w:spacing w:after="130" w:line="276"/>
      </w:pPr>
      <w:r>
        <w:rPr>
          <w:b/>
          <w:rFonts w:ascii="Calibri" w:hAnsi="Calibri" w:eastAsia="Calibri" w:cs="Calibri"/>
          <w:color w:val="232323"/>
          <w:sz w:val="21"/>
          <w:szCs w:val="20"/>
        </w:rPr>
        <w:t xml:space="preserve">Batch splitting. </w:t>
      </w:r>
      <w:r>
        <w:rPr>
          <w:rFonts w:ascii="Calibri" w:hAnsi="Calibri" w:eastAsia="Calibri" w:cs="Calibri"/>
          <w:color w:val="232323"/>
          <w:sz w:val="21"/>
          <w:szCs w:val="20"/>
        </w:rPr>
        <w:t>Iran splits the stockpile into up to three batches processed sequentially — not in parallel — through different pathways, with PCC notification but not PCC concurrence; the PCC’s role is notification only, and it holds no approval authority over batch composition or sequencing. One batch completes substantially before the next commences; all batches stay under IAEA dual-lock custody and material accountancy throughout. Mid-stream switching is permitted on thirty days’ notice. The provision lets Iran pursue several disposition objectives at once (for example, civilian fuel for part, fertilizer for the rest) without external approval of its allocation.</w:t>
      </w:r>
    </w:p>
    <w:p>
      <w:pPr>
        <w:pStyle w:val="Heading2"/>
      </w:pPr>
      <w:r>
        <w:rPr>
          <w:rFonts w:ascii="Calibri" w:cs="Calibri" w:eastAsia="Calibri" w:hAnsi="Calibri"/>
          <w:b/>
          <w:color w:val="2E5E8C"/>
          <w:sz w:val="24"/>
          <w:szCs w:val="24"/>
        </w:rPr>
        <w:t>3.3 The Three-Facility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val="1"/>
        </w:trPr>
        <w:tc>
          <w:tcPr>
            <w:tcW w:type="dxa" w:w="27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Facility</w:t>
            </w:r>
          </w:p>
        </w:tc>
        <w:tc>
          <w:tcPr>
            <w:tcW w:type="dxa" w:w="66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Function under this instrument</w:t>
            </w:r>
          </w:p>
        </w:tc>
      </w:tr>
      <w:tr>
        <w:tc>
          <w:tcPr>
            <w:tcW w:type="dxa" w:w="2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Esfahan Tunnel Complex</w:t>
            </w:r>
          </w:p>
        </w:tc>
        <w:tc>
          <w:tcPr>
            <w:tcW w:type="dxa" w:w="66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HEU downblending and elimination; sealed to monitoring-only status on completion.</w:t>
            </w:r>
          </w:p>
        </w:tc>
      </w:tr>
      <w:tr>
        <w:tc>
          <w:tcPr>
            <w:tcW w:type="dxa" w:w="2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Fordow</w:t>
            </w:r>
          </w:p>
        </w:tc>
        <w:tc>
          <w:tcPr>
            <w:tcW w:type="dxa" w:w="66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Conversion to the International Medical Isotope Research Center under an international advisory board with an Iranian co-chair.</w:t>
            </w:r>
          </w:p>
        </w:tc>
      </w:tr>
      <w:tr>
        <w:tc>
          <w:tcPr>
            <w:tcW w:type="dxa" w:w="2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Natanz / Pickaxe Mountain</w:t>
            </w:r>
          </w:p>
        </w:tc>
        <w:tc>
          <w:tcPr>
            <w:tcW w:type="dxa" w:w="66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Capped civilian enrichment campus at 3.67%; moratorium lock; no new capacity.</w:t>
            </w:r>
          </w:p>
        </w:tc>
      </w:tr>
    </w:tbl>
    <w:p>
      <w:pPr>
        <w:pStyle w:val="Heading2"/>
      </w:pPr>
      <w:r>
        <w:rPr>
          <w:rFonts w:ascii="Calibri" w:cs="Calibri" w:eastAsia="Calibri" w:hAnsi="Calibri"/>
          <w:b/>
          <w:color w:val="2E5E8C"/>
          <w:sz w:val="24"/>
          <w:szCs w:val="24"/>
        </w:rPr>
        <w:t>3.4 Enforcement principle — step-back / earn-back replaces the Snap Line</w:t>
      </w:r>
    </w:p>
    <w:p>
      <w:pPr>
        <w:pStyle w:val="EndnoteText"/>
        <w:spacing w:after="140" w:before="0" w:line="276"/>
      </w:pPr>
      <w:r>
        <w:rPr>
          <w:rFonts w:ascii="Calibri" w:hAnsi="Calibri" w:eastAsia="Calibri" w:cs="Calibri"/>
          <w:color w:val="232323"/>
          <w:sz w:val="21"/>
          <w:szCs w:val="20"/>
        </w:rPr>
        <w:t>The automatic Snap Line of prior drafts gives way to the tiered step-back and earn-back system of Article 7.3 and Annex T. No violation triggers an automatic, politically irreversible suspension of benefits. the Framework graduates every penalty in proportion to the violation, reversible on verified remediation and sustained compliance, and subject to the human-in-the-loop review of Article 7.4. An IAEA finding of enrichment above 3.67% classifies under Tier 3 and runs the graduated step-back ladder — a reduction that earns back on clean compliance, not an instant, irreversible cut-off.</w:t>
      </w:r>
    </w:p>
    <w:p>
      <w:pPr>
        <w:pStyle w:val="Heading2"/>
      </w:pPr>
      <w:r>
        <w:rPr>
          <w:rFonts w:ascii="Calibri" w:cs="Calibri" w:eastAsia="Calibri" w:hAnsi="Calibri"/>
          <w:b/>
          <w:color w:val="2E5E8C"/>
          <w:sz w:val="24"/>
          <w:szCs w:val="24"/>
        </w:rPr>
        <w:t>3.5 Sovereignty and verification balance</w:t>
      </w:r>
    </w:p>
    <w:p>
      <w:pPr>
        <w:pStyle w:val="EndnoteText"/>
        <w:spacing w:after="140" w:before="0" w:line="276"/>
      </w:pPr>
      <w:r>
        <w:rPr>
          <w:rFonts w:ascii="Calibri" w:hAnsi="Calibri" w:eastAsia="Calibri" w:cs="Calibri"/>
          <w:color w:val="232323"/>
          <w:sz w:val="21"/>
          <w:szCs w:val="20"/>
        </w:rPr>
        <w:t>Recognition of IRGC control over certain sites does not dilute compliance: an IRGC denial of access counts as an Iranian denial (Annex Q). Access to damaged sites and recovery of damaged cylinders proceed under Annexes O, P, and V. In return, the verification architecture excludes the non-humiliation prohibitions of Article 8.6 — no public renunciation, no inspection-site media events, no characterization of compliance as submission.</w:t>
      </w:r>
    </w:p>
    <w:p>
      <w:pPr>
        <w:pStyle w:val="EndnoteText"/>
        <w:spacing w:after="140" w:before="0" w:line="276"/>
      </w:pPr>
      <w:r>
        <w:rPr>
          <w:b/>
          <w:rFonts w:ascii="Calibri" w:hAnsi="Calibri" w:eastAsia="Calibri" w:cs="Calibri"/>
          <w:color w:val="232323"/>
          <w:sz w:val="21"/>
          <w:szCs w:val="20"/>
        </w:rPr>
        <w:t xml:space="preserve">No U.S. custody, no U.S. soil. </w:t>
      </w:r>
      <w:r>
        <w:rPr>
          <w:rFonts w:ascii="Calibri" w:hAnsi="Calibri" w:eastAsia="Calibri" w:cs="Calibri"/>
          <w:color w:val="232323"/>
          <w:sz w:val="21"/>
          <w:szCs w:val="20"/>
        </w:rPr>
        <w:t>At no stage does the United States receive, store, or exercise direct physical custody over Iranian enriched uranium, and no material moves to U.S. soil. The IAEA is the custodian; the U.S.-designated agent holds only the second key. A U.S. technical observer accesses an IAEA custody facility only on Iran’s explicit, revocable, per-visit written consent. There is no standing or open-ended access right and no “not unreasonably withheld” qualifier: each visit is a fresh sovereign permission, and the second key controls the lock, not the building.</w:t>
      </w:r>
    </w:p>
    <w:p>
      <w:pPr>
        <w:pStyle w:val="Heading2"/>
      </w:pPr>
      <w:r>
        <w:rPr>
          <w:rFonts w:ascii="Calibri" w:cs="Calibri" w:eastAsia="Calibri" w:hAnsi="Calibri"/>
          <w:b/>
          <w:color w:val="2E5E8C"/>
          <w:sz w:val="24"/>
          <w:szCs w:val="24"/>
        </w:rPr>
        <w:t>3.6 The Joint Disposition Fund</w:t>
      </w:r>
    </w:p>
    <w:p>
      <w:pPr>
        <w:pStyle w:val="EndnoteText"/>
        <w:spacing w:after="140" w:before="0" w:line="276"/>
      </w:pPr>
      <w:r>
        <w:rPr>
          <w:rFonts w:ascii="Calibri" w:hAnsi="Calibri" w:eastAsia="Calibri" w:cs="Calibri"/>
          <w:color w:val="232323"/>
          <w:sz w:val="21"/>
          <w:szCs w:val="20"/>
        </w:rPr>
        <w:t>A $1B Joint Disposition Fund, contributed equally by both Parties, rewards verified progress on disposition. Iran draws on the Fund as milestones verify, independent of which pathway it selects; the Framework excludes no pathway from eligibility. The Fund makes a mutually acceptable disposition the financially advantaged choice for both sides without pre-judging the pathway, and it gives Iran value tied to the nuclear track that it characterizes as cooperation rather than concession.</w:t>
      </w:r>
    </w:p>
    <w:p>
      <w:pPr>
        <w:pStyle w:val="EndnoteText"/>
        <w:spacing w:after="140" w:before="0" w:line="276"/>
      </w:pPr>
      <w:r>
        <w:rPr>
          <w:rFonts w:ascii="Calibri" w:hAnsi="Calibri" w:eastAsia="Calibri" w:cs="Calibri"/>
          <w:color w:val="232323"/>
          <w:sz w:val="21"/>
          <w:szCs w:val="20"/>
        </w:rPr>
        <w:t>For clarity, the Fund disburses on IAEA-verified progress under any pathway in Annex Z, including Pathway W (Agriculture and Food Security); Pathway W draws on the in-country schedule of 50% on commencement and 50% on completion. In addition to the $1B cap, the Parties establish a per-kilogram disposition incentive (target $5,000 per kilogram of HEU neutralized, reviewed annually by the PCC), paid from interest accrued on escrowed funds or from voluntary contributions by endorsing states. This incentive does not raise the $1B cap; it is a separate, non-obligatory supplement that gives Iran upside without a new U.S. appropriation.</w:t>
      </w:r>
    </w:p>
    <w:p>
      <w:pPr>
        <w:pStyle w:val="EndnoteText"/>
        <w:spacing w:after="140" w:before="0" w:line="276"/>
      </w:pPr>
      <w:r>
        <w:rPr>
          <w:rFonts w:ascii="Calibri" w:hAnsi="Calibri" w:eastAsia="Calibri" w:cs="Calibri"/>
          <w:color w:val="232323"/>
          <w:sz w:val="21"/>
          <w:szCs w:val="20"/>
        </w:rPr>
        <w:t>The Fund is a progress-based drawdown facility, not a one-time completion bonus: Iran draws on verified commencement as well as completion, so the money funds momentum rather than only endpoints. Representative drawdowns: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500"/>
        <w:gridCol w:w="2400"/>
      </w:tblGrid>
      <w:tr>
        <w:trPr>
          <w:tblHeader w:val="1"/>
        </w:trPr>
        <w:tc>
          <w:tcPr>
            <w:tcW w:type="dxa" w:w="54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Pathway</w:t>
            </w:r>
          </w:p>
        </w:tc>
        <w:tc>
          <w:tcPr>
            <w:tcW w:type="dxa" w:w="15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Drawdown</w:t>
            </w:r>
          </w:p>
        </w:tc>
        <w:tc>
          <w:tcPr>
            <w:tcW w:type="dxa" w:w="2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Basis</w:t>
            </w:r>
          </w:p>
        </w:tc>
      </w:tr>
      <w:tr>
        <w:tc>
          <w:tcPr>
            <w:tcW w:type="dxa" w:w="54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Export and civilian-product routes — Oman (B), Kazakhstan (C), civilian nuclear products (N), industrial uranium products (O)</w:t>
            </w:r>
          </w:p>
        </w:tc>
        <w:tc>
          <w:tcPr>
            <w:tcW w:type="dxa" w:w="1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$200M</w:t>
            </w:r>
          </w:p>
        </w:tc>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 commencement / 50% completion</w:t>
            </w:r>
          </w:p>
        </w:tc>
      </w:tr>
      <w:tr>
        <w:tc>
          <w:tcPr>
            <w:tcW w:type="dxa" w:w="54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Depleted-uranium industrial (T)</w:t>
            </w:r>
          </w:p>
        </w:tc>
        <w:tc>
          <w:tcPr>
            <w:tcW w:type="dxa" w:w="1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$100M</w:t>
            </w:r>
          </w:p>
        </w:tc>
        <w:tc>
          <w:tcPr>
            <w:tcW w:type="dxa" w:w="2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 / 50%</w:t>
            </w:r>
          </w:p>
        </w:tc>
      </w:tr>
      <w:tr>
        <w:tc>
          <w:tcPr>
            <w:tcW w:type="dxa" w:w="54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In-country downblending (A)</w:t>
            </w:r>
          </w:p>
        </w:tc>
        <w:tc>
          <w:tcPr>
            <w:tcW w:type="dxa" w:w="1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$80M</w:t>
            </w:r>
          </w:p>
        </w:tc>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 / 50%</w:t>
            </w:r>
          </w:p>
        </w:tc>
      </w:tr>
      <w:tr>
        <w:tc>
          <w:tcPr>
            <w:tcW w:type="dxa" w:w="54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Agriculture and food security (W)</w:t>
            </w:r>
          </w:p>
        </w:tc>
        <w:tc>
          <w:tcPr>
            <w:tcW w:type="dxa" w:w="1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$70M</w:t>
            </w:r>
          </w:p>
        </w:tc>
        <w:tc>
          <w:tcPr>
            <w:tcW w:type="dxa" w:w="2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 / 50%</w:t>
            </w:r>
          </w:p>
        </w:tc>
      </w:tr>
    </w:tbl>
    <w:p>
      <w:pPr>
        <w:pStyle w:val="EndnoteText"/>
        <w:spacing w:after="140" w:before="40" w:line="276"/>
      </w:pPr>
      <w:r>
        <w:rPr>
          <w:rFonts w:ascii="Calibri" w:hAnsi="Calibri" w:eastAsia="Calibri" w:cs="Calibri"/>
          <w:color w:val="232323"/>
          <w:sz w:val="21"/>
          <w:szCs w:val="20"/>
        </w:rPr>
        <w:t>Pathway-switching protection: if Iran switches pathways mid-stream, funds already drawn credit against the new pathway’s schedule with no clawback. The rule rewards genuine effort and lets Iran pivot without forfeiting progress.</w:t>
      </w:r>
    </w:p>
    <w:p>
      <w:pPr>
        <w:pStyle w:val="Heading2"/>
      </w:pPr>
      <w:r>
        <w:rPr>
          <w:rFonts w:ascii="Calibri" w:cs="Calibri" w:eastAsia="Calibri" w:hAnsi="Calibri"/>
          <w:b/>
          <w:color w:val="2E5E8C"/>
          <w:sz w:val="24"/>
          <w:szCs w:val="24"/>
        </w:rPr>
        <w:t>3.7 Centrifuge production ban (Phase I)</w:t>
      </w:r>
    </w:p>
    <w:p>
      <w:pPr>
        <w:pStyle w:val="EndnoteText"/>
        <w:spacing w:after="140" w:before="0" w:line="276"/>
      </w:pPr>
      <w:r>
        <w:rPr>
          <w:rFonts w:ascii="Calibri" w:hAnsi="Calibri" w:eastAsia="Calibri" w:cs="Calibri"/>
          <w:color w:val="232323"/>
          <w:sz w:val="21"/>
          <w:szCs w:val="20"/>
        </w:rPr>
        <w:t>Iran does not manufacture, assemble, or install any new centrifuge rotor or cascade component during Phase I (Days 1–365). The IAEA verifies compliance through quarterly inspections of declared centrifuge-manufacturing facilities. A verified violation of this ban classifies as a Tier-2 material disruption under Article 7.3. The ban is temporary and facility-specific: it freezes new enrichment capacity during implementation without touching existing centrifuges, and Iran resumes permitted production in Phase II on clean compliance.</w:t>
      </w:r>
    </w:p>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Article 4 — Maritime Stabilization Core</w:t>
      </w:r>
    </w:p>
    <w:p>
      <w:pPr>
        <w:pStyle w:val="Heading2"/>
      </w:pPr>
      <w:r>
        <w:rPr>
          <w:rFonts w:ascii="Calibri" w:cs="Calibri" w:eastAsia="Calibri" w:hAnsi="Calibri"/>
          <w:b/>
          <w:color w:val="2E5E8C"/>
          <w:sz w:val="24"/>
          <w:szCs w:val="24"/>
        </w:rPr>
        <w:t>4.1 Freedom of Navigation Guarantee</w:t>
      </w:r>
    </w:p>
    <w:p>
      <w:pPr>
        <w:pStyle w:val="EndnoteText"/>
        <w:spacing w:after="140" w:before="0" w:line="276"/>
      </w:pPr>
      <w:r>
        <w:rPr>
          <w:rFonts w:ascii="Calibri" w:hAnsi="Calibri" w:eastAsia="Calibri" w:cs="Calibri"/>
          <w:color w:val="232323"/>
          <w:sz w:val="21"/>
          <w:szCs w:val="20"/>
        </w:rPr>
        <w:t>The Strait of Hormuz reopens to unrestricted commercial transit. the Framework halts no vessel, boards no vessel, delays no vessel, and denies passage to no vessel for any reason related to fees, tolls, or management authority. No Party levies a toll, checkpoint, or transit charge of any kind. The United States and coalition forces lift the naval blockade in proportion to verified Iranian compliance, as set out in Annex N. A Maritime Stability Board in Muscat, operated by Oman with international maritime-organization observer status, receives transit notifications and exercises no regulatory authority over the corridor.</w:t>
      </w:r>
    </w:p>
    <w:p>
      <w:pPr>
        <w:pStyle w:val="Heading2"/>
      </w:pPr>
      <w:r>
        <w:rPr>
          <w:rFonts w:ascii="Calibri" w:cs="Calibri" w:eastAsia="Calibri" w:hAnsi="Calibri"/>
          <w:b/>
          <w:color w:val="2E5E8C"/>
          <w:sz w:val="24"/>
          <w:szCs w:val="24"/>
        </w:rPr>
        <w:t>4.2 Sovereign Coastal Statement</w:t>
      </w:r>
    </w:p>
    <w:p>
      <w:pPr>
        <w:pStyle w:val="EndnoteText"/>
        <w:spacing w:after="140" w:before="0" w:line="276"/>
      </w:pPr>
      <w:r>
        <w:rPr>
          <w:rFonts w:ascii="Calibri" w:hAnsi="Calibri" w:eastAsia="Calibri" w:cs="Calibri"/>
          <w:color w:val="232323"/>
          <w:sz w:val="21"/>
          <w:szCs w:val="20"/>
        </w:rPr>
        <w:t>Nothing in this Article prejudices Iran’s position as a coastal state under international law, including its rights and responsibilities under the UN Convention on the Law of the Sea regarding safety of navigation and protection of the marine environment. This statement delegates no operational authority over the transit corridor to Iran; it records a sovereign position, not a management power.</w:t>
      </w:r>
    </w:p>
    <w:p>
      <w:pPr>
        <w:pStyle w:val="Heading2"/>
      </w:pPr>
      <w:r>
        <w:rPr>
          <w:rFonts w:ascii="Calibri" w:cs="Calibri" w:eastAsia="Calibri" w:hAnsi="Calibri"/>
          <w:b/>
          <w:color w:val="2E5E8C"/>
          <w:sz w:val="24"/>
          <w:szCs w:val="24"/>
        </w:rPr>
        <w:t>4.3 The synchronized blockade lift</w:t>
      </w:r>
    </w:p>
    <w:p>
      <w:pPr>
        <w:pStyle w:val="EndnoteText"/>
        <w:spacing w:after="140" w:before="0" w:line="276"/>
      </w:pPr>
      <w:r>
        <w:rPr>
          <w:rFonts w:ascii="Calibri" w:hAnsi="Calibri" w:eastAsia="Calibri" w:cs="Calibri"/>
          <w:color w:val="232323"/>
          <w:sz w:val="21"/>
          <w:szCs w:val="20"/>
        </w:rPr>
        <w:t>On Day 7, the dual blockade lifts on a minute-by-minute reciprocal choreography: as Iran clears mines and withdraws small craft from the corridor, the United States and coalition forces stand down the naval blockade in proportion. A 24-hour bright-line period defines violations; suspension and restoration follow the maritime escalation ladder. Mine-clearing proceeds jointly or through Oman and other third parties, verified by the Maritime Stability Board.</w:t>
      </w:r>
    </w:p>
    <w:p>
      <w:pPr>
        <w:pStyle w:val="Heading2"/>
      </w:pPr>
      <w:r>
        <w:rPr>
          <w:rFonts w:ascii="Calibri" w:cs="Calibri" w:eastAsia="Calibri" w:hAnsi="Calibri"/>
          <w:b/>
          <w:color w:val="2E5E8C"/>
          <w:sz w:val="24"/>
          <w:szCs w:val="24"/>
        </w:rPr>
        <w:t>4.4 Non-interdiction and backdoor closure</w:t>
      </w:r>
    </w:p>
    <w:p>
      <w:pPr>
        <w:pStyle w:val="EndnoteText"/>
        <w:spacing w:after="140" w:before="0" w:line="276"/>
      </w:pPr>
      <w:r>
        <w:rPr>
          <w:rFonts w:ascii="Calibri" w:hAnsi="Calibri" w:eastAsia="Calibri" w:cs="Calibri"/>
          <w:color w:val="232323"/>
          <w:sz w:val="21"/>
          <w:szCs w:val="20"/>
        </w:rPr>
        <w:t>Commercial transit operates under an absolute non-interdiction protocol (Annex N): the Framework halts no vessel, boards no vessel, delays no vessel, and denies passage to no vessel over a fee or management dispute. The Backdoor-Closure protocol (Annex N.a) classifies any pretextual safety inspection automatically against a bright-line test, and activates U.S. escort and override authority plus an automatic $10M penalty, drawn from Iran’s escrow, for a repeat interdiction. Any Iranian claim that a vessel sits within territorial waters for the purpose of imposing a toll or inspection goes automatically to Maritime Stability Board arbitration; a finding of pretext forfeits Iran’s service reimbursement for ninety days. Humanitarian and Hajj transits run zero-toll because no toll exists at all.</w:t>
      </w:r>
    </w:p>
    <w:p>
      <w:pPr>
        <w:pStyle w:val="Heading2"/>
      </w:pPr>
      <w:r>
        <w:rPr>
          <w:rFonts w:ascii="Calibri" w:cs="Calibri" w:eastAsia="Calibri" w:hAnsi="Calibri"/>
          <w:b/>
          <w:color w:val="2E5E8C"/>
          <w:sz w:val="24"/>
          <w:szCs w:val="24"/>
        </w:rPr>
        <w:t>4.5 The Multilateral Maritime Maintenance Fund and service reimbursement</w:t>
      </w:r>
    </w:p>
    <w:p>
      <w:pPr>
        <w:pStyle w:val="EndnoteText"/>
        <w:spacing w:after="140" w:before="0" w:line="276"/>
      </w:pPr>
      <w:r>
        <w:rPr>
          <w:rFonts w:ascii="Calibri" w:hAnsi="Calibri" w:eastAsia="Calibri" w:cs="Calibri"/>
          <w:color w:val="232323"/>
          <w:sz w:val="21"/>
          <w:szCs w:val="20"/>
        </w:rPr>
        <w:t>A Multilateral Maritime Maintenance Fund, administered by Oman, covers channel maintenance, mine-clearing, and navigation aids. Voluntary contributions from user states finance the Fund; no Iranian sovereign toll, transit charge, or revenue share exists. Iran invoices the Fund for verified services at pre-approved unit rates not exceeding regional market benchmarks, audited independently in Muscat: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1"/>
        </w:trPr>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Service</w:t>
            </w:r>
          </w:p>
        </w:tc>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Reimbursement basis</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Daily strait monitoring and traffic reporting</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Per-vessel rate set in Annex N</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Mine-sweeping operations</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Per linear kilometer cleared</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Environmental and oil-spill response</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Per incident, at audited cost</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Search-and-rescue coordination</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Monthly retainer</w:t>
            </w:r>
          </w:p>
        </w:tc>
      </w:tr>
    </w:tbl>
    <w:p>
      <w:pPr>
        <w:pStyle w:val="EndnoteText"/>
        <w:spacing w:after="140" w:before="40" w:line="276"/>
      </w:pPr>
      <w:r>
        <w:rPr>
          <w:rFonts w:ascii="Calibri" w:hAnsi="Calibri" w:eastAsia="Calibri" w:cs="Calibri"/>
          <w:color w:val="232323"/>
          <w:sz w:val="21"/>
          <w:szCs w:val="20"/>
        </w:rPr>
        <w:t>These are service reimbursements, not tolls, transit fees, management authority, or revenue share. the Framework delays no vessel, denies passage to no vessel, and subjects no vessel to additional inspection for non-payment. Invoicing is quarterly; disputes resolve by binding audit; the Parties review the rate schedule annually. Iran gets a predictable income stream for work performed, and the waterway stays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1" w:space="0"/>
              <w:left w:val="single" w:color="2E5E8C" w:sz="18" w:space="0"/>
              <w:bottom w:val="single" w:color="2E5E8C" w:sz="1" w:space="0"/>
              <w:right w:val="single" w:color="2E5E8C" w:sz="1" w:space="0"/>
            </w:tcBorders>
            <w:shd w:fill="E8F0E4" w:val="clear" w:color="auto"/>
            <w:tcMar>
              <w:top w:type="dxa" w:w="130"/>
              <w:left w:type="dxa" w:w="180"/>
              <w:bottom w:type="dxa" w:w="130"/>
              <w:right w:type="dxa" w:w="160"/>
            </w:tcMar>
          </w:tcPr>
          <w:p>
            <w:pPr>
              <w:pStyle w:val="EndnoteText"/>
              <w:spacing w:after="60"/>
            </w:pPr>
            <w:r>
              <w:rPr>
                <w:b/>
                <w:color w:val="232323"/>
                <w:rFonts w:ascii="Calibri" w:hAnsi="Calibri" w:eastAsia="Calibri" w:cs="Calibri"/>
                <w:sz w:val="21"/>
                <w:szCs w:val="20"/>
              </w:rPr>
              <w:t>Why this resolves the strait</w:t>
            </w:r>
          </w:p>
          <w:p>
            <w:pPr>
              <w:pStyle w:val="EndnoteText"/>
              <w:spacing w:after="60" w:line="268"/>
            </w:pPr>
            <w:r>
              <w:rPr>
                <w:b/>
                <w:rFonts w:ascii="Calibri" w:hAnsi="Calibri" w:eastAsia="Calibri" w:cs="Calibri"/>
                <w:color w:val="232323"/>
                <w:sz w:val="21"/>
                <w:szCs w:val="20"/>
              </w:rPr>
              <w:t xml:space="preserve">United States: </w:t>
            </w:r>
            <w:r>
              <w:rPr>
                <w:rFonts w:ascii="Calibri" w:hAnsi="Calibri" w:eastAsia="Calibri" w:cs="Calibri"/>
                <w:color w:val="232323"/>
                <w:sz w:val="21"/>
                <w:szCs w:val="20"/>
              </w:rPr>
              <w:t>ships move, oil flows, zero Iranian tolls, no checkpoints, no management authority, no revenue share — a fully open international waterway.</w:t>
            </w:r>
          </w:p>
          <w:p>
            <w:pPr>
              <w:pStyle w:val="EndnoteText"/>
              <w:spacing w:after="60" w:line="268"/>
            </w:pPr>
            <w:r>
              <w:rPr>
                <w:b/>
                <w:rFonts w:ascii="Calibri" w:hAnsi="Calibri" w:eastAsia="Calibri" w:cs="Calibri"/>
                <w:color w:val="232323"/>
                <w:sz w:val="21"/>
                <w:szCs w:val="20"/>
              </w:rPr>
              <w:t xml:space="preserve">Iran: </w:t>
            </w:r>
            <w:r>
              <w:rPr>
                <w:rFonts w:ascii="Calibri" w:hAnsi="Calibri" w:eastAsia="Calibri" w:cs="Calibri"/>
                <w:color w:val="232323"/>
                <w:sz w:val="21"/>
                <w:szCs w:val="20"/>
              </w:rPr>
              <w:t>this instrument acknowledges its coastal-state position on the record, and it earns reimbursement for verified services — value for work, not a surrender of leverage.</w:t>
            </w:r>
          </w:p>
        </w:tc>
      </w:tr>
    </w:tbl>
    <w:p>
      <w:pPr>
        <w:pStyle w:val="Heading2"/>
      </w:pPr>
      <w:r>
        <w:rPr>
          <w:rFonts w:ascii="Calibri" w:cs="Calibri" w:eastAsia="Calibri" w:hAnsi="Calibri"/>
          <w:b/>
          <w:color w:val="2E5E8C"/>
          <w:sz w:val="24"/>
          <w:szCs w:val="24"/>
        </w:rPr>
        <w:t>4.8 Maritime deconfliction channel via Oman</w:t>
      </w:r>
    </w:p>
    <w:p>
      <w:pPr>
        <w:pStyle w:val="EndnoteText"/>
        <w:spacing w:after="140" w:before="0" w:line="276"/>
      </w:pPr>
      <w:r>
        <w:rPr>
          <w:rFonts w:ascii="Calibri" w:hAnsi="Calibri" w:eastAsia="Calibri" w:cs="Calibri"/>
          <w:color w:val="232323"/>
          <w:sz w:val="21"/>
          <w:szCs w:val="20"/>
        </w:rPr>
        <w:t>A maritime deconfliction channel operates between the Israeli Navy and the IRGC Navy exclusively through the Omani Royal Navy as a neutral relay. No direct communication between Israeli and Iranian military personnel occurs. The channel prevents accidental engagement only in the Red Sea and the Gulf of Aden; it constitutes no recognition, negotiation, or normalization, and binds neither force beyond accident prevention. It gives both navies a relayed line that lowers the risk of an unintended clash without asking either to acknowledge the other. The channel runs a mandatory acknowledgment rule: the recipient acknowledges any Tier-2, military-level message within 15 minutes, and a failure to acknowledge three times within 30 days classifies as a Tier-2 material disruption under Article 7.3.</w:t>
      </w:r>
    </w:p>
    <w:p>
      <w:pPr>
        <w:pStyle w:val="Heading2"/>
      </w:pPr>
      <w:r>
        <w:rPr>
          <w:rFonts w:ascii="Calibri" w:cs="Calibri" w:eastAsia="Calibri" w:hAnsi="Calibri"/>
          <w:b/>
          <w:color w:val="2E5E8C"/>
          <w:sz w:val="24"/>
          <w:szCs w:val="24"/>
        </w:rPr>
        <w:t>4.9 Force-posture stand-off on performance, not signature</w:t>
      </w:r>
    </w:p>
    <w:p>
      <w:pPr>
        <w:pStyle w:val="EndnoteText"/>
        <w:spacing w:after="140" w:before="0" w:line="276"/>
      </w:pPr>
      <w:r>
        <w:rPr>
          <w:rFonts w:ascii="Calibri" w:hAnsi="Calibri" w:eastAsia="Calibri" w:cs="Calibri"/>
          <w:color w:val="232323"/>
          <w:sz w:val="21"/>
          <w:szCs w:val="20"/>
        </w:rPr>
        <w:t>The U.S. naval stand-off — no patrols within five nautical miles of the transit corridor — triggers only on IAEA confirmation that HEU consolidation has begun, not on signature alone. The United States keeps its posture until Iran performs the first verified step, and Iran earns the stand-off by delivering it. The sequencing ties de-escalation to verified action rather than to a promise on paper.</w:t>
      </w:r>
    </w:p>
    <w:p>
      <w:pPr>
        <w:pStyle w:val="Heading1"/>
      </w:pPr>
      <w:r>
        <w:rPr>
          <w:rFonts w:ascii="Calibri" w:cs="Calibri" w:eastAsia="Calibri" w:hAnsi="Calibri"/>
          <w:b/>
          <w:color w:val="1F3B5B"/>
          <w:sz w:val="30"/>
          <w:szCs w:val="30"/>
        </w:rPr>
        <w:t>Article 5 — Economic Normalization Core</w:t>
      </w:r>
    </w:p>
    <w:p>
      <w:pPr>
        <w:pStyle w:val="Heading2"/>
      </w:pPr>
      <w:r>
        <w:rPr>
          <w:rFonts w:ascii="Calibri" w:cs="Calibri" w:eastAsia="Calibri" w:hAnsi="Calibri"/>
          <w:b/>
          <w:color w:val="2E5E8C"/>
          <w:sz w:val="24"/>
          <w:szCs w:val="24"/>
        </w:rPr>
        <w:t>5.1 The escrow principle</w:t>
      </w:r>
    </w:p>
    <w:p>
      <w:pPr>
        <w:pStyle w:val="EndnoteText"/>
        <w:spacing w:after="140" w:before="0" w:line="276"/>
      </w:pPr>
      <w:r>
        <w:rPr>
          <w:rFonts w:ascii="Calibri" w:hAnsi="Calibri" w:eastAsia="Calibri" w:cs="Calibri"/>
          <w:color w:val="232323"/>
          <w:sz w:val="21"/>
          <w:szCs w:val="20"/>
        </w:rPr>
        <w:t>Value moves through a neutral Swiss escrow agent in Zurich, never as a direct U.S. transfer. The agent holds and releases on verified milestones. This keeps every release reversible and compliance-gated, and keeps the United States out of the posture of handing over cash.</w:t>
      </w:r>
    </w:p>
    <w:p>
      <w:pPr>
        <w:pStyle w:val="Heading2"/>
      </w:pPr>
      <w:r>
        <w:rPr>
          <w:rFonts w:ascii="Calibri" w:cs="Calibri" w:eastAsia="Calibri" w:hAnsi="Calibri"/>
          <w:b/>
          <w:color w:val="2E5E8C"/>
          <w:sz w:val="24"/>
          <w:szCs w:val="24"/>
        </w:rPr>
        <w:t>5.2 Four parallel financial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val="1"/>
        </w:trPr>
        <w:tc>
          <w:tcPr>
            <w:tcW w:type="dxa" w:w="19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Track</w:t>
            </w:r>
          </w:p>
        </w:tc>
        <w:tc>
          <w:tcPr>
            <w:tcW w:type="dxa" w:w="40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Content</w:t>
            </w:r>
          </w:p>
        </w:tc>
        <w:tc>
          <w:tcPr>
            <w:tcW w:type="dxa" w:w="3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Timing and gate</w:t>
            </w:r>
          </w:p>
        </w:tc>
      </w:tr>
      <w:tr>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1. Mutual Escrow Deposit</w:t>
            </w:r>
          </w:p>
        </w:tc>
        <w:tc>
          <w:tcPr>
            <w:tcW w:type="dxa" w:w="40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placed in the Swiss-Omani escrow on Day 1; no cash on Day 1</w:t>
            </w:r>
          </w:p>
        </w:tc>
        <w:tc>
          <w:tcPr>
            <w:tcW w:type="dxa" w:w="3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Released to Iran on Day 30 on IAEA certification of verified custody and the 3.67% cap</w:t>
            </w:r>
          </w:p>
        </w:tc>
      </w:tr>
      <w:tr>
        <w:tc>
          <w:tcPr>
            <w:tcW w:type="dxa" w:w="1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2. Frozen-asset release</w:t>
            </w:r>
          </w:p>
        </w:tc>
        <w:tc>
          <w:tcPr>
            <w:tcW w:type="dxa" w:w="40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Staged, reversible release of frozen sovereign assets</w:t>
            </w:r>
          </w:p>
        </w:tc>
        <w:tc>
          <w:tcPr>
            <w:tcW w:type="dxa" w:w="3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15% Day 30; 30% by Day 60; 45% by Day 180; 65% by Day 360; 100% by Month 24</w:t>
            </w:r>
          </w:p>
        </w:tc>
      </w:tr>
      <w:tr>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3. Oil-export normalization</w:t>
            </w:r>
          </w:p>
        </w:tc>
        <w:tc>
          <w:tcPr>
            <w:tcW w:type="dxa" w:w="40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Up to 2.1 mbpd to whitelisted purchasers (~$130M/day)</w:t>
            </w:r>
          </w:p>
        </w:tc>
        <w:tc>
          <w:tcPr>
            <w:tcW w:type="dxa" w:w="3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Permits Day 1; IAEA quarterly pre-clearance; revenue via PRDD</w:t>
            </w:r>
          </w:p>
        </w:tc>
      </w:tr>
      <w:tr>
        <w:tc>
          <w:tcPr>
            <w:tcW w:type="dxa" w:w="1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4. PRDD</w:t>
            </w:r>
          </w:p>
        </w:tc>
        <w:tc>
          <w:tcPr>
            <w:tcW w:type="dxa" w:w="40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Direct deposit of oil revenue to the Central Bank of Iran</w:t>
            </w:r>
          </w:p>
        </w:tc>
        <w:tc>
          <w:tcPr>
            <w:tcW w:type="dxa" w:w="3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From downblending commencement, weekly; graduated step-back governs any reduction, never an automatic cut-off</w:t>
            </w:r>
          </w:p>
        </w:tc>
      </w:tr>
    </w:tbl>
    <w:p>
      <w:pPr>
        <w:pStyle w:val="Heading2"/>
      </w:pPr>
      <w:r>
        <w:rPr>
          <w:rFonts w:ascii="Calibri" w:cs="Calibri" w:eastAsia="Calibri" w:hAnsi="Calibri"/>
          <w:b/>
          <w:color w:val="2E5E8C"/>
          <w:sz w:val="24"/>
          <w:szCs w:val="24"/>
        </w:rPr>
        <w:t>5.3 The frozen-asset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60"/>
        <w:gridCol w:w="3400"/>
        <w:gridCol w:w="1700"/>
      </w:tblGrid>
      <w:tr>
        <w:trPr>
          <w:tblHeader w:val="1"/>
        </w:trPr>
        <w:tc>
          <w:tcPr>
            <w:tcW w:type="dxa" w:w="1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Tranche</w:t>
            </w:r>
          </w:p>
        </w:tc>
        <w:tc>
          <w:tcPr>
            <w:tcW w:type="dxa" w:w="1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Day</w:t>
            </w:r>
          </w:p>
        </w:tc>
        <w:tc>
          <w:tcPr>
            <w:tcW w:type="dxa" w:w="17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Amount</w:t>
            </w:r>
          </w:p>
        </w:tc>
        <w:tc>
          <w:tcPr>
            <w:tcW w:type="dxa" w:w="3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Trigger</w:t>
            </w:r>
          </w:p>
        </w:tc>
        <w:tc>
          <w:tcPr>
            <w:tcW w:type="dxa" w:w="17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Reversibility</w:t>
            </w:r>
          </w:p>
        </w:tc>
      </w:tr>
      <w:tr>
        <w:tc>
          <w:tcPr>
            <w:tcW w:type="dxa" w:w="1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Tranche 1</w:t>
            </w:r>
          </w:p>
        </w:tc>
        <w:tc>
          <w:tcPr>
            <w:tcW w:type="dxa" w:w="1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30</w:t>
            </w:r>
          </w:p>
        </w:tc>
        <w:tc>
          <w:tcPr>
            <w:tcW w:type="dxa" w:w="17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15%</w:t>
            </w:r>
          </w:p>
        </w:tc>
        <w:tc>
          <w:tcPr>
            <w:tcW w:type="dxa" w:w="3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30 days of downblending or custody compliance + IAEA certificate</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Reversible</w:t>
            </w:r>
          </w:p>
        </w:tc>
      </w:tr>
      <w:tr>
        <w:tc>
          <w:tcPr>
            <w:tcW w:type="dxa" w:w="1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Tranche 2</w:t>
            </w:r>
          </w:p>
        </w:tc>
        <w:tc>
          <w:tcPr>
            <w:tcW w:type="dxa" w:w="1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60</w:t>
            </w:r>
          </w:p>
        </w:tc>
        <w:tc>
          <w:tcPr>
            <w:tcW w:type="dxa" w:w="17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15% (cum. 30%)</w:t>
            </w:r>
          </w:p>
        </w:tc>
        <w:tc>
          <w:tcPr>
            <w:tcW w:type="dxa" w:w="3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60-day compliance certified</w:t>
            </w:r>
          </w:p>
        </w:tc>
        <w:tc>
          <w:tcPr>
            <w:tcW w:type="dxa" w:w="1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Reversible</w:t>
            </w:r>
          </w:p>
        </w:tc>
      </w:tr>
      <w:tr>
        <w:tc>
          <w:tcPr>
            <w:tcW w:type="dxa" w:w="1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Tranche 3</w:t>
            </w:r>
          </w:p>
        </w:tc>
        <w:tc>
          <w:tcPr>
            <w:tcW w:type="dxa" w:w="1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180</w:t>
            </w:r>
          </w:p>
        </w:tc>
        <w:tc>
          <w:tcPr>
            <w:tcW w:type="dxa" w:w="17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15% (cum. 45%)</w:t>
            </w:r>
          </w:p>
        </w:tc>
        <w:tc>
          <w:tcPr>
            <w:tcW w:type="dxa" w:w="3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Disposition / neutralization milestone certified</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Reversible</w:t>
            </w:r>
          </w:p>
        </w:tc>
      </w:tr>
      <w:tr>
        <w:tc>
          <w:tcPr>
            <w:tcW w:type="dxa" w:w="1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Tranche 4</w:t>
            </w:r>
          </w:p>
        </w:tc>
        <w:tc>
          <w:tcPr>
            <w:tcW w:type="dxa" w:w="1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360</w:t>
            </w:r>
          </w:p>
        </w:tc>
        <w:tc>
          <w:tcPr>
            <w:tcW w:type="dxa" w:w="17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 (cum. 65%)</w:t>
            </w:r>
          </w:p>
        </w:tc>
        <w:tc>
          <w:tcPr>
            <w:tcW w:type="dxa" w:w="3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Phase II Kernel completion</w:t>
            </w:r>
          </w:p>
        </w:tc>
        <w:tc>
          <w:tcPr>
            <w:tcW w:type="dxa" w:w="1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Reversible</w:t>
            </w:r>
          </w:p>
        </w:tc>
      </w:tr>
      <w:tr>
        <w:tc>
          <w:tcPr>
            <w:tcW w:type="dxa" w:w="1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Final</w:t>
            </w:r>
          </w:p>
        </w:tc>
        <w:tc>
          <w:tcPr>
            <w:tcW w:type="dxa" w:w="1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Month 24</w:t>
            </w:r>
          </w:p>
        </w:tc>
        <w:tc>
          <w:tcPr>
            <w:tcW w:type="dxa" w:w="17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35% (cum. 100%)</w:t>
            </w:r>
          </w:p>
        </w:tc>
        <w:tc>
          <w:tcPr>
            <w:tcW w:type="dxa" w:w="3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Phase III + 12 months sustained compliance</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Permanent</w:t>
            </w:r>
          </w:p>
        </w:tc>
      </w:tr>
    </w:tbl>
    <w:p>
      <w:pPr>
        <w:pStyle w:val="Heading2"/>
      </w:pPr>
      <w:r>
        <w:rPr>
          <w:rFonts w:ascii="Calibri" w:cs="Calibri" w:eastAsia="Calibri" w:hAnsi="Calibri"/>
          <w:b/>
          <w:color w:val="2E5E8C"/>
          <w:sz w:val="24"/>
          <w:szCs w:val="24"/>
        </w:rPr>
        <w:t>5.4 Reversibility, the humanitarian firewall, and good-faith acceleration</w:t>
      </w:r>
    </w:p>
    <w:p>
      <w:pPr>
        <w:pStyle w:val="EndnoteText"/>
        <w:spacing w:after="140" w:before="0" w:line="276"/>
      </w:pPr>
      <w:r>
        <w:rPr>
          <w:rFonts w:ascii="Calibri" w:hAnsi="Calibri" w:eastAsia="Calibri" w:cs="Calibri"/>
          <w:color w:val="232323"/>
          <w:sz w:val="21"/>
          <w:szCs w:val="20"/>
        </w:rPr>
        <w:t>Every tranche before the final tranche is reversible: a violation steps benefit back under Article 7.3, and clean compliance earns it back. Humanitarian-badged disbursements pass a one-way firewall and never reverse, even at the highest tier. A good-faith acceleration runs alongside the schedule: an IAEA certification of sixty consecutive days with no Tier-2 or higher event releases the next scheduled tranche fifteen days early — a fast lane that rewards sustained performance. Step-back and earn-back (Annex T), not cliff-edge snapback, govern every lapse.</w:t>
      </w:r>
    </w:p>
    <w:p>
      <w:pPr>
        <w:pStyle w:val="EndnoteText"/>
        <w:spacing w:after="130" w:line="276"/>
      </w:pPr>
      <w:r>
        <w:rPr>
          <w:b/>
          <w:rFonts w:ascii="Calibri" w:hAnsi="Calibri" w:eastAsia="Calibri" w:cs="Calibri"/>
          <w:color w:val="232323"/>
          <w:sz w:val="21"/>
          <w:szCs w:val="20"/>
        </w:rPr>
        <w:t xml:space="preserve">Early Humanitarian Acceleration. </w:t>
      </w:r>
      <w:r>
        <w:rPr>
          <w:rFonts w:ascii="Calibri" w:hAnsi="Calibri" w:eastAsia="Calibri" w:cs="Calibri"/>
          <w:color w:val="232323"/>
          <w:sz w:val="21"/>
          <w:szCs w:val="20"/>
        </w:rPr>
        <w:t>The Immediate Liquidity Package carries a $500M humanitarian-badged envelope. As early as Day 7, the PCC issues a Humanitarian and Goodwill Acceleration Certificate releasing $250M of it into a restricted, auditable humanitarian-only sub-account of the Central Bank of Iran, provided that the IAEA confirms the HEU stockpile is under dual-lock custody, the Strait of Hormuz is mine-free with commercial transits resumed for 72 consecutive hours, and no Tier-2 or higher violation has occurred. Funds in the sub-account serve only medicine, food, and medical equipment, are non-reversible once disbursed, and tie to verified actions rather than promises. The mechanism gives Iran an immediate, visible humanitarian win — “the siege begins to lift” — without placing unrestricted cash on the table on Day 1.</w:t>
      </w:r>
    </w:p>
    <w:p>
      <w:pPr>
        <w:pStyle w:val="EndnoteText"/>
        <w:spacing w:after="130" w:line="276"/>
      </w:pPr>
      <w:r>
        <w:rPr>
          <w:b/>
          <w:rFonts w:ascii="Calibri" w:hAnsi="Calibri" w:eastAsia="Calibri" w:cs="Calibri"/>
          <w:color w:val="232323"/>
          <w:sz w:val="21"/>
          <w:szCs w:val="20"/>
        </w:rPr>
        <w:t xml:space="preserve">Over-compliance credit. </w:t>
      </w:r>
      <w:r>
        <w:rPr>
          <w:rFonts w:ascii="Calibri" w:hAnsi="Calibri" w:eastAsia="Calibri" w:cs="Calibri"/>
          <w:color w:val="232323"/>
          <w:sz w:val="21"/>
          <w:szCs w:val="20"/>
        </w:rPr>
        <w:t>When Iran completes a milestone ahead of schedule and sustains verified compliance, the corresponding economic tranche releases proportionally earlier, and unused credit banks for future acceleration. Banking is automatic: a banked credit reduces the compliance period for any future milestone by the number of days earned, up to a maximum of 30 days per milestone, and credits never expire during Phase I or Phase II. the Framework rewards early, clean performance with earlier money, not merely with the absence of penalty.</w:t>
      </w:r>
    </w:p>
    <w:p>
      <w:pPr>
        <w:pStyle w:val="Heading2"/>
      </w:pPr>
      <w:r>
        <w:rPr>
          <w:rFonts w:ascii="Calibri" w:cs="Calibri" w:eastAsia="Calibri" w:hAnsi="Calibri"/>
          <w:b/>
          <w:color w:val="2E5E8C"/>
          <w:sz w:val="24"/>
          <w:szCs w:val="24"/>
        </w:rPr>
        <w:t>5.5 SWIFT, banking, and sanctions shielding</w:t>
      </w:r>
    </w:p>
    <w:p>
      <w:pPr>
        <w:pStyle w:val="EndnoteText"/>
        <w:spacing w:after="140" w:before="0" w:line="276"/>
      </w:pPr>
      <w:r>
        <w:rPr>
          <w:rFonts w:ascii="Calibri" w:hAnsi="Calibri" w:eastAsia="Calibri" w:cs="Calibri"/>
          <w:color w:val="232323"/>
          <w:sz w:val="21"/>
          <w:szCs w:val="20"/>
        </w:rPr>
        <w:t>SWIFT reconnects in tiers. Five designated, pre-approved, non-IRGC-affiliated Iranian banks reconnect to full SWIFT as early as Day 45, conditional on IAEA confirmation that the HEU stockpile is under dual-lock custody, no enrichment above 3.67%, and the Strait of Hormuz open for thirty consecutive days; the Central Bank and remaining major banks follow, with specialized and private banks on later nuclear milestones. Reconnection is reversible by step-back if a Party cheats. An OFAC General License covers escrow transfers, correspondent banking, and clearing; a third-party liability shield keeps non-U.S. institutions clear of secondary sanctions; a wind-down protection grandfathers deposits and certified releases if sanctions reimpose. The currency of release defaults to Swiss francs, with euro, renminbi (up to 50%), and dirham options.</w:t>
      </w:r>
    </w:p>
    <w:p>
      <w:pPr>
        <w:pStyle w:val="Heading2"/>
      </w:pPr>
      <w:r>
        <w:rPr>
          <w:rFonts w:ascii="Calibri" w:cs="Calibri" w:eastAsia="Calibri" w:hAnsi="Calibri"/>
          <w:b/>
          <w:color w:val="2E5E8C"/>
          <w:sz w:val="24"/>
          <w:szCs w:val="24"/>
        </w:rPr>
        <w:t>5.6 The Political Discretion Fund</w:t>
      </w:r>
    </w:p>
    <w:p>
      <w:pPr>
        <w:pStyle w:val="EndnoteText"/>
        <w:spacing w:after="140" w:before="0" w:line="276"/>
      </w:pPr>
      <w:r>
        <w:rPr>
          <w:rFonts w:ascii="Calibri" w:hAnsi="Calibri" w:eastAsia="Calibri" w:cs="Calibri"/>
          <w:color w:val="232323"/>
          <w:sz w:val="21"/>
          <w:szCs w:val="20"/>
        </w:rPr>
        <w:t>A $50M Political Discretion Fund sits outside the milestone schedule and outside step-back: it is immune to reduction and disburses only by a unanimous heads-of-government decision, for confidence-building or to recognize partial progress that the technical milestones do not yet capture. An early tranche of $10M is available at Day 45 on the concurrence of the two foreign ministers, rather than heads of government, for partial-compliance rewards or confidence-building measures. The Fund gives each leader a small, deniable instrument of goodwill that neither a lapse nor a dispute touches.</w:t>
      </w:r>
    </w:p>
    <w:p>
      <w:pPr>
        <w:pStyle w:val="Heading2"/>
      </w:pPr>
      <w:r>
        <w:rPr>
          <w:rFonts w:ascii="Calibri" w:cs="Calibri" w:eastAsia="Calibri" w:hAnsi="Calibri"/>
          <w:b/>
          <w:color w:val="2E5E8C"/>
          <w:sz w:val="24"/>
          <w:szCs w:val="24"/>
        </w:rPr>
        <w:t>5.7 The Energy and Agricultural Release Valve</w:t>
      </w:r>
    </w:p>
    <w:p>
      <w:pPr>
        <w:pStyle w:val="EndnoteText"/>
        <w:spacing w:after="140" w:before="0" w:line="276"/>
      </w:pPr>
      <w:r>
        <w:rPr>
          <w:rFonts w:ascii="Calibri" w:hAnsi="Calibri" w:eastAsia="Calibri" w:cs="Calibri"/>
          <w:color w:val="232323"/>
          <w:sz w:val="21"/>
          <w:szCs w:val="20"/>
        </w:rPr>
        <w:t>Because the confrontation strained global energy markets and regional food security, three measures hold a humanitarian floor under the economy independent of every other lever. First, Iranian oil sold at market rates to fund food imports through certified humanitarian food-security programs, including the UN World Food Programme and regional food banks, is exempt from sanctions enforcement. Second, fertilizer, seeds, and agricultural equipment classify as humanitarian goods under the OFAC general license regardless of end use — the channel that lets a fertilizer disposition (Pathway W) and ordinary agriculture proceed without friction. Third, the Political &amp; Compliance Council monitors regional food-security indicators and recommends emergency humanitarian releases from escrow if the Parties breach a threshold. These flows sit behind the one-way humanitarian firewall and never reverse.</w:t>
      </w:r>
    </w:p>
    <w:p>
      <w:pPr>
        <w:pStyle w:val="EndnoteText"/>
        <w:spacing w:after="140" w:before="0" w:line="276"/>
      </w:pPr>
      <w:r>
        <w:rPr>
          <w:b/>
          <w:rFonts w:ascii="Calibri" w:hAnsi="Calibri" w:eastAsia="Calibri" w:cs="Calibri"/>
          <w:color w:val="232323"/>
          <w:sz w:val="21"/>
          <w:szCs w:val="20"/>
        </w:rPr>
        <w:t xml:space="preserve">Agricultural Green Lane. </w:t>
      </w:r>
      <w:r>
        <w:rPr>
          <w:rFonts w:ascii="Calibri" w:hAnsi="Calibri" w:eastAsia="Calibri" w:cs="Calibri"/>
          <w:color w:val="232323"/>
          <w:sz w:val="21"/>
          <w:szCs w:val="20"/>
        </w:rPr>
        <w:t>Iran exports agricultural products — pistachios, saffron, dates, caviar, dried fruits — without case-by-case OFAC licensing, through a dedicated green lane, with no volume cap. Revenue flows through the PRDD escrow with zero holdback (100% released monthly), because these goods carry no dual-use or proliferation risk. The lane delivers visible, immediate benefit to Iran’s rural economy and frames as food security rather than sanctions relief.</w:t>
      </w:r>
    </w:p>
    <w:p>
      <w:pPr>
        <w:pStyle w:val="Heading2"/>
      </w:pPr>
      <w:r>
        <w:rPr>
          <w:rFonts w:ascii="Calibri" w:cs="Calibri" w:eastAsia="Calibri" w:hAnsi="Calibri"/>
          <w:b/>
          <w:color w:val="2E5E8C"/>
          <w:sz w:val="24"/>
          <w:szCs w:val="24"/>
        </w:rPr>
        <w:t>5.8 U.S. development-finance matching</w:t>
      </w:r>
    </w:p>
    <w:p>
      <w:pPr>
        <w:pStyle w:val="EndnoteText"/>
        <w:spacing w:after="140" w:before="0" w:line="276"/>
      </w:pPr>
      <w:r>
        <w:rPr>
          <w:rFonts w:ascii="Calibri" w:hAnsi="Calibri" w:eastAsia="Calibri" w:cs="Calibri"/>
          <w:color w:val="232323"/>
          <w:sz w:val="21"/>
          <w:szCs w:val="20"/>
        </w:rPr>
        <w:t>A U.S. development-finance matching guarantee provides up to $5B per year against approved Iranian civilian-infrastructure budgets — desalination, renewable energy, non-military port modernization, rail corridors, and hospital and clinic construction. Matching runs against budgets approved by the Regional Development Fund, so Iran need not front its own reserves first. No direct U.S. cash outlay occurs unless Iran performs; the guarantee opens bidding to U.S. firms, turning Iranian compliance into U.S. commercial and employment opportunity.</w:t>
      </w:r>
    </w:p>
    <w:p>
      <w:pPr>
        <w:pStyle w:val="Heading2"/>
      </w:pPr>
      <w:r>
        <w:rPr>
          <w:rFonts w:ascii="Calibri" w:cs="Calibri" w:eastAsia="Calibri" w:hAnsi="Calibri"/>
          <w:b/>
          <w:color w:val="2E5E8C"/>
          <w:sz w:val="24"/>
          <w:szCs w:val="24"/>
        </w:rPr>
        <w:t>5.9 Sovereign debt-service facilitation</w:t>
      </w:r>
    </w:p>
    <w:p>
      <w:pPr>
        <w:pStyle w:val="EndnoteText"/>
        <w:spacing w:after="140" w:before="0" w:line="276"/>
      </w:pPr>
      <w:r>
        <w:rPr>
          <w:rFonts w:ascii="Calibri" w:hAnsi="Calibri" w:eastAsia="Calibri" w:cs="Calibri"/>
          <w:color w:val="232323"/>
          <w:sz w:val="21"/>
          <w:szCs w:val="20"/>
        </w:rPr>
        <w:t>An escrow-channeled, sanctions-shielded mechanism lets Iran service its sovereign and quasi-sovereign debts. Iran applies up to $500M per year from released frozen assets to debt payments routed through the Swiss escrow to pre-registered, non-designated creditors. This is payment to international creditors, not cash to the Iranian government; it averts default, preserves Iran’s standing for future borrowing, and helps stabilize the international financial system.</w:t>
      </w:r>
    </w:p>
    <w:p>
      <w:pPr>
        <w:pStyle w:val="Heading2"/>
      </w:pPr>
      <w:r>
        <w:rPr>
          <w:rFonts w:ascii="Calibri" w:cs="Calibri" w:eastAsia="Calibri" w:hAnsi="Calibri"/>
          <w:b/>
          <w:color w:val="2E5E8C"/>
          <w:sz w:val="24"/>
          <w:szCs w:val="24"/>
        </w:rPr>
        <w:t>5.10 Diaspora investment and return program</w:t>
      </w:r>
    </w:p>
    <w:p>
      <w:pPr>
        <w:pStyle w:val="EndnoteText"/>
        <w:spacing w:after="140" w:before="0" w:line="276"/>
      </w:pPr>
      <w:r>
        <w:rPr>
          <w:rFonts w:ascii="Calibri" w:hAnsi="Calibri" w:eastAsia="Calibri" w:cs="Calibri"/>
          <w:color w:val="232323"/>
          <w:sz w:val="21"/>
          <w:szCs w:val="20"/>
        </w:rPr>
        <w:t>A $200M Regional-Development-Fund program recruits Iranian professionals abroad — engineers, physicians, academics — for time-limited reconstruction assignments, offering market-rate compensation, secure project-site housing, and legal guarantees against both sanctions prosecution (by narrow, reversible OFAC advisory opinion) and domestic legal jeopardy. The program reverses brain drain and signals an opening, funded through the RDF rather than by direct U.S. outlay.</w:t>
      </w:r>
    </w:p>
    <w:p>
      <w:pPr>
        <w:pStyle w:val="Heading1"/>
      </w:pPr>
      <w:r>
        <w:rPr>
          <w:rFonts w:ascii="Calibri" w:cs="Calibri" w:eastAsia="Calibri" w:hAnsi="Calibri"/>
          <w:b/>
          <w:color w:val="1F3B5B"/>
          <w:sz w:val="30"/>
          <w:szCs w:val="30"/>
        </w:rPr>
        <w:t>Article 6 — Regional and Ceasefire Core</w:t>
      </w:r>
    </w:p>
    <w:p>
      <w:pPr>
        <w:pStyle w:val="Heading2"/>
      </w:pPr>
      <w:r>
        <w:rPr>
          <w:rFonts w:ascii="Calibri" w:cs="Calibri" w:eastAsia="Calibri" w:hAnsi="Calibri"/>
          <w:b/>
          <w:color w:val="2E5E8C"/>
          <w:sz w:val="24"/>
          <w:szCs w:val="24"/>
        </w:rPr>
        <w:t>6.1 The rolling ceasefire and regional stabilization rounds</w:t>
      </w:r>
    </w:p>
    <w:p>
      <w:pPr>
        <w:pStyle w:val="EndnoteText"/>
        <w:spacing w:after="140" w:before="0" w:line="276"/>
      </w:pPr>
      <w:r>
        <w:rPr>
          <w:rFonts w:ascii="Calibri" w:hAnsi="Calibri" w:eastAsia="Calibri" w:cs="Calibri"/>
          <w:color w:val="232323"/>
          <w:sz w:val="21"/>
          <w:szCs w:val="20"/>
        </w:rPr>
        <w:t>A ceasefire enters into force across all fronts for an initial sixty days and renews automatically for successive thirty-day periods unless either Party gives written notice of non-renewal at least fifteen days before expiry. The ceasefire is a stabilization instrument in its own right; it carries no legal dependency on the maritime or nuclear cores, and those cores carry no dependency on it. For the avoidance of doubt, it is a humanitarian measure only and creates no legal dependency between the cores and any regional conflict, including in Lebanon, Syria, Yemen, or Gaza; neither Party invokes the status of regional ceasefire negotiations to delay or condition performance under Articles 2 through 5.</w:t>
      </w:r>
    </w:p>
    <w:p>
      <w:pPr>
        <w:pStyle w:val="EndnoteText"/>
        <w:spacing w:after="140" w:before="0" w:line="276"/>
      </w:pPr>
      <w:r>
        <w:rPr>
          <w:rFonts w:ascii="Calibri" w:hAnsi="Calibri" w:eastAsia="Calibri" w:cs="Calibri"/>
          <w:color w:val="232323"/>
          <w:sz w:val="21"/>
          <w:szCs w:val="20"/>
        </w:rPr>
        <w:t>During any renewal period, the Parties convene Regional Stabilization Rounds on a fixed calendar, giving structure without compelling any outcome: Round 1 (Days 30–45) on Lebanon ceasefire implementation; Round 2 (Days 75–90) on Syrian de-escalation; Round 3 (Days 120–135) on Yemen humanitarian access; Round 4 (Day 180 onward) on broader normalization within Phase III. Good-faith participation suffices; failure to attend a Round waives the right to raise related grievances until the next Round but does not breach the ceasefire.</w:t>
      </w:r>
    </w:p>
    <w:p>
      <w:pPr>
        <w:pStyle w:val="EndnoteText"/>
        <w:spacing w:after="130" w:line="276"/>
      </w:pPr>
      <w:r>
        <w:rPr>
          <w:b/>
          <w:rFonts w:ascii="Calibri" w:hAnsi="Calibri" w:eastAsia="Calibri" w:cs="Calibri"/>
          <w:color w:val="232323"/>
          <w:sz w:val="21"/>
          <w:szCs w:val="20"/>
        </w:rPr>
        <w:t xml:space="preserve">Regional-impairment safety valve. </w:t>
      </w:r>
      <w:r>
        <w:rPr>
          <w:rFonts w:ascii="Calibri" w:hAnsi="Calibri" w:eastAsia="Calibri" w:cs="Calibri"/>
          <w:color w:val="232323"/>
          <w:sz w:val="21"/>
          <w:szCs w:val="20"/>
        </w:rPr>
        <w:t>If a regional event materially and directly impairs a Party’s ability to perform under Articles 2–5, that Party requests an emergency PCC session within 48 hours; the PCC issues a non-binding finding within 72 hours. If the PCC reaches no consensus, the requesting Party suspends only non-core benefits — never nuclear custody, freedom of navigation, or humanitarian escrow releases — for up to thirty days, with no extension absent mutual agreement. Such a suspension is not a breach. This replaces any self-judging suspension and keeps neither side able to detonate the deal unilaterally.</w:t>
      </w:r>
    </w:p>
    <w:p>
      <w:pPr>
        <w:pStyle w:val="Heading2"/>
      </w:pPr>
      <w:r>
        <w:rPr>
          <w:rFonts w:ascii="Calibri" w:cs="Calibri" w:eastAsia="Calibri" w:hAnsi="Calibri"/>
          <w:b/>
          <w:color w:val="2E5E8C"/>
          <w:sz w:val="24"/>
          <w:szCs w:val="24"/>
        </w:rPr>
        <w:t>6.2 Territorial freeze-in-place</w:t>
      </w:r>
    </w:p>
    <w:p>
      <w:pPr>
        <w:pStyle w:val="EndnoteText"/>
        <w:spacing w:after="140" w:before="0" w:line="276"/>
      </w:pPr>
      <w:r>
        <w:rPr>
          <w:rFonts w:ascii="Calibri" w:hAnsi="Calibri" w:eastAsia="Calibri" w:cs="Calibri"/>
          <w:color w:val="232323"/>
          <w:sz w:val="21"/>
          <w:szCs w:val="20"/>
        </w:rPr>
        <w:t>A freeze-in-place boundary holds current positions on the Lebanon and Gaza fronts under Annexes M and U. Automatic breach triggers, a proportional penalty matrix, a shared digital registry, and emergency fast-track arbitration govern the freeze. These emergency stabilization measures expire on termination of the rolling ceasefire unless the Parties renew them.</w:t>
      </w:r>
    </w:p>
    <w:p>
      <w:pPr>
        <w:pStyle w:val="Heading2"/>
      </w:pPr>
      <w:r>
        <w:rPr>
          <w:rFonts w:ascii="Calibri" w:cs="Calibri" w:eastAsia="Calibri" w:hAnsi="Calibri"/>
          <w:b/>
          <w:color w:val="2E5E8C"/>
          <w:sz w:val="24"/>
          <w:szCs w:val="24"/>
        </w:rPr>
        <w:t>6.3 The door to broader talks</w:t>
      </w:r>
    </w:p>
    <w:p>
      <w:pPr>
        <w:pStyle w:val="EndnoteText"/>
        <w:spacing w:after="140" w:before="0" w:line="276"/>
      </w:pPr>
      <w:r>
        <w:rPr>
          <w:rFonts w:ascii="Calibri" w:hAnsi="Calibri" w:eastAsia="Calibri" w:cs="Calibri"/>
          <w:color w:val="232323"/>
          <w:sz w:val="21"/>
          <w:szCs w:val="20"/>
        </w:rPr>
        <w:t>Phase III (Part C-3) opens a written, scheduled track toward broader regional security talks and normalization. Iran characterizes the deal as opening the door to resolving Lebanon and the wider conflict; the United States characterizes Hormuz and the nuclear file as legally independent of any regional front. The architecture sustains both characterizations because it moves separate instruments in parallel rather than chaining them.</w:t>
      </w:r>
    </w:p>
    <w:p>
      <w:pPr>
        <w:pStyle w:val="Heading2"/>
      </w:pPr>
      <w:r>
        <w:rPr>
          <w:rFonts w:ascii="Calibri" w:cs="Calibri" w:eastAsia="Calibri" w:hAnsi="Calibri"/>
          <w:b/>
          <w:color w:val="2E5E8C"/>
          <w:sz w:val="24"/>
          <w:szCs w:val="24"/>
        </w:rPr>
        <w:t>6.4 Third-party action non-liability</w:t>
      </w:r>
    </w:p>
    <w:p>
      <w:pPr>
        <w:pStyle w:val="EndnoteText"/>
        <w:spacing w:after="140" w:before="0" w:line="276"/>
      </w:pPr>
      <w:r>
        <w:rPr>
          <w:rFonts w:ascii="Calibri" w:hAnsi="Calibri" w:eastAsia="Calibri" w:cs="Calibri"/>
          <w:color w:val="232323"/>
          <w:sz w:val="21"/>
          <w:szCs w:val="20"/>
        </w:rPr>
        <w:t>No action by a non-Party to this instrument, including military operations, constitutes a breach by either Party or triggers any penalty, step-back, dispute resolution, or other consequence under this instrument. For the avoidance of doubt, each Party remains responsible for its own acts and omissions, and this clause waives no right either Party holds under international law against a non-Party. The provision keeps the maritime and nuclear cores insulated from events on a separate front and prevents a third party from collapsing the architecture, while avoiding any explicit endorsement of a non-Party’s operations.</w:t>
      </w:r>
    </w:p>
    <w:p>
      <w:pPr>
        <w:pStyle w:val="Heading1"/>
      </w:pPr>
      <w:r>
        <w:rPr>
          <w:rFonts w:ascii="Calibri" w:cs="Calibri" w:eastAsia="Calibri" w:hAnsi="Calibri"/>
          <w:b/>
          <w:color w:val="1F3B5B"/>
          <w:sz w:val="30"/>
          <w:szCs w:val="30"/>
        </w:rPr>
        <w:t>Article 7 — Verification and Compliance</w:t>
      </w:r>
    </w:p>
    <w:p>
      <w:pPr>
        <w:pStyle w:val="Heading2"/>
      </w:pPr>
      <w:r>
        <w:rPr>
          <w:rFonts w:ascii="Calibri" w:cs="Calibri" w:eastAsia="Calibri" w:hAnsi="Calibri"/>
          <w:b/>
          <w:color w:val="2E5E8C"/>
          <w:sz w:val="24"/>
          <w:szCs w:val="24"/>
        </w:rPr>
        <w:t>7.1 The IAEA spine</w:t>
      </w:r>
    </w:p>
    <w:p>
      <w:pPr>
        <w:pStyle w:val="EndnoteText"/>
        <w:spacing w:after="140" w:before="0" w:line="276"/>
      </w:pPr>
      <w:r>
        <w:rPr>
          <w:rFonts w:ascii="Calibri" w:hAnsi="Calibri" w:eastAsia="Calibri" w:cs="Calibri"/>
          <w:color w:val="232323"/>
          <w:sz w:val="21"/>
          <w:szCs w:val="20"/>
        </w:rPr>
        <w:t>The IAEA verifies the nuclear file end to end: baseline inventory by mass spectrometry, continuous dual-key camera monitoring of blending cascades, tamper-evident seals on feed lines and storage, real-time mass-flow verification, and independent isotopic sampling every seventy-two hours. The IAEA issues the certificates that gate each relief tranche and is the sole authority that certifies remediation under the step-back ladder. Batch telemetry from every breakout-relevant facility delivers on a mandatory 24-hour cycle via an air-gapped batch protocol — a technical hardening of the older weekly standard — so that a developing anomaly surfaces within a day, not a week.</w:t>
      </w:r>
    </w:p>
    <w:p>
      <w:pPr>
        <w:pStyle w:val="Heading2"/>
      </w:pPr>
      <w:r>
        <w:rPr>
          <w:rFonts w:ascii="Calibri" w:cs="Calibri" w:eastAsia="Calibri" w:hAnsi="Calibri"/>
          <w:b/>
          <w:color w:val="2E5E8C"/>
          <w:sz w:val="24"/>
          <w:szCs w:val="24"/>
        </w:rPr>
        <w:t>7.2 Human-in-the-loop over automated findings</w:t>
      </w:r>
    </w:p>
    <w:p>
      <w:pPr>
        <w:pStyle w:val="EndnoteText"/>
        <w:spacing w:after="140" w:before="0" w:line="276"/>
      </w:pPr>
      <w:r>
        <w:rPr>
          <w:rFonts w:ascii="Calibri" w:hAnsi="Calibri" w:eastAsia="Calibri" w:cs="Calibri"/>
          <w:color w:val="232323"/>
          <w:sz w:val="21"/>
          <w:szCs w:val="20"/>
        </w:rPr>
        <w:t>Automated detections route through human review before any escalation beyond an advisory log. A verification-inconsistency protocol resolves disputed findings; a no-surprises notification protocol (Annex S) requires advance notice of any anticipated deviation, converting a potential breach into a managed correction.</w:t>
      </w:r>
    </w:p>
    <w:p>
      <w:pPr>
        <w:pStyle w:val="Heading2"/>
      </w:pPr>
      <w:r>
        <w:rPr>
          <w:rFonts w:ascii="Calibri" w:cs="Calibri" w:eastAsia="Calibri" w:hAnsi="Calibri"/>
          <w:b/>
          <w:color w:val="2E5E8C"/>
          <w:sz w:val="24"/>
          <w:szCs w:val="24"/>
        </w:rPr>
        <w:t>7.3 The step-back / earn-back ladder</w:t>
      </w:r>
    </w:p>
    <w:p>
      <w:pPr>
        <w:pStyle w:val="EndnoteText"/>
        <w:spacing w:after="140" w:before="0" w:line="276"/>
      </w:pPr>
      <w:r>
        <w:rPr>
          <w:rFonts w:ascii="Calibri" w:hAnsi="Calibri" w:eastAsia="Calibri" w:cs="Calibri"/>
          <w:color w:val="232323"/>
          <w:sz w:val="21"/>
          <w:szCs w:val="20"/>
        </w:rPr>
        <w:t>Enforcement runs through a graduated, reversible ladder, not an automatic cut-off. A violation reduces benefit in proportion to its severity; verified remediation and sustained clean compliance earn the benefit back in full. The ladder is the exclusive enforcement mechanism (Article 8.7), detailed in Annex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560"/>
        <w:gridCol w:w="2400"/>
        <w:gridCol w:w="2100"/>
      </w:tblGrid>
      <w:tr>
        <w:trPr>
          <w:tblHeader w:val="1"/>
        </w:trPr>
        <w:tc>
          <w:tcPr>
            <w:tcW w:type="dxa" w:w="6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Tier</w:t>
            </w:r>
          </w:p>
        </w:tc>
        <w:tc>
          <w:tcPr>
            <w:tcW w:type="dxa" w:w="17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Classification</w:t>
            </w:r>
          </w:p>
        </w:tc>
        <w:tc>
          <w:tcPr>
            <w:tcW w:type="dxa" w:w="25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Examples</w:t>
            </w:r>
          </w:p>
        </w:tc>
        <w:tc>
          <w:tcPr>
            <w:tcW w:type="dxa" w:w="24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Benefit effect</w:t>
            </w:r>
          </w:p>
        </w:tc>
        <w:tc>
          <w:tcPr>
            <w:tcW w:type="dxa" w:w="2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Remediation &amp; earn-back</w:t>
            </w:r>
          </w:p>
        </w:tc>
      </w:tr>
      <w:tr>
        <w:tc>
          <w:tcPr>
            <w:tcW w:type="dxa" w:w="6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1</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Technical dispute (de minimis)</w:t>
            </w:r>
          </w:p>
        </w:tc>
        <w:tc>
          <w:tcPr>
            <w:tcW w:type="dxa" w:w="2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Enrichment ≤0.5% above cap for &lt;48h; reporting delay ≤24h; minor positioning variance</w:t>
            </w:r>
          </w:p>
        </w:tc>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reduction; confidential handling; PCC technical assistance</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14-day resolution window; no penalty</w:t>
            </w:r>
          </w:p>
        </w:tc>
      </w:tr>
      <w:tr>
        <w:tc>
          <w:tcPr>
            <w:tcW w:type="dxa" w:w="6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2</w:t>
            </w:r>
          </w:p>
        </w:tc>
        <w:tc>
          <w:tcPr>
            <w:tcW w:type="dxa" w:w="1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Material disruption</w:t>
            </w:r>
          </w:p>
        </w:tc>
        <w:tc>
          <w:tcPr>
            <w:tcW w:type="dxa" w:w="25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Enrichment &gt;0.5% above cap for &gt;48h; access denial &lt;72h; minor IRGC cash diversion</w:t>
            </w:r>
          </w:p>
        </w:tc>
        <w:tc>
          <w:tcPr>
            <w:tcW w:type="dxa" w:w="2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Graduated reduction (below); humanitarian protected; SWIFT holds via targeted bank isolation</w:t>
            </w:r>
          </w:p>
        </w:tc>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30-day remediation; full restoration after 14 clean days + IAEA certification</w:t>
            </w:r>
          </w:p>
        </w:tc>
      </w:tr>
      <w:tr>
        <w:tc>
          <w:tcPr>
            <w:tcW w:type="dxa" w:w="6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3</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Deliberate hostile violation</w:t>
            </w:r>
          </w:p>
        </w:tc>
        <w:tc>
          <w:tcPr>
            <w:tcW w:type="dxa" w:w="2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Enrichment &gt;3.67% without plausible explanation; inspector attack; weaponization activity</w:t>
            </w:r>
          </w:p>
        </w:tc>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Graduated reduction (below); non-humanitarian modules on hold</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90-day remediation; full restoration after 90 clean days + PCC majority confirmation</w:t>
            </w:r>
          </w:p>
        </w:tc>
      </w:tr>
      <w:tr>
        <w:tc>
          <w:tcPr>
            <w:tcW w:type="dxa" w:w="6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4</w:t>
            </w:r>
          </w:p>
        </w:tc>
        <w:tc>
          <w:tcPr>
            <w:tcW w:type="dxa" w:w="1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Strategic flexibility</w:t>
            </w:r>
          </w:p>
        </w:tc>
        <w:tc>
          <w:tcPr>
            <w:tcW w:type="dxa" w:w="25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Diplomatic disputes not affecting technical compliance</w:t>
            </w:r>
          </w:p>
        </w:tc>
        <w:tc>
          <w:tcPr>
            <w:tcW w:type="dxa" w:w="24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effect</w:t>
            </w:r>
          </w:p>
        </w:tc>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Normal operations</w:t>
            </w:r>
          </w:p>
        </w:tc>
      </w:tr>
      <w:tr>
        <w:tc>
          <w:tcPr>
            <w:tcW w:type="dxa" w:w="6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jc w:val="center"/>
            </w:pPr>
            <w:r>
              <w:rPr>
                <w:b/>
                <w:sz w:val="19"/>
                <w:szCs w:val="19"/>
                <w:rFonts w:ascii="Calibri" w:hAnsi="Calibri" w:eastAsia="Calibri" w:cs="Calibri"/>
                <w:color w:val="232323"/>
              </w:rPr>
              <w:t>5</w:t>
            </w:r>
          </w:p>
        </w:tc>
        <w:tc>
          <w:tcPr>
            <w:tcW w:type="dxa" w:w="1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Force majeure</w:t>
            </w:r>
          </w:p>
        </w:tc>
        <w:tc>
          <w:tcPr>
            <w:tcW w:type="dxa" w:w="2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Natural disaster; third-party attack; regional spillover</w:t>
            </w:r>
          </w:p>
        </w:tc>
        <w:tc>
          <w:tcPr>
            <w:tcW w:type="dxa" w:w="24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Protected; humanitarian and oil flows continue</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Stabilization hold; no penalty</w:t>
            </w:r>
          </w:p>
        </w:tc>
      </w:tr>
    </w:tbl>
    <w:p>
      <w:pPr>
        <w:pStyle w:val="Heading3"/>
      </w:pPr>
      <w:r>
        <w:t xml:space="preserve">Graduated step-back reductions (Tiers 2 and 3)</w:t>
      </w:r>
    </w:p>
    <w:p>
      <w:pPr>
        <w:pStyle w:val="ListParagraph"/>
        <w:numPr>
          <w:ilvl w:val="0"/>
          <w:numId w:val="2"/>
        </w:numPr>
        <w:spacing w:after="90" w:line="270"/>
      </w:pPr>
      <w:r>
        <w:rPr>
          <w:rFonts w:ascii="Calibri" w:hAnsi="Calibri" w:eastAsia="Calibri" w:cs="Calibri"/>
          <w:sz w:val="21"/>
          <w:szCs w:val="21"/>
          <w:color w:val="232323"/>
        </w:rPr>
        <w:t>Tier 2 — days 1–7: 10% reduction in non-humanitarian benefits; days 8–14: 15%; days 15–30: 25%; after 30 days without remediation: 25% plus referral to the Guarantor Matrix.</w:t>
      </w:r>
    </w:p>
    <w:p>
      <w:pPr>
        <w:pStyle w:val="ListParagraph"/>
        <w:numPr>
          <w:ilvl w:val="0"/>
          <w:numId w:val="2"/>
        </w:numPr>
        <w:spacing w:after="90" w:line="270"/>
      </w:pPr>
      <w:r>
        <w:rPr>
          <w:rFonts w:ascii="Calibri" w:hAnsi="Calibri" w:eastAsia="Calibri" w:cs="Calibri"/>
          <w:sz w:val="21"/>
          <w:szCs w:val="21"/>
          <w:color w:val="232323"/>
        </w:rPr>
        <w:t>Tier 3 — first 72 hours: 25% reduction; after 72 hours: 35%; after 30 days without remediation: 50%.</w:t>
      </w:r>
    </w:p>
    <w:p>
      <w:pPr>
        <w:pStyle w:val="ListParagraph"/>
        <w:numPr>
          <w:ilvl w:val="0"/>
          <w:numId w:val="2"/>
        </w:numPr>
        <w:spacing w:after="90" w:line="270"/>
      </w:pPr>
      <w:r>
        <w:rPr>
          <w:rFonts w:ascii="Calibri" w:hAnsi="Calibri" w:eastAsia="Calibri" w:cs="Calibri"/>
          <w:sz w:val="21"/>
          <w:szCs w:val="21"/>
          <w:color w:val="232323"/>
        </w:rPr>
        <w:t>Earn-back: reductions reverse fully — Tier 2 after 14 consecutive clean days post-remediation; Tier 3 after 90 clean days plus IAEA certification. Over-compliance credit accelerates earn-back by up to 25%.</w:t>
      </w:r>
    </w:p>
    <w:p>
      <w:pPr>
        <w:spacing w:after="140" w:before="60" w:line="276"/>
      </w:pPr>
      <w:r>
        <w:rPr>
          <w:sz w:val="21"/>
          <w:szCs w:val="21"/>
          <w:rFonts w:ascii="Calibri" w:hAnsi="Calibri" w:eastAsia="Calibri" w:cs="Calibri"/>
          <w:color w:val="232323"/>
        </w:rPr>
        <w:t>A pattern is three occurrences of the same error type within sixty days, which graduates that issue to the next tier. No Tier consequence reaches already-released humanitarian funds, the humanitarian corridor, medical-isotope shipments, or UN-agency operations.</w:t>
      </w:r>
    </w:p>
    <w:p>
      <w:pPr>
        <w:pStyle w:val="Heading2"/>
      </w:pPr>
      <w:r>
        <w:rPr>
          <w:rFonts w:ascii="Calibri" w:cs="Calibri" w:eastAsia="Calibri" w:hAnsi="Calibri"/>
          <w:b/>
          <w:color w:val="2E5E8C"/>
          <w:sz w:val="24"/>
          <w:szCs w:val="24"/>
        </w:rPr>
        <w:t>7.4 Human-in-the-loop — no automated penalties</w:t>
      </w:r>
    </w:p>
    <w:p>
      <w:pPr>
        <w:pStyle w:val="EndnoteText"/>
        <w:spacing w:after="140" w:before="0" w:line="276"/>
      </w:pPr>
      <w:r>
        <w:rPr>
          <w:rFonts w:ascii="Calibri" w:hAnsi="Calibri" w:eastAsia="Calibri" w:cs="Calibri"/>
          <w:color w:val="232323"/>
          <w:sz w:val="21"/>
          <w:szCs w:val="20"/>
        </w:rPr>
        <w:t>Every Tier-2 and Tier-3 step-back determination requires prior consultation between the Parties’ designated senior officials, at minister level or above, within a 48-hour cooling-off period. No penalty accrues during that period. The Political &amp; Compliance Council makes technical findings, but a benefit reduction takes effect only after the consultation window expires without resolution. This requirement does not apply to Tier-1 technical issues, which resolve without penalty in any case. For any proposed Tier-3 (deliberate hostile violation) determination, the cooling-off period includes a direct consultation between the foreign ministers, or their equivalents, of both Parties, and no Tier-3 penalty takes effect until that ministerial consultation has occurred.</w:t>
      </w:r>
    </w:p>
    <w:p>
      <w:pPr>
        <w:pStyle w:val="Heading2"/>
      </w:pPr>
      <w:r>
        <w:rPr>
          <w:rFonts w:ascii="Calibri" w:cs="Calibri" w:eastAsia="Calibri" w:hAnsi="Calibri"/>
          <w:b/>
          <w:color w:val="2E5E8C"/>
          <w:sz w:val="24"/>
          <w:szCs w:val="24"/>
        </w:rPr>
        <w:t>7.5 Automatic suspension for monitoring failure</w:t>
      </w:r>
    </w:p>
    <w:p>
      <w:pPr>
        <w:pStyle w:val="EndnoteText"/>
        <w:spacing w:after="140" w:before="0" w:line="276"/>
      </w:pPr>
      <w:r>
        <w:rPr>
          <w:rFonts w:ascii="Calibri" w:hAnsi="Calibri" w:eastAsia="Calibri" w:cs="Calibri"/>
          <w:color w:val="232323"/>
          <w:sz w:val="21"/>
          <w:szCs w:val="20"/>
        </w:rPr>
        <w:t>If IAEA telemetry from a breakout-relevant facility goes unavailable for 48 consecutive hours for any reason other than scheduled, notified maintenance, all sanctions relief auto-suspends — no human veto, no consultation window. The suspension is a reversible pause, not a snapback: releases resume in full the moment the IAEA certifies monitoring restored, with no clawback of funds already disbursed. Distinct from the step-back ladder, which addresses substantive violations, this clause addresses the verification blackout itself; it gives a hard, automatic assurance that benefits never flow blind, and neither Party holds a veto over its operation.</w:t>
      </w:r>
    </w:p>
    <w:p>
      <w:pPr>
        <w:pStyle w:val="Heading2"/>
      </w:pPr>
      <w:r>
        <w:rPr>
          <w:rFonts w:ascii="Calibri" w:cs="Calibri" w:eastAsia="Calibri" w:hAnsi="Calibri"/>
          <w:b/>
          <w:color w:val="2E5E8C"/>
          <w:sz w:val="24"/>
          <w:szCs w:val="24"/>
        </w:rPr>
        <w:t>7.6 Annual human-in-the-loop audit</w:t>
      </w:r>
    </w:p>
    <w:p>
      <w:pPr>
        <w:pStyle w:val="EndnoteText"/>
        <w:spacing w:after="140" w:before="0" w:line="276"/>
      </w:pPr>
      <w:r>
        <w:rPr>
          <w:rFonts w:ascii="Calibri" w:hAnsi="Calibri" w:eastAsia="Calibri" w:cs="Calibri"/>
          <w:color w:val="232323"/>
          <w:sz w:val="21"/>
          <w:szCs w:val="20"/>
        </w:rPr>
        <w:t>An annual independent audit verifies that no automated system makes an autonomous penalty decision and that human review occurs within 24 hours of every automated flag. The audit reports to the Political &amp; Compliance Council and publishes its findings on the transparency dashboard. The clause keeps the speed of automated detection from ever hardening into automated punishment.</w:t>
      </w:r>
    </w:p>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1F3B5B"/>
          <w:sz w:val="30"/>
          <w:szCs w:val="30"/>
        </w:rPr>
        <w:t>Article 8 — Safety Valves and Crisis Resilience</w:t>
      </w:r>
    </w:p>
    <w:p>
      <w:pPr>
        <w:pStyle w:val="EndnoteText"/>
        <w:spacing w:after="140" w:before="0" w:line="276"/>
      </w:pPr>
      <w:r>
        <w:rPr>
          <w:rFonts w:ascii="Calibri" w:hAnsi="Calibri" w:eastAsia="Calibri" w:cs="Calibri"/>
          <w:color w:val="232323"/>
          <w:sz w:val="21"/>
          <w:szCs w:val="20"/>
        </w:rPr>
        <w:t>The architecture expects honest error and protects against it, so that no procedural slip cascades into collapse. The mechanisms rank by a fixed hierarchy: a higher-ranked mechanism always prevails over a lower one.</w:t>
      </w:r>
    </w:p>
    <w:p>
      <w:pPr>
        <w:pStyle w:val="Heading2"/>
      </w:pPr>
      <w:r>
        <w:rPr>
          <w:rFonts w:ascii="Calibri" w:cs="Calibri" w:eastAsia="Calibri" w:hAnsi="Calibri"/>
          <w:b/>
          <w:color w:val="2E5E8C"/>
          <w:sz w:val="24"/>
          <w:szCs w:val="24"/>
        </w:rPr>
        <w:t>8.1 The Learning Curve</w:t>
      </w:r>
    </w:p>
    <w:p>
      <w:pPr>
        <w:pStyle w:val="EndnoteText"/>
        <w:spacing w:after="140" w:before="0" w:line="276"/>
      </w:pPr>
      <w:r>
        <w:rPr>
          <w:rFonts w:ascii="Calibri" w:hAnsi="Calibri" w:eastAsia="Calibri" w:cs="Calibri"/>
          <w:color w:val="232323"/>
          <w:sz w:val="21"/>
          <w:szCs w:val="20"/>
        </w:rPr>
        <w:t>Days 1–30 are a learning period. Tier-2 penalties halve; Tier-3 issues are advisory only; expected errors — reporting delays up to 24 hours, positioning variances up to 20%, hotline delays up to 30 minutes — are protected and logged, not penalized. Normalization phases in over Days 31–44 with no cliff.</w:t>
      </w:r>
    </w:p>
    <w:p>
      <w:pPr>
        <w:pStyle w:val="Heading2"/>
      </w:pPr>
      <w:r>
        <w:rPr>
          <w:rFonts w:ascii="Calibri" w:cs="Calibri" w:eastAsia="Calibri" w:hAnsi="Calibri"/>
          <w:b/>
          <w:color w:val="2E5E8C"/>
          <w:sz w:val="24"/>
          <w:szCs w:val="24"/>
        </w:rPr>
        <w:t>8.2 The standardized safety-valve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val="1"/>
        </w:trPr>
        <w:tc>
          <w:tcPr>
            <w:tcW w:type="dxa" w:w="2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Mechanism</w:t>
            </w:r>
          </w:p>
        </w:tc>
        <w:tc>
          <w:tcPr>
            <w:tcW w:type="dxa" w:w="43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Effect</w:t>
            </w:r>
          </w:p>
        </w:tc>
        <w:tc>
          <w:tcPr>
            <w:tcW w:type="dxa" w:w="29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Limit</w:t>
            </w:r>
          </w:p>
        </w:tc>
      </w:tr>
      <w:tr>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Grace Day</w:t>
            </w:r>
          </w:p>
        </w:tc>
        <w:tc>
          <w:tcPr>
            <w:tcW w:type="dxa" w:w="43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Defers an obligation 24 hours</w:t>
            </w:r>
          </w:p>
        </w:tc>
        <w:tc>
          <w:tcPr>
            <w:tcW w:type="dxa" w:w="2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 per stage; 6h notice; not on Day 7 or 14</w:t>
            </w:r>
          </w:p>
        </w:tc>
      </w:tr>
      <w:tr>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Face-Saving Pause</w:t>
            </w:r>
          </w:p>
        </w:tc>
        <w:tc>
          <w:tcPr>
            <w:tcW w:type="dxa" w:w="43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7-day deferral; auto-proceeds after</w:t>
            </w:r>
          </w:p>
        </w:tc>
        <w:tc>
          <w:tcPr>
            <w:tcW w:type="dxa" w:w="2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 per 30 days; 24h notice; not for Tier-1</w:t>
            </w:r>
          </w:p>
        </w:tc>
      </w:tr>
      <w:tr>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Stabilization Hold</w:t>
            </w:r>
          </w:p>
        </w:tc>
        <w:tc>
          <w:tcPr>
            <w:tcW w:type="dxa" w:w="43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7 days across up to 3 related obligations</w:t>
            </w:r>
          </w:p>
        </w:tc>
        <w:tc>
          <w:tcPr>
            <w:tcW w:type="dxa" w:w="2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 per 30 days; auto-triggers on attack, disaster, cyber, UNSC session</w:t>
            </w:r>
          </w:p>
        </w:tc>
      </w:tr>
      <w:tr>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Quiet Correction Window</w:t>
            </w:r>
          </w:p>
        </w:tc>
        <w:tc>
          <w:tcPr>
            <w:tcW w:type="dxa" w:w="43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72 hours to remedy a Tier-2/3 issue with no compliance mark</w:t>
            </w:r>
          </w:p>
        </w:tc>
        <w:tc>
          <w:tcPr>
            <w:tcW w:type="dxa" w:w="2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Good-faith presumption; no public statement until hour 72</w:t>
            </w:r>
          </w:p>
        </w:tc>
      </w:tr>
      <w:tr>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Crisis Pause</w:t>
            </w:r>
          </w:p>
        </w:tc>
        <w:tc>
          <w:tcPr>
            <w:tcW w:type="dxa" w:w="43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30–90 day operational freeze without penalty or reputational cost</w:t>
            </w:r>
          </w:p>
        </w:tc>
        <w:tc>
          <w:tcPr>
            <w:tcW w:type="dxa" w:w="2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Once per 180 days; humanitarian and oil continue</w:t>
            </w:r>
          </w:p>
        </w:tc>
      </w:tr>
      <w:tr>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Exit Ramp</w:t>
            </w:r>
          </w:p>
        </w:tc>
        <w:tc>
          <w:tcPr>
            <w:tcW w:type="dxa" w:w="43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Orderly 14-day withdrawal</w:t>
            </w:r>
          </w:p>
        </w:tc>
        <w:tc>
          <w:tcPr>
            <w:tcW w:type="dxa" w:w="2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Either Party; humanitarian and oil continue; reversible</w:t>
            </w:r>
          </w:p>
        </w:tc>
      </w:tr>
    </w:tbl>
    <w:p>
      <w:pPr>
        <w:pStyle w:val="Heading2"/>
      </w:pPr>
      <w:r>
        <w:rPr>
          <w:rFonts w:ascii="Calibri" w:cs="Calibri" w:eastAsia="Calibri" w:hAnsi="Calibri"/>
          <w:b/>
          <w:color w:val="2E5E8C"/>
          <w:sz w:val="24"/>
          <w:szCs w:val="24"/>
        </w:rPr>
        <w:t>8.3 Automatic dampening</w:t>
      </w:r>
    </w:p>
    <w:p>
      <w:pPr>
        <w:pStyle w:val="EndnoteText"/>
        <w:spacing w:after="140" w:before="0" w:line="276"/>
      </w:pPr>
      <w:r>
        <w:rPr>
          <w:rFonts w:ascii="Calibri" w:hAnsi="Calibri" w:eastAsia="Calibri" w:cs="Calibri"/>
          <w:color w:val="232323"/>
          <w:sz w:val="21"/>
          <w:szCs w:val="20"/>
        </w:rPr>
        <w:t>Any Tier-2 or Tier-3 event triggers a 48-hour dampening window: offensive operations suspend, the hotline goes to triple watch, the PCC convenes within eight hours. Humanitarian transit, released funds, oil in transit, IAEA access, and hotline operations are irreversible protections throughout.</w:t>
      </w:r>
    </w:p>
    <w:p>
      <w:pPr>
        <w:pStyle w:val="Heading2"/>
      </w:pPr>
      <w:r>
        <w:rPr>
          <w:rFonts w:ascii="Calibri" w:cs="Calibri" w:eastAsia="Calibri" w:hAnsi="Calibri"/>
          <w:b/>
          <w:color w:val="2E5E8C"/>
          <w:sz w:val="24"/>
          <w:szCs w:val="24"/>
        </w:rPr>
        <w:t>8.4 The escalation buffer</w:t>
      </w:r>
    </w:p>
    <w:p>
      <w:pPr>
        <w:pStyle w:val="EndnoteText"/>
        <w:spacing w:after="140" w:before="0" w:line="276"/>
      </w:pPr>
      <w:r>
        <w:rPr>
          <w:rFonts w:ascii="Calibri" w:hAnsi="Calibri" w:eastAsia="Calibri" w:cs="Calibri"/>
          <w:color w:val="232323"/>
          <w:sz w:val="21"/>
          <w:szCs w:val="20"/>
        </w:rPr>
        <w:t>A 72-hour escalation buffer (Annex R.a) activates automatically on defined trigger events, with back-channel response requirements and facilitator accountability. Rogue-actor and false-flag provisions prevent a third party from collapsing the architecture by staging an incident.</w:t>
      </w:r>
    </w:p>
    <w:p>
      <w:pPr>
        <w:pStyle w:val="Heading2"/>
      </w:pPr>
      <w:r>
        <w:rPr>
          <w:rFonts w:ascii="Calibri" w:cs="Calibri" w:eastAsia="Calibri" w:hAnsi="Calibri"/>
          <w:b/>
          <w:color w:val="2E5E8C"/>
          <w:sz w:val="24"/>
          <w:szCs w:val="24"/>
        </w:rPr>
        <w:t>8.5 Rolling Horizon and clean-break withdrawal</w:t>
      </w:r>
    </w:p>
    <w:p>
      <w:pPr>
        <w:pStyle w:val="EndnoteText"/>
        <w:spacing w:after="140" w:before="0" w:line="276"/>
      </w:pPr>
      <w:r>
        <w:rPr>
          <w:rFonts w:ascii="Calibri" w:hAnsi="Calibri" w:eastAsia="Calibri" w:cs="Calibri"/>
          <w:color w:val="232323"/>
          <w:sz w:val="21"/>
          <w:szCs w:val="20"/>
        </w:rPr>
        <w:t>The instrument continues as long as both Parties remain in verified compliance, with orderly withdrawal available at all times. Beyond the 14-day emergency exit ramp of Article 8.2, either Party retains the right to withdraw on thirty days' written notice as a clean break: a capped exit payment of $500M settles outstanding obligations, and no clawback of already-released funds occurs. Withdrawal is an orderly door, not a trap. Compliance penalties decouple from any use-of-force authorization. Under no circumstances does a compliance dispute, a Tier-2 or Tier-3 violation, a step-back penalty, a framework suspension, or any other breach automatically authorize, trigger, or justify the use of military force by either Party. Military action requires a separate, explicit decision by the respective head of government under constitutional procedures. This separation is absolute and non-waivable.</w:t>
      </w:r>
    </w:p>
    <w:p>
      <w:pPr>
        <w:pStyle w:val="Heading2"/>
      </w:pPr>
      <w:r>
        <w:rPr>
          <w:rFonts w:ascii="Calibri" w:cs="Calibri" w:eastAsia="Calibri" w:hAnsi="Calibri"/>
          <w:b/>
          <w:color w:val="2E5E8C"/>
          <w:sz w:val="24"/>
          <w:szCs w:val="24"/>
        </w:rPr>
        <w:t>8.6 The non-humiliation doctrine</w:t>
      </w:r>
    </w:p>
    <w:p>
      <w:pPr>
        <w:pStyle w:val="EndnoteText"/>
        <w:spacing w:after="140" w:before="0" w:line="276"/>
      </w:pPr>
      <w:r>
        <w:rPr>
          <w:rFonts w:ascii="Calibri" w:hAnsi="Calibri" w:eastAsia="Calibri" w:cs="Calibri"/>
          <w:color w:val="232323"/>
          <w:sz w:val="21"/>
          <w:szCs w:val="20"/>
        </w:rPr>
        <w:t>the Framework prohibits requiring public renunciation of the nuclear program, demanding apologies, staging inspection-site media events, characterizing compliance as submission, or requiring constitutional change. Dispute resolution stays confidential. Sovereign equality holds in all governance proceedings, and neither Party adopts language implying subordination.</w:t>
      </w:r>
    </w:p>
    <w:p>
      <w:pPr>
        <w:pStyle w:val="Heading2"/>
      </w:pPr>
      <w:r>
        <w:rPr>
          <w:rFonts w:ascii="Calibri" w:cs="Calibri" w:eastAsia="Calibri" w:hAnsi="Calibri"/>
          <w:b/>
          <w:color w:val="2E5E8C"/>
          <w:sz w:val="24"/>
          <w:szCs w:val="24"/>
        </w:rPr>
        <w:t>8.7 No automatic snapback — step-back / earn-back only</w:t>
      </w:r>
    </w:p>
    <w:p>
      <w:pPr>
        <w:pStyle w:val="EndnoteText"/>
        <w:spacing w:after="140" w:before="0" w:line="276"/>
      </w:pPr>
      <w:r>
        <w:rPr>
          <w:rFonts w:ascii="Calibri" w:hAnsi="Calibri" w:eastAsia="Calibri" w:cs="Calibri"/>
          <w:color w:val="232323"/>
          <w:sz w:val="21"/>
          <w:szCs w:val="20"/>
        </w:rPr>
        <w:t>Under no circumstances does a compliance dispute, a Tier-2 or Tier-3 violation, or any other breach trigger an automatic, politically irreversible suspension of benefits. The tiered step-back and earn-back system of Article 7.3 is the exclusive enforcement mechanism for substantive violations; the monitoring-failure pause of Article 7.5 is a reversible pause, not a snapback. This instrument supersedes any reference in any prior draft to a Snap Line or an automatic, politically irreversible suspension. This provision is self-executing and non-waivable.</w:t>
      </w:r>
    </w:p>
    <w:p>
      <w:pPr>
        <w:pStyle w:val="Heading2"/>
      </w:pPr>
      <w:r>
        <w:rPr>
          <w:rFonts w:ascii="Calibri" w:cs="Calibri" w:eastAsia="Calibri" w:hAnsi="Calibri"/>
          <w:b/>
          <w:color w:val="2E5E8C"/>
          <w:sz w:val="24"/>
          <w:szCs w:val="24"/>
        </w:rPr>
        <w:t>8.8 Force majeure for regional-conflict spillover</w:t>
      </w:r>
    </w:p>
    <w:p>
      <w:pPr>
        <w:pStyle w:val="EndnoteText"/>
        <w:spacing w:after="140" w:before="0" w:line="276"/>
      </w:pPr>
      <w:r>
        <w:rPr>
          <w:rFonts w:ascii="Calibri" w:hAnsi="Calibri" w:eastAsia="Calibri" w:cs="Calibri"/>
          <w:color w:val="232323"/>
          <w:sz w:val="21"/>
          <w:szCs w:val="20"/>
        </w:rPr>
        <w:t>Either Party invokes force majeure where a regional conflict in Lebanon, Gaza, Yemen, or Syria materially and directly prevents compliance, suspending non-core obligations for up to sixty days. Core obligations never suspend: nuclear custody, freedom of navigation, and humanitarian flows continue throughout. The invoking Party notifies the PCC, which logs the invocation; abuse of the clause is itself a compliance matter under Article 7.3.</w:t>
      </w:r>
    </w:p>
    <w:p>
      <w:pPr>
        <w:pStyle w:val="EndnoteText"/>
        <w:spacing w:after="140" w:before="0" w:line="276"/>
      </w:pPr>
      <w:r>
        <w:rPr>
          <w:rFonts w:ascii="Calibri" w:hAnsi="Calibri" w:eastAsia="Calibri" w:cs="Calibri"/>
          <w:color w:val="232323"/>
          <w:sz w:val="21"/>
          <w:szCs w:val="20"/>
        </w:rPr>
        <w:t>Where a regional conflict materially and significantly impairs, but does not entirely prevent, compliance, the affected Party instead requests a 30-day Stabilization Hold (Article 8.2) on non-core obligations. Such a hold is not a breach and triggers no step-back. The lower bar covers the gray zone between full force majeure and ordinary friction.</w:t>
      </w:r>
    </w:p>
    <w:p>
      <w:pPr>
        <w:pStyle w:val="Heading2"/>
      </w:pPr>
      <w:r>
        <w:rPr>
          <w:rFonts w:ascii="Calibri" w:cs="Calibri" w:eastAsia="Calibri" w:hAnsi="Calibri"/>
          <w:b/>
          <w:color w:val="2E5E8C"/>
          <w:sz w:val="24"/>
          <w:szCs w:val="24"/>
        </w:rPr>
        <w:t>8.9 Partial success doctrine</w:t>
      </w:r>
    </w:p>
    <w:p>
      <w:pPr>
        <w:pStyle w:val="EndnoteText"/>
        <w:spacing w:after="140" w:before="0" w:line="276"/>
      </w:pPr>
      <w:r>
        <w:rPr>
          <w:rFonts w:ascii="Calibri" w:hAnsi="Calibri" w:eastAsia="Calibri" w:cs="Calibri"/>
          <w:color w:val="232323"/>
          <w:sz w:val="21"/>
          <w:szCs w:val="20"/>
        </w:rPr>
        <w:t>No single unresolved module invalidates the remainder of the instrument. The nuclear, maritime, and economic tracks are independent: a stalled or disputed element in one track does not void performance, benefits, or obligations in the others. Progress banks where it is made, and a localized failure stays localized.</w:t>
      </w:r>
    </w:p>
    <w:p>
      <w:pPr>
        <w:pStyle w:val="Heading2"/>
      </w:pPr>
      <w:r>
        <w:rPr>
          <w:rFonts w:ascii="Calibri" w:cs="Calibri" w:eastAsia="Calibri" w:hAnsi="Calibri"/>
          <w:b/>
          <w:color w:val="2E5E8C"/>
          <w:sz w:val="24"/>
          <w:szCs w:val="24"/>
        </w:rPr>
        <w:t>8.10 Crisis-contacts designation protocol</w:t>
      </w:r>
    </w:p>
    <w:p>
      <w:pPr>
        <w:pStyle w:val="EndnoteText"/>
        <w:spacing w:after="140" w:before="0" w:line="276"/>
      </w:pPr>
      <w:r>
        <w:rPr>
          <w:rFonts w:ascii="Calibri" w:hAnsi="Calibri" w:eastAsia="Calibri" w:cs="Calibri"/>
          <w:color w:val="232323"/>
          <w:sz w:val="21"/>
          <w:szCs w:val="20"/>
        </w:rPr>
        <w:t>Each Party designates real, reachable, around-the-clock crisis contacts — a primary, a secondary, and a technical backup — and keeps them current with the PCC and the Maritime Stability Board. Failure to maintain a reachable contact classifies as a Tier-1 technical dispute, resolved without penalty but logged, because in a crisis a phone that rings unanswered is itself a risk. The PCC tests each Party’s primary and secondary contacts on the first Monday of every month at 06:00 UTC; a failure to respond within thirty minutes triggers a log entry, and three consecutive failures constitute a Tier-1 technical dispute.</w:t>
      </w:r>
    </w:p>
    <w:p>
      <w:pPr>
        <w:pStyle w:val="Heading2"/>
      </w:pPr>
      <w:r>
        <w:rPr>
          <w:rFonts w:ascii="Calibri" w:cs="Calibri" w:eastAsia="Calibri" w:hAnsi="Calibri"/>
          <w:b/>
          <w:color w:val="2E5E8C"/>
          <w:sz w:val="24"/>
          <w:szCs w:val="24"/>
        </w:rPr>
        <w:t>8.11 Wartime entry-protocol sunset</w:t>
      </w:r>
    </w:p>
    <w:p>
      <w:pPr>
        <w:pStyle w:val="EndnoteText"/>
        <w:spacing w:after="140" w:before="0" w:line="276"/>
      </w:pPr>
      <w:r>
        <w:rPr>
          <w:rFonts w:ascii="Calibri" w:hAnsi="Calibri" w:eastAsia="Calibri" w:cs="Calibri"/>
          <w:color w:val="232323"/>
          <w:sz w:val="21"/>
          <w:szCs w:val="20"/>
        </w:rPr>
        <w:t>Any provision designed specifically for wartime or immediate post-conflict entry — including expedited timelines or relaxed verification — sunsets automatically 180 days after entry into force, unless the PCC unanimously agrees to extend a specific provision for an additional 90 days. The clause keeps emergency measures from quietly becoming permanent.</w:t>
      </w:r>
    </w:p>
    <w:p>
      <w:pPr>
        <w:pStyle w:val="Heading1"/>
      </w:pPr>
      <w:r>
        <w:rPr>
          <w:rFonts w:ascii="Calibri" w:cs="Calibri" w:eastAsia="Calibri" w:hAnsi="Calibri"/>
          <w:b/>
          <w:color w:val="232323"/>
          <w:sz w:val="21"/>
          <w:szCs w:val="20"/>
        </w:rPr>
        <w:t>Article 9 — Governance</w:t>
      </w:r>
    </w:p>
    <w:p>
      <w:pPr>
        <w:pStyle w:val="EndnoteText"/>
        <w:spacing w:after="140" w:before="0" w:line="276"/>
      </w:pPr>
      <w:r>
        <w:rPr>
          <w:rFonts w:ascii="Calibri" w:hAnsi="Calibri" w:eastAsia="Calibri" w:cs="Calibri"/>
          <w:color w:val="232323"/>
          <w:sz w:val="21"/>
          <w:szCs w:val="20"/>
        </w:rPr>
        <w:t>Governance runs on three bodies only, by design — fewer institutions mean fewer points of friction and fewer venues for delay. A neutral escrow agent and an advisory guarantor committee support them; neither is a standing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60"/>
        <w:gridCol w:w="4100"/>
      </w:tblGrid>
      <w:tr>
        <w:trPr>
          <w:tblHeader w:val="1"/>
        </w:trPr>
        <w:tc>
          <w:tcPr>
            <w:tcW w:type="dxa" w:w="27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Body</w:t>
            </w:r>
          </w:p>
        </w:tc>
        <w:tc>
          <w:tcPr>
            <w:tcW w:type="dxa" w:w="25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Seat / location</w:t>
            </w:r>
          </w:p>
        </w:tc>
        <w:tc>
          <w:tcPr>
            <w:tcW w:type="dxa" w:w="4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Mandate</w:t>
            </w:r>
          </w:p>
        </w:tc>
      </w:tr>
      <w:tr>
        <w:tc>
          <w:tcPr>
            <w:tcW w:type="dxa" w:w="2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Political &amp; Compliance Council (PCC)</w:t>
            </w:r>
          </w:p>
        </w:tc>
        <w:tc>
          <w:tcPr>
            <w:tcW w:type="dxa" w:w="2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Geneva; both Parties (the Technical Verification Authority attends)</w:t>
            </w:r>
          </w:p>
        </w:tc>
        <w:tc>
          <w:tcPr>
            <w:tcW w:type="dxa" w:w="4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Compliance determinations, cycle-release certificates, dispute escalation, form approvals; the single political and compliance venue (formerly the Joint Implementation Group)</w:t>
            </w:r>
          </w:p>
        </w:tc>
      </w:tr>
      <w:tr>
        <w:tc>
          <w:tcPr>
            <w:tcW w:type="dxa" w:w="27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Technical Verification Authority (the IAEA)</w:t>
            </w:r>
          </w:p>
        </w:tc>
        <w:tc>
          <w:tcPr>
            <w:tcW w:type="dxa" w:w="25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Vienna</w:t>
            </w:r>
          </w:p>
        </w:tc>
        <w:tc>
          <w:tcPr>
            <w:tcW w:type="dxa" w:w="4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All nuclear verification: inventory, dual-key monitoring, sampling, certification; issues the certificates that gate relief</w:t>
            </w:r>
          </w:p>
        </w:tc>
      </w:tr>
      <w:tr>
        <w:tc>
          <w:tcPr>
            <w:tcW w:type="dxa" w:w="27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Maritime Stability Board (MSB)</w:t>
            </w:r>
          </w:p>
        </w:tc>
        <w:tc>
          <w:tcPr>
            <w:tcW w:type="dxa" w:w="25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Muscat; advisory, 24/7</w:t>
            </w:r>
          </w:p>
        </w:tc>
        <w:tc>
          <w:tcPr>
            <w:tcW w:type="dxa" w:w="4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Traffic coordination, maritime safety, the de-confliction hotline, transit notifications, and non-binding dispute recommendations — no governing, regulatory, or revenue power (merges the former transit authority and coordination center)</w:t>
            </w:r>
          </w:p>
        </w:tc>
      </w:tr>
    </w:tbl>
    <w:p>
      <w:pPr>
        <w:pStyle w:val="EndnoteText"/>
        <w:spacing w:after="140" w:before="0" w:line="276"/>
      </w:pPr>
      <w:r>
        <w:rPr>
          <w:b/>
          <w:rFonts w:ascii="Calibri" w:hAnsi="Calibri" w:eastAsia="Calibri" w:cs="Calibri"/>
          <w:color w:val="232323"/>
          <w:sz w:val="21"/>
          <w:szCs w:val="20"/>
        </w:rPr>
        <w:t xml:space="preserve">Supporting, non-standing. </w:t>
      </w:r>
      <w:r>
        <w:rPr>
          <w:rFonts w:ascii="Calibri" w:hAnsi="Calibri" w:eastAsia="Calibri" w:cs="Calibri"/>
          <w:color w:val="232323"/>
          <w:sz w:val="21"/>
          <w:szCs w:val="20"/>
        </w:rPr>
        <w:t>The Swiss-Omani Escrow Agent (Zurich / Muscat) holds and releases all financial value on verified milestones. The Distributed Guarantor Matrix (Pakistan as primary, Oman as co-facilitator, with others) serves as an advisory committee to the PCC — mediation, verification backstop, and certificate counter-signature — not a separate governing body. The Persian Gulf Strait Authority remains a national Iranian entity, not a bilateral body, and operates only within Iran’s 12-nautical-mile territorial waters.</w:t>
      </w:r>
    </w:p>
    <w:p>
      <w:pPr>
        <w:pStyle w:val="EndnoteText"/>
        <w:spacing w:after="140" w:before="60" w:line="276"/>
      </w:pPr>
      <w:r>
        <w:rPr>
          <w:rFonts w:ascii="Calibri" w:hAnsi="Calibri" w:eastAsia="Calibri" w:cs="Calibri"/>
          <w:color w:val="232323"/>
          <w:sz w:val="21"/>
          <w:szCs w:val="20"/>
        </w:rPr>
        <w:t>Governance protects both Parties without giving either a lever over the strait: the MSB acts by recommendation, not by binding vote, so no body holds regulatory power over the corridor. Where both Parties sit on a body, it operates by consensus. Each Party maintains a permanent secretariat of 8–12 staff, reporting to the PCC, that reads the transparency portal each shift and files one bundled daily situation report.</w:t>
      </w:r>
    </w:p>
    <w:p>
      <w:pPr>
        <w:pStyle w:val="Heading1"/>
      </w:pPr>
      <w:r>
        <w:rPr>
          <w:rFonts w:ascii="Calibri" w:cs="Calibri" w:eastAsia="Calibri" w:hAnsi="Calibri"/>
          <w:b/>
          <w:color w:val="232323"/>
          <w:sz w:val="21"/>
          <w:szCs w:val="20"/>
        </w:rPr>
        <w:t>Article 10 — What Each Side Concedes and Wins</w:t>
      </w:r>
    </w:p>
    <w:p>
      <w:pPr>
        <w:pStyle w:val="EndnoteText"/>
        <w:spacing w:after="140" w:before="0" w:line="276"/>
      </w:pPr>
      <w:r>
        <w:rPr>
          <w:rFonts w:ascii="Calibri" w:hAnsi="Calibri" w:eastAsia="Calibri" w:cs="Calibri"/>
          <w:color w:val="232323"/>
          <w:sz w:val="21"/>
          <w:szCs w:val="20"/>
        </w:rPr>
        <w:t>This ledger is operative text, not commentary. Each Party signs acknowledging both columns, so that neither later claims it conceded nothing and neither later is told it won nothing.</w:t>
      </w:r>
    </w:p>
    <w:p>
      <w:pPr>
        <w:pStyle w:val="Heading2"/>
      </w:pPr>
      <w:r>
        <w:rPr>
          <w:rFonts w:ascii="Calibri" w:cs="Calibri" w:eastAsia="Calibri" w:hAnsi="Calibri"/>
          <w:b/>
          <w:color w:val="2E5E8C"/>
          <w:sz w:val="24"/>
          <w:szCs w:val="24"/>
        </w:rPr>
        <w:t>10.1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1"/>
        </w:trPr>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The United States gains</w:t>
            </w:r>
          </w:p>
        </w:tc>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The United States accepts</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Default disposition neutralizes material in-country under joint dual-key, ending in dual-key downblending or irreversible fertilizer; 3.67% cap; 12-year moratorium (up to 25 years on violations); effective U.S. control via the second key</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That the material stays on Iranian soil by default, under joint dual-key lock rather than physical U.S. possession, unless Iran elects the optional Oman lane</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Unrestricted freedom of navigation; zero tolls; no Iranian checkpoints, management authority, or revenue share</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Iran’s coastal-state position acknowledged on the record, and reimbursement to Iran for verified strait services</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cash on Day 1; $500M escrowed and released only at Day 30; assets front-loaded but reversible until the end; a 14-day exit ramp and a 30-day clean-break withdrawal</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Co-funding a $1B Joint Disposition Fund and a $50M discretionary fund</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reparations; no legal linkage of Hormuz to any regional front; third-party military action cannot trigger a breach; Saudi, UAE, Qatar, Türkiye, China, and Russia invited as endorsers</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region-wide humanitarian ceasefire and a scheduled door to regional talks</w:t>
            </w:r>
          </w:p>
        </w:tc>
      </w:tr>
    </w:tbl>
    <w:p>
      <w:pPr>
        <w:pStyle w:val="Heading2"/>
      </w:pPr>
      <w:r>
        <w:rPr>
          <w:rFonts w:ascii="Calibri" w:cs="Calibri" w:eastAsia="Calibri" w:hAnsi="Calibri"/>
          <w:b/>
          <w:color w:val="2E5E8C"/>
          <w:sz w:val="24"/>
          <w:szCs w:val="24"/>
        </w:rPr>
        <w:t>10.2 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1"/>
        </w:trPr>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 gains</w:t>
            </w:r>
          </w:p>
        </w:tc>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 accepts</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Oil at 2.1 mbpd; SWIFT restored; $500M at Day 30; assets to 100% by Month 24; a $1B disposition fund and a $50M discretionary fund</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binding 3.67% cap and 12-year moratorium effective Day 1, and no cash on Day 1</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unilateral right to keep material in-country under dual-key custody, with no U.S. veto over that choice</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Continuous IAEA and U.S.-designated dual-key access, and that an IRGC denial counts as an Iranian denial</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Its coastal-state position acknowledged on the record; reimbursement for verified strait services; framing autonomy and a no-regime-change pledge</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Unrestricted freedom of navigation, zero tolls, and no management authority over the corridor</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Step-back / earn-back instead of snapback; a good-faith fast lane; safety valves and a non-humiliation doctrine</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 front-loaded but reversible asset schedule, and that the in-country default ends either in dual-key downblending or, by Day 730, in irreversible fertilizer</w:t>
            </w:r>
          </w:p>
        </w:tc>
      </w:tr>
    </w:tbl>
    <w:p>
      <w:pPr>
        <w:pStyle w:val="Heading1"/>
      </w:pPr>
      <w:r>
        <w:rPr>
          <w:rFonts w:ascii="Calibri" w:cs="Calibri" w:eastAsia="Calibri" w:hAnsi="Calibri"/>
          <w:b/>
          <w:color w:val="232323"/>
          <w:sz w:val="21"/>
          <w:szCs w:val="20"/>
        </w:rPr>
        <w:t>Article 11 — Phase Transitions and the Binding Timeline</w:t>
      </w:r>
    </w:p>
    <w:p>
      <w:pPr>
        <w:pStyle w:val="Heading2"/>
      </w:pPr>
      <w:r>
        <w:rPr>
          <w:rFonts w:ascii="Calibri" w:cs="Calibri" w:eastAsia="Calibri" w:hAnsi="Calibri"/>
          <w:b/>
          <w:color w:val="2E5E8C"/>
          <w:sz w:val="24"/>
          <w:szCs w:val="24"/>
        </w:rPr>
        <w:t>11.1 The 30-Day Letter of Intent</w:t>
      </w:r>
    </w:p>
    <w:p>
      <w:pPr>
        <w:pStyle w:val="EndnoteText"/>
        <w:spacing w:after="140" w:before="0" w:line="276"/>
      </w:pPr>
      <w:r>
        <w:rPr>
          <w:rFonts w:ascii="Calibri" w:hAnsi="Calibri" w:eastAsia="Calibri" w:cs="Calibri"/>
          <w:color w:val="232323"/>
          <w:sz w:val="21"/>
          <w:szCs w:val="20"/>
        </w:rPr>
        <w:t>Within thirty days of entry into force, the Parties exchange a binding Letter of Intent confirming the Phase II architecture of Part B and the pathway selection for the stockpile. The Letter fixes the start of the 15-Day Micro-Cycle engine and the 60-Day Reciprocal Sequencing Schedule.</w:t>
      </w:r>
    </w:p>
    <w:p>
      <w:pPr>
        <w:pStyle w:val="Heading2"/>
      </w:pPr>
      <w:r>
        <w:rPr>
          <w:rFonts w:ascii="Calibri" w:cs="Calibri" w:eastAsia="Calibri" w:hAnsi="Calibri"/>
          <w:b/>
          <w:color w:val="2E5E8C"/>
          <w:sz w:val="24"/>
          <w:szCs w:val="24"/>
        </w:rPr>
        <w:t>11.2 Phase I to Phase II</w:t>
      </w:r>
    </w:p>
    <w:p>
      <w:pPr>
        <w:pStyle w:val="EndnoteText"/>
        <w:spacing w:after="140" w:before="0" w:line="276"/>
      </w:pPr>
      <w:r>
        <w:rPr>
          <w:rFonts w:ascii="Calibri" w:hAnsi="Calibri" w:eastAsia="Calibri" w:cs="Calibri"/>
          <w:color w:val="232323"/>
          <w:sz w:val="21"/>
          <w:szCs w:val="20"/>
        </w:rPr>
        <w:t>Phase I runs Days 1–365 — aligned with the Provisional Steps lineage and long enough for the complex in-country transformations of Pathways N, O, and W. Phase II runs Days 180–540, overlapping Phase I rather than waiting for it to close, so the convergence work begins while Phase I performance is still maturing. Every 180 days, either Party extends Phase I by executive decision without re-ratification, preserving rolling leverage and easing the pressure of a single hard deadline. Transition to the full Phase II Kernel activates when the four Phase I stripes hold a sustained compliance score of 75% across all stripes, with no single stripe below 60%, over the qualifying period. The PCC issues a transition certificate within forty-eight hours, and the contained-asymmetry Kernel of Part B then executes within its strict window.</w:t>
      </w:r>
    </w:p>
    <w:p>
      <w:pPr>
        <w:pStyle w:val="Heading2"/>
      </w:pPr>
      <w:r>
        <w:rPr>
          <w:rFonts w:ascii="Calibri" w:cs="Calibri" w:eastAsia="Calibri" w:hAnsi="Calibri"/>
          <w:b/>
          <w:color w:val="2E5E8C"/>
          <w:sz w:val="24"/>
          <w:szCs w:val="24"/>
        </w:rPr>
        <w:t>11.3 Phase II to Phase III</w:t>
      </w:r>
    </w:p>
    <w:p>
      <w:pPr>
        <w:pStyle w:val="EndnoteText"/>
        <w:spacing w:after="140" w:before="0" w:line="276"/>
      </w:pPr>
      <w:r>
        <w:rPr>
          <w:rFonts w:ascii="Calibri" w:hAnsi="Calibri" w:eastAsia="Calibri" w:cs="Calibri"/>
          <w:color w:val="232323"/>
          <w:sz w:val="21"/>
          <w:szCs w:val="20"/>
        </w:rPr>
        <w:t>Transition activates automatically on certification of Kernel completion — verified neutralization and the paired structural relief. The Phase III commission convenes within fourteen days, the Fibonacci Lock activates, and the Sovereignty Restoration Trajectory begins its milestone schedule.</w:t>
      </w:r>
    </w:p>
    <w:p>
      <w:pPr>
        <w:pStyle w:val="Heading2"/>
      </w:pPr>
      <w:r>
        <w:rPr>
          <w:rFonts w:ascii="Calibri" w:cs="Calibri" w:eastAsia="Calibri" w:hAnsi="Calibri"/>
          <w:b/>
          <w:color w:val="2E5E8C"/>
          <w:sz w:val="24"/>
          <w:szCs w:val="24"/>
        </w:rPr>
        <w:t>11.4 No presumption, full timeline</w:t>
      </w:r>
    </w:p>
    <w:p>
      <w:pPr>
        <w:pStyle w:val="EndnoteText"/>
        <w:spacing w:after="140" w:before="0" w:line="276"/>
      </w:pPr>
      <w:r>
        <w:rPr>
          <w:rFonts w:ascii="Calibri" w:hAnsi="Calibri" w:eastAsia="Calibri" w:cs="Calibri"/>
          <w:color w:val="232323"/>
          <w:sz w:val="21"/>
          <w:szCs w:val="20"/>
        </w:rPr>
        <w:t>Phase I creates no presumption that prejudices either Party’s position in later phases; both retain full sovereign negotiating rights. At the same time, the timeline is binding: the timeline schedules the door to Phase II and Phase III, not merely promised, and progress along it is automatic when compliance holds.</w:t>
      </w:r>
    </w:p>
    <w:p>
      <w:pPr>
        <w:pStyle w:val="Heading1"/>
      </w:pPr>
      <w:r>
        <w:rPr>
          <w:rFonts w:ascii="Calibri" w:cs="Calibri" w:eastAsia="Calibri" w:hAnsi="Calibri"/>
          <w:b/>
          <w:color w:val="232323"/>
          <w:sz w:val="21"/>
          <w:szCs w:val="20"/>
        </w:rPr>
        <w:t>Article 12 — Entry into Force, Depositary, and Signature</w:t>
      </w:r>
    </w:p>
    <w:p>
      <w:pPr>
        <w:pStyle w:val="EndnoteText"/>
        <w:spacing w:after="140" w:before="0" w:line="276"/>
      </w:pPr>
      <w:r>
        <w:rPr>
          <w:rFonts w:ascii="Calibri" w:hAnsi="Calibri" w:eastAsia="Calibri" w:cs="Calibri"/>
          <w:color w:val="232323"/>
          <w:sz w:val="21"/>
          <w:szCs w:val="20"/>
        </w:rPr>
        <w:t>Articles 1 through 13 enter into force on signature by the authorized representative of each Party. Executive authority suffices where legislative ratification triggers a recognition dispute (Article 1.5). The Islamic Republic of Pakistan serves as depositary; the Sultanate of Oman as co-depositary. The integrated Annexes (Part D) enter by reference on the dates each specifies. The Parties record the present-tense, mutual-architecture construction of this instrument as governing the interpretation of every clause: each obligation is a live operational reality of the shared framework, binding both Parties equally.</w:t>
      </w:r>
    </w:p>
    <w:p>
      <w:pPr>
        <w:pStyle w:val="Heading2"/>
      </w:pPr>
      <w:r>
        <w:rPr>
          <w:rFonts w:ascii="Calibri" w:cs="Calibri" w:eastAsia="Calibri" w:hAnsi="Calibri"/>
          <w:b/>
          <w:color w:val="2E5E8C"/>
          <w:sz w:val="24"/>
          <w:szCs w:val="24"/>
        </w:rPr>
        <w:t>12.4 Regional Endorsement</w:t>
      </w:r>
    </w:p>
    <w:p>
      <w:pPr>
        <w:pStyle w:val="EndnoteText"/>
        <w:spacing w:after="140" w:before="0" w:line="276"/>
      </w:pPr>
      <w:r>
        <w:rPr>
          <w:rFonts w:ascii="Calibri" w:hAnsi="Calibri" w:eastAsia="Calibri" w:cs="Calibri"/>
          <w:color w:val="232323"/>
          <w:sz w:val="21"/>
          <w:szCs w:val="20"/>
        </w:rPr>
        <w:t>The Parties invite the Kingdom of Saudi Arabia, the United Arab Emirates, the State of Qatar, and the Republic of Türkiye to signify support for this instrument by non-binding endorsement. The Parties also invite the People’s Republic of China and the Russian Federation, already engaged through the Distributed Guarantor Matrix, to signify support by non-binding endorsement. An endorser receives observer status on the Political &amp; Compliance Council, with no vote and no veto, and its signature adds no legal obligation while affirming regional and international support. The Depositary maintains a register of endorsers. This provision gives the settlement the multilateral, broadly backed character that anchors a durable outcome without diluting either Party’s control.</w:t>
      </w:r>
    </w:p>
    <w:p>
      <w:pPr>
        <w:pStyle w:val="Heading2"/>
      </w:pPr>
      <w:r>
        <w:rPr>
          <w:rFonts w:ascii="Calibri" w:cs="Calibri" w:eastAsia="Calibri" w:hAnsi="Calibri"/>
          <w:b/>
          <w:color w:val="2E5E8C"/>
          <w:sz w:val="24"/>
          <w:szCs w:val="24"/>
        </w:rPr>
        <w:t>12.5 Invitation to Normalize</w:t>
      </w:r>
    </w:p>
    <w:p>
      <w:pPr>
        <w:pStyle w:val="EndnoteText"/>
        <w:spacing w:after="140" w:before="0" w:line="276"/>
      </w:pPr>
      <w:r>
        <w:rPr>
          <w:rFonts w:ascii="Calibri" w:hAnsi="Calibri" w:eastAsia="Calibri" w:cs="Calibri"/>
          <w:color w:val="232323"/>
          <w:sz w:val="21"/>
          <w:szCs w:val="20"/>
        </w:rPr>
        <w:t>The Parties acknowledge that several regional states have expressed interest in normalizing relations with the State of Israel. This instrument does not impede such normalization, and the Parties welcome confidence-building measures that contribute to regional stability. This article creates no obligation on either Party, requires no recognition by either Party, and is interpretive only.</w:t>
      </w:r>
    </w:p>
    <w:p>
      <w:pPr>
        <w:pStyle w:val="EndnoteText"/>
      </w:pPr>
      <w:r>
        <w:rPr>
          <w:rFonts w:ascii="Calibri" w:hAnsi="Calibri" w:eastAsia="Calibri" w:cs="Calibri"/>
          <w:color w:val="232323"/>
          <w:sz w:val="20"/>
          <w:szCs w:val="20"/>
        </w:rPr>
        <w:br w:type="page"/>
      </w:r>
    </w:p>
    <w:p>
      <w:pPr>
        <w:pStyle w:val="Heading1"/>
      </w:pPr>
      <w:r>
        <w:rPr>
          <w:rFonts w:ascii="Calibri" w:cs="Calibri" w:eastAsia="Calibri" w:hAnsi="Calibri"/>
          <w:b/>
          <w:color w:val="232323"/>
          <w:sz w:val="21"/>
          <w:szCs w:val="30"/>
        </w:rPr>
        <w:t>Article 13 — Regional and Israel Coordination</w:t>
      </w:r>
    </w:p>
    <w:p>
      <w:pPr>
        <w:pStyle w:val="EndnoteText"/>
        <w:spacing w:after="140" w:before="0" w:line="276"/>
      </w:pPr>
      <w:r>
        <w:rPr>
          <w:rFonts w:ascii="Calibri" w:hAnsi="Calibri" w:eastAsia="Calibri" w:cs="Calibri"/>
          <w:color w:val="232323"/>
          <w:sz w:val="21"/>
          <w:szCs w:val="20"/>
        </w:rPr>
        <w:t>This article handles the hardest adjacency, the relationship between Iran and the State of Israel, without asking Iran to recognize or normalize anything, and without letting that relationship collapse the cores. It pairs a non-impediment rule, a narrative frame, and a high-threshold escalation ceiling. The third-party non-liability clause of Article 6.4 already ensures that no non-Party’s action breaches this instrument; Article 13 builds the rest on that footing.</w:t>
      </w:r>
    </w:p>
    <w:p>
      <w:pPr>
        <w:pStyle w:val="Heading2"/>
      </w:pPr>
      <w:r>
        <w:rPr>
          <w:rFonts w:ascii="Calibri" w:cs="Calibri" w:eastAsia="Calibri" w:hAnsi="Calibri"/>
          <w:b/>
          <w:color w:val="2E5E8C"/>
          <w:sz w:val="24"/>
          <w:szCs w:val="24"/>
        </w:rPr>
        <w:t>13.1 Non-impediment</w:t>
      </w:r>
    </w:p>
    <w:p>
      <w:pPr>
        <w:pStyle w:val="EndnoteText"/>
        <w:spacing w:after="140" w:before="0" w:line="276"/>
      </w:pPr>
      <w:r>
        <w:rPr>
          <w:rFonts w:ascii="Calibri" w:hAnsi="Calibri" w:eastAsia="Calibri" w:cs="Calibri"/>
          <w:color w:val="232323"/>
          <w:sz w:val="21"/>
          <w:szCs w:val="20"/>
        </w:rPr>
        <w:t>Nothing in this instrument impedes, restricts, or discourages any regional state from establishing or expanding diplomatic, economic, or security relations with the State of Israel. Iran acknowledges that such relations are sovereign decisions of independent states and are not grounds for any claim of breach, non-performance, or retaliation under this instrument. This is a non-obstruction acknowledgment, not recognition: Iran takes no action and extends no recognition under this instrument.</w:t>
      </w:r>
    </w:p>
    <w:p>
      <w:pPr>
        <w:pStyle w:val="Heading2"/>
      </w:pPr>
      <w:r>
        <w:rPr>
          <w:rFonts w:ascii="Calibri" w:cs="Calibri" w:eastAsia="Calibri" w:hAnsi="Calibri"/>
          <w:b/>
          <w:color w:val="2E5E8C"/>
          <w:sz w:val="24"/>
          <w:szCs w:val="24"/>
        </w:rPr>
        <w:t>13.2 The “breakout eliminated” narrative frame</w:t>
      </w:r>
    </w:p>
    <w:p>
      <w:pPr>
        <w:pStyle w:val="EndnoteText"/>
        <w:spacing w:after="140" w:before="0" w:line="276"/>
      </w:pPr>
      <w:r>
        <w:rPr>
          <w:rFonts w:ascii="Calibri" w:hAnsi="Calibri" w:eastAsia="Calibri" w:cs="Calibri"/>
          <w:color w:val="232323"/>
          <w:sz w:val="21"/>
          <w:szCs w:val="20"/>
        </w:rPr>
        <w:t>The Parties record an agreed frame for describing the nuclear outcome: Iran's 60% stockpile is either removed from Iran or irreversibly transformed into commercial products — fertilizer, reactor fuel, medical isotopes, or industrial materials — through IAEA-verified processes, such that residual breakout time measures in months and is fully detectable. Each capital states this in its own language; the technical claim underneath is identical and verifiable. Neither Party uses this frame to assert that the other has conceded anything not explicitly required by the operative provisions: the frame is for public communication only and creates no legal obligation beyond the text, and neither Party weaponizes it in dispute resolution.</w:t>
      </w:r>
    </w:p>
    <w:p>
      <w:pPr>
        <w:pStyle w:val="Heading2"/>
      </w:pPr>
      <w:r>
        <w:rPr>
          <w:rFonts w:ascii="Calibri" w:cs="Calibri" w:eastAsia="Calibri" w:hAnsi="Calibri"/>
          <w:b/>
          <w:color w:val="2E5E8C"/>
          <w:sz w:val="24"/>
          <w:szCs w:val="24"/>
        </w:rPr>
        <w:t>13.3 The shadow-conflict ceiling</w:t>
      </w:r>
    </w:p>
    <w:p>
      <w:pPr>
        <w:pStyle w:val="EndnoteText"/>
        <w:spacing w:after="140" w:before="0" w:line="276"/>
      </w:pPr>
      <w:r>
        <w:rPr>
          <w:rFonts w:ascii="Calibri" w:hAnsi="Calibri" w:eastAsia="Calibri" w:cs="Calibri"/>
          <w:color w:val="232323"/>
          <w:sz w:val="21"/>
          <w:szCs w:val="20"/>
        </w:rPr>
        <w:t>The Parties acknowledge that the State of Israel and Iran maintain a shadow conflict, and this instrument establishes no ceasefire between them. The United States and Iran nonetheless commit to use their influence to prevent uncontrolled escalation. This instrument defines an Unacceptable Escalation Threshold as either a confirmed attack by Iranian-aligned proxies causing ten or more Israeli civilian casualties, or an Israeli strike on a declared Iranian nuclear facility. On such an event, a 72-hour cooling-off period activates, during which the United States and Oman mediate; no obligation restrains either Party from self-defense under Article 51 of the UN Charter. An Israeli strike on a declared nuclear facility, like any non-Party action, is not a breach of this instrument by either Party (Article 6.4), but it does trigger the cooling-off mechanism. For the avoidance of doubt, Israeli military operations in Syria against Iranian or Hezbollah-affiliated targets do not constitute an Unacceptable Escalation Threshold under this Article, regardless of proximity to declared nuclear facilities, unless they directly strike a declared IAEA-monitored nuclear site.</w:t>
      </w:r>
    </w:p>
    <w:p>
      <w:pPr>
        <w:pStyle w:val="Heading2"/>
      </w:pPr>
      <w:r>
        <w:rPr>
          <w:rFonts w:ascii="Calibri" w:cs="Calibri" w:eastAsia="Calibri" w:hAnsi="Calibri"/>
          <w:b/>
          <w:color w:val="2E5E8C"/>
          <w:sz w:val="24"/>
          <w:szCs w:val="24"/>
        </w:rPr>
        <w:t>13.4 The Regional Connectivity Initiative</w:t>
      </w:r>
    </w:p>
    <w:p>
      <w:pPr>
        <w:pStyle w:val="EndnoteText"/>
        <w:spacing w:after="140" w:before="0" w:line="276"/>
      </w:pPr>
      <w:r>
        <w:rPr>
          <w:rFonts w:ascii="Calibri" w:hAnsi="Calibri" w:eastAsia="Calibri" w:cs="Calibri"/>
          <w:color w:val="232323"/>
          <w:sz w:val="21"/>
          <w:szCs w:val="20"/>
        </w:rPr>
        <w:t>The Regional Development Fund allocates $500M over five years to a Regional Connectivity Initiative — direct air links among regional states and the State of Israel, joint water-desalination research, and cross-border energy trading. Iran is neither required to participate in nor to benefit from this initiative, and funds allocated to it do not reduce Iran’s access to any other Regional Development Fund window. It is a parallel regional dividend that touches Iran only if Iran chooses.</w:t>
      </w:r>
    </w:p>
    <w:p>
      <w:pPr>
        <w:pStyle w:val="Heading2"/>
      </w:pPr>
      <w:r>
        <w:rPr>
          <w:rFonts w:ascii="Calibri" w:cs="Calibri" w:eastAsia="Calibri" w:hAnsi="Calibri"/>
          <w:b/>
          <w:color w:val="2E5E8C"/>
          <w:sz w:val="24"/>
          <w:szCs w:val="24"/>
        </w:rPr>
        <w:t>13.5 Syria freedom of action</w:t>
      </w:r>
    </w:p>
    <w:p>
      <w:pPr>
        <w:pStyle w:val="EndnoteText"/>
        <w:spacing w:after="140" w:before="0" w:line="276"/>
      </w:pPr>
      <w:r>
        <w:rPr>
          <w:rFonts w:ascii="Calibri" w:hAnsi="Calibri" w:eastAsia="Calibri" w:cs="Calibri"/>
          <w:color w:val="232323"/>
          <w:sz w:val="21"/>
          <w:szCs w:val="20"/>
        </w:rPr>
        <w:t>Nothing in this Accord restricts Israeli military operations against Iranian or Hezbollah-affiliated targets in Syria. Such operations are not subject to this Accord’s dispute-resolution, step-back, or benefit-suspension provisions, do not constitute a breach by either Party, and fall outside PCC review and Guarantor Matrix jurisdiction. This provision is self-executing and non-waivable; it acknowledges an existing reality rather than creating an obligation, and it asks nothing of Iran.</w:t>
      </w:r>
    </w:p>
    <w:p>
      <w:pPr>
        <w:pStyle w:val="EndnoteText"/>
      </w:pPr>
      <w:r>
        <w:rPr>
          <w:rFonts w:ascii="Calibri" w:hAnsi="Calibri" w:eastAsia="Calibri" w:cs="Calibri"/>
          <w:color w:val="232323"/>
          <w:sz w:val="20"/>
          <w:szCs w:val="20"/>
        </w:rPr>
        <w:br w:type="page"/>
      </w:r>
    </w:p>
    <w:p>
      <w:pPr>
        <w:pStyle w:val="EndnoteText"/>
        <w:spacing w:after="60" w:before="200"/>
        <w:jc w:val="center"/>
      </w:pPr>
      <w:r>
        <w:rPr>
          <w:b/>
          <w:color w:val="232323"/>
          <w:sz w:val="21"/>
          <w:szCs w:val="20"/>
          <w:rFonts w:ascii="Calibri" w:hAnsi="Calibri" w:eastAsia="Calibri" w:cs="Calibri"/>
        </w:rPr>
        <w:t>PART B</w:t>
      </w:r>
    </w:p>
    <w:p>
      <w:pPr>
        <w:pStyle w:val="EndnoteText"/>
        <w:spacing w:after="200"/>
        <w:jc w:val="center"/>
      </w:pPr>
      <w:r>
        <w:rPr>
          <w:b/>
          <w:color w:val="232323"/>
          <w:sz w:val="21"/>
          <w:szCs w:val="30"/>
          <w:rFonts w:ascii="Calibri" w:hAnsi="Calibri" w:eastAsia="Calibri" w:cs="Calibri"/>
        </w:rPr>
        <w:t>Phase II — The Convergence</w:t>
      </w:r>
    </w:p>
    <w:p>
      <w:pPr>
        <w:pStyle w:val="EndnoteText"/>
        <w:spacing w:after="200"/>
        <w:jc w:val="center"/>
      </w:pPr>
      <w:r>
        <w:rPr>
          <w:i/>
          <w:color w:val="555555"/>
          <w:sz w:val="20"/>
          <w:szCs w:val="20"/>
          <w:rFonts w:ascii="Calibri" w:hAnsi="Calibri" w:eastAsia="Calibri" w:cs="Calibri"/>
        </w:rPr>
        <w:t>The Kernel: one contained point of asymmetry, executed with full operational detail.</w:t>
      </w:r>
    </w:p>
    <w:p>
      <w:pPr>
        <w:pStyle w:val="Heading1"/>
      </w:pPr>
      <w:r>
        <w:rPr>
          <w:rFonts w:ascii="Calibri" w:cs="Calibri" w:eastAsia="Calibri" w:hAnsi="Calibri"/>
          <w:b/>
          <w:color w:val="232323"/>
          <w:sz w:val="21"/>
          <w:szCs w:val="30"/>
        </w:rPr>
        <w:t>B-0 — The Convergence Logic</w:t>
      </w:r>
    </w:p>
    <w:p>
      <w:pPr>
        <w:pStyle w:val="EndnoteText"/>
        <w:spacing w:after="140" w:before="0" w:line="276"/>
      </w:pPr>
      <w:r>
        <w:rPr>
          <w:rFonts w:ascii="Calibri" w:hAnsi="Calibri" w:eastAsia="Calibri" w:cs="Calibri"/>
          <w:color w:val="232323"/>
          <w:sz w:val="21"/>
          <w:szCs w:val="20"/>
        </w:rPr>
        <w:t>Phase II is the single, planned, contained point of asymmetry in the entire architecture. Here each Party makes its deepest concession in the domain where it holds the key: Iran neutralizes its weapons-grade material; the United States converts reversible relief into structural relief. The asymmetry exists at this one point and does not leak into the stripes that precede it or the shell that follows it. The framing is mutual: each Party gives what only it gives. A half-executed Kernel is worse than none — so both concessions complete, or the Kernel fails and the architecture holds at Phase I until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FBF6E7" w:val="clear" w:color="auto"/>
            <w:tcMar>
              <w:top w:type="dxa" w:w="130"/>
              <w:left w:type="dxa" w:w="180"/>
              <w:bottom w:type="dxa" w:w="130"/>
              <w:right w:type="dxa" w:w="160"/>
            </w:tcMar>
          </w:tcPr>
          <w:p>
            <w:pPr>
              <w:pStyle w:val="EndnoteText"/>
              <w:spacing w:after="60"/>
            </w:pPr>
            <w:r>
              <w:rPr>
                <w:b/>
                <w:color w:val="1F3B5B"/>
                <w:rFonts w:ascii="Calibri" w:hAnsi="Calibri" w:eastAsia="Calibri" w:cs="Calibri"/>
                <w:sz w:val="30"/>
                <w:szCs w:val="20"/>
              </w:rPr>
              <w:t>The narrative firewall</w:t>
            </w:r>
          </w:p>
          <w:p>
            <w:pPr>
              <w:pStyle w:val="EndnoteText"/>
              <w:spacing w:after="60" w:line="268"/>
            </w:pPr>
            <w:r>
              <w:rPr>
                <w:rFonts w:ascii="Calibri" w:hAnsi="Calibri" w:eastAsia="Calibri" w:cs="Calibri"/>
                <w:color w:val="232323"/>
                <w:sz w:val="21"/>
                <w:szCs w:val="20"/>
              </w:rPr>
              <w:t>The Parties record Phase II not as victory and defeat but as mutual recognition of different systemic structures. Iran’s key is the program; the United States’ key is the structural relief architecture. Neither domestic audience reads the Kernel as surrender because each Party gives in a different domain.</w:t>
            </w:r>
          </w:p>
        </w:tc>
      </w:tr>
    </w:tbl>
    <w:p>
      <w:pPr>
        <w:pStyle w:val="Heading1"/>
      </w:pPr>
      <w:r>
        <w:rPr>
          <w:rFonts w:ascii="Calibri" w:cs="Calibri" w:eastAsia="Calibri" w:hAnsi="Calibri"/>
          <w:b/>
          <w:color w:val="232323"/>
          <w:sz w:val="21"/>
          <w:szCs w:val="30"/>
        </w:rPr>
        <w:t>B-1 — Nuclear Convergence</w:t>
      </w:r>
    </w:p>
    <w:p>
      <w:pPr>
        <w:pStyle w:val="Heading2"/>
      </w:pPr>
      <w:r>
        <w:rPr>
          <w:rFonts w:ascii="Calibri" w:cs="Calibri" w:eastAsia="Calibri" w:hAnsi="Calibri"/>
          <w:b/>
          <w:color w:val="2E5E8C"/>
          <w:sz w:val="24"/>
          <w:szCs w:val="24"/>
        </w:rPr>
        <w:t>B-1.1 The Modular Pathway Menu</w:t>
      </w:r>
    </w:p>
    <w:p>
      <w:pPr>
        <w:pStyle w:val="EndnoteText"/>
        <w:spacing w:after="140" w:before="0" w:line="276"/>
      </w:pPr>
      <w:r>
        <w:rPr>
          <w:rFonts w:ascii="Calibri" w:hAnsi="Calibri" w:eastAsia="Calibri" w:cs="Calibri"/>
          <w:color w:val="232323"/>
          <w:sz w:val="21"/>
          <w:szCs w:val="20"/>
        </w:rPr>
        <w:t>The disposition of the stockpile runs through the menu below. Because the material does not leave Iran absent Iran’s own consent, the operative options are in-country transformations under dual-key custody, with neutral-state export available only by Iranian election. The menu is the mechanism that breaks the removal deadlock: each capital chooses the language and optics its audience needs while the verified outcome — no weapons-usable material remains under Iran’s sole control — is identical across every pathway. Iran holds an irrevocable, unilateral right to elect any in-country pathway (N, O, T, or W) at any time, without U.S. concurrence or veto. The default sequence runs Pathway A at Day 180 and Pathway W at Day 730 (Article 3.2). A modular hold isolates any single disputed pathway for up to sixty days without halting the rest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2100"/>
        <w:gridCol w:w="1900"/>
      </w:tblGrid>
      <w:tr>
        <w:trPr>
          <w:tblHeader w:val="1"/>
        </w:trPr>
        <w:tc>
          <w:tcPr>
            <w:tcW w:type="dxa" w:w="25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Pathway</w:t>
            </w:r>
          </w:p>
        </w:tc>
        <w:tc>
          <w:tcPr>
            <w:tcW w:type="dxa" w:w="286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Mechanism</w:t>
            </w:r>
          </w:p>
        </w:tc>
        <w:tc>
          <w:tcPr>
            <w:tcW w:type="dxa" w:w="21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Custody / location</w:t>
            </w:r>
          </w:p>
        </w:tc>
        <w:tc>
          <w:tcPr>
            <w:tcW w:type="dxa" w:w="190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Fund / note</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A — In-Country Downblending (Day-180 default)</w:t>
            </w:r>
          </w:p>
        </w:tc>
        <w:tc>
          <w:tcPr>
            <w:tcW w:type="dxa" w:w="28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Stockpile downblends to 19.75% at Esfahan at ≥3.5 kg/day under dual-key custody</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Stays in Iran under joint IAEA / U.S.-designated lock (Annex Y)</w:t>
            </w:r>
          </w:p>
        </w:tc>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$80M; effective external control without physical removal</w:t>
            </w:r>
          </w:p>
        </w:tc>
      </w:tr>
      <w:tr>
        <w:tc>
          <w:tcPr>
            <w:tcW w:type="dxa" w:w="2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 — Civilian Nuclear Products</w:t>
            </w:r>
          </w:p>
        </w:tc>
        <w:tc>
          <w:tcPr>
            <w:tcW w:type="dxa" w:w="28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Downblend to 3–5% LEU, fabricate into reactor fuel, medical isotopes, betavoltaic batteries, research plates</w:t>
            </w:r>
          </w:p>
        </w:tc>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In Iran; products tracked by chain-of-custody registry</w:t>
            </w:r>
          </w:p>
        </w:tc>
        <w:tc>
          <w:tcPr>
            <w:tcW w:type="dxa" w:w="1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$200M; Iran unilateral right</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O — Industrial Uranium Products</w:t>
            </w:r>
          </w:p>
        </w:tc>
        <w:tc>
          <w:tcPr>
            <w:tcW w:type="dxa" w:w="28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Deplete to 0.3–0.7%; process into rare-earth feedstock, composites, catalysts — uranium chemically bound in industrial matrices</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In Iran; quarterly audits of industrial facilities</w:t>
            </w:r>
          </w:p>
        </w:tc>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$200M; Iran unilateral right</w:t>
            </w:r>
          </w:p>
        </w:tc>
      </w:tr>
      <w:tr>
        <w:tc>
          <w:tcPr>
            <w:tcW w:type="dxa" w:w="2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T — Depleted Uranium Industrial</w:t>
            </w:r>
          </w:p>
        </w:tc>
        <w:tc>
          <w:tcPr>
            <w:tcW w:type="dxa" w:w="28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Deplete and convert into depleted-uranium industrial products</w:t>
            </w:r>
          </w:p>
        </w:tc>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In Iran under IAEA accountancy</w:t>
            </w:r>
          </w:p>
        </w:tc>
        <w:tc>
          <w:tcPr>
            <w:tcW w:type="dxa" w:w="1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$100M; Iran unilateral right</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 — Agriculture and Food Security (Day-730 default)</w:t>
            </w:r>
          </w:p>
        </w:tc>
        <w:tc>
          <w:tcPr>
            <w:tcW w:type="dxa" w:w="28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Deplete to natural-grade uranium (0.711%), combine with phosphate rock for fertilizer, disperse across farmland; 9 months; irreversible</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Stays in Iran as civilian agricultural input under IAEA sampling</w:t>
            </w:r>
          </w:p>
        </w:tc>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$70M; “bombs to bread,” the irreversible final default</w:t>
            </w:r>
          </w:p>
        </w:tc>
      </w:tr>
      <w:tr>
        <w:tc>
          <w:tcPr>
            <w:tcW w:type="dxa" w:w="25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B — Export to Oman (optional)</w:t>
            </w:r>
          </w:p>
        </w:tc>
        <w:tc>
          <w:tcPr>
            <w:tcW w:type="dxa" w:w="286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Material moved under IAEA chain-of-custody to a secure facility in Oman — only on Iran’s explicit, revocable, written consent</w:t>
            </w:r>
          </w:p>
        </w:tc>
        <w:tc>
          <w:tcPr>
            <w:tcW w:type="dxa" w:w="21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 custody — not U.S. or Iranian — in a neutral state</w:t>
            </w:r>
          </w:p>
        </w:tc>
        <w:tc>
          <w:tcPr>
            <w:tcW w:type="dxa" w:w="190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$200M; never compelled</w:t>
            </w:r>
          </w:p>
        </w:tc>
      </w:tr>
      <w:tr>
        <w:tc>
          <w:tcPr>
            <w:tcW w:type="dxa" w:w="25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C — Kazakhstan LEU Bank (optional)</w:t>
            </w:r>
          </w:p>
        </w:tc>
        <w:tc>
          <w:tcPr>
            <w:tcW w:type="dxa" w:w="286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Custody through the international low-enriched-uranium bank, by Iranian election</w:t>
            </w:r>
          </w:p>
        </w:tc>
        <w:tc>
          <w:tcPr>
            <w:tcW w:type="dxa" w:w="21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IAEA-administered international bank</w:t>
            </w:r>
          </w:p>
        </w:tc>
        <w:tc>
          <w:tcPr>
            <w:tcW w:type="dxa" w:w="190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$200M; multilateral, depoliticized</w:t>
            </w:r>
          </w:p>
        </w:tc>
      </w:tr>
    </w:tbl>
    <w:p>
      <w:pPr>
        <w:pStyle w:val="Heading2"/>
      </w:pPr>
      <w:r>
        <w:rPr>
          <w:rFonts w:ascii="Calibri" w:cs="Calibri" w:eastAsia="Calibri" w:hAnsi="Calibri"/>
          <w:b/>
          <w:color w:val="2E5E8C"/>
          <w:sz w:val="24"/>
          <w:szCs w:val="24"/>
        </w:rPr>
        <w:t>B-1.2 Pathway A in operation (the in-country default road)</w:t>
      </w:r>
    </w:p>
    <w:p>
      <w:pPr>
        <w:pStyle w:val="EndnoteText"/>
        <w:spacing w:after="140" w:before="0" w:line="276"/>
      </w:pPr>
      <w:r>
        <w:rPr>
          <w:rFonts w:ascii="Calibri" w:hAnsi="Calibri" w:eastAsia="Calibri" w:cs="Calibri"/>
          <w:color w:val="232323"/>
          <w:sz w:val="21"/>
          <w:szCs w:val="20"/>
        </w:rPr>
        <w:t>Pathway A is written to a step schedule so that signature today means a known sequence, not an open question:</w:t>
      </w:r>
    </w:p>
    <w:p>
      <w:pPr>
        <w:pStyle w:val="ListParagraph"/>
        <w:numPr>
          <w:ilvl w:val="0"/>
          <w:numId w:val="3"/>
        </w:numPr>
        <w:spacing w:after="90" w:line="270"/>
      </w:pPr>
      <w:r>
        <w:rPr>
          <w:rFonts w:ascii="Calibri" w:hAnsi="Calibri" w:eastAsia="Calibri" w:cs="Calibri"/>
          <w:sz w:val="21"/>
          <w:szCs w:val="21"/>
          <w:color w:val="232323"/>
        </w:rPr>
        <w:t>Day 0 — the PCC issues the Pathway A selection certificate; the IAEA deploys four resident inspectors to Esfahan within 24 hours and activates the dual-key camera system with encrypted feeds to Vienna and the Geneva mirror node.</w:t>
      </w:r>
    </w:p>
    <w:p>
      <w:pPr>
        <w:pStyle w:val="ListParagraph"/>
        <w:numPr>
          <w:ilvl w:val="0"/>
          <w:numId w:val="3"/>
        </w:numPr>
        <w:spacing w:after="90" w:line="270"/>
      </w:pPr>
      <w:r>
        <w:rPr>
          <w:rFonts w:ascii="Calibri" w:hAnsi="Calibri" w:eastAsia="Calibri" w:cs="Calibri"/>
          <w:sz w:val="21"/>
          <w:szCs w:val="21"/>
          <w:color w:val="232323"/>
        </w:rPr>
        <w:t>Day 0 — inspectors complete a baseline inventory of all 60% HEU by mass spectrometry; the Esfahan Baseline Certificate issues within 48 hours.</w:t>
      </w:r>
    </w:p>
    <w:p>
      <w:pPr>
        <w:pStyle w:val="ListParagraph"/>
        <w:numPr>
          <w:ilvl w:val="0"/>
          <w:numId w:val="3"/>
        </w:numPr>
        <w:spacing w:after="90" w:line="270"/>
      </w:pPr>
      <w:r>
        <w:rPr>
          <w:rFonts w:ascii="Calibri" w:hAnsi="Calibri" w:eastAsia="Calibri" w:cs="Calibri"/>
          <w:sz w:val="21"/>
          <w:szCs w:val="21"/>
          <w:color w:val="232323"/>
        </w:rPr>
        <w:t>Day 1 — natural-uranium feed gas arrives in the required ratio, guaranteed by the international consortium; the IAEA seals all feed lines.</w:t>
      </w:r>
    </w:p>
    <w:p>
      <w:pPr>
        <w:pStyle w:val="ListParagraph"/>
        <w:numPr>
          <w:ilvl w:val="0"/>
          <w:numId w:val="3"/>
        </w:numPr>
        <w:spacing w:after="90" w:line="270"/>
      </w:pPr>
      <w:r>
        <w:rPr>
          <w:rFonts w:ascii="Calibri" w:hAnsi="Calibri" w:eastAsia="Calibri" w:cs="Calibri"/>
          <w:sz w:val="21"/>
          <w:szCs w:val="21"/>
          <w:color w:val="232323"/>
        </w:rPr>
        <w:t>Days 1–63 — downblending of the Esfahan stockpile (~220 kg) to 19.75% proceeds at ≥3.5 kg/day, with independent isotopic sampling every 72 hours.</w:t>
      </w:r>
    </w:p>
    <w:p>
      <w:pPr>
        <w:pStyle w:val="ListParagraph"/>
        <w:numPr>
          <w:ilvl w:val="0"/>
          <w:numId w:val="3"/>
        </w:numPr>
        <w:spacing w:after="90" w:line="270"/>
      </w:pPr>
      <w:r>
        <w:rPr>
          <w:rFonts w:ascii="Calibri" w:hAnsi="Calibri" w:eastAsia="Calibri" w:cs="Calibri"/>
          <w:sz w:val="21"/>
          <w:szCs w:val="21"/>
          <w:color w:val="232323"/>
        </w:rPr>
        <w:t>Day 14 — the IAEA certifies 14 consecutive days at rate; the Downblending Rate Certificate triggers the paired relief tranche.</w:t>
      </w:r>
    </w:p>
    <w:p>
      <w:pPr>
        <w:pStyle w:val="ListParagraph"/>
        <w:numPr>
          <w:ilvl w:val="0"/>
          <w:numId w:val="3"/>
        </w:numPr>
        <w:spacing w:after="90" w:line="270"/>
      </w:pPr>
      <w:r>
        <w:rPr>
          <w:rFonts w:ascii="Calibri" w:hAnsi="Calibri" w:eastAsia="Calibri" w:cs="Calibri"/>
          <w:sz w:val="21"/>
          <w:szCs w:val="21"/>
          <w:color w:val="232323"/>
        </w:rPr>
        <w:t>Day 63 — Esfahan stockpile complete; the facility seals to monitoring-only status.</w:t>
      </w:r>
    </w:p>
    <w:p>
      <w:pPr>
        <w:pStyle w:val="ListParagraph"/>
        <w:numPr>
          <w:ilvl w:val="0"/>
          <w:numId w:val="3"/>
        </w:numPr>
        <w:spacing w:after="90" w:line="270"/>
      </w:pPr>
      <w:r>
        <w:rPr>
          <w:rFonts w:ascii="Calibri" w:hAnsi="Calibri" w:eastAsia="Calibri" w:cs="Calibri"/>
          <w:sz w:val="21"/>
          <w:szCs w:val="21"/>
          <w:color w:val="232323"/>
        </w:rPr>
        <w:t>Days 64–142 — remaining national stockpile downblends at Esfahan or the Fordow cascades until downblending converts the full 440–500 kg.</w:t>
      </w:r>
    </w:p>
    <w:p>
      <w:pPr>
        <w:pStyle w:val="ListParagraph"/>
        <w:numPr>
          <w:ilvl w:val="0"/>
          <w:numId w:val="3"/>
        </w:numPr>
        <w:spacing w:after="90" w:line="270"/>
      </w:pPr>
      <w:r>
        <w:rPr>
          <w:rFonts w:ascii="Calibri" w:hAnsi="Calibri" w:eastAsia="Calibri" w:cs="Calibri"/>
          <w:sz w:val="21"/>
          <w:szCs w:val="21"/>
          <w:color w:val="232323"/>
        </w:rPr>
        <w:t>Day 142 — the IAEA issues the National HEU Neutralization Certificate — the prerequisite for the final structural relief and the marker of Kernel completion on the nuclear side.</w:t>
      </w:r>
    </w:p>
    <w:p>
      <w:pPr>
        <w:pStyle w:val="EndnoteText"/>
        <w:spacing w:after="140" w:before="60" w:line="276"/>
      </w:pPr>
      <w:r>
        <w:rPr>
          <w:rFonts w:ascii="Calibri" w:hAnsi="Calibri" w:eastAsia="Calibri" w:cs="Calibri"/>
          <w:color w:val="232323"/>
          <w:sz w:val="21"/>
          <w:szCs w:val="20"/>
        </w:rPr>
        <w:t>The IAEA extends any period in this timeline by up to 10% for verified maintenance, environmental conditions, equipment failure, or dispute resolution. An extension is not a breach and triggers no step-back; the PCC receives notice within 24 hours. The buffer keeps an ordinary operational delay from hardening into a dispute.</w:t>
      </w:r>
    </w:p>
    <w:p>
      <w:pPr>
        <w:pStyle w:val="Heading2"/>
      </w:pPr>
      <w:r>
        <w:rPr>
          <w:rFonts w:ascii="Calibri" w:cs="Calibri" w:eastAsia="Calibri" w:hAnsi="Calibri"/>
          <w:b/>
          <w:color w:val="2E5E8C"/>
          <w:sz w:val="24"/>
          <w:szCs w:val="24"/>
        </w:rPr>
        <w:t>B-1.3 Pathway W in operation (the fertilizer road)</w:t>
      </w:r>
    </w:p>
    <w:p>
      <w:pPr>
        <w:pStyle w:val="EndnoteText"/>
        <w:spacing w:after="140" w:before="0" w:line="276"/>
      </w:pPr>
      <w:r>
        <w:rPr>
          <w:rFonts w:ascii="Calibri" w:hAnsi="Calibri" w:eastAsia="Calibri" w:cs="Calibri"/>
          <w:color w:val="232323"/>
          <w:sz w:val="21"/>
          <w:szCs w:val="20"/>
        </w:rPr>
        <w:t>Pathway W is the most irreversible disposition on the menu and the one Iran elects most freely. Iran depletes the HEU to natural-grade uranium (0.711% U-235) and combines it with phosphate rock to produce enhanced agricultural fertilizer; the material disperses across farmland and enters the food supply over a nine-month campaign (compressed from fourteen months with IAEA surge staffing and pre-approved equipment). Reversal is not merely prohibited but physically foreclosed: recovering weapons-usable material requires collecting soil from millions of hectares, extracting trace uranium from a phosphate matrix, and re-enriching from 0.711% to weapons grade — a chemical, economic, and logistical impossibility. The point of no return is the field application of the first fertilizer batch.</w:t>
      </w:r>
    </w:p>
    <w:p>
      <w:pPr>
        <w:pStyle w:val="EndnoteText"/>
        <w:spacing w:after="140" w:before="0" w:line="276"/>
      </w:pPr>
      <w:r>
        <w:rPr>
          <w:rFonts w:ascii="Calibri" w:hAnsi="Calibri" w:eastAsia="Calibri" w:cs="Calibri"/>
          <w:color w:val="232323"/>
          <w:sz w:val="21"/>
          <w:szCs w:val="20"/>
        </w:rPr>
        <w:t>The IAEA verifies every gram: isotopic sampling of feed material, continuous monitoring of the depletion and blending steps, and sampling of final fertilizer batches, with environmental and agricultural-safety protocols governing soil application. Iran elects Pathway W at any time as a unilateral right, without U.S. concurrence or veto. The pathway draws $70M from the Joint Disposition Fund (half on commencement, half on completion) and opens fertilizer and agricultural revenue Iran characterizes as a domestic dividend.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E8F0E4" w:val="clear" w:color="auto"/>
            <w:tcMar>
              <w:top w:type="dxa" w:w="130"/>
              <w:left w:type="dxa" w:w="180"/>
              <w:bottom w:type="dxa" w:w="130"/>
              <w:right w:type="dxa" w:w="160"/>
            </w:tcMar>
          </w:tcPr>
          <w:p>
            <w:pPr>
              <w:pStyle w:val="EndnoteText"/>
              <w:spacing w:after="60"/>
            </w:pPr>
            <w:r>
              <w:rPr>
                <w:b/>
                <w:color w:val="1F3B5B"/>
                <w:rFonts w:ascii="Calibri" w:hAnsi="Calibri" w:eastAsia="Calibri" w:cs="Calibri"/>
                <w:sz w:val="30"/>
                <w:szCs w:val="20"/>
              </w:rPr>
              <w:t>Why fertilizer satisfies all three audiences</w:t>
            </w:r>
          </w:p>
          <w:p>
            <w:pPr>
              <w:pStyle w:val="EndnoteText"/>
              <w:spacing w:after="60" w:line="268"/>
            </w:pPr>
            <w:r>
              <w:rPr>
                <w:b/>
                <w:rFonts w:ascii="Calibri" w:hAnsi="Calibri" w:eastAsia="Calibri" w:cs="Calibri"/>
                <w:color w:val="232323"/>
                <w:sz w:val="21"/>
                <w:szCs w:val="20"/>
              </w:rPr>
              <w:t xml:space="preserve">Iran: </w:t>
            </w:r>
            <w:r>
              <w:rPr>
                <w:rFonts w:ascii="Calibri" w:hAnsi="Calibri" w:eastAsia="Calibri" w:cs="Calibri"/>
                <w:color w:val="232323"/>
                <w:sz w:val="21"/>
                <w:szCs w:val="20"/>
              </w:rPr>
              <w:t>the material never leaves Iran and becomes Iranian wheat, rice, and corn — sovereignty exercised, not surrendered; “from bombs to bread.”</w:t>
            </w:r>
          </w:p>
          <w:p>
            <w:pPr>
              <w:pStyle w:val="EndnoteText"/>
              <w:spacing w:after="60" w:line="268"/>
            </w:pPr>
            <w:r>
              <w:rPr>
                <w:b/>
                <w:rFonts w:ascii="Calibri" w:hAnsi="Calibri" w:eastAsia="Calibri" w:cs="Calibri"/>
                <w:color w:val="232323"/>
                <w:sz w:val="21"/>
                <w:szCs w:val="20"/>
              </w:rPr>
              <w:t xml:space="preserve">United States: </w:t>
            </w:r>
            <w:r>
              <w:rPr>
                <w:rFonts w:ascii="Calibri" w:hAnsi="Calibri" w:eastAsia="Calibri" w:cs="Calibri"/>
                <w:color w:val="232323"/>
                <w:sz w:val="21"/>
                <w:szCs w:val="20"/>
              </w:rPr>
              <w:t>Iran needs no U.S. permission to choose it — only verification; the IAEA confirms every gram, and no weapons-usable material remains.</w:t>
            </w:r>
          </w:p>
          <w:p>
            <w:pPr>
              <w:pStyle w:val="EndnoteText"/>
              <w:spacing w:after="60" w:line="268"/>
            </w:pPr>
            <w:r>
              <w:rPr>
                <w:b/>
                <w:rFonts w:ascii="Calibri" w:hAnsi="Calibri" w:eastAsia="Calibri" w:cs="Calibri"/>
                <w:color w:val="232323"/>
                <w:sz w:val="21"/>
                <w:szCs w:val="20"/>
              </w:rPr>
              <w:t xml:space="preserve">Third parties: </w:t>
            </w:r>
            <w:r>
              <w:rPr>
                <w:rFonts w:ascii="Calibri" w:hAnsi="Calibri" w:eastAsia="Calibri" w:cs="Calibri"/>
                <w:color w:val="232323"/>
                <w:sz w:val="21"/>
                <w:szCs w:val="20"/>
              </w:rPr>
              <w:t>there is no path from a wheat field back to a weapon; it is the most irreversible option available, and Iran chooses it without asking anyone.</w:t>
            </w:r>
          </w:p>
        </w:tc>
      </w:tr>
    </w:tbl>
    <w:p>
      <w:pPr>
        <w:pStyle w:val="Heading2"/>
      </w:pPr>
      <w:r>
        <w:rPr>
          <w:rFonts w:ascii="Calibri" w:cs="Calibri" w:eastAsia="Calibri" w:hAnsi="Calibri"/>
          <w:b/>
          <w:color w:val="2E5E8C"/>
          <w:sz w:val="24"/>
          <w:szCs w:val="24"/>
        </w:rPr>
        <w:t>B-1.4 The twelve-year moratorium instrument</w:t>
      </w:r>
    </w:p>
    <w:p>
      <w:pPr>
        <w:pStyle w:val="EndnoteText"/>
        <w:spacing w:after="140" w:before="0" w:line="276"/>
      </w:pPr>
      <w:r>
        <w:rPr>
          <w:rFonts w:ascii="Calibri" w:hAnsi="Calibri" w:eastAsia="Calibri" w:cs="Calibri"/>
          <w:color w:val="232323"/>
          <w:sz w:val="21"/>
          <w:szCs w:val="20"/>
        </w:rPr>
        <w:t>The moratorium is a signable instrument in its own right (Annex template): a 3.67% cap at every facility, a zero-expansion rule on centrifuge capacity, a permanent prohibition on HEU production, and the automatic 24-month extension per verified incident. The Pickaxe Mountain facility holds under a moratorium lock; Natanz operates as a capped civilian campus; Fordow converts to the medical-isotope center under an international advisory board co-chaired by Iran.</w:t>
      </w:r>
    </w:p>
    <w:p>
      <w:pPr>
        <w:pStyle w:val="Heading2"/>
      </w:pPr>
      <w:r>
        <w:rPr>
          <w:rFonts w:ascii="Calibri" w:cs="Calibri" w:eastAsia="Calibri" w:hAnsi="Calibri"/>
          <w:b/>
          <w:color w:val="2E5E8C"/>
          <w:sz w:val="24"/>
          <w:szCs w:val="24"/>
        </w:rPr>
        <w:t>B-1.5 The 15-Day Micro-Cycle engine</w:t>
      </w:r>
    </w:p>
    <w:p>
      <w:pPr>
        <w:pStyle w:val="EndnoteText"/>
        <w:spacing w:after="140" w:before="0" w:line="276"/>
      </w:pPr>
      <w:r>
        <w:rPr>
          <w:rFonts w:ascii="Calibri" w:hAnsi="Calibri" w:eastAsia="Calibri" w:cs="Calibri"/>
          <w:color w:val="232323"/>
          <w:sz w:val="21"/>
          <w:szCs w:val="20"/>
        </w:rPr>
        <w:t>The engine is the anti-deadlock heart of Phase II. It guarantees that neither Party is ever exposed to more than fifteen days of unreciprocated compliance. Each cycle pairs one nuclear deliverable with one relief action; a PCC Cycle Release Certificate closes the cycle and authorizes the paired disbursement; the next cycle opens. Any single cycle extracts as a standalone confidence-building measure if the full sequence stalls — the modularity that keeps localized disagreement from freezing the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1" w:space="0"/>
              <w:left w:val="single" w:color="2E5E8C" w:sz="18" w:space="0"/>
              <w:bottom w:val="single" w:color="2E5E8C" w:sz="1" w:space="0"/>
              <w:right w:val="single" w:color="2E5E8C" w:sz="1" w:space="0"/>
            </w:tcBorders>
            <w:shd w:fill="F4E7E7" w:val="clear" w:color="auto"/>
            <w:tcMar>
              <w:top w:type="dxa" w:w="130"/>
              <w:left w:type="dxa" w:w="180"/>
              <w:bottom w:type="dxa" w:w="130"/>
              <w:right w:type="dxa" w:w="160"/>
            </w:tcMar>
          </w:tcPr>
          <w:p>
            <w:pPr>
              <w:pStyle w:val="EndnoteText"/>
              <w:spacing w:after="60"/>
            </w:pPr>
            <w:r>
              <w:rPr>
                <w:b/>
                <w:color w:val="1F3B5B"/>
                <w:rFonts w:ascii="Calibri" w:hAnsi="Calibri" w:eastAsia="Calibri" w:cs="Calibri"/>
                <w:sz w:val="30"/>
                <w:szCs w:val="20"/>
              </w:rPr>
              <w:t>How the engine answers both red lines</w:t>
            </w:r>
          </w:p>
          <w:p>
            <w:pPr>
              <w:pStyle w:val="EndnoteText"/>
              <w:spacing w:after="60" w:line="268"/>
            </w:pPr>
            <w:r>
              <w:rPr>
                <w:b/>
                <w:rFonts w:ascii="Calibri" w:hAnsi="Calibri" w:eastAsia="Calibri" w:cs="Calibri"/>
                <w:color w:val="232323"/>
                <w:sz w:val="21"/>
                <w:szCs w:val="20"/>
              </w:rPr>
              <w:t xml:space="preserve">Iran’s process certainty: </w:t>
            </w:r>
            <w:r>
              <w:rPr>
                <w:rFonts w:ascii="Calibri" w:hAnsi="Calibri" w:eastAsia="Calibri" w:cs="Calibri"/>
                <w:color w:val="232323"/>
                <w:sz w:val="21"/>
                <w:szCs w:val="20"/>
              </w:rPr>
              <w:t>the full pairing schedule is visible in advance; relief is predictable and defensible at home.</w:t>
            </w:r>
          </w:p>
          <w:p>
            <w:pPr>
              <w:pStyle w:val="EndnoteText"/>
              <w:spacing w:after="60" w:line="268"/>
            </w:pPr>
            <w:r>
              <w:rPr>
                <w:b/>
                <w:rFonts w:ascii="Calibri" w:hAnsi="Calibri" w:eastAsia="Calibri" w:cs="Calibri"/>
                <w:color w:val="232323"/>
                <w:sz w:val="21"/>
                <w:szCs w:val="20"/>
              </w:rPr>
              <w:t xml:space="preserve">U.S. reversibility: </w:t>
            </w:r>
            <w:r>
              <w:rPr>
                <w:rFonts w:ascii="Calibri" w:hAnsi="Calibri" w:eastAsia="Calibri" w:cs="Calibri"/>
                <w:color w:val="232323"/>
                <w:sz w:val="21"/>
                <w:szCs w:val="20"/>
              </w:rPr>
              <w:t>every disbursement waits on an IAEA certificate; nothing moves ahead of verified performance; step-back / earn-back governs the entire engine.</w:t>
            </w:r>
          </w:p>
        </w:tc>
      </w:tr>
    </w:tbl>
    <w:p>
      <w:pPr>
        <w:pStyle w:val="Heading1"/>
      </w:pPr>
      <w:r>
        <w:rPr>
          <w:rFonts w:ascii="Calibri" w:cs="Calibri" w:eastAsia="Calibri" w:hAnsi="Calibri"/>
          <w:b/>
          <w:color w:val="232323"/>
          <w:sz w:val="21"/>
          <w:szCs w:val="30"/>
        </w:rPr>
        <w:t>B-2 — Maritime Convergence</w:t>
      </w:r>
    </w:p>
    <w:p>
      <w:pPr>
        <w:pStyle w:val="Heading2"/>
      </w:pPr>
      <w:r>
        <w:rPr>
          <w:rFonts w:ascii="Calibri" w:cs="Calibri" w:eastAsia="Calibri" w:hAnsi="Calibri"/>
          <w:b/>
          <w:color w:val="2E5E8C"/>
          <w:sz w:val="24"/>
          <w:szCs w:val="24"/>
        </w:rPr>
        <w:t>B-2.1 Maritime coordination without authority over the strait</w:t>
      </w:r>
    </w:p>
    <w:p>
      <w:pPr>
        <w:pStyle w:val="EndnoteText"/>
        <w:spacing w:after="140" w:before="0" w:line="276"/>
      </w:pPr>
      <w:r>
        <w:rPr>
          <w:rFonts w:ascii="Calibri" w:hAnsi="Calibri" w:eastAsia="Calibri" w:cs="Calibri"/>
          <w:color w:val="232323"/>
          <w:sz w:val="21"/>
          <w:szCs w:val="20"/>
        </w:rPr>
        <w:t>Phase II converts a contested chokepoint into an open waterway that the Framework coordinates but does not govern. No body holds regulatory power over the corridor, and no Iranian toll or revenue share exists. Three instruments do the work:</w:t>
      </w:r>
    </w:p>
    <w:p>
      <w:pPr>
        <w:pStyle w:val="ListParagraph"/>
        <w:numPr>
          <w:ilvl w:val="0"/>
          <w:numId w:val="2"/>
        </w:numPr>
        <w:spacing w:after="90" w:line="270"/>
      </w:pPr>
      <w:r>
        <w:rPr>
          <w:b/>
          <w:rFonts w:ascii="Calibri" w:hAnsi="Calibri" w:eastAsia="Calibri" w:cs="Calibri"/>
          <w:sz w:val="21"/>
          <w:szCs w:val="20"/>
          <w:color w:val="232323"/>
        </w:rPr>
        <w:t xml:space="preserve">The Maritime Stability Board (MSB) </w:t>
      </w:r>
      <w:r>
        <w:rPr>
          <w:rFonts w:ascii="Calibri" w:hAnsi="Calibri" w:eastAsia="Calibri" w:cs="Calibri"/>
          <w:sz w:val="21"/>
          <w:szCs w:val="21"/>
          <w:color w:val="232323"/>
        </w:rPr>
        <w:t>— a multilateral advisory body for commercial-traffic coordination, maritime-safety protocols, and non-binding dispute recommendations. It coordinates; it does not govern, levy, or veto.</w:t>
      </w:r>
    </w:p>
    <w:p>
      <w:pPr>
        <w:pStyle w:val="ListParagraph"/>
        <w:numPr>
          <w:ilvl w:val="0"/>
          <w:numId w:val="2"/>
        </w:numPr>
        <w:spacing w:after="90" w:line="270"/>
      </w:pPr>
      <w:r>
        <w:rPr>
          <w:b/>
          <w:rFonts w:ascii="Calibri" w:hAnsi="Calibri" w:eastAsia="Calibri" w:cs="Calibri"/>
          <w:sz w:val="21"/>
          <w:szCs w:val="20"/>
          <w:color w:val="232323"/>
        </w:rPr>
        <w:t xml:space="preserve">The Persian Gulf Strait Authority (PGSA) </w:t>
      </w:r>
      <w:r>
        <w:rPr>
          <w:rFonts w:ascii="Calibri" w:hAnsi="Calibri" w:eastAsia="Calibri" w:cs="Calibri"/>
          <w:sz w:val="21"/>
          <w:szCs w:val="21"/>
          <w:color w:val="232323"/>
        </w:rPr>
        <w:t>— recognized as the sole executive coastal law-enforcement body within Iran’s 12-nautical-mile territorial waters. Its authority does not extend to the transit corridor.</w:t>
      </w:r>
    </w:p>
    <w:p>
      <w:pPr>
        <w:pStyle w:val="ListParagraph"/>
        <w:numPr>
          <w:ilvl w:val="0"/>
          <w:numId w:val="2"/>
        </w:numPr>
        <w:spacing w:after="90" w:line="270"/>
      </w:pPr>
      <w:r>
        <w:rPr>
          <w:b/>
          <w:rFonts w:ascii="Calibri" w:hAnsi="Calibri" w:eastAsia="Calibri" w:cs="Calibri"/>
          <w:sz w:val="21"/>
          <w:szCs w:val="20"/>
          <w:color w:val="232323"/>
        </w:rPr>
        <w:t xml:space="preserve">The Multilateral Maritime Maintenance Fund </w:t>
      </w:r>
      <w:r>
        <w:rPr>
          <w:rFonts w:ascii="Calibri" w:hAnsi="Calibri" w:eastAsia="Calibri" w:cs="Calibri"/>
          <w:sz w:val="21"/>
          <w:szCs w:val="21"/>
          <w:color w:val="232323"/>
        </w:rPr>
        <w:t>— administered by Oman and financed by voluntary user-state contributions, covering channel maintenance, mine-clearing, and navigation aids. Iran receives reimbursement for verified services at audited cost, never a sovereign toll.</w:t>
      </w:r>
    </w:p>
    <w:p>
      <w:pPr>
        <w:pStyle w:val="EndnoteText"/>
        <w:spacing w:after="140" w:before="60" w:line="276"/>
      </w:pPr>
      <w:r>
        <w:rPr>
          <w:rFonts w:ascii="Calibri" w:hAnsi="Calibri" w:eastAsia="Calibri" w:cs="Calibri"/>
          <w:color w:val="232323"/>
          <w:sz w:val="21"/>
          <w:szCs w:val="20"/>
        </w:rPr>
        <w:t>Together these give Iran recognized coastal standing and a route to value for real work, while leaving freedom of navigation absolute. No Party holds a lever over the strait; the waterway runs open by default, and the PGSA’s recognition is the face-saver that costs the corridor nothing.</w:t>
      </w:r>
    </w:p>
    <w:p>
      <w:pPr>
        <w:pStyle w:val="Heading2"/>
      </w:pPr>
      <w:r>
        <w:rPr>
          <w:rFonts w:ascii="Calibri" w:cs="Calibri" w:eastAsia="Calibri" w:hAnsi="Calibri"/>
          <w:b/>
          <w:color w:val="2E5E8C"/>
          <w:sz w:val="24"/>
          <w:szCs w:val="24"/>
        </w:rPr>
        <w:t>B-2.2 Real-time telemetry and dual-key transit</w:t>
      </w:r>
    </w:p>
    <w:p>
      <w:pPr>
        <w:pStyle w:val="EndnoteText"/>
        <w:spacing w:after="140" w:before="0" w:line="276"/>
      </w:pPr>
      <w:r>
        <w:rPr>
          <w:rFonts w:ascii="Calibri" w:hAnsi="Calibri" w:eastAsia="Calibri" w:cs="Calibri"/>
          <w:color w:val="232323"/>
          <w:sz w:val="21"/>
          <w:szCs w:val="20"/>
        </w:rPr>
        <w:t>The Maritime Telemetry and Dual-Key Transit Protocol (Annex W) provides the verification layer: real-time telemetry infrastructure across the transit zone, dual-key authorization for transit operations, immediate conditional reopening on Day 1, a real-time compliance dashboard, and automated breach triggers with defined emergency break points. Performance-based asset release, a humanitarian firewall, and a no-clawback rule run independent of the non-maritime modules, so a nuclear dispute never reaches a cleared cargo and a maritime dispute never reaches the medical-isotope channel.</w:t>
      </w:r>
    </w:p>
    <w:p>
      <w:pPr>
        <w:pStyle w:val="Heading2"/>
      </w:pPr>
      <w:r>
        <w:rPr>
          <w:rFonts w:ascii="Calibri" w:cs="Calibri" w:eastAsia="Calibri" w:hAnsi="Calibri"/>
          <w:b/>
          <w:color w:val="2E5E8C"/>
          <w:sz w:val="24"/>
          <w:szCs w:val="24"/>
        </w:rPr>
        <w:t>B-2.3 Non-interdiction and backdoor closure</w:t>
      </w:r>
    </w:p>
    <w:p>
      <w:pPr>
        <w:pStyle w:val="EndnoteText"/>
        <w:spacing w:after="140" w:before="0" w:line="276"/>
      </w:pPr>
      <w:r>
        <w:rPr>
          <w:rFonts w:ascii="Calibri" w:hAnsi="Calibri" w:eastAsia="Calibri" w:cs="Calibri"/>
          <w:color w:val="232323"/>
          <w:sz w:val="21"/>
          <w:szCs w:val="20"/>
        </w:rPr>
        <w:t>Two protocols guarantee that the strait never becomes a toll booth. The Non-Interdiction Protocol (Annex N) removes any authority to halt, board, delay, or deny a vessel over a fee dispute. The Backdoor-Closure protocol (Annex N.a) classifies any pretextual safety inspection automatically against a bright-line test, and activates U.S. escort and override authority plus an automatic financial penalty for a repeat interdiction. The passage stays free; the United States guarantees it, and Iran earns only reimbursement for verified services.</w:t>
      </w:r>
    </w:p>
    <w:p>
      <w:pPr>
        <w:pStyle w:val="Heading1"/>
      </w:pPr>
      <w:r>
        <w:rPr>
          <w:rFonts w:ascii="Calibri" w:cs="Calibri" w:eastAsia="Calibri" w:hAnsi="Calibri"/>
          <w:b/>
          <w:color w:val="1F3B5B"/>
          <w:sz w:val="30"/>
          <w:szCs w:val="30"/>
        </w:rPr>
        <w:t>B-3 — Economic Deepening</w:t>
      </w:r>
    </w:p>
    <w:p>
      <w:pPr>
        <w:pStyle w:val="Heading2"/>
      </w:pPr>
      <w:r>
        <w:rPr>
          <w:rFonts w:ascii="Calibri" w:cs="Calibri" w:eastAsia="Calibri" w:hAnsi="Calibri"/>
          <w:b/>
          <w:color w:val="2E5E8C"/>
          <w:sz w:val="24"/>
          <w:szCs w:val="24"/>
        </w:rPr>
        <w:t>B-3.1 From reversible relief to structural relief</w:t>
      </w:r>
    </w:p>
    <w:p>
      <w:pPr>
        <w:pStyle w:val="EndnoteText"/>
        <w:spacing w:after="140" w:before="0" w:line="276"/>
      </w:pPr>
      <w:r>
        <w:rPr>
          <w:rFonts w:ascii="Calibri" w:hAnsi="Calibri" w:eastAsia="Calibri" w:cs="Calibri"/>
          <w:color w:val="232323"/>
          <w:sz w:val="21"/>
          <w:szCs w:val="20"/>
        </w:rPr>
        <w:t>Phase I relief is deliberately reversible — escrow-held, tranche-gated, and subject to step-back / earn-back. Phase II is where the United States converts that reversible posture into structural relief, paired against the nuclear neutralization milestones. The conversion is the U.S. side of the Kernel: the deepest concession, in the domain where the United States holds the key.</w:t>
      </w:r>
    </w:p>
    <w:p>
      <w:pPr>
        <w:pStyle w:val="Heading2"/>
      </w:pPr>
      <w:r>
        <w:rPr>
          <w:rFonts w:ascii="Calibri" w:cs="Calibri" w:eastAsia="Calibri" w:hAnsi="Calibri"/>
          <w:b/>
          <w:color w:val="2E5E8C"/>
          <w:sz w:val="24"/>
          <w:szCs w:val="24"/>
        </w:rPr>
        <w:t>B-3.2 The four-track relief architecture, sequenced</w:t>
      </w:r>
    </w:p>
    <w:p>
      <w:pPr>
        <w:pStyle w:val="EndnoteText"/>
        <w:spacing w:after="140" w:before="0" w:line="276"/>
      </w:pPr>
      <w:r>
        <w:rPr>
          <w:rFonts w:ascii="Calibri" w:hAnsi="Calibri" w:eastAsia="Calibri" w:cs="Calibri"/>
          <w:color w:val="232323"/>
          <w:sz w:val="21"/>
          <w:szCs w:val="20"/>
        </w:rPr>
        <w:t>The four tracks of Article 5 recur in Phase II as paired deliverables inside the micro-cycle engine. Track activation is independent: any track pauses or recalibrates without affecting the others or the nuclear protocol. The 60-Day Reciprocal Sequencing Schedule (Annex S) provides the week-by-week pairing of relief, de-escalation, and verification milestones, from baseline establishment through inventory verification, access and recovery, downblending commencement, mid-point and advanced verification, final downblending, and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Sequencing week</w:t>
            </w:r>
          </w:p>
        </w:tc>
        <w:tc>
          <w:tcPr>
            <w:tcW w:type="dxa" w:w="37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Nuclear milestone</w:t>
            </w:r>
          </w:p>
        </w:tc>
        <w:tc>
          <w:tcPr>
            <w:tcW w:type="dxa" w:w="336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Paired relief</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 1 — Baseline</w:t>
            </w:r>
          </w:p>
        </w:tc>
        <w:tc>
          <w:tcPr>
            <w:tcW w:type="dxa" w:w="3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Inventory baseline; inspector deployment; HEU under dual-lock</w:t>
            </w:r>
          </w:p>
        </w:tc>
        <w:tc>
          <w:tcPr>
            <w:tcW w:type="dxa" w:w="33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escrow deposit confirmed (held); OFAC license live</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 2 — Inventory</w:t>
            </w:r>
          </w:p>
        </w:tc>
        <w:tc>
          <w:tcPr>
            <w:tcW w:type="dxa" w:w="3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Cylinder inventory verified; pathway selection</w:t>
            </w:r>
          </w:p>
        </w:tc>
        <w:tc>
          <w:tcPr>
            <w:tcW w:type="dxa" w:w="33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Oil-export normalization scaling to volume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 3 — Access &amp; recovery</w:t>
            </w:r>
          </w:p>
        </w:tc>
        <w:tc>
          <w:tcPr>
            <w:tcW w:type="dxa" w:w="3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Access to damaged sites; cylinder recovery</w:t>
            </w:r>
          </w:p>
        </w:tc>
        <w:tc>
          <w:tcPr>
            <w:tcW w:type="dxa" w:w="33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PRDD channel prepared; SWIFT Tier-A reconnection</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 4 — Disposition begins</w:t>
            </w:r>
          </w:p>
        </w:tc>
        <w:tc>
          <w:tcPr>
            <w:tcW w:type="dxa" w:w="3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Export consolidation or downblending commences</w:t>
            </w:r>
          </w:p>
        </w:tc>
        <w:tc>
          <w:tcPr>
            <w:tcW w:type="dxa" w:w="33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escrow released (Day 30); Tranche 1 (10%); PRDD flows begin</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Weeks 5–6 — Verification</w:t>
            </w:r>
          </w:p>
        </w:tc>
        <w:tc>
          <w:tcPr>
            <w:tcW w:type="dxa" w:w="3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Mid-point and advanced verification certificates</w:t>
            </w:r>
          </w:p>
        </w:tc>
        <w:tc>
          <w:tcPr>
            <w:tcW w:type="dxa" w:w="33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SWIFT Tier-B; good-faith fast lane active</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Weeks 7–8 — Advance &amp; extend</w:t>
            </w:r>
          </w:p>
        </w:tc>
        <w:tc>
          <w:tcPr>
            <w:tcW w:type="dxa" w:w="3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 neutralization track certified</w:t>
            </w:r>
          </w:p>
        </w:tc>
        <w:tc>
          <w:tcPr>
            <w:tcW w:type="dxa" w:w="33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Structural-relief track converts; frozen-asset releases continue on the front-loaded schedule</w:t>
            </w:r>
          </w:p>
        </w:tc>
      </w:tr>
    </w:tbl>
    <w:p>
      <w:pPr>
        <w:pStyle w:val="Heading1"/>
      </w:pPr>
      <w:r>
        <w:rPr>
          <w:rFonts w:ascii="Calibri" w:cs="Calibri" w:eastAsia="Calibri" w:hAnsi="Calibri"/>
          <w:b/>
          <w:color w:val="1F3B5B"/>
          <w:sz w:val="30"/>
          <w:szCs w:val="30"/>
        </w:rPr>
        <w:t>B-4 — Kernel Safeguards</w:t>
      </w:r>
    </w:p>
    <w:p>
      <w:pPr>
        <w:pStyle w:val="Heading2"/>
      </w:pPr>
      <w:r>
        <w:rPr>
          <w:rFonts w:ascii="Calibri" w:cs="Calibri" w:eastAsia="Calibri" w:hAnsi="Calibri"/>
          <w:b/>
          <w:color w:val="2E5E8C"/>
          <w:sz w:val="24"/>
          <w:szCs w:val="24"/>
        </w:rPr>
        <w:t>B-4.1 Synchronization</w:t>
      </w:r>
    </w:p>
    <w:p>
      <w:pPr>
        <w:pStyle w:val="EndnoteText"/>
        <w:spacing w:after="140" w:before="0" w:line="276"/>
      </w:pPr>
      <w:r>
        <w:rPr>
          <w:rFonts w:ascii="Calibri" w:hAnsi="Calibri" w:eastAsia="Calibri" w:cs="Calibri"/>
          <w:color w:val="232323"/>
          <w:sz w:val="21"/>
          <w:szCs w:val="20"/>
        </w:rPr>
        <w:t>Neither deep concession finalizes until the verification authority certifies both. Iran’s material moves under verified seal or into downblending while the United States places its structural relief beyond reversal; the certificate that closes the Kernel certifies the two together. A temporary assurance arrangement covers the window: if either Party withdraws after the other has placed its leverage under verified seal, the agreed safeguard activates for the non-withdrawing Party.</w:t>
      </w:r>
    </w:p>
    <w:p>
      <w:pPr>
        <w:pStyle w:val="Heading2"/>
      </w:pPr>
      <w:r>
        <w:rPr>
          <w:rFonts w:ascii="Calibri" w:cs="Calibri" w:eastAsia="Calibri" w:hAnsi="Calibri"/>
          <w:b/>
          <w:color w:val="2E5E8C"/>
          <w:sz w:val="24"/>
          <w:szCs w:val="24"/>
        </w:rPr>
        <w:t>B-4.2 No partial Kernel</w:t>
      </w:r>
    </w:p>
    <w:p>
      <w:pPr>
        <w:pStyle w:val="EndnoteText"/>
        <w:spacing w:after="140" w:before="0" w:line="276"/>
      </w:pPr>
      <w:r>
        <w:rPr>
          <w:rFonts w:ascii="Calibri" w:hAnsi="Calibri" w:eastAsia="Calibri" w:cs="Calibri"/>
          <w:color w:val="232323"/>
          <w:sz w:val="21"/>
          <w:szCs w:val="20"/>
        </w:rPr>
        <w:t>Both concessions complete, or the Kernel fails and the architecture holds at Phase I. A half-executed Kernel reveals leverage without receiving it, so the architecture refuses it by design. A failed Kernel triggers a 180-day cooling-off before retry, with Phase I benefits continuing throughout.</w:t>
      </w:r>
    </w:p>
    <w:p>
      <w:pPr>
        <w:pStyle w:val="Heading2"/>
      </w:pPr>
      <w:r>
        <w:rPr>
          <w:rFonts w:ascii="Calibri" w:cs="Calibri" w:eastAsia="Calibri" w:hAnsi="Calibri"/>
          <w:b/>
          <w:color w:val="2E5E8C"/>
          <w:sz w:val="24"/>
          <w:szCs w:val="24"/>
        </w:rPr>
        <w:t>B-4.3 Escalation freeze</w:t>
      </w:r>
    </w:p>
    <w:p>
      <w:pPr>
        <w:pStyle w:val="EndnoteText"/>
        <w:spacing w:after="140" w:before="0" w:line="276"/>
      </w:pPr>
      <w:r>
        <w:rPr>
          <w:rFonts w:ascii="Calibri" w:hAnsi="Calibri" w:eastAsia="Calibri" w:cs="Calibri"/>
          <w:color w:val="232323"/>
          <w:sz w:val="21"/>
          <w:szCs w:val="20"/>
        </w:rPr>
        <w:t>All military operations, sanctions adjustments, and diplomatic escalations freeze during the Kernel window. Either Party triggers an emergency pause on a detected violation. The freeze protects the most exposed moment in the entire architecture — the instant each Party’s key is in motion.</w:t>
      </w:r>
    </w:p>
    <w:p>
      <w:pPr>
        <w:pStyle w:val="EndnoteText"/>
      </w:pPr>
      <w:r>
        <w:rPr>
          <w:rFonts w:ascii="Calibri" w:hAnsi="Calibri" w:eastAsia="Calibri" w:cs="Calibri"/>
          <w:color w:val="232323"/>
          <w:sz w:val="20"/>
          <w:szCs w:val="20"/>
        </w:rPr>
        <w:br w:type="page"/>
      </w:r>
    </w:p>
    <w:p>
      <w:pPr>
        <w:spacing w:after="60" w:before="200"/>
        <w:jc w:val="center"/>
      </w:pPr>
      <w:r>
        <w:rPr>
          <w:b/>
          <w:bCs/>
          <w:color w:val="9C7A2E"/>
          <w:sz w:val="40"/>
          <w:szCs w:val="40"/>
          <w:rFonts w:ascii="Calibri" w:hAnsi="Calibri" w:eastAsia="Calibri" w:cs="Calibri"/>
        </w:rPr>
        <w:t>PART C</w:t>
      </w:r>
    </w:p>
    <w:p>
      <w:pPr>
        <w:pStyle w:val="EndnoteText"/>
        <w:spacing w:after="200"/>
        <w:jc w:val="center"/>
      </w:pPr>
      <w:r>
        <w:rPr>
          <w:b/>
          <w:color w:val="1F3B5B"/>
          <w:sz w:val="30"/>
          <w:szCs w:val="30"/>
          <w:rFonts w:ascii="Calibri" w:hAnsi="Calibri" w:eastAsia="Calibri" w:cs="Calibri"/>
        </w:rPr>
        <w:t>Phase III — Normalization</w:t>
      </w:r>
    </w:p>
    <w:p>
      <w:pPr>
        <w:pStyle w:val="EndnoteText"/>
        <w:spacing w:after="200"/>
        <w:jc w:val="center"/>
      </w:pPr>
      <w:r>
        <w:rPr>
          <w:i/>
          <w:color w:val="666666"/>
          <w:sz w:val="20"/>
          <w:szCs w:val="20"/>
          <w:rFonts w:ascii="Calibri" w:hAnsi="Calibri" w:eastAsia="Calibri" w:cs="Calibri"/>
        </w:rPr>
        <w:t>The Seed Shell: full symmetry restored, locked, and made permanent.</w:t>
      </w:r>
    </w:p>
    <w:p>
      <w:pPr>
        <w:pStyle w:val="Heading1"/>
      </w:pPr>
      <w:r>
        <w:rPr>
          <w:rFonts w:ascii="Calibri" w:cs="Calibri" w:eastAsia="Calibri" w:hAnsi="Calibri"/>
          <w:b/>
          <w:color w:val="1F3B5B"/>
          <w:sz w:val="30"/>
          <w:szCs w:val="30"/>
        </w:rPr>
        <w:t>C-0 — The Restoration Logic</w:t>
      </w:r>
    </w:p>
    <w:p>
      <w:pPr>
        <w:pStyle w:val="EndnoteText"/>
        <w:spacing w:after="140" w:before="0" w:line="276"/>
      </w:pPr>
      <w:r>
        <w:rPr>
          <w:rFonts w:ascii="Calibri" w:hAnsi="Calibri" w:eastAsia="Calibri" w:cs="Calibri"/>
          <w:color w:val="232323"/>
          <w:sz w:val="21"/>
          <w:szCs w:val="20"/>
        </w:rPr>
        <w:t>Phase III exists so the contained asymmetry of the Kernel never calcifies into permanent grievance. After each Party has given its key, the architecture expands back into full symmetry: equal access, equal guarantees, equal institutional standing. Without this phase, the Kernel becomes a wound. With it, the Kernel becomes a shared investment. Phase III also carries the two outcomes each leader most wants to present as a lasting legacy: for the United States, a broader regional settlement; for Iran, the full restoration of economic sovereignty.</w:t>
      </w:r>
    </w:p>
    <w:p>
      <w:pPr>
        <w:pStyle w:val="Heading1"/>
      </w:pPr>
      <w:r>
        <w:rPr>
          <w:rFonts w:ascii="Calibri" w:cs="Calibri" w:eastAsia="Calibri" w:hAnsi="Calibri"/>
          <w:b/>
          <w:color w:val="1F3B5B"/>
          <w:sz w:val="30"/>
          <w:szCs w:val="30"/>
        </w:rPr>
        <w:t>C-1 — Restored Symmetry</w:t>
      </w:r>
    </w:p>
    <w:p>
      <w:pPr>
        <w:pStyle w:val="EndnoteText"/>
        <w:spacing w:after="140" w:before="0" w:line="276"/>
      </w:pPr>
      <w:r>
        <w:rPr>
          <w:rFonts w:ascii="Calibri" w:hAnsi="Calibri" w:eastAsia="Calibri" w:cs="Calibri"/>
          <w:color w:val="232323"/>
          <w:sz w:val="21"/>
          <w:szCs w:val="20"/>
        </w:rPr>
        <w:t>The shell expands into four symmetrical sub-tracks, each binding both Parties equally:</w:t>
      </w:r>
    </w:p>
    <w:p>
      <w:pPr>
        <w:pStyle w:val="ListParagraph"/>
        <w:numPr>
          <w:ilvl w:val="0"/>
          <w:numId w:val="2"/>
        </w:numPr>
        <w:spacing w:after="90" w:line="270"/>
      </w:pPr>
      <w:r>
        <w:rPr>
          <w:b/>
          <w:rFonts w:ascii="Calibri" w:hAnsi="Calibri" w:eastAsia="Calibri" w:cs="Calibri"/>
          <w:sz w:val="21"/>
          <w:szCs w:val="21"/>
          <w:color w:val="232323"/>
        </w:rPr>
        <w:t xml:space="preserve">Equal institutional access. </w:t>
      </w:r>
      <w:r>
        <w:rPr>
          <w:rFonts w:ascii="Calibri" w:hAnsi="Calibri" w:eastAsia="Calibri" w:cs="Calibri"/>
          <w:sz w:val="21"/>
          <w:szCs w:val="21"/>
          <w:color w:val="232323"/>
        </w:rPr>
        <w:t>Both Parties gain equal standing in the international bodies, trade systems, and diplomatic forums relevant to the relationship.</w:t>
      </w:r>
    </w:p>
    <w:p>
      <w:pPr>
        <w:pStyle w:val="ListParagraph"/>
        <w:numPr>
          <w:ilvl w:val="0"/>
          <w:numId w:val="2"/>
        </w:numPr>
        <w:spacing w:after="90" w:line="270"/>
      </w:pPr>
      <w:r>
        <w:rPr>
          <w:b/>
          <w:rFonts w:ascii="Calibri" w:hAnsi="Calibri" w:eastAsia="Calibri" w:cs="Calibri"/>
          <w:sz w:val="21"/>
          <w:szCs w:val="21"/>
          <w:color w:val="232323"/>
        </w:rPr>
        <w:t xml:space="preserve">Reciprocal security guarantees. </w:t>
      </w:r>
      <w:r>
        <w:rPr>
          <w:rFonts w:ascii="Calibri" w:hAnsi="Calibri" w:eastAsia="Calibri" w:cs="Calibri"/>
          <w:sz w:val="21"/>
          <w:szCs w:val="21"/>
          <w:color w:val="232323"/>
        </w:rPr>
        <w:t>Mutual non-aggression commitments, joint crisis hotlines, and standing confidence-building measures.</w:t>
      </w:r>
    </w:p>
    <w:p>
      <w:pPr>
        <w:pStyle w:val="ListParagraph"/>
        <w:numPr>
          <w:ilvl w:val="0"/>
          <w:numId w:val="2"/>
        </w:numPr>
        <w:spacing w:after="90" w:line="270"/>
      </w:pPr>
      <w:r>
        <w:rPr>
          <w:b/>
          <w:rFonts w:ascii="Calibri" w:hAnsi="Calibri" w:eastAsia="Calibri" w:cs="Calibri"/>
          <w:sz w:val="21"/>
          <w:szCs w:val="21"/>
          <w:color w:val="232323"/>
        </w:rPr>
        <w:t xml:space="preserve">Normalized governance. </w:t>
      </w:r>
      <w:r>
        <w:rPr>
          <w:rFonts w:ascii="Calibri" w:hAnsi="Calibri" w:eastAsia="Calibri" w:cs="Calibri"/>
          <w:sz w:val="21"/>
          <w:szCs w:val="21"/>
          <w:color w:val="232323"/>
        </w:rPr>
        <w:t>Opening of full diplomatic missions, regularized bilateral summits, and joint committees.</w:t>
      </w:r>
    </w:p>
    <w:p>
      <w:pPr>
        <w:pStyle w:val="ListParagraph"/>
        <w:numPr>
          <w:ilvl w:val="0"/>
          <w:numId w:val="2"/>
        </w:numPr>
        <w:spacing w:after="90" w:line="270"/>
      </w:pPr>
      <w:r>
        <w:rPr>
          <w:b/>
          <w:rFonts w:ascii="Calibri" w:hAnsi="Calibri" w:eastAsia="Calibri" w:cs="Calibri"/>
          <w:sz w:val="21"/>
          <w:szCs w:val="21"/>
          <w:color w:val="232323"/>
        </w:rPr>
        <w:t xml:space="preserve">Dispute resolution. </w:t>
      </w:r>
      <w:r>
        <w:rPr>
          <w:rFonts w:ascii="Calibri" w:hAnsi="Calibri" w:eastAsia="Calibri" w:cs="Calibri"/>
          <w:sz w:val="21"/>
          <w:szCs w:val="21"/>
          <w:color w:val="232323"/>
        </w:rPr>
        <w:t>A joint commission with equal voting rights arbitrates future compliance claims, replacing unilateral escalation with shared adjudication.</w:t>
      </w:r>
    </w:p>
    <w:p>
      <w:pPr>
        <w:pStyle w:val="Heading2"/>
      </w:pPr>
      <w:r>
        <w:rPr>
          <w:rFonts w:ascii="Calibri" w:cs="Calibri" w:eastAsia="Calibri" w:hAnsi="Calibri"/>
          <w:b/>
          <w:color w:val="2E5E8C"/>
          <w:sz w:val="24"/>
          <w:szCs w:val="24"/>
        </w:rPr>
        <w:t>C-1.1 Diplomatic missions and ambassadors (aspirational)</w:t>
      </w:r>
    </w:p>
    <w:p>
      <w:pPr>
        <w:pStyle w:val="EndnoteText"/>
        <w:spacing w:after="140" w:before="0" w:line="276"/>
      </w:pPr>
      <w:r>
        <w:rPr>
          <w:rFonts w:ascii="Calibri" w:hAnsi="Calibri" w:eastAsia="Calibri" w:cs="Calibri"/>
          <w:color w:val="232323"/>
          <w:sz w:val="21"/>
          <w:szCs w:val="20"/>
        </w:rPr>
        <w:t>On completion of Phase II and after no fewer than twelve consecutive months of Phase III sustained compliance, the Parties envisage the reciprocal opening of embassies in each other’s capitals. The establishment of diplomatic missions proceeds through separate, subsequent agreements and is not a condition for any economic or security provision of this instrument.</w:t>
      </w:r>
    </w:p>
    <w:p>
      <w:pPr>
        <w:pStyle w:val="EndnoteText"/>
        <w:spacing w:after="140" w:before="0" w:line="276"/>
      </w:pPr>
      <w:r>
        <w:rPr>
          <w:rFonts w:ascii="Calibri" w:hAnsi="Calibri" w:eastAsia="Calibri" w:cs="Calibri"/>
          <w:color w:val="232323"/>
          <w:sz w:val="21"/>
          <w:szCs w:val="20"/>
        </w:rPr>
        <w:t>Without creating any binding obligation, the Parties note that suitable candidates for an eventual U.S. ambassador to Iran might be drawn from individuals with prior experience in crisis diplomacy, hostage negotiation, or regional mediation — for illustration only, a former governor with a record of bipartisan foreign engagement, or a senior career diplomat who has served in complex postings — and that an Iranian ambassador to the United States is a senior career diplomat, consistent with standard bilateral practice. The Parties name or propose no living individual.</w:t>
      </w:r>
    </w:p>
    <w:p>
      <w:pPr>
        <w:pStyle w:val="EndnoteText"/>
        <w:spacing w:after="140" w:before="0" w:line="276"/>
      </w:pPr>
      <w:r>
        <w:rPr>
          <w:rFonts w:ascii="Calibri" w:hAnsi="Calibri" w:eastAsia="Calibri" w:cs="Calibri"/>
          <w:color w:val="232323"/>
          <w:sz w:val="21"/>
          <w:szCs w:val="20"/>
        </w:rPr>
        <w:t>All ambassadorial nominations remain subject to each Party’s domestic legal and constitutional processes, including Senate confirmation for the United States and Majlis approval for Iran. This subsection is non-binding, interpretive, and creates no legal right to any specific appointment.</w:t>
      </w:r>
    </w:p>
    <w:p>
      <w:pPr>
        <w:pStyle w:val="Heading1"/>
      </w:pPr>
      <w:r>
        <w:rPr>
          <w:rFonts w:ascii="Calibri" w:cs="Calibri" w:eastAsia="Calibri" w:hAnsi="Calibri"/>
          <w:b/>
          <w:color w:val="1F3B5B"/>
          <w:sz w:val="30"/>
          <w:szCs w:val="30"/>
        </w:rPr>
        <w:t>C-2 — The Permanence Mechanisms</w:t>
      </w:r>
    </w:p>
    <w:p>
      <w:pPr>
        <w:pStyle w:val="EndnoteText"/>
        <w:spacing w:after="140" w:before="0" w:line="276"/>
      </w:pPr>
      <w:r>
        <w:rPr>
          <w:rFonts w:ascii="Calibri" w:hAnsi="Calibri" w:eastAsia="Calibri" w:cs="Calibri"/>
          <w:color w:val="232323"/>
          <w:sz w:val="21"/>
          <w:szCs w:val="20"/>
        </w:rPr>
        <w:t>Four mechanisms convert a stable arrangement into a durable one, so that a single election cannot unmake what verified years have built.</w:t>
      </w:r>
    </w:p>
    <w:p>
      <w:pPr>
        <w:pStyle w:val="Heading2"/>
      </w:pPr>
      <w:r>
        <w:rPr>
          <w:rFonts w:ascii="Calibri" w:cs="Calibri" w:eastAsia="Calibri" w:hAnsi="Calibri"/>
          <w:b/>
          <w:color w:val="2E5E8C"/>
          <w:sz w:val="24"/>
          <w:szCs w:val="24"/>
        </w:rPr>
        <w:t>C-2.1 The Fibonacci Lock</w:t>
      </w:r>
    </w:p>
    <w:p>
      <w:pPr>
        <w:pStyle w:val="EndnoteText"/>
        <w:spacing w:after="140" w:before="0" w:line="276"/>
      </w:pPr>
      <w:r>
        <w:rPr>
          <w:rFonts w:ascii="Calibri" w:hAnsi="Calibri" w:eastAsia="Calibri" w:cs="Calibri"/>
          <w:color w:val="232323"/>
          <w:sz w:val="21"/>
          <w:szCs w:val="20"/>
        </w:rPr>
        <w:t>After Kernel completion, each thirty-day period of sustained compliance adds a lock tier. Reversal at any tier requires undoing a sequence of commitments where each step costs more than the sum of the two before it. The cost of reversal grows faster than linear: by the sixth tier (180 days), it exceeds the original conflict’s annual economic damage. The Lock makes continued compliance the cheaper path for all but the most extreme scenarios.</w:t>
      </w:r>
    </w:p>
    <w:p>
      <w:pPr>
        <w:pStyle w:val="EndnoteText"/>
        <w:spacing w:after="140" w:before="0" w:line="276"/>
      </w:pPr>
      <w:r>
        <w:rPr>
          <w:b/>
          <w:rFonts w:ascii="Calibri" w:hAnsi="Calibri" w:eastAsia="Calibri" w:cs="Calibri"/>
          <w:color w:val="232323"/>
          <w:sz w:val="21"/>
          <w:szCs w:val="20"/>
        </w:rPr>
        <w:t xml:space="preserve">Cost of reversal, defined. </w:t>
      </w:r>
      <w:r>
        <w:rPr>
          <w:rFonts w:ascii="Calibri" w:hAnsi="Calibri" w:eastAsia="Calibri" w:cs="Calibri"/>
          <w:color w:val="232323"/>
          <w:sz w:val="21"/>
          <w:szCs w:val="20"/>
        </w:rPr>
        <w:t>For this Article, “cost of reversal” means the combined estimated GDP loss to both Parties from a return to full sanctions, naval blockade, and military escalation, calculated quarterly by an independent economist jointly appointed by the International Monetary Fund and the Swiss facilitator. The calculation is non-binding and the Swiss transparency dashboard publishes it; the Fibonacci Lock uses this figure as a proxy reference, not a literal penalty.</w:t>
      </w:r>
    </w:p>
    <w:p>
      <w:pPr>
        <w:pStyle w:val="Heading2"/>
      </w:pPr>
      <w:r>
        <w:rPr>
          <w:rFonts w:ascii="Calibri" w:cs="Calibri" w:eastAsia="Calibri" w:hAnsi="Calibri"/>
          <w:b/>
          <w:color w:val="2E5E8C"/>
          <w:sz w:val="24"/>
          <w:szCs w:val="24"/>
        </w:rPr>
        <w:t>C-2.2 The Reverse Fibonacci Protocol</w:t>
      </w:r>
    </w:p>
    <w:p>
      <w:pPr>
        <w:pStyle w:val="EndnoteText"/>
        <w:spacing w:after="140" w:before="0" w:line="276"/>
      </w:pPr>
      <w:r>
        <w:rPr>
          <w:rFonts w:ascii="Calibri" w:hAnsi="Calibri" w:eastAsia="Calibri" w:cs="Calibri"/>
          <w:color w:val="232323"/>
          <w:sz w:val="21"/>
          <w:szCs w:val="20"/>
        </w:rPr>
        <w:t>The Lock deters major reversal; the Reverse Protocol prevents a minor incident from triggering total collapse. A localized breach isolates and runs a step-down de-escalation sequence — 13 days of joint monitoring, 8 of data exchange, 5 of diplomatic consultation, 3 of on-site verification, 2 of joint assessment, 1 of certified resolution. Each step is mandatory and sequential. A border incident cools rather than detonates.</w:t>
      </w:r>
    </w:p>
    <w:p>
      <w:pPr>
        <w:pStyle w:val="Heading2"/>
      </w:pPr>
      <w:r>
        <w:rPr>
          <w:rFonts w:ascii="Calibri" w:cs="Calibri" w:eastAsia="Calibri" w:hAnsi="Calibri"/>
          <w:b/>
          <w:color w:val="2E5E8C"/>
          <w:sz w:val="24"/>
          <w:szCs w:val="24"/>
        </w:rPr>
        <w:t>C-2.3 The Perpetual Root System</w:t>
      </w:r>
    </w:p>
    <w:p>
      <w:pPr>
        <w:pStyle w:val="EndnoteText"/>
        <w:spacing w:after="140" w:before="0" w:line="276"/>
      </w:pPr>
      <w:r>
        <w:rPr>
          <w:rFonts w:ascii="Calibri" w:hAnsi="Calibri" w:eastAsia="Calibri" w:cs="Calibri"/>
          <w:color w:val="232323"/>
          <w:sz w:val="21"/>
          <w:szCs w:val="20"/>
        </w:rPr>
        <w:t>Top-down state concessions reverse with a change of leadership; societal interdependence does not. Phase III mandates cross-border joint ventures, integrated energy and agricultural infrastructure, and shared educational endowments. A facility employing workers on both sides is a constituency for peace that outlasts any election; a shared university endowment creates generations of stakeholders. The Root System makes peace profitable and gives it a domestic defender on each side.</w:t>
      </w:r>
    </w:p>
    <w:p>
      <w:pPr>
        <w:pStyle w:val="Heading2"/>
      </w:pPr>
      <w:r>
        <w:rPr>
          <w:rFonts w:ascii="Calibri" w:cs="Calibri" w:eastAsia="Calibri" w:hAnsi="Calibri"/>
          <w:b/>
          <w:color w:val="2E5E8C"/>
          <w:sz w:val="24"/>
          <w:szCs w:val="24"/>
        </w:rPr>
        <w:t>C-2.4 The Allomothering Wealth Fund and the Indefinite Normalization Clause</w:t>
      </w:r>
    </w:p>
    <w:p>
      <w:pPr>
        <w:pStyle w:val="EndnoteText"/>
        <w:spacing w:after="140" w:before="0" w:line="276"/>
      </w:pPr>
      <w:r>
        <w:rPr>
          <w:rFonts w:ascii="Calibri" w:hAnsi="Calibri" w:eastAsia="Calibri" w:cs="Calibri"/>
          <w:color w:val="232323"/>
          <w:sz w:val="21"/>
          <w:szCs w:val="20"/>
        </w:rPr>
        <w:t>On Phase III completion, a permanent joint fund forms from a retained portion of the assurance pool, co-managed for cross-border infrastructure, joint climate work, and shared disaster relief. Walking away now means walking away from a tangible shared asset. After twenty-four months of stable operation above the health threshold, the Indefinite Normalization Clause codifies the arrangement into a permanent, legally binding bilateral treaty; the only exit is permanent international arbitration, and completed steps remain binding regardless of dissolution status. The architecture is not a bridge to somewhere else — it is the destination.</w:t>
      </w:r>
    </w:p>
    <w:p>
      <w:pPr>
        <w:pStyle w:val="Heading1"/>
      </w:pPr>
      <w:r>
        <w:rPr>
          <w:rFonts w:ascii="Calibri" w:cs="Calibri" w:eastAsia="Calibri" w:hAnsi="Calibri"/>
          <w:b/>
          <w:color w:val="1F3B5B"/>
          <w:sz w:val="30"/>
          <w:szCs w:val="30"/>
        </w:rPr>
        <w:t>C-3 — The Regional Normalization Track</w:t>
      </w:r>
    </w:p>
    <w:p>
      <w:pPr>
        <w:pStyle w:val="EndnoteText"/>
        <w:spacing w:after="140" w:before="0" w:line="276"/>
      </w:pPr>
      <w:r>
        <w:rPr>
          <w:rFonts w:ascii="Calibri" w:hAnsi="Calibri" w:eastAsia="Calibri" w:cs="Calibri"/>
          <w:color w:val="232323"/>
          <w:sz w:val="21"/>
          <w:szCs w:val="20"/>
        </w:rPr>
        <w:t>This track carries the broader settlement the United States seeks to present as a strategic win, on a written schedule rather than an open promise, and without the legal linkage the United States refused in Phase I.</w:t>
      </w:r>
    </w:p>
    <w:p>
      <w:pPr>
        <w:pStyle w:val="ListParagraph"/>
        <w:numPr>
          <w:ilvl w:val="0"/>
          <w:numId w:val="2"/>
        </w:numPr>
        <w:spacing w:after="90" w:line="270"/>
      </w:pPr>
      <w:r>
        <w:rPr>
          <w:rFonts w:ascii="Calibri" w:hAnsi="Calibri" w:eastAsia="Calibri" w:cs="Calibri"/>
          <w:sz w:val="21"/>
          <w:szCs w:val="21"/>
          <w:color w:val="232323"/>
        </w:rPr>
        <w:t>Structured regional security talks open on a fixed calendar, addressing Lebanon and the wider conflict that the Phase I ceasefire and freeze-in-place held in place.</w:t>
      </w:r>
    </w:p>
    <w:p>
      <w:pPr>
        <w:pStyle w:val="ListParagraph"/>
        <w:numPr>
          <w:ilvl w:val="0"/>
          <w:numId w:val="2"/>
        </w:numPr>
        <w:spacing w:after="90" w:line="270"/>
      </w:pPr>
      <w:r>
        <w:rPr>
          <w:rFonts w:ascii="Calibri" w:hAnsi="Calibri" w:eastAsia="Calibri" w:cs="Calibri"/>
          <w:sz w:val="21"/>
          <w:szCs w:val="21"/>
          <w:color w:val="232323"/>
        </w:rPr>
        <w:t>A normalization sequence invites regional states into confidence-building, deconfliction, and — where each chooses — graduated diplomatic normalization, building toward the multi-country settlement that anchors a durable regional order.</w:t>
      </w:r>
    </w:p>
    <w:p>
      <w:pPr>
        <w:pStyle w:val="ListParagraph"/>
        <w:numPr>
          <w:ilvl w:val="0"/>
          <w:numId w:val="2"/>
        </w:numPr>
        <w:spacing w:after="90" w:line="270"/>
      </w:pPr>
      <w:r>
        <w:rPr>
          <w:rFonts w:ascii="Calibri" w:hAnsi="Calibri" w:eastAsia="Calibri" w:cs="Calibri"/>
          <w:sz w:val="21"/>
          <w:szCs w:val="21"/>
          <w:color w:val="232323"/>
        </w:rPr>
        <w:t>Iran characterizes the track as the door it opened by reopening the strait; the United States characterizes it as a separate diplomatic achievement built on, not traded for, the Phase I cores. The instruments stay legally distinct while moving in the same direction.</w:t>
      </w:r>
    </w:p>
    <w:p>
      <w:pPr>
        <w:pStyle w:val="EndnoteText"/>
        <w:spacing w:after="140" w:before="0" w:line="276"/>
      </w:pPr>
      <w:r>
        <w:rPr>
          <w:rFonts w:ascii="Calibri" w:hAnsi="Calibri" w:eastAsia="Calibri" w:cs="Calibri"/>
          <w:color w:val="232323"/>
          <w:sz w:val="21"/>
          <w:szCs w:val="20"/>
        </w:rPr>
        <w:t>Building on the framework of the Abraham Accords, this track envisages step-by-step normalization — including potential exchanges of ambassadors, overflight rights, and trade missions — pursued by each state at its own pace and by its own choice. The vehicle is Annex NORM, the Regional Economic and Diplomatic Normalization Framework, an independent instrument signed by the United States, Saudi Arabia, the UAE, Bahrain, Morocco, and the State of Israel. Iran is a non-participating observer: it does not sign Annex NORM, is not bound by it, and is not asked to recognize or normalize anything. The core instrument states plainly that nothing in it requires Iran to recognize, engage with, or normalize relations with the State of Israel, and that Annex NORM is independent among the other regional states.</w:t>
      </w:r>
    </w:p>
    <w:p>
      <w:pPr>
        <w:pStyle w:val="EndnoteText"/>
        <w:spacing w:after="140" w:before="0" w:line="276"/>
      </w:pPr>
      <w:r>
        <w:rPr>
          <w:rFonts w:ascii="Calibri" w:hAnsi="Calibri" w:eastAsia="Calibri" w:cs="Calibri"/>
          <w:color w:val="232323"/>
          <w:sz w:val="21"/>
          <w:szCs w:val="20"/>
        </w:rPr>
        <w:t>On successful completion of Phase II, the Political &amp; Compliance Council hosts a multilateral meeting at a neutral venue, inviting the State of Israel and the endorsing Arab states, to discuss economic cooperation rather than security. The meeting requires no recognition by any Party and imposes no obligation; it offers a visible regional milestone without asking Iran to alter its own positions.</w:t>
      </w:r>
    </w:p>
    <w:p>
      <w:pPr>
        <w:pStyle w:val="Heading1"/>
      </w:pPr>
      <w:r>
        <w:rPr>
          <w:rFonts w:ascii="Calibri" w:cs="Calibri" w:eastAsia="Calibri" w:hAnsi="Calibri"/>
          <w:b/>
          <w:color w:val="1F3B5B"/>
          <w:sz w:val="30"/>
          <w:szCs w:val="30"/>
        </w:rPr>
        <w:t>C-4 — The Sovereignty Restoration Trajectory</w:t>
      </w:r>
    </w:p>
    <w:p>
      <w:pPr>
        <w:pStyle w:val="EndnoteText"/>
        <w:spacing w:after="140" w:before="0" w:line="276"/>
      </w:pPr>
      <w:r>
        <w:rPr>
          <w:rFonts w:ascii="Calibri" w:hAnsi="Calibri" w:eastAsia="Calibri" w:cs="Calibri"/>
          <w:color w:val="232323"/>
          <w:sz w:val="21"/>
          <w:szCs w:val="20"/>
        </w:rPr>
        <w:t>The economic-sovereignty outcome Iran needs to present at home is written as a milestone schedule, so restoration is automatic on sustained compliance rather than subject to renegotiation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Milestone</w:t>
            </w:r>
          </w:p>
        </w:tc>
        <w:tc>
          <w:tcPr>
            <w:tcW w:type="dxa" w:w="13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Day</w:t>
            </w:r>
          </w:p>
        </w:tc>
        <w:tc>
          <w:tcPr>
            <w:tcW w:type="dxa" w:w="576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Restoration</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1 — Foundation</w:t>
            </w:r>
          </w:p>
        </w:tc>
        <w:tc>
          <w:tcPr>
            <w:tcW w:type="dxa" w:w="1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1</w:t>
            </w:r>
          </w:p>
        </w:tc>
        <w:tc>
          <w:tcPr>
            <w:tcW w:type="dxa" w:w="57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Equal governance seat; Iranian nationals eligible for joint positions; state media accredited to the portal</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2 — Stabilization</w:t>
            </w:r>
          </w:p>
        </w:tc>
        <w:tc>
          <w:tcPr>
            <w:tcW w:type="dxa" w:w="1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30</w:t>
            </w:r>
          </w:p>
        </w:tc>
        <w:tc>
          <w:tcPr>
            <w:tcW w:type="dxa" w:w="57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Petrochemical export revenue flows directly to the Central Bank via PRDD; 50% of frozen assets released</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3 — Stabilization</w:t>
            </w:r>
          </w:p>
        </w:tc>
        <w:tc>
          <w:tcPr>
            <w:tcW w:type="dxa" w:w="1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60</w:t>
            </w:r>
          </w:p>
        </w:tc>
        <w:tc>
          <w:tcPr>
            <w:tcW w:type="dxa" w:w="57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Banking autonomy: restored correspondent relationships; 70% of frozen assets released</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4 — Integration</w:t>
            </w:r>
          </w:p>
        </w:tc>
        <w:tc>
          <w:tcPr>
            <w:tcW w:type="dxa" w:w="1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180</w:t>
            </w:r>
          </w:p>
        </w:tc>
        <w:tc>
          <w:tcPr>
            <w:tcW w:type="dxa" w:w="57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 inspection frequency reduces proportionally to sustained compliance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5 — Integration</w:t>
            </w:r>
          </w:p>
        </w:tc>
        <w:tc>
          <w:tcPr>
            <w:tcW w:type="dxa" w:w="1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365</w:t>
            </w:r>
          </w:p>
        </w:tc>
        <w:tc>
          <w:tcPr>
            <w:tcW w:type="dxa" w:w="57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Fiscal independence: micro-tranches release directly to the Central Bank; full sovereign budget authority</w:t>
            </w:r>
          </w:p>
        </w:tc>
      </w:tr>
      <w:tr>
        <w:tc>
          <w:tcPr>
            <w:tcW w:type="dxa" w:w="2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6 — Integration</w:t>
            </w:r>
          </w:p>
        </w:tc>
        <w:tc>
          <w:tcPr>
            <w:tcW w:type="dxa" w:w="13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540</w:t>
            </w:r>
          </w:p>
        </w:tc>
        <w:tc>
          <w:tcPr>
            <w:tcW w:type="dxa" w:w="57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Scientific collaboration: the Fordow medical-isotope center under an international board with an Iranian co-chair</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7 — Institutionalization</w:t>
            </w:r>
          </w:p>
        </w:tc>
        <w:tc>
          <w:tcPr>
            <w:tcW w:type="dxa" w:w="13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720+</w:t>
            </w:r>
          </w:p>
        </w:tc>
        <w:tc>
          <w:tcPr>
            <w:tcW w:type="dxa" w:w="57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Full economic sovereignty: zero revenue escrow; full SWIFT; standard IAEA safeguards; Iran chairs governance on rotation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1" w:space="0"/>
              <w:left w:val="single" w:color="9C7A2E" w:sz="18" w:space="0"/>
              <w:bottom w:val="single" w:color="9C7A2E" w:sz="1" w:space="0"/>
              <w:right w:val="single" w:color="9C7A2E" w:sz="1" w:space="0"/>
            </w:tcBorders>
            <w:shd w:fill="E8F0E4" w:val="clear" w:color="auto"/>
            <w:tcMar>
              <w:top w:type="dxa" w:w="130"/>
              <w:left w:type="dxa" w:w="180"/>
              <w:bottom w:type="dxa" w:w="130"/>
              <w:right w:type="dxa" w:w="160"/>
            </w:tcMar>
          </w:tcPr>
          <w:p>
            <w:pPr>
              <w:spacing w:after="60"/>
            </w:pPr>
            <w:r>
              <w:rPr>
                <w:b/>
                <w:bCs/>
                <w:color w:val="1F3B5B"/>
              </w:rPr>
              <w:t xml:space="preserve">The two legacies, side by side</w:t>
            </w:r>
          </w:p>
          <w:p>
            <w:pPr>
              <w:pStyle w:val="EndnoteText"/>
              <w:spacing w:after="60" w:line="268"/>
            </w:pPr>
            <w:r>
              <w:rPr>
                <w:b/>
                <w:rFonts w:ascii="Calibri" w:hAnsi="Calibri" w:eastAsia="Calibri" w:cs="Calibri"/>
                <w:color w:val="232323"/>
                <w:sz w:val="21"/>
                <w:szCs w:val="20"/>
              </w:rPr>
              <w:t xml:space="preserve">For the United States: </w:t>
            </w:r>
            <w:r>
              <w:rPr>
                <w:rFonts w:ascii="Calibri" w:hAnsi="Calibri" w:eastAsia="Calibri" w:cs="Calibri"/>
                <w:color w:val="232323"/>
                <w:sz w:val="21"/>
                <w:szCs w:val="20"/>
              </w:rPr>
              <w:t>a verified, irreversible nuclear rollback and a broader regional settlement — the opposite of the prior deal, built to last.</w:t>
            </w:r>
          </w:p>
          <w:p>
            <w:pPr>
              <w:pStyle w:val="EndnoteText"/>
              <w:spacing w:after="60" w:line="268"/>
            </w:pPr>
            <w:r>
              <w:rPr>
                <w:b/>
                <w:rFonts w:ascii="Calibri" w:hAnsi="Calibri" w:eastAsia="Calibri" w:cs="Calibri"/>
                <w:color w:val="232323"/>
                <w:sz w:val="21"/>
                <w:szCs w:val="20"/>
              </w:rPr>
              <w:t xml:space="preserve">For Iran: </w:t>
            </w:r>
            <w:r>
              <w:rPr>
                <w:rFonts w:ascii="Calibri" w:hAnsi="Calibri" w:eastAsia="Calibri" w:cs="Calibri"/>
                <w:color w:val="232323"/>
                <w:sz w:val="21"/>
                <w:szCs w:val="20"/>
              </w:rPr>
              <w:t>full economic sovereignty restored on a guaranteed schedule, with the program preserved as peaceful and the strait administered as its own.</w:t>
            </w:r>
          </w:p>
        </w:tc>
      </w:tr>
    </w:tbl>
    <w:p>
      <w:pPr>
        <w:pStyle w:val="EndnoteText"/>
      </w:pPr>
      <w:r>
        <w:rPr>
          <w:rFonts w:ascii="Calibri" w:hAnsi="Calibri" w:eastAsia="Calibri" w:cs="Calibri"/>
          <w:color w:val="232323"/>
          <w:sz w:val="20"/>
          <w:szCs w:val="20"/>
        </w:rPr>
        <w:br w:type="page"/>
      </w:r>
    </w:p>
    <w:p>
      <w:pPr>
        <w:pStyle w:val="EndnoteText"/>
        <w:spacing w:after="60" w:before="200"/>
        <w:jc w:val="center"/>
      </w:pPr>
      <w:r>
        <w:rPr>
          <w:b/>
          <w:color w:val="9C7A2E"/>
          <w:sz w:val="40"/>
          <w:szCs w:val="40"/>
          <w:rFonts w:ascii="Calibri" w:hAnsi="Calibri" w:eastAsia="Calibri" w:cs="Calibri"/>
        </w:rPr>
        <w:t>PART D</w:t>
      </w:r>
    </w:p>
    <w:p>
      <w:pPr>
        <w:pStyle w:val="EndnoteText"/>
        <w:spacing w:after="200"/>
        <w:jc w:val="center"/>
      </w:pPr>
      <w:r>
        <w:rPr>
          <w:b/>
          <w:color w:val="1F3B5B"/>
          <w:sz w:val="30"/>
          <w:szCs w:val="30"/>
          <w:rFonts w:ascii="Calibri" w:hAnsi="Calibri" w:eastAsia="Calibri" w:cs="Calibri"/>
        </w:rPr>
        <w:t>The Integrated Annex Register</w:t>
      </w:r>
    </w:p>
    <w:p>
      <w:pPr>
        <w:pStyle w:val="Heading1"/>
      </w:pPr>
      <w:r>
        <w:rPr>
          <w:rFonts w:ascii="Calibri" w:cs="Calibri" w:eastAsia="Calibri" w:hAnsi="Calibri"/>
          <w:b/>
          <w:color w:val="1F3B5B"/>
          <w:sz w:val="30"/>
          <w:szCs w:val="30"/>
        </w:rPr>
        <w:t>D-1 — Incorporation by Reference</w:t>
      </w:r>
    </w:p>
    <w:p>
      <w:pPr>
        <w:pStyle w:val="EndnoteText"/>
        <w:spacing w:after="140" w:before="0" w:line="276"/>
      </w:pPr>
      <w:r>
        <w:rPr>
          <w:rFonts w:ascii="Calibri" w:hAnsi="Calibri" w:eastAsia="Calibri" w:cs="Calibri"/>
          <w:color w:val="232323"/>
          <w:sz w:val="21"/>
          <w:szCs w:val="20"/>
        </w:rPr>
        <w:t>Each Annex below is self-contained and enters this instrument by a single sentence of adoption. The Annexes carry the granular technical text; this instrument carries the architecture that binds them. Where an Annex and the body of this instrument differ on a matter within the Annex’s subject, the more specific Annex provision governs that matter. An Annex placed on modular hold suspends without affecting any other Annex or the operative core.</w:t>
      </w:r>
    </w:p>
    <w:p>
      <w:pPr>
        <w:pStyle w:val="EndnoteText"/>
        <w:spacing w:after="140" w:before="0" w:line="276"/>
      </w:pPr>
      <w:r>
        <w:rPr>
          <w:b/>
          <w:rFonts w:ascii="Calibri" w:hAnsi="Calibri" w:eastAsia="Calibri" w:cs="Calibri"/>
          <w:color w:val="232323"/>
          <w:sz w:val="21"/>
          <w:szCs w:val="20"/>
        </w:rPr>
        <w:t xml:space="preserve">Sentence of adoption (operative): </w:t>
      </w:r>
      <w:r>
        <w:rPr>
          <w:rFonts w:ascii="Calibri" w:hAnsi="Calibri" w:eastAsia="Calibri" w:cs="Calibri"/>
          <w:color w:val="232323"/>
          <w:sz w:val="21"/>
          <w:szCs w:val="20"/>
        </w:rPr>
        <w:t>“The Parties adopt Annexes M, N, N.a, O, P, Q, R.a, R.b, S, T, U, V, W, Y, and Z as integral and operative parts of the Sunflower Accord, each effective on the date it specifies, and each governing within its subject matter under the present-tense, mutual-architecture construction of Article 12.”</w:t>
      </w:r>
    </w:p>
    <w:p>
      <w:pPr>
        <w:pStyle w:val="Heading1"/>
      </w:pPr>
      <w:r>
        <w:rPr>
          <w:rFonts w:ascii="Calibri" w:cs="Calibri" w:eastAsia="Calibri" w:hAnsi="Calibri"/>
          <w:b/>
          <w:color w:val="1F3B5B"/>
          <w:sz w:val="30"/>
          <w:szCs w:val="30"/>
        </w:rPr>
        <w:t>D-2 —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900"/>
        <w:gridCol w:w="1100"/>
      </w:tblGrid>
      <w:tr>
        <w:trPr>
          <w:tblHeader/>
        </w:trPr>
        <w:tc>
          <w:tcPr>
            <w:tcW w:type="dxa" w:w="8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Annex</w:t>
            </w:r>
          </w:p>
        </w:tc>
        <w:tc>
          <w:tcPr>
            <w:tcW w:type="dxa" w:w="556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Title and function</w:t>
            </w:r>
          </w:p>
        </w:tc>
        <w:tc>
          <w:tcPr>
            <w:tcW w:type="dxa" w:w="19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Closes / serves</w:t>
            </w:r>
          </w:p>
        </w:tc>
        <w:tc>
          <w:tcPr>
            <w:tcW w:type="dxa" w:w="11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Phase</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M</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Territorial Baseline and Ceasefire Demarcation — the factual and legal baseline for all territorial ceilings</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5 (regional)</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Non-Interdiction and Maritime Transit Integrity — removes any authority to halt a vessel over a fee dispute</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4 (Hormuz)</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N.a</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Maritime Backdoor Closure — automatic classification, escort and override authority, financial penalties for pretextual interdiction</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4 (enforcement)</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O</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 Access and Site Integrity — access to damaged sites and joint damage assessment</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(verification)</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P</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Damaged Material — condition of HEU cylinders; in-situ downblending as default disposition</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(disposition)</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Q</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IRGC Access Compliance — an IRGC denial counts as an Iranian denial</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(access)</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R.a</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Escalation Buffer Activation — automatic 72-hour buffer, response-time and facilitator accountability, false-flag provisions</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Crisis resilience</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All</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S</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60-Day Reciprocal Sequencing Schedule — week-by-week pairing of relief, de-escalation, and verification</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2 (sequencing)</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T</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Adaptive Stabilization and Compliance Resilience Matrix — sectoral firewalls, step-back, verified earn-back</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3 (reversibility)</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All</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U</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Technical Demarcation and Stabilization Addendum — Lebanon/Gaza freeze-in-place with proportional penalty matrix</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5 (regional)</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V</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Nuclear Dust Protocol — sub-surface remediation and joint-sovereignty access (CANDOR); entombment fallback</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(remediation)</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W</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Maritime Telemetry and Dual-Key Transit — real-time verification, dual-key authorization, Day-1 conditional reopening</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4 (verification)</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Y</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Dual-Key Custody Protocol — for an in-country pathway: single sealed Esfahan store, two independent locks (IAEA + U.S.-designated), live dual-key feeds to Vienna and Washington, joint-supervised medical-isotope use only</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(control)</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Z</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In-Iran Transformation Pathways — the menu of in-country options Iran elects as a unilateral right without U.S. veto, including Pathway W (Agriculture and Food Security): conversion to natural-grade uranium and dispersal as fertilizer, irreversible and IAEA-sampled, with an optional mutually-agreed fast-track that waives the 180-day selection period under unchanged safeguards</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Gap 1 (face-saver)</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R.b</w:t>
            </w:r>
          </w:p>
        </w:tc>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Narrative Dispute Resolution — framing-autonomy disputes; handles any characterization that materially misrepresents a verified technical fact</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Framing autonomy</w:t>
            </w:r>
          </w:p>
        </w:tc>
        <w:tc>
          <w:tcPr>
            <w:tcW w:type="dxa" w:w="11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All</w:t>
            </w:r>
          </w:p>
        </w:tc>
      </w:tr>
      <w:tr>
        <w:tc>
          <w:tcPr>
            <w:tcW w:type="dxa" w:w="8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sz w:val="19"/>
                <w:szCs w:val="19"/>
                <w:rFonts w:ascii="Calibri" w:hAnsi="Calibri" w:eastAsia="Calibri" w:cs="Calibri"/>
                <w:color w:val="232323"/>
              </w:rPr>
              <w:t>NORM</w:t>
            </w:r>
          </w:p>
        </w:tc>
        <w:tc>
          <w:tcPr>
            <w:tcW w:type="dxa" w:w="55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Regional Economic and Diplomatic Normalization Framework — an independent instrument among the United States, Saudi Arabia, the UAE, Bahrain, Morocco, and Israel; Iran is a non-participating observer and is not a signatory and not bound</w:t>
            </w:r>
          </w:p>
        </w:tc>
        <w:tc>
          <w:tcPr>
            <w:tcW w:type="dxa" w:w="1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Regional (non-Iran)</w:t>
            </w:r>
          </w:p>
        </w:tc>
        <w:tc>
          <w:tcPr>
            <w:tcW w:type="dxa" w:w="11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II–III</w:t>
            </w:r>
          </w:p>
        </w:tc>
      </w:tr>
    </w:tbl>
    <w:p>
      <w:pPr>
        <w:pStyle w:val="EndnoteText"/>
        <w:spacing w:after="140" w:before="60" w:line="276"/>
      </w:pPr>
      <w:r>
        <w:rPr>
          <w:b/>
          <w:rFonts w:ascii="Calibri" w:hAnsi="Calibri" w:eastAsia="Calibri" w:cs="Calibri"/>
          <w:color w:val="232323"/>
          <w:sz w:val="21"/>
          <w:szCs w:val="20"/>
        </w:rPr>
        <w:t xml:space="preserve">Annex NORM — Regional Economic and Diplomatic Normalization Framework. </w:t>
      </w:r>
      <w:r>
        <w:rPr>
          <w:rFonts w:ascii="Calibri" w:hAnsi="Calibri" w:eastAsia="Calibri" w:cs="Calibri"/>
          <w:color w:val="232323"/>
          <w:sz w:val="21"/>
          <w:szCs w:val="20"/>
        </w:rPr>
        <w:t>A separate, independent instrument among the United States, the Kingdom of Saudi Arabia, the United Arab Emirates, the Kingdom of Bahrain, the Kingdom of Morocco, and the State of Israel, providing for step-by-step normalization including overflight rights, trade missions, direct air links, and joint economic projects. The Islamic Republic of Iran is a non-participating observer: it does not sign Annex NORM, is not bound by it, and is not required to recognize or normalize relations with any other signatory. Annex NORM enters into force independently of this Accord and affects no obligation or benefit under it.</w:t>
      </w:r>
    </w:p>
    <w:p>
      <w:pPr>
        <w:pStyle w:val="Heading1"/>
      </w:pPr>
      <w:r>
        <w:rPr>
          <w:rFonts w:ascii="Calibri" w:cs="Calibri" w:eastAsia="Calibri" w:hAnsi="Calibri"/>
          <w:b/>
          <w:color w:val="1F3B5B"/>
          <w:sz w:val="30"/>
          <w:szCs w:val="30"/>
        </w:rPr>
        <w:t>D-3 — Cross-Reference Map</w:t>
      </w:r>
    </w:p>
    <w:p>
      <w:pPr>
        <w:pStyle w:val="EndnoteText"/>
        <w:spacing w:after="140" w:before="0" w:line="276"/>
      </w:pPr>
      <w:r>
        <w:rPr>
          <w:rFonts w:ascii="Calibri" w:hAnsi="Calibri" w:eastAsia="Calibri" w:cs="Calibri"/>
          <w:color w:val="232323"/>
          <w:sz w:val="21"/>
          <w:szCs w:val="20"/>
        </w:rPr>
        <w:t>The Annexes resolve cleanly onto the five gaps and the three phases, so a negotiator confirms at a glance that no gap is left without an operative instrument and no phase without its technical spine.</w:t>
      </w:r>
    </w:p>
    <w:p>
      <w:pPr>
        <w:pStyle w:val="ListParagraph"/>
        <w:numPr>
          <w:ilvl w:val="0"/>
          <w:numId w:val="2"/>
        </w:numPr>
        <w:spacing w:after="90" w:line="270"/>
      </w:pPr>
      <w:r>
        <w:rPr>
          <w:b/>
          <w:rFonts w:ascii="Calibri" w:hAnsi="Calibri" w:eastAsia="Calibri" w:cs="Calibri"/>
          <w:sz w:val="21"/>
          <w:szCs w:val="21"/>
          <w:color w:val="232323"/>
        </w:rPr>
        <w:t xml:space="preserve">Nuclear spine: </w:t>
      </w:r>
      <w:r>
        <w:rPr>
          <w:rFonts w:ascii="Calibri" w:hAnsi="Calibri" w:eastAsia="Calibri" w:cs="Calibri"/>
          <w:sz w:val="21"/>
          <w:szCs w:val="21"/>
          <w:color w:val="232323"/>
        </w:rPr>
        <w:t>Annexes O, P, Q, V feed Article 3 and Part B-1; Annexes Y and Z carry custody and the in-country pathway options; Annex S sequences them; Annex T governs lapse and recovery.</w:t>
      </w:r>
    </w:p>
    <w:p>
      <w:pPr>
        <w:pStyle w:val="ListParagraph"/>
        <w:numPr>
          <w:ilvl w:val="0"/>
          <w:numId w:val="2"/>
        </w:numPr>
        <w:spacing w:after="90" w:line="270"/>
      </w:pPr>
      <w:r>
        <w:rPr>
          <w:b/>
          <w:rFonts w:ascii="Calibri" w:hAnsi="Calibri" w:eastAsia="Calibri" w:cs="Calibri"/>
          <w:sz w:val="21"/>
          <w:szCs w:val="21"/>
          <w:color w:val="232323"/>
        </w:rPr>
        <w:t xml:space="preserve">Maritime spine: </w:t>
      </w:r>
      <w:r>
        <w:rPr>
          <w:rFonts w:ascii="Calibri" w:hAnsi="Calibri" w:eastAsia="Calibri" w:cs="Calibri"/>
          <w:sz w:val="21"/>
          <w:szCs w:val="21"/>
          <w:color w:val="232323"/>
        </w:rPr>
        <w:t>Annexes N, N.a, W feed Article 4 and Part B-2; the MSB coordinates and the PGSA enforces only within territorial waters.</w:t>
      </w:r>
    </w:p>
    <w:p>
      <w:pPr>
        <w:pStyle w:val="ListParagraph"/>
        <w:numPr>
          <w:ilvl w:val="0"/>
          <w:numId w:val="2"/>
        </w:numPr>
        <w:spacing w:after="90" w:line="270"/>
      </w:pPr>
      <w:r>
        <w:rPr>
          <w:b/>
          <w:rFonts w:ascii="Calibri" w:hAnsi="Calibri" w:eastAsia="Calibri" w:cs="Calibri"/>
          <w:sz w:val="21"/>
          <w:szCs w:val="21"/>
          <w:color w:val="232323"/>
        </w:rPr>
        <w:t xml:space="preserve">Regional spine: </w:t>
      </w:r>
      <w:r>
        <w:rPr>
          <w:rFonts w:ascii="Calibri" w:hAnsi="Calibri" w:eastAsia="Calibri" w:cs="Calibri"/>
          <w:sz w:val="21"/>
          <w:szCs w:val="21"/>
          <w:color w:val="232323"/>
        </w:rPr>
        <w:t>Annexes M and U feed Article 6 and Part C-3; both expire with the truce unless renewed.</w:t>
      </w:r>
    </w:p>
    <w:p>
      <w:pPr>
        <w:pStyle w:val="ListParagraph"/>
        <w:numPr>
          <w:ilvl w:val="0"/>
          <w:numId w:val="2"/>
        </w:numPr>
        <w:spacing w:after="90" w:line="270"/>
      </w:pPr>
      <w:r>
        <w:rPr>
          <w:b/>
          <w:rFonts w:ascii="Calibri" w:hAnsi="Calibri" w:eastAsia="Calibri" w:cs="Calibri"/>
          <w:sz w:val="21"/>
          <w:szCs w:val="21"/>
          <w:color w:val="232323"/>
        </w:rPr>
        <w:t xml:space="preserve">Resilience spine: </w:t>
      </w:r>
      <w:r>
        <w:rPr>
          <w:rFonts w:ascii="Calibri" w:hAnsi="Calibri" w:eastAsia="Calibri" w:cs="Calibri"/>
          <w:sz w:val="21"/>
          <w:szCs w:val="21"/>
          <w:color w:val="232323"/>
        </w:rPr>
        <w:t>Annexes R.a, R.b, and T feed Articles 7, 8, and 1.7 and run across all phases.</w:t>
      </w:r>
    </w:p>
    <w:p>
      <w:pPr>
        <w:pStyle w:val="EndnoteText"/>
      </w:pPr>
      <w:r>
        <w:rPr>
          <w:rFonts w:ascii="Calibri" w:hAnsi="Calibri" w:eastAsia="Calibri" w:cs="Calibri"/>
          <w:color w:val="232323"/>
          <w:sz w:val="20"/>
          <w:szCs w:val="20"/>
        </w:rPr>
        <w:br w:type="page"/>
      </w:r>
    </w:p>
    <w:p>
      <w:pPr>
        <w:pStyle w:val="EndnoteText"/>
        <w:spacing w:after="60" w:before="200"/>
        <w:jc w:val="center"/>
      </w:pPr>
      <w:r>
        <w:rPr>
          <w:b/>
          <w:color w:val="9C7A2E"/>
          <w:sz w:val="40"/>
          <w:szCs w:val="40"/>
          <w:rFonts w:ascii="Calibri" w:hAnsi="Calibri" w:eastAsia="Calibri" w:cs="Calibri"/>
        </w:rPr>
        <w:t>PART E</w:t>
      </w:r>
    </w:p>
    <w:p>
      <w:pPr>
        <w:pStyle w:val="EndnoteText"/>
        <w:spacing w:after="200"/>
        <w:jc w:val="center"/>
      </w:pPr>
      <w:r>
        <w:rPr>
          <w:b/>
          <w:color w:val="1F3B5B"/>
          <w:sz w:val="30"/>
          <w:szCs w:val="30"/>
          <w:rFonts w:ascii="Calibri" w:hAnsi="Calibri" w:eastAsia="Calibri" w:cs="Calibri"/>
        </w:rPr>
        <w:t>Appendices for the Table</w:t>
      </w:r>
    </w:p>
    <w:p>
      <w:pPr>
        <w:pStyle w:val="Heading1"/>
      </w:pPr>
      <w:r>
        <w:rPr>
          <w:rFonts w:ascii="Calibri" w:cs="Calibri" w:eastAsia="Calibri" w:hAnsi="Calibri"/>
          <w:b/>
          <w:color w:val="1F3B5B"/>
          <w:sz w:val="30"/>
          <w:szCs w:val="30"/>
        </w:rPr>
        <w:t>Appendix E-1 — The Day-1 to Day-60 Control Panel</w:t>
      </w:r>
    </w:p>
    <w:p>
      <w:pPr>
        <w:pStyle w:val="EndnoteText"/>
        <w:spacing w:after="140" w:before="0" w:line="276"/>
      </w:pPr>
      <w:r>
        <w:rPr>
          <w:rFonts w:ascii="Calibri" w:hAnsi="Calibri" w:eastAsia="Calibri" w:cs="Calibri"/>
          <w:color w:val="232323"/>
          <w:sz w:val="21"/>
          <w:szCs w:val="20"/>
        </w:rPr>
        <w:t>A single timeline showing what each Party does and what consequence follows if a step lapses. The panel sits on top of the operative text; it changes no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30"/>
        <w:gridCol w:w="3030"/>
        <w:gridCol w:w="2400"/>
      </w:tblGrid>
      <w:tr>
        <w:trPr>
          <w:tblHeader/>
        </w:trPr>
        <w:tc>
          <w:tcPr>
            <w:tcW w:type="dxa" w:w="9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When</w:t>
            </w:r>
          </w:p>
        </w:tc>
        <w:tc>
          <w:tcPr>
            <w:tcW w:type="dxa" w:w="303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w:t>
            </w:r>
          </w:p>
        </w:tc>
        <w:tc>
          <w:tcPr>
            <w:tcW w:type="dxa" w:w="303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United States</w:t>
            </w:r>
          </w:p>
        </w:tc>
        <w:tc>
          <w:tcPr>
            <w:tcW w:type="dxa" w:w="24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Automatic consequence if late</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Hour 0</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Enrichment-cap order posted; HEU placed under IAEA dual-lock; hotline staffed</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placed in escrow (held, not released); OFAC license; SWIFT reconnection</w:t>
            </w:r>
          </w:p>
        </w:tc>
        <w:tc>
          <w:tcPr>
            <w:tcW w:type="dxa" w:w="24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Non-severability: all Mirror Pairings suspend until remedied</w:t>
            </w:r>
          </w:p>
        </w:tc>
      </w:tr>
      <w:tr>
        <w:tc>
          <w:tcPr>
            <w:tcW w:type="dxa" w:w="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Hours 1–4</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IAEA inspector crossing; IRGC small-craft repositioning posted</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Oil-export permits issued</w:t>
            </w:r>
          </w:p>
        </w:tc>
        <w:tc>
          <w:tcPr>
            <w:tcW w:type="dxa" w:w="24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PCC chair convened; pairing clock holds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1</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Pathway selection window opens (in-country default; optional Oman lane by consent)</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Maritime Stability Board live; Maintenance Fund opened</w:t>
            </w:r>
          </w:p>
        </w:tc>
        <w:tc>
          <w:tcPr>
            <w:tcW w:type="dxa" w:w="24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Quiet Correction window opens; no compliance mark</w:t>
            </w:r>
          </w:p>
        </w:tc>
      </w:tr>
      <w:tr>
        <w:tc>
          <w:tcPr>
            <w:tcW w:type="dxa" w:w="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7</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Mines cleared; corridor withdrawal verified</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Naval blockade stands down in proportion</w:t>
            </w:r>
          </w:p>
        </w:tc>
        <w:tc>
          <w:tcPr>
            <w:tcW w:type="dxa" w:w="24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24-hour bright-line period governs; maritime ladder applies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14</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Disposition underway (export consolidation or downblending at rate)</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PRDD channel prepared; SWIFT Tier-A reconnection</w:t>
            </w:r>
          </w:p>
        </w:tc>
        <w:tc>
          <w:tcPr>
            <w:tcW w:type="dxa" w:w="24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Learning-curve protection (Days 1–30) halves Tier-2 step-back</w:t>
            </w:r>
          </w:p>
        </w:tc>
      </w:tr>
      <w:tr>
        <w:tc>
          <w:tcPr>
            <w:tcW w:type="dxa" w:w="9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30</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30-day compliance certified</w:t>
            </w:r>
          </w:p>
        </w:tc>
        <w:tc>
          <w:tcPr>
            <w:tcW w:type="dxa" w:w="303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escrow released; frozen-asset Tranche 1 (10%); PRDD flows begin</w:t>
            </w:r>
          </w:p>
        </w:tc>
        <w:tc>
          <w:tcPr>
            <w:tcW w:type="dxa" w:w="24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Step-back / earn-back governs; human-in-the-loop before any cut</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Day 60</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Disposition milestone verified</w:t>
            </w:r>
          </w:p>
        </w:tc>
        <w:tc>
          <w:tcPr>
            <w:tcW w:type="dxa" w:w="303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Good-faith fast lane active; structural-relief track opens</w:t>
            </w:r>
          </w:p>
        </w:tc>
        <w:tc>
          <w:tcPr>
            <w:tcW w:type="dxa" w:w="24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Step-back / earn-back governs; IAEA certifies remediation</w:t>
            </w:r>
          </w:p>
        </w:tc>
      </w:tr>
    </w:tbl>
    <w:p>
      <w:pPr>
        <w:pStyle w:val="Heading1"/>
      </w:pPr>
      <w:r>
        <w:rPr>
          <w:rFonts w:ascii="Calibri" w:cs="Calibri" w:eastAsia="Calibri" w:hAnsi="Calibri"/>
          <w:b/>
          <w:color w:val="1F3B5B"/>
          <w:sz w:val="30"/>
          <w:szCs w:val="30"/>
        </w:rPr>
        <w:t>Appendix E-2 — The Declarable-Wins Messaging Sheet</w:t>
      </w:r>
    </w:p>
    <w:p>
      <w:pPr>
        <w:pStyle w:val="EndnoteText"/>
        <w:spacing w:after="140" w:before="0" w:line="276"/>
      </w:pPr>
      <w:r>
        <w:rPr>
          <w:rFonts w:ascii="Calibri" w:hAnsi="Calibri" w:eastAsia="Calibri" w:cs="Calibri"/>
          <w:color w:val="232323"/>
          <w:sz w:val="21"/>
          <w:szCs w:val="20"/>
        </w:rPr>
        <w:t>Pre-cleared characterizations available to each Party, consistent with the performance-contingent messaging rule. Every public characterization acknowledges that benefits are conditional; a 24-hour embargo runs on contradictory messaging.</w:t>
      </w:r>
    </w:p>
    <w:p>
      <w:pPr>
        <w:pStyle w:val="Heading2"/>
      </w:pPr>
      <w:r>
        <w:rPr>
          <w:rFonts w:ascii="Calibri" w:cs="Calibri" w:eastAsia="Calibri" w:hAnsi="Calibri"/>
          <w:b/>
          <w:color w:val="2E5E8C"/>
          <w:sz w:val="24"/>
          <w:szCs w:val="24"/>
        </w:rPr>
        <w:t>United States</w:t>
      </w:r>
    </w:p>
    <w:p>
      <w:pPr>
        <w:pStyle w:val="ListParagraph"/>
        <w:numPr>
          <w:ilvl w:val="0"/>
          <w:numId w:val="2"/>
        </w:numPr>
        <w:spacing w:after="90" w:line="270"/>
      </w:pPr>
      <w:r>
        <w:rPr>
          <w:rFonts w:ascii="Calibri" w:hAnsi="Calibri" w:eastAsia="Calibri" w:cs="Calibri"/>
          <w:sz w:val="21"/>
          <w:szCs w:val="21"/>
          <w:color w:val="232323"/>
        </w:rPr>
        <w:t>“This is the exact opposite of the old deal: no cash up front, every dollar tied to verified performance, and the weapons-grade material leaves the country by default — or stays only under our lock and key.”</w:t>
      </w:r>
    </w:p>
    <w:p>
      <w:pPr>
        <w:pStyle w:val="ListParagraph"/>
        <w:numPr>
          <w:ilvl w:val="0"/>
          <w:numId w:val="2"/>
        </w:numPr>
        <w:spacing w:after="90" w:line="270"/>
      </w:pPr>
      <w:r>
        <w:rPr>
          <w:rFonts w:ascii="Calibri" w:hAnsi="Calibri" w:eastAsia="Calibri" w:cs="Calibri"/>
          <w:sz w:val="21"/>
          <w:szCs w:val="21"/>
          <w:color w:val="232323"/>
        </w:rPr>
        <w:t>“The Strait of Hormuz is open and free — no tolls, no checkpoints, oil flowing — and we walk away in fourteen days if Iran cheats.”</w:t>
      </w:r>
    </w:p>
    <w:p>
      <w:pPr>
        <w:pStyle w:val="ListParagraph"/>
        <w:numPr>
          <w:ilvl w:val="0"/>
          <w:numId w:val="2"/>
        </w:numPr>
        <w:spacing w:after="90" w:line="270"/>
      </w:pPr>
      <w:r>
        <w:rPr>
          <w:rFonts w:ascii="Calibri" w:hAnsi="Calibri" w:eastAsia="Calibri" w:cs="Calibri"/>
          <w:sz w:val="21"/>
          <w:szCs w:val="21"/>
          <w:color w:val="232323"/>
        </w:rPr>
        <w:t>“The money moves through a neutral bank on verified milestones, and any cheating cuts it back fast — with a fourteen-day exit if Iran walks away from the terms.”</w:t>
      </w:r>
    </w:p>
    <w:p>
      <w:pPr>
        <w:pStyle w:val="Heading2"/>
      </w:pPr>
      <w:r>
        <w:rPr>
          <w:rFonts w:ascii="Calibri" w:cs="Calibri" w:eastAsia="Calibri" w:hAnsi="Calibri"/>
          <w:b/>
          <w:color w:val="2E5E8C"/>
          <w:sz w:val="24"/>
          <w:szCs w:val="24"/>
        </w:rPr>
        <w:t>Iran</w:t>
      </w:r>
    </w:p>
    <w:p>
      <w:pPr>
        <w:pStyle w:val="ListParagraph"/>
        <w:numPr>
          <w:ilvl w:val="0"/>
          <w:numId w:val="2"/>
        </w:numPr>
        <w:spacing w:after="90" w:line="270"/>
      </w:pPr>
      <w:r>
        <w:rPr>
          <w:rFonts w:ascii="Calibri" w:hAnsi="Calibri" w:eastAsia="Calibri" w:cs="Calibri"/>
          <w:sz w:val="21"/>
          <w:szCs w:val="21"/>
          <w:color w:val="232323"/>
        </w:rPr>
        <w:t>“Iran lifts the siege because it negotiated from strength. Our oil sells freely and our assets return on a guaranteed schedule.”</w:t>
      </w:r>
    </w:p>
    <w:p>
      <w:pPr>
        <w:pStyle w:val="ListParagraph"/>
        <w:numPr>
          <w:ilvl w:val="0"/>
          <w:numId w:val="2"/>
        </w:numPr>
        <w:spacing w:after="90" w:line="270"/>
      </w:pPr>
      <w:r>
        <w:rPr>
          <w:rFonts w:ascii="Calibri" w:hAnsi="Calibri" w:eastAsia="Calibri" w:cs="Calibri"/>
          <w:sz w:val="21"/>
          <w:szCs w:val="21"/>
          <w:color w:val="232323"/>
        </w:rPr>
        <w:t>“We keep the sovereign right to neutralize our material at home under joint lock; what stays, stays on our soil, not in foreign hands. Our program continues within our recognized rights, and the 3.67% cap is our sovereign choice.”</w:t>
      </w:r>
    </w:p>
    <w:p>
      <w:pPr>
        <w:pStyle w:val="ListParagraph"/>
        <w:numPr>
          <w:ilvl w:val="0"/>
          <w:numId w:val="2"/>
        </w:numPr>
        <w:spacing w:after="90" w:line="270"/>
      </w:pPr>
      <w:r>
        <w:rPr>
          <w:rFonts w:ascii="Calibri" w:hAnsi="Calibri" w:eastAsia="Calibri" w:cs="Calibri"/>
          <w:sz w:val="21"/>
          <w:szCs w:val="21"/>
          <w:color w:val="232323"/>
        </w:rPr>
        <w:t>“Our coastal-state rights in the Persian Gulf are recognized, and we are paid for the services our crews perform in the strait — not a toll, but value for work.”</w:t>
      </w:r>
    </w:p>
    <w:p>
      <w:pPr>
        <w:pStyle w:val="Heading2"/>
      </w:pPr>
      <w:r>
        <w:rPr>
          <w:rFonts w:ascii="Calibri" w:cs="Calibri" w:eastAsia="Calibri" w:hAnsi="Calibri"/>
          <w:b/>
          <w:color w:val="2E5E8C"/>
          <w:sz w:val="24"/>
          <w:szCs w:val="24"/>
        </w:rPr>
        <w:t>Both Parties</w:t>
      </w:r>
    </w:p>
    <w:p>
      <w:pPr>
        <w:pStyle w:val="ListParagraph"/>
        <w:numPr>
          <w:ilvl w:val="0"/>
          <w:numId w:val="2"/>
        </w:numPr>
        <w:spacing w:after="90" w:line="270"/>
      </w:pPr>
      <w:r>
        <w:rPr>
          <w:rFonts w:ascii="Calibri" w:hAnsi="Calibri" w:eastAsia="Calibri" w:cs="Calibri"/>
          <w:sz w:val="21"/>
          <w:szCs w:val="21"/>
          <w:color w:val="232323"/>
        </w:rPr>
        <w:t>“The performance-contingent design means both sides win if both deliver, and neither wins if either cheats. Even the deepest adversaries find practical cooperation when the alternative is worse.”</w:t>
      </w:r>
    </w:p>
    <w:p>
      <w:pPr>
        <w:pStyle w:val="Heading2"/>
      </w:pPr>
      <w:r>
        <w:rPr>
          <w:rFonts w:ascii="Calibri" w:cs="Calibri" w:eastAsia="Calibri" w:hAnsi="Calibri"/>
          <w:b/>
          <w:color w:val="2E5E8C"/>
          <w:sz w:val="24"/>
          <w:szCs w:val="24"/>
        </w:rPr>
        <w:t>Dual-frame headliners (same fact, two political languages)</w:t>
      </w:r>
    </w:p>
    <w:p>
      <w:pPr>
        <w:pStyle w:val="EndnoteText"/>
        <w:spacing w:after="140" w:before="0" w:line="276"/>
      </w:pPr>
      <w:r>
        <w:rPr>
          <w:rFonts w:ascii="Calibri" w:hAnsi="Calibri" w:eastAsia="Calibri" w:cs="Calibri"/>
          <w:color w:val="232323"/>
          <w:sz w:val="21"/>
          <w:szCs w:val="20"/>
        </w:rPr>
        <w:t>Each row is one mechanism that both capitals claim without either adopting the other’s words. Neither side has to lie; neither has to concede the other’s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60"/>
        <w:gridCol w:w="3000"/>
      </w:tblGrid>
      <w:tr>
        <w:trPr>
          <w:tblHeader/>
        </w:trPr>
        <w:tc>
          <w:tcPr>
            <w:tcW w:type="dxa" w:w="27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The U.S. headline</w:t>
            </w:r>
          </w:p>
        </w:tc>
        <w:tc>
          <w:tcPr>
            <w:tcW w:type="dxa" w:w="366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The mechanism</w:t>
            </w:r>
          </w:p>
        </w:tc>
        <w:tc>
          <w:tcPr>
            <w:tcW w:type="dxa" w:w="3000"/>
            <w:tcBorders>
              <w:top w:val="single" w:color="C9C9C9" w:sz="1"/>
              <w:left w:val="single" w:color="C9C9C9" w:sz="1"/>
              <w:bottom w:val="single" w:color="C9C9C9" w:sz="1"/>
              <w:right w:val="single" w:color="C9C9C9" w:sz="1"/>
            </w:tcBorders>
            <w:shd w:fill="1F3B5B" w:val="clear"/>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Iran’s frame</w:t>
            </w:r>
          </w:p>
        </w:tc>
      </w:tr>
      <w:tr>
        <w:tc>
          <w:tcPr>
            <w:tcW w:type="dxa" w:w="2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“We hold a key to Iran’s nuclear bunker.”</w:t>
            </w:r>
          </w:p>
        </w:tc>
        <w:tc>
          <w:tcPr>
            <w:tcW w:type="dxa" w:w="36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Dual-key custody: material in Iran under IAEA lock; U.S.-designated second key</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“Our material stays on our soil; the key is verification, not ownership.”</w:t>
            </w:r>
          </w:p>
        </w:tc>
      </w:tr>
      <w:tr>
        <w:tc>
          <w:tcPr>
            <w:tcW w:type="dxa" w:w="2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“Zero tolls, zero checkpoints — Hormuz is permanently open.”</w:t>
            </w:r>
          </w:p>
        </w:tc>
        <w:tc>
          <w:tcPr>
            <w:tcW w:type="dxa" w:w="36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Freedom of navigation; no Iranian authority over the corridor; reimbursement for verified services</w:t>
            </w:r>
          </w:p>
        </w:tc>
        <w:tc>
          <w:tcPr>
            <w:tcW w:type="dxa" w:w="30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“This instrument recognizes our coastal authority and pays us for the work our crews do.”</w:t>
            </w:r>
          </w:p>
        </w:tc>
      </w:tr>
      <w:tr>
        <w:tc>
          <w:tcPr>
            <w:tcW w:type="dxa" w:w="2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 cash up front — Iran earns every dollar.”</w:t>
            </w:r>
          </w:p>
        </w:tc>
        <w:tc>
          <w:tcPr>
            <w:tcW w:type="dxa" w:w="36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$500M mutual escrow released only at Day 30; milestone-based, reversible releases</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“Our frozen assets return on a guaranteed, predictable schedule.”</w:t>
            </w:r>
          </w:p>
        </w:tc>
      </w:tr>
      <w:tr>
        <w:tc>
          <w:tcPr>
            <w:tcW w:type="dxa" w:w="2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“If Iran cheats, the deal gets longer — automatically.”</w:t>
            </w:r>
          </w:p>
        </w:tc>
        <w:tc>
          <w:tcPr>
            <w:tcW w:type="dxa" w:w="36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12-year cap; +24 months per violation, up to 25 years; no vote needed</w:t>
            </w:r>
          </w:p>
        </w:tc>
        <w:tc>
          <w:tcPr>
            <w:tcW w:type="dxa" w:w="30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“This instrument preserves our 3.67% enrichment right; the rules are fair and reward compliance.”</w:t>
            </w:r>
          </w:p>
        </w:tc>
      </w:tr>
      <w:tr>
        <w:tc>
          <w:tcPr>
            <w:tcW w:type="dxa" w:w="27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“Iran does not stand in the way of Israel-Arab peace.”</w:t>
            </w:r>
          </w:p>
        </w:tc>
        <w:tc>
          <w:tcPr>
            <w:tcW w:type="dxa" w:w="366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Non-impediment clause (Art. 13.1) plus the separate Annex NORM Iran does not sign</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“We have not recognized or normalized; other states make their own decisions.”</w:t>
            </w:r>
          </w:p>
        </w:tc>
      </w:tr>
      <w:tr>
        <w:tc>
          <w:tcPr>
            <w:tcW w:type="dxa" w:w="27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“Bombs to bread — Iran’s bomb-grade uranium goes into the ground to grow wheat.”</w:t>
            </w:r>
          </w:p>
        </w:tc>
        <w:tc>
          <w:tcPr>
            <w:tcW w:type="dxa" w:w="366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Pathway W: depletion to fertilizer, dispersed and irreversible</w:t>
            </w:r>
          </w:p>
        </w:tc>
        <w:tc>
          <w:tcPr>
            <w:tcW w:type="dxa" w:w="3000"/>
            <w:tcBorders>
              <w:top w:val="single" w:color="C9C9C9" w:sz="1"/>
              <w:left w:val="single" w:color="C9C9C9" w:sz="1"/>
              <w:bottom w:val="single" w:color="C9C9C9" w:sz="1"/>
              <w:right w:val="single" w:color="C9C9C9" w:sz="1"/>
            </w:tcBorders>
            <w:shd w:fill="F4F6F9" w:val="clear"/>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“The material never leaves Iran; it feeds our people — sovereignty exercised.”</w:t>
            </w:r>
          </w:p>
        </w:tc>
      </w:tr>
    </w:tbl>
    <w:p>
      <w:pPr>
        <w:pStyle w:val="Heading1"/>
      </w:pPr>
      <w:r>
        <w:rPr>
          <w:rFonts w:ascii="Calibri" w:cs="Calibri" w:eastAsia="Calibri" w:hAnsi="Calibri"/>
          <w:b/>
          <w:color w:val="1F3B5B"/>
          <w:sz w:val="30"/>
          <w:szCs w:val="30"/>
        </w:rPr>
        <w:t>Appendix E-3 — The 30-Day Letter of Intent (Template)</w:t>
      </w:r>
    </w:p>
    <w:p>
      <w:pPr>
        <w:pStyle w:val="EndnoteText"/>
        <w:spacing w:after="140" w:before="0" w:line="276"/>
      </w:pPr>
      <w:r>
        <w:rPr>
          <w:rFonts w:ascii="Calibri" w:hAnsi="Calibri" w:eastAsia="Calibri" w:cs="Calibri"/>
          <w:color w:val="232323"/>
          <w:sz w:val="21"/>
          <w:szCs w:val="20"/>
        </w:rPr>
        <w:t>Exchanged within thirty days of entry into force, the Letter fixes the Phase II start, the pathway selection, and the sequencing clock. Bracketed fields await final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1" w:space="0"/>
              <w:left w:val="single" w:color="2E5E8C" w:sz="18" w:space="0"/>
              <w:bottom w:val="single" w:color="2E5E8C" w:sz="1" w:space="0"/>
              <w:right w:val="single" w:color="2E5E8C" w:sz="1" w:space="0"/>
            </w:tcBorders>
            <w:shd w:fill="FFFFFF" w:val="clear" w:color="auto"/>
            <w:tcMar>
              <w:top w:type="dxa" w:w="130"/>
              <w:left w:type="dxa" w:w="180"/>
              <w:bottom w:type="dxa" w:w="130"/>
              <w:right w:type="dxa" w:w="160"/>
            </w:tcMar>
          </w:tcPr>
          <w:p>
            <w:pPr>
              <w:pStyle w:val="EndnoteText"/>
              <w:spacing w:after="60" w:line="268"/>
            </w:pPr>
            <w:r>
              <w:rPr>
                <w:b/>
                <w:rFonts w:ascii="Calibri" w:hAnsi="Calibri" w:eastAsia="Calibri" w:cs="Calibri"/>
                <w:color w:val="232323"/>
                <w:sz w:val="21"/>
                <w:szCs w:val="20"/>
              </w:rPr>
              <w:t>LETTER OF INTENT — PHASE II ACTIVATION</w:t>
            </w:r>
          </w:p>
          <w:p>
            <w:pPr>
              <w:pStyle w:val="EndnoteText"/>
              <w:spacing w:after="60" w:line="268"/>
            </w:pPr>
            <w:r>
              <w:rPr>
                <w:rFonts w:ascii="Calibri" w:hAnsi="Calibri" w:eastAsia="Calibri" w:cs="Calibri"/>
                <w:color w:val="232323"/>
                <w:sz w:val="21"/>
                <w:szCs w:val="20"/>
              </w:rPr>
              <w:t>The Parties, having entered the Sunflower Accord into force on [date], confirm:</w:t>
            </w:r>
          </w:p>
          <w:p>
            <w:pPr>
              <w:pStyle w:val="EndnoteText"/>
              <w:spacing w:after="60" w:line="268"/>
            </w:pPr>
            <w:r>
              <w:rPr>
                <w:b/>
                <w:rFonts w:ascii="Calibri" w:hAnsi="Calibri" w:eastAsia="Calibri" w:cs="Calibri"/>
                <w:color w:val="232323"/>
                <w:sz w:val="21"/>
                <w:szCs w:val="20"/>
              </w:rPr>
              <w:t xml:space="preserve">(1) </w:t>
            </w:r>
            <w:r>
              <w:rPr>
                <w:rFonts w:ascii="Calibri" w:hAnsi="Calibri" w:eastAsia="Calibri" w:cs="Calibri"/>
                <w:color w:val="232323"/>
                <w:sz w:val="21"/>
                <w:szCs w:val="20"/>
              </w:rPr>
              <w:t>Stockpile disposition proceeds under Pathway [A–F or W], with the selection window closing on [date]; the Day-180 in-country default applies absent selection.</w:t>
            </w:r>
          </w:p>
          <w:p>
            <w:pPr>
              <w:pStyle w:val="EndnoteText"/>
              <w:spacing w:after="60" w:line="268"/>
            </w:pPr>
            <w:r>
              <w:rPr>
                <w:b/>
                <w:rFonts w:ascii="Calibri" w:hAnsi="Calibri" w:eastAsia="Calibri" w:cs="Calibri"/>
                <w:color w:val="232323"/>
                <w:sz w:val="21"/>
                <w:szCs w:val="20"/>
              </w:rPr>
              <w:t xml:space="preserve">(2) </w:t>
            </w:r>
            <w:r>
              <w:rPr>
                <w:rFonts w:ascii="Calibri" w:hAnsi="Calibri" w:eastAsia="Calibri" w:cs="Calibri"/>
                <w:color w:val="232323"/>
                <w:sz w:val="21"/>
                <w:szCs w:val="20"/>
              </w:rPr>
              <w:t>The 15-Day Micro-Cycle engine and the 60-Day Reciprocal Sequencing Schedule (Annex S) commence on [date].</w:t>
            </w:r>
          </w:p>
          <w:p>
            <w:pPr>
              <w:pStyle w:val="EndnoteText"/>
              <w:spacing w:after="60" w:line="268"/>
            </w:pPr>
            <w:r>
              <w:rPr>
                <w:b/>
                <w:rFonts w:ascii="Calibri" w:hAnsi="Calibri" w:eastAsia="Calibri" w:cs="Calibri"/>
                <w:color w:val="232323"/>
                <w:sz w:val="21"/>
                <w:szCs w:val="20"/>
              </w:rPr>
              <w:t xml:space="preserve">(3) </w:t>
            </w:r>
            <w:r>
              <w:rPr>
                <w:rFonts w:ascii="Calibri" w:hAnsi="Calibri" w:eastAsia="Calibri" w:cs="Calibri"/>
                <w:color w:val="232323"/>
                <w:sz w:val="21"/>
                <w:szCs w:val="20"/>
              </w:rPr>
              <w:t>The Phase I to Phase II transition threshold is 75% across all four stripes, no stripe below 60%, sustained over [period].</w:t>
            </w:r>
          </w:p>
          <w:p>
            <w:pPr>
              <w:pStyle w:val="EndnoteText"/>
              <w:spacing w:after="60" w:line="268"/>
            </w:pPr>
            <w:r>
              <w:rPr>
                <w:b/>
                <w:rFonts w:ascii="Calibri" w:hAnsi="Calibri" w:eastAsia="Calibri" w:cs="Calibri"/>
                <w:color w:val="232323"/>
                <w:sz w:val="21"/>
                <w:szCs w:val="20"/>
              </w:rPr>
              <w:t xml:space="preserve">(4) </w:t>
            </w:r>
            <w:r>
              <w:rPr>
                <w:rFonts w:ascii="Calibri" w:hAnsi="Calibri" w:eastAsia="Calibri" w:cs="Calibri"/>
                <w:color w:val="232323"/>
                <w:sz w:val="21"/>
                <w:szCs w:val="20"/>
              </w:rPr>
              <w:t>The Joint Hormuz Transit Authority coordination role and the Multilateral Maritime Maintenance Fund account at Bank Muscat are confirmed and live.</w:t>
            </w:r>
          </w:p>
          <w:p>
            <w:pPr>
              <w:pStyle w:val="EndnoteText"/>
              <w:spacing w:after="60" w:line="268"/>
            </w:pPr>
            <w:r>
              <w:rPr>
                <w:rFonts w:ascii="Calibri" w:hAnsi="Calibri" w:eastAsia="Calibri" w:cs="Calibri"/>
                <w:color w:val="232323"/>
                <w:sz w:val="21"/>
                <w:szCs w:val="20"/>
              </w:rPr>
              <w:t>Confirmed for each Party by the authorized representative below.</w:t>
            </w:r>
          </w:p>
        </w:tc>
      </w:tr>
    </w:tbl>
    <w:p>
      <w:pPr>
        <w:pStyle w:val="Heading1"/>
      </w:pPr>
      <w:r>
        <w:rPr>
          <w:rFonts w:ascii="Calibri" w:cs="Calibri" w:eastAsia="Calibri" w:hAnsi="Calibri"/>
          <w:b/>
          <w:color w:val="1F3B5B"/>
          <w:sz w:val="30"/>
          <w:szCs w:val="30"/>
        </w:rPr>
        <w:t>Appendix E-4 — Day-1 Podium Statements (Illustrative Drafts)</w:t>
      </w:r>
    </w:p>
    <w:p>
      <w:pPr>
        <w:pStyle w:val="EndnoteText"/>
        <w:spacing w:after="140" w:before="0" w:line="276"/>
      </w:pPr>
      <w:r>
        <w:rPr>
          <w:rFonts w:ascii="Calibri" w:hAnsi="Calibri" w:eastAsia="Calibri" w:cs="Calibri"/>
          <w:color w:val="232323"/>
          <w:sz w:val="21"/>
          <w:szCs w:val="20"/>
        </w:rPr>
        <w:t>Draft remarks for each office, using only agreed technical language, offered to pressure-test the politics and give each side a ready script. They are illustrative role-based templates, not attributed to any named individual, and bind no one.</w:t>
      </w:r>
    </w:p>
    <w:p>
      <w:pPr>
        <w:pStyle w:val="Heading2"/>
      </w:pPr>
      <w:r>
        <w:rPr>
          <w:rFonts w:ascii="Calibri" w:cs="Calibri" w:eastAsia="Calibri" w:hAnsi="Calibri"/>
          <w:b/>
          <w:color w:val="2E5E8C"/>
          <w:sz w:val="24"/>
          <w:szCs w:val="24"/>
        </w:rPr>
        <w:t>For the United States President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1" w:space="0"/>
              <w:left w:val="single" w:color="2E5E8C" w:sz="18" w:space="0"/>
              <w:bottom w:val="single" w:color="2E5E8C" w:sz="1" w:space="0"/>
              <w:right w:val="single" w:color="2E5E8C" w:sz="1" w:space="0"/>
            </w:tcBorders>
            <w:shd w:fill="F4E7E7" w:val="clear" w:color="auto"/>
            <w:tcMar>
              <w:top w:type="dxa" w:w="130"/>
              <w:left w:type="dxa" w:w="180"/>
              <w:bottom w:type="dxa" w:w="130"/>
              <w:right w:type="dxa" w:w="160"/>
            </w:tcMar>
          </w:tcPr>
          <w:p>
            <w:pPr>
              <w:pStyle w:val="EndnoteText"/>
              <w:spacing w:after="60" w:line="268"/>
            </w:pPr>
            <w:r>
              <w:rPr>
                <w:i/>
                <w:rFonts w:ascii="Calibri" w:hAnsi="Calibri" w:eastAsia="Calibri" w:cs="Calibri"/>
                <w:color w:val="232323"/>
                <w:sz w:val="21"/>
                <w:szCs w:val="20"/>
              </w:rPr>
              <w:t>“Today, the United States and Iran have agreed that no weapons-usable nuclear material remains under Iran’s sole control. It neutralizes on Iranian soil under a joint lock — and we hold one of the keys — or it becomes fertilizer that no process turns back. The Strait of Hormuz is fully open — no tolls, no checkpoints, no Iranian management. And we put no cash on the table today; the first dollar moves only after thirty days of verified compliance. This is the exact opposite of the old deal.”</w:t>
            </w:r>
          </w:p>
        </w:tc>
      </w:tr>
    </w:tbl>
    <w:p>
      <w:pPr>
        <w:pStyle w:val="Heading2"/>
      </w:pPr>
      <w:r>
        <w:rPr>
          <w:rFonts w:ascii="Calibri" w:cs="Calibri" w:eastAsia="Calibri" w:hAnsi="Calibri"/>
          <w:b/>
          <w:color w:val="2E5E8C"/>
          <w:sz w:val="24"/>
          <w:szCs w:val="24"/>
        </w:rPr>
        <w:t>For the Iranian President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C" w:sz="1" w:space="0"/>
              <w:left w:val="single" w:color="2E5E8C" w:sz="18" w:space="0"/>
              <w:bottom w:val="single" w:color="2E5E8C" w:sz="1" w:space="0"/>
              <w:right w:val="single" w:color="2E5E8C" w:sz="1" w:space="0"/>
            </w:tcBorders>
            <w:shd w:fill="E8F0E4" w:val="clear" w:color="auto"/>
            <w:tcMar>
              <w:top w:type="dxa" w:w="130"/>
              <w:left w:type="dxa" w:w="180"/>
              <w:bottom w:type="dxa" w:w="130"/>
              <w:right w:type="dxa" w:w="160"/>
            </w:tcMar>
          </w:tcPr>
          <w:p>
            <w:pPr>
              <w:spacing w:after="60" w:line="268"/>
            </w:pPr>
            <w:r>
              <w:rPr>
                <w:i/>
                <w:iCs/>
              </w:rPr>
              <w:t>“The siege of our nation lifts because we negotiated from strength. Our oil sells freely, our assets return on a guaranteed schedule, and our nuclear material remains on our soil if we so choose — under a lock we accept as verification, not occupation. Our coastal rights in the Persian Gulf are recognized, and our crews are paid for the services they perform. This is not surrender; it is sovereignty exercised through diplomacy.”</w:t>
            </w:r>
          </w:p>
        </w:tc>
      </w:tr>
    </w:tbl>
    <w:p>
      <w:pPr>
        <w:pStyle w:val="Heading1"/>
      </w:pPr>
      <w:r>
        <w:rPr>
          <w:rFonts w:ascii="Calibri" w:cs="Calibri" w:eastAsia="Calibri" w:hAnsi="Calibri"/>
          <w:b/>
          <w:color w:val="1F3B5B"/>
          <w:sz w:val="30"/>
          <w:szCs w:val="30"/>
        </w:rPr>
        <w:t>Appendix E-5 — Signature and Adoption</w:t>
      </w:r>
    </w:p>
    <w:p>
      <w:pPr>
        <w:spacing w:after="140" w:before="0" w:line="276"/>
      </w:pPr>
      <w:r>
        <w:rPr>
          <w:sz w:val="21"/>
          <w:szCs w:val="21"/>
          <w:rFonts w:ascii="Calibri" w:hAnsi="Calibri" w:eastAsia="Calibri" w:cs="Calibri"/>
          <w:color w:val="232323"/>
        </w:rPr>
        <w:t>The undersigned, duly authorized, sign Articles 1 through 13 of Part A into force and commit their Parties to the Phase II and Phase III architecture of Parts B and C on the binding timeline of Article 11, and adopt the integrated Annexes of Part D.</w:t>
      </w:r>
    </w:p>
    <w:p>
      <w:pPr>
        <w:pStyle w:val="EndnoteText"/>
        <w:spacing w:before="160"/>
      </w:pPr>
      <w:r>
        <w:rPr>
          <w:rFonts w:ascii="Calibri" w:hAnsi="Calibri" w:eastAsia="Calibri" w:cs="Calibri"/>
          <w:color w:val="232323"/>
          <w:sz w:val="21"/>
          <w:szCs w:val="20"/>
        </w:r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1"/>
        </w:trPr>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For the United States of America</w:t>
            </w:r>
          </w:p>
        </w:tc>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For the Islamic Republic of Iran</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 xml:space="preserve"> </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 xml:space="preserve"> </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Signature: __________________________</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Signature: __________________________</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Name / Title: _______________________</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Name / Title: _______________________</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Date: ______________________________</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Date: ______________________________</w:t>
            </w:r>
          </w:p>
        </w:tc>
      </w:tr>
    </w:tbl>
    <w:p>
      <w:pPr>
        <w:pStyle w:val="EndnoteText"/>
        <w:spacing w:before="160"/>
      </w:pPr>
      <w:r>
        <w:rPr>
          <w:rFonts w:ascii="Calibri" w:hAnsi="Calibri" w:eastAsia="Calibri" w:cs="Calibri"/>
          <w:color w:val="232323"/>
          <w:sz w:val="21"/>
          <w:szCs w:val="20"/>
        </w:r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1"/>
        </w:trPr>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Depositary — Islamic Republic of Pakistan</w:t>
            </w:r>
          </w:p>
        </w:tc>
        <w:tc>
          <w:tcPr>
            <w:tcW w:type="dxa" w:w="4680"/>
            <w:tcBorders>
              <w:top w:val="single" w:color="C9C9C9" w:sz="1" w:space="0"/>
              <w:left w:val="single" w:color="C9C9C9" w:sz="1" w:space="0"/>
              <w:bottom w:val="single" w:color="C9C9C9" w:sz="1" w:space="0"/>
              <w:right w:val="single" w:color="C9C9C9" w:sz="1" w:space="0"/>
            </w:tcBorders>
            <w:shd w:fill="1F3B5B" w:val="clear" w:color="auto"/>
            <w:tcMar>
              <w:top w:type="dxa" w:w="70"/>
              <w:left w:type="dxa" w:w="110"/>
              <w:bottom w:type="dxa" w:w="70"/>
              <w:right w:type="dxa" w:w="110"/>
            </w:tcMar>
            <w:vAlign w:val="center"/>
          </w:tcPr>
          <w:p>
            <w:pPr>
              <w:pStyle w:val="EndnoteText"/>
              <w:spacing w:after="40" w:line="250"/>
            </w:pPr>
            <w:r>
              <w:rPr>
                <w:b/>
                <w:color w:val="FFFFFF"/>
                <w:sz w:val="19"/>
                <w:szCs w:val="19"/>
                <w:rFonts w:ascii="Calibri" w:hAnsi="Calibri" w:eastAsia="Calibri" w:cs="Calibri"/>
              </w:rPr>
              <w:t>Co-Facilitator — Sultanate of Oman</w:t>
            </w:r>
          </w:p>
        </w:tc>
      </w:tr>
      <w:tr>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Signature: __________________________</w:t>
            </w:r>
          </w:p>
        </w:tc>
        <w:tc>
          <w:tcPr>
            <w:tcW w:type="dxa" w:w="4680"/>
            <w:tcBorders>
              <w:top w:val="single" w:color="C9C9C9" w:sz="1" w:space="0"/>
              <w:left w:val="single" w:color="C9C9C9" w:sz="1" w:space="0"/>
              <w:bottom w:val="single" w:color="C9C9C9" w:sz="1" w:space="0"/>
              <w:right w:val="single" w:color="C9C9C9" w:sz="1" w:space="0"/>
            </w:tcBorders>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Signature: __________________________</w:t>
            </w:r>
          </w:p>
        </w:tc>
      </w:tr>
      <w:tr>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Date: ______________________________</w:t>
            </w:r>
          </w:p>
        </w:tc>
        <w:tc>
          <w:tcPr>
            <w:tcW w:type="dxa" w:w="4680"/>
            <w:tcBorders>
              <w:top w:val="single" w:color="C9C9C9" w:sz="1" w:space="0"/>
              <w:left w:val="single" w:color="C9C9C9" w:sz="1" w:space="0"/>
              <w:bottom w:val="single" w:color="C9C9C9" w:sz="1" w:space="0"/>
              <w:right w:val="single" w:color="C9C9C9" w:sz="1" w:space="0"/>
            </w:tcBorders>
            <w:shd w:fill="F4F6F9" w:val="clear" w:color="auto"/>
            <w:tcMar>
              <w:top w:type="dxa" w:w="70"/>
              <w:left w:type="dxa" w:w="110"/>
              <w:bottom w:type="dxa" w:w="70"/>
              <w:right w:type="dxa" w:w="110"/>
            </w:tcMar>
            <w:vAlign w:val="center"/>
          </w:tcPr>
          <w:p>
            <w:pPr>
              <w:pStyle w:val="EndnoteText"/>
              <w:spacing w:after="40" w:line="250"/>
            </w:pPr>
            <w:r>
              <w:rPr>
                <w:b w:val="false"/>
                <w:sz w:val="19"/>
                <w:szCs w:val="19"/>
                <w:rFonts w:ascii="Calibri" w:hAnsi="Calibri" w:eastAsia="Calibri" w:cs="Calibri"/>
                <w:color w:val="232323"/>
              </w:rPr>
              <w:t>Date: ______________________________</w:t>
            </w:r>
          </w:p>
        </w:tc>
      </w:tr>
    </w:tbl>
    <w:p>
      <w:pPr>
        <w:spacing w:before="240"/>
        <w:jc w:val="center"/>
      </w:pPr>
      <w:r>
        <w:rPr>
          <w:i/>
          <w:iCs/>
          <w:color w:val="666666"/>
          <w:sz w:val="19"/>
          <w:szCs w:val="19"/>
        </w:rPr>
        <w:t xml:space="preserve">Verification participation acknowledged: International Atomic Energy Agency</w:t>
      </w:r>
    </w:p>
    <w:p>
      <w:pPr>
        <w:pBdr>
          <w:bottom w:val="single" w:color="9C7A2E" w:sz="6"/>
        </w:pBdr>
        <w:spacing w:after="120" w:before="40"/>
      </w:pPr>
      <w:r>
        <w:rPr>
          <w:sz w:val="21"/>
          <w:szCs w:val="21"/>
          <w:rFonts w:ascii="Calibri" w:hAnsi="Calibri" w:eastAsia="Calibri" w:cs="Calibri"/>
          <w:color w:val="232323"/>
        </w:rPr>
        <w:t/>
      </w:r>
    </w:p>
    <w:p>
      <w:pPr>
        <w:spacing w:before="80"/>
        <w:jc w:val="center"/>
      </w:pPr>
      <w:r>
        <w:rPr>
          <w:b/>
          <w:bCs/>
          <w:color w:val="9C7A2E"/>
          <w:sz w:val="22"/>
          <w:szCs w:val="22"/>
          <w:rFonts w:ascii="Calibri" w:hAnsi="Calibri" w:eastAsia="Calibri" w:cs="Calibri"/>
        </w:rPr>
        <w:t>Parallel · Contained · Restored · Permanent</w:t>
      </w:r>
    </w:p>
    <w:p>
      <w:pPr>
        <w:spacing w:before="40"/>
        <w:jc w:val="center"/>
      </w:pPr>
      <w:r>
        <w:rPr>
          <w:i/>
          <w:iCs/>
          <w:color w:val="888888"/>
          <w:sz w:val="18"/>
          <w:szCs w:val="18"/>
        </w:rPr>
        <w:t>The Sunflower Accord v5.0 — Final Negotiating Text — From Bridge to Foundation</w:t>
      </w:r>
    </w:p>
    <w:p>
      <w:pPr>
        <w:spacing w:before="120"/>
        <w:jc w:val="center"/>
      </w:pPr>
      <w:r>
        <w:rPr>
          <w:b/>
          <w:bCs/>
          <w:color w:val="1F3B5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4"/>
      </w:pBdr>
      <w:tabs>
        <w:tab w:val="right" w:pos="9360"/>
      </w:tabs>
    </w:pPr>
    <w:r>
      <w:rPr>
        <w:color w:val="999999"/>
        <w:sz w:val="14"/>
        <w:szCs w:val="14"/>
      </w:rPr>
      <w:t xml:space="preserve">Authorized Negotiators Only — Confidential — Working Draft</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C9C9C9" w:sz="4" w:space="4"/>
      </w:pBdr>
      <w:tabs>
        <w:tab w:val="right" w:pos="9240"/>
      </w:tabs>
    </w:pPr>
    <w:r>
      <w:rPr>
        <w:b/>
        <w:bCs/>
        <w:caps/>
        <w:color w:val="1F3B5B"/>
        <w:sz w:val="15"/>
        <w:szCs w:val="15"/>
      </w:rPr>
      <w:t xml:space="preserve">THE SUNFLOWER ACCORD</w:t>
    </w:r>
    <w:r>
      <w:rPr>
        <w:color w:val="888888"/>
        <w:sz w:val="15"/>
        <w:szCs w:val="15"/>
      </w:rPr>
      <w:t xml:space="preserve">	Integrated MOU · Phased Peace Architecture ·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http://schemas.openxmlformats.org/wordprocessingml/2006/main">
  <w:displayBackgroundShap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C7A2E" w:sz="8" w:space="4"/>
      </w:pBdr>
      <w:spacing w:after="140" w:before="300"/>
      <w:outlineLvl w:val="0"/>
    </w:pPr>
    <w:rPr>
      <w:rFonts w:ascii="Calibri" w:cs="Calibri" w:eastAsia="Calibri" w:hAnsi="Calibri"/>
      <w:b/>
      <w:bCs/>
      <w:color w:val="1F3B5B"/>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5E8C"/>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3A3A3A"/>
      <w:sz w:val="21"/>
      <w:szCs w:val="21"/>
    </w:rPr>
  </w:style>
  <w:style w:type="paragraph" w:styleId="Heading4">
    <w:name w:val="Heading 4"/>
    <w:basedOn w:val="Normal"/>
    <w:next w:val="Normal"/>
    <w:qFormat/>
    <w:pPr>
      <w:keepNext/>
      <w:spacing w:after="60" w:before="120"/>
      <w:outlineLvl w:val="3"/>
    </w:pPr>
    <w:rPr>
      <w:rFonts w:ascii="Calibri" w:cs="Calibri" w:eastAsia="Calibri" w:hAnsi="Calibri"/>
      <w:b/>
      <w:bCs/>
      <w:i/>
      <w:iCs/>
      <w:color w:val="555555"/>
      <w:sz w:val="21"/>
      <w:szCs w:val="21"/>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Sunflower Accord — Integrated MOU and Phased Peace Architecture v1.0</dc:title>
  <dc:creator>Office of the Mediator</dc:creator>
  <dc:description>US-Iran phased peace architecture: Phase I signing instrument with Phase II and III operational pathways.</dc:description>
  <cp:lastModifiedBy>Un-named</cp:lastModifiedBy>
  <cp:revision>1</cp:revision>
  <dcterms:created xsi:type="dcterms:W3CDTF">2026-06-06T17:50:12.469Z</dcterms:created>
  <dcterms:modified xsi:type="dcterms:W3CDTF">2026-06-06T17:50:12.469Z</dcterms:modified>
</cp:coreProperties>
</file>

<file path=docProps/custom.xml><?xml version="1.0" encoding="utf-8"?>
<Properties xmlns="http://schemas.openxmlformats.org/officeDocument/2006/custom-properties" xmlns:vt="http://schemas.openxmlformats.org/officeDocument/2006/docPropsVTypes"/>
</file>