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Relationship Id="R6b68d5e64ddc4d44"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Normal"/>
        <w:spacing w:before="2500" w:after="0"/>
        <w:jc w:val="center"/>
      </w:pPr>
      <w:r>
        <w:rPr>
          <w:color w:val="22333B"/>
          <w:sz w:val="22"/>
          <w:rFonts w:ascii="Calibri" w:hAnsi="Calibri" w:eastAsia="Microsoft YaHei" w:cs="Calibri"/>
          <w:szCs w:val="22"/>
        </w:rPr>
        <w:t/>
      </w:r>
    </w:p>
    <w:p>
      <w:pPr>
        <w:pStyle w:val="Normal"/>
        <w:spacing w:before="0" w:after="160"/>
        <w:jc w:val="center"/>
      </w:pPr>
      <w:r>
        <w:rPr>
          <w:b/>
          <w:color w:val="1F4E5F"/>
          <w:sz w:val="72"/>
          <w:rFonts w:ascii="Calibri" w:hAnsi="Calibri" w:eastAsia="Microsoft YaHei" w:cs="Calibri"/>
          <w:szCs w:val="72"/>
          <w:spacing w:val="50"/>
        </w:rPr>
        <w:t>THE DARYĀBĀN FRAMEWORK</w:t>
      </w:r>
    </w:p>
    <w:p>
      <w:pPr>
        <w:pStyle w:val="Normal"/>
        <w:spacing w:before="120" w:after="1600"/>
        <w:jc w:val="center"/>
      </w:pPr>
      <w:r>
        <w:rPr>
          <w:color w:val="3A7086"/>
          <w:sz w:val="28"/>
          <w:rFonts w:ascii="Calibri" w:hAnsi="Calibri" w:eastAsia="Microsoft YaHei" w:cs="Calibri"/>
          <w:szCs w:val="28"/>
          <w:spacing w:val="30"/>
        </w:rPr>
        <w:t>A Multilateral Governance System for the Strait of Hormuz</w:t>
      </w:r>
    </w:p>
    <w:p>
      <w:pPr>
        <w:pStyle w:val="Normal"/>
        <w:spacing w:before="0" w:after="120"/>
        <w:jc w:val="center"/>
      </w:pPr>
      <w:r>
        <w:rPr>
          <w:color w:val="22333B"/>
          <w:sz w:val="24"/>
          <w:rFonts w:ascii="Calibri" w:hAnsi="Calibri" w:eastAsia="Microsoft YaHei" w:cs="Calibri"/>
          <w:szCs w:val="24"/>
        </w:rPr>
        <w:t xml:space="preserve">Version 1.2  |  July 2026</w:t>
      </w:r>
    </w:p>
    <w:p>
      <w:pPr>
        <w:pStyle w:val="Normal"/>
        <w:spacing w:before="0" w:after="1500"/>
        <w:jc w:val="center"/>
      </w:pPr>
      <w:r>
        <w:rPr>
          <w:color w:val="6E8A96"/>
          <w:sz w:val="20"/>
          <w:rFonts w:ascii="Calibri" w:hAnsi="Calibri" w:eastAsia="Microsoft YaHei" w:cs="Calibri"/>
          <w:szCs w:val="20"/>
        </w:rPr>
        <w:t>Negotiating Draft for Authorized Participants</w:t>
      </w:r>
    </w:p>
    <w:p>
      <w:pPr>
        <w:pStyle w:val="Normal"/>
        <w:spacing w:before="0" w:after="120"/>
        <w:jc w:val="center"/>
      </w:pPr>
      <w:r>
        <w:rPr>
          <w:b/>
          <w:color w:val="22333B"/>
          <w:sz w:val="22"/>
          <w:rFonts w:ascii="Calibri" w:hAnsi="Calibri" w:eastAsia="Microsoft YaHei" w:cs="Calibri"/>
          <w:szCs w:val="22"/>
        </w:rPr>
        <w:t xml:space="preserve">The Islamic Republic of Iran  ·  The Sultanate of Oman  ·  The United Arab Emirates</w:t>
      </w:r>
    </w:p>
    <w:p>
      <w:pPr>
        <w:pStyle w:val="Normal"/>
        <w:spacing w:before="0" w:after="1100"/>
        <w:jc w:val="center"/>
      </w:pPr>
      <w:r>
        <w:rPr>
          <w:color w:val="3A7086"/>
          <w:sz w:val="19"/>
          <w:rFonts w:ascii="Calibri" w:hAnsi="Calibri" w:eastAsia="Microsoft YaHei" w:cs="Calibri"/>
          <w:szCs w:val="19"/>
        </w:rPr>
        <w:t>with a defined accession path for Saudi Arabia, Qatar, Bahrain, Kuwait, and Iraq</w:t>
      </w:r>
    </w:p>
    <w:p>
      <w:pPr>
        <w:pStyle w:val="Normal"/>
        <w:spacing w:before="0" w:after="60"/>
        <w:jc w:val="center"/>
      </w:pPr>
      <w:r>
        <w:rPr>
          <w:color w:val="3A7086"/>
          <w:sz w:val="19"/>
          <w:rFonts w:ascii="Calibri" w:hAnsi="Calibri" w:eastAsia="Microsoft YaHei" w:cs="Calibri"/>
          <w:szCs w:val="19"/>
        </w:rPr>
        <w:t xml:space="preserve">Mediator of Record: The Sultanate of Oman  |  Neutral Administrator: The Swiss Confederation</w:t>
      </w:r>
    </w:p>
    <w:p>
      <w:pPr>
        <w:pStyle w:val="Normal"/>
        <w:spacing w:before="0" w:after="1100"/>
        <w:jc w:val="center"/>
      </w:pPr>
      <w:r>
        <w:rPr>
          <w:color w:val="3A7086"/>
          <w:sz w:val="19"/>
          <w:rFonts w:ascii="Calibri" w:hAnsi="Calibri" w:eastAsia="Microsoft YaHei" w:cs="Calibri"/>
          <w:szCs w:val="19"/>
        </w:rPr>
        <w:t>Facilitators: The State of Qatar and the Islamic Republic of Pakistan</w:t>
      </w:r>
    </w:p>
    <w:p>
      <w:pPr>
        <w:pStyle w:val="Normal"/>
        <w:spacing w:before="0" w:after="1100"/>
        <w:jc w:val="center"/>
      </w:pPr>
      <w:r>
        <w:rPr>
          <w:color w:val="6E8A96"/>
          <w:sz w:val="18"/>
          <w:rFonts w:ascii="Calibri" w:hAnsi="Calibri" w:eastAsia="Microsoft YaHei" w:cs="Calibri"/>
          <w:szCs w:val="18"/>
        </w:rPr>
        <w:t>Seated at the Daryaban Operations Center, Muscat, with the Mirror Facility of Equal Rank at Bandar Abbas</w:t>
      </w:r>
    </w:p>
    <w:p>
      <w:pPr>
        <w:pStyle w:val="Normal"/>
        <w:spacing w:before="0" w:after="0"/>
        <w:jc w:val="center"/>
      </w:pPr>
      <w:r>
        <w:rPr>
          <w:color w:val="6E8A96"/>
          <w:sz w:val="17"/>
          <w:rFonts w:ascii="Calibri" w:hAnsi="Calibri" w:eastAsia="Microsoft YaHei" w:cs="Calibri"/>
          <w:szCs w:val="17"/>
        </w:rPr>
        <w:t>Drafted in strict adherence to the Immutable Present-Tense Matrix, with the Nofade Guarantee first among equals</w:t>
      </w:r>
    </w:p>
    <w:p>
      <w:pPr>
        <w:pStyle w:val="Normal"/>
        <w:sectPr>
          <w:type w:val="nextPage"/>
          <w:pgSz w:w="11906" w:h="16838"/>
          <w:pgMar w:top="1080" w:right="1080" w:bottom="1080" w:left="1080" w:header="720" w:footer="720"/>
          <w:pgBorders>
            <w:top w:val="double" w:color="1F4E5F" w:sz="12" w:space="24"/>
            <w:left w:val="double" w:color="1F4E5F" w:sz="12" w:space="24"/>
            <w:bottom w:val="double" w:color="1F4E5F" w:sz="12" w:space="24"/>
            <w:right w:val="double" w:color="1F4E5F" w:sz="12" w:space="24"/>
          </w:pgBorders>
          <w:titlePg/>
        </w:sectPr>
      </w:pPr>
    </w:p>
    <w:p>
      <w:pPr>
        <w:pStyle w:val="Normal"/>
        <w:keepNext/>
        <w:keepLines/>
        <w:spacing w:before="0" w:after="240"/>
      </w:pPr>
      <w:r>
        <w:rPr>
          <w:rFonts w:ascii="Calibri" w:hAnsi="Calibri" w:eastAsia="Calibri" w:cs="Calibri"/>
          <w:b/>
          <w:color w:val="1F4E5F"/>
          <w:sz w:val="30"/>
          <w:szCs w:val="30"/>
        </w:rPr>
        <w:t>Table of Contents</w:t>
      </w:r>
    </w:p>
    <w:p>
      <w:pPr>
        <w:pStyle w:val="Normal"/>
      </w:pPr>
      <w:r>
        <w:fldChar w:fldCharType="begin"/>
      </w:r>
      <w:r>
        <w:instrText xml:space="preserve"> TOC \o "1-3" \h \z \u </w:instrText>
      </w:r>
      <w:r>
        <w:fldChar w:fldCharType="separate"/>
      </w:r>
    </w:p>
    <w:p>
      <w:pPr>
        <w:pStyle w:val="TOC1"/>
      </w:pPr>
      <w:r>
        <w:rPr>
          <w:rFonts w:ascii="Calibri" w:hAnsi="Calibri" w:eastAsia="Microsoft YaHei" w:cs="Calibri"/>
          <w:b/>
          <w:color w:val="22333B"/>
          <w:sz w:val="20"/>
          <w:szCs w:val="20"/>
        </w:rPr>
        <w:t>Document Control</w:t>
      </w:r>
      <w:r>
        <w:rPr>
          <w:rFonts w:ascii="Calibri" w:hAnsi="Calibri" w:eastAsia="Microsoft YaHei"/>
          <w:b/>
          <w:color w:val="22333B"/>
          <w:sz w:val="20"/>
        </w:rPr>
        <w:tab/>
      </w:r>
      <w:r>
        <w:rPr>
          <w:rFonts w:ascii="Calibri" w:hAnsi="Calibri" w:eastAsia="Microsoft YaHei" w:cs="Calibri"/>
          <w:b/>
          <w:color w:val="22333B"/>
          <w:sz w:val="20"/>
          <w:szCs w:val="20"/>
        </w:rPr>
        <w:t>9</w:t>
      </w:r>
    </w:p>
    <w:p>
      <w:pPr>
        <w:pStyle w:val="TOC1"/>
      </w:pPr>
      <w:r>
        <w:rPr>
          <w:rFonts w:ascii="Calibri" w:hAnsi="Calibri" w:eastAsia="Microsoft YaHei" w:cs="Calibri"/>
          <w:b/>
          <w:color w:val="22333B"/>
          <w:sz w:val="20"/>
          <w:szCs w:val="20"/>
        </w:rPr>
        <w:t>The Daryaban Declaration of Principles</w:t>
      </w:r>
      <w:r>
        <w:rPr>
          <w:rFonts w:ascii="Calibri" w:hAnsi="Calibri" w:eastAsia="Microsoft YaHei"/>
          <w:b/>
          <w:color w:val="22333B"/>
          <w:sz w:val="20"/>
        </w:rPr>
        <w:tab/>
      </w:r>
      <w:r>
        <w:rPr>
          <w:rFonts w:ascii="Calibri" w:hAnsi="Calibri" w:eastAsia="Microsoft YaHei" w:cs="Calibri"/>
          <w:b/>
          <w:color w:val="22333B"/>
          <w:sz w:val="20"/>
          <w:szCs w:val="20"/>
        </w:rPr>
        <w:t>11</w:t>
      </w:r>
    </w:p>
    <w:p>
      <w:pPr>
        <w:pStyle w:val="TOC1"/>
      </w:pPr>
      <w:r>
        <w:rPr>
          <w:rFonts w:ascii="Calibri" w:hAnsi="Calibri" w:eastAsia="Microsoft YaHei" w:cs="Calibri"/>
          <w:b/>
          <w:color w:val="22333B"/>
          <w:sz w:val="20"/>
          <w:szCs w:val="20"/>
        </w:rPr>
        <w:t>Preamble: The Moment of July 2026</w:t>
      </w:r>
      <w:r>
        <w:rPr>
          <w:rFonts w:ascii="Calibri" w:hAnsi="Calibri" w:eastAsia="Microsoft YaHei"/>
          <w:b/>
          <w:color w:val="22333B"/>
          <w:sz w:val="20"/>
        </w:rPr>
        <w:tab/>
      </w:r>
      <w:r>
        <w:rPr>
          <w:rFonts w:ascii="Calibri" w:hAnsi="Calibri" w:eastAsia="Microsoft YaHei" w:cs="Calibri"/>
          <w:b/>
          <w:color w:val="22333B"/>
          <w:sz w:val="20"/>
          <w:szCs w:val="20"/>
        </w:rPr>
        <w:t>12</w:t>
      </w:r>
    </w:p>
    <w:p>
      <w:pPr>
        <w:pStyle w:val="TOC1"/>
      </w:pPr>
      <w:r>
        <w:rPr>
          <w:rFonts w:ascii="Calibri" w:hAnsi="Calibri" w:eastAsia="Microsoft YaHei" w:cs="Calibri"/>
          <w:b/>
          <w:color w:val="22333B"/>
          <w:sz w:val="20"/>
          <w:szCs w:val="20"/>
        </w:rPr>
        <w:t>Part I: Foundations</w:t>
      </w:r>
      <w:r>
        <w:rPr>
          <w:rFonts w:ascii="Calibri" w:hAnsi="Calibri" w:eastAsia="Microsoft YaHei"/>
          <w:b/>
          <w:color w:val="22333B"/>
          <w:sz w:val="20"/>
        </w:rPr>
        <w:tab/>
      </w:r>
      <w:r>
        <w:rPr>
          <w:rFonts w:ascii="Calibri" w:hAnsi="Calibri" w:eastAsia="Microsoft YaHei" w:cs="Calibri"/>
          <w:b/>
          <w:color w:val="22333B"/>
          <w:sz w:val="20"/>
          <w:szCs w:val="20"/>
        </w:rPr>
        <w:t>14</w:t>
      </w:r>
    </w:p>
    <w:p>
      <w:pPr>
        <w:pStyle w:val="TOC2"/>
      </w:pPr>
      <w:r>
        <w:rPr>
          <w:rFonts w:ascii="Calibri" w:hAnsi="Calibri" w:eastAsia="Microsoft YaHei" w:cs="Calibri"/>
          <w:color w:val="3A7086"/>
          <w:sz w:val="20"/>
          <w:szCs w:val="20"/>
        </w:rPr>
        <w:t>Article 1: Establishment, Purpose, and Scope</w:t>
      </w:r>
      <w:r>
        <w:rPr>
          <w:rFonts w:ascii="Calibri" w:hAnsi="Calibri" w:eastAsia="Microsoft YaHei"/>
          <w:color w:val="3A7086"/>
          <w:sz w:val="20"/>
        </w:rPr>
        <w:tab/>
      </w:r>
      <w:r>
        <w:rPr>
          <w:rFonts w:ascii="Calibri" w:hAnsi="Calibri" w:eastAsia="Microsoft YaHei" w:cs="Calibri"/>
          <w:color w:val="3A7086"/>
          <w:sz w:val="20"/>
          <w:szCs w:val="20"/>
        </w:rPr>
        <w:t>14</w:t>
      </w:r>
    </w:p>
    <w:p>
      <w:pPr>
        <w:pStyle w:val="TOC3"/>
      </w:pPr>
      <w:r>
        <w:rPr>
          <w:rFonts w:ascii="Calibri" w:hAnsi="Calibri" w:eastAsia="Microsoft YaHei" w:cs="Calibri"/>
          <w:color w:val="3A7086"/>
          <w:sz w:val="20"/>
          <w:szCs w:val="20"/>
        </w:rPr>
        <w:t>1.1 Establishment</w:t>
      </w:r>
      <w:r>
        <w:rPr>
          <w:rFonts w:ascii="Calibri" w:hAnsi="Calibri" w:eastAsia="Microsoft YaHei"/>
          <w:color w:val="3A7086"/>
          <w:sz w:val="20"/>
        </w:rPr>
        <w:tab/>
      </w:r>
      <w:r>
        <w:rPr>
          <w:rFonts w:ascii="Calibri" w:hAnsi="Calibri" w:eastAsia="Microsoft YaHei" w:cs="Calibri"/>
          <w:color w:val="3A7086"/>
          <w:sz w:val="20"/>
          <w:szCs w:val="20"/>
        </w:rPr>
        <w:t>14</w:t>
      </w:r>
    </w:p>
    <w:p>
      <w:pPr>
        <w:pStyle w:val="TOC3"/>
      </w:pPr>
      <w:r>
        <w:rPr>
          <w:rFonts w:ascii="Calibri" w:hAnsi="Calibri" w:eastAsia="Microsoft YaHei" w:cs="Calibri"/>
          <w:color w:val="3A7086"/>
          <w:sz w:val="20"/>
          <w:szCs w:val="20"/>
        </w:rPr>
        <w:t>1.2 Purpose</w:t>
      </w:r>
      <w:r>
        <w:rPr>
          <w:rFonts w:ascii="Calibri" w:hAnsi="Calibri" w:eastAsia="Microsoft YaHei"/>
          <w:color w:val="3A7086"/>
          <w:sz w:val="20"/>
        </w:rPr>
        <w:tab/>
      </w:r>
      <w:r>
        <w:rPr>
          <w:rFonts w:ascii="Calibri" w:hAnsi="Calibri" w:eastAsia="Microsoft YaHei" w:cs="Calibri"/>
          <w:color w:val="3A7086"/>
          <w:sz w:val="20"/>
          <w:szCs w:val="20"/>
        </w:rPr>
        <w:t>14</w:t>
      </w:r>
    </w:p>
    <w:p>
      <w:pPr>
        <w:pStyle w:val="TOC3"/>
      </w:pPr>
      <w:r>
        <w:rPr>
          <w:rFonts w:ascii="Calibri" w:hAnsi="Calibri" w:eastAsia="Microsoft YaHei" w:cs="Calibri"/>
          <w:color w:val="3A7086"/>
          <w:sz w:val="20"/>
          <w:szCs w:val="20"/>
        </w:rPr>
        <w:t>1.3 Geographic scope</w:t>
      </w:r>
      <w:r>
        <w:rPr>
          <w:rFonts w:ascii="Calibri" w:hAnsi="Calibri" w:eastAsia="Microsoft YaHei"/>
          <w:color w:val="3A7086"/>
          <w:sz w:val="20"/>
        </w:rPr>
        <w:tab/>
      </w:r>
      <w:r>
        <w:rPr>
          <w:rFonts w:ascii="Calibri" w:hAnsi="Calibri" w:eastAsia="Microsoft YaHei" w:cs="Calibri"/>
          <w:color w:val="3A7086"/>
          <w:sz w:val="20"/>
          <w:szCs w:val="20"/>
        </w:rPr>
        <w:t>14</w:t>
      </w:r>
    </w:p>
    <w:p>
      <w:pPr>
        <w:pStyle w:val="TOC3"/>
      </w:pPr>
      <w:r>
        <w:rPr>
          <w:rFonts w:ascii="Calibri" w:hAnsi="Calibri" w:eastAsia="Microsoft YaHei" w:cs="Calibri"/>
          <w:color w:val="3A7086"/>
          <w:sz w:val="20"/>
          <w:szCs w:val="20"/>
        </w:rPr>
        <w:t>1.4 Functional scope</w:t>
      </w:r>
      <w:r>
        <w:rPr>
          <w:rFonts w:ascii="Calibri" w:hAnsi="Calibri" w:eastAsia="Microsoft YaHei"/>
          <w:color w:val="3A7086"/>
          <w:sz w:val="20"/>
        </w:rPr>
        <w:tab/>
      </w:r>
      <w:r>
        <w:rPr>
          <w:rFonts w:ascii="Calibri" w:hAnsi="Calibri" w:eastAsia="Microsoft YaHei" w:cs="Calibri"/>
          <w:color w:val="3A7086"/>
          <w:sz w:val="20"/>
          <w:szCs w:val="20"/>
        </w:rPr>
        <w:t>15</w:t>
      </w:r>
    </w:p>
    <w:p>
      <w:pPr>
        <w:pStyle w:val="TOC3"/>
      </w:pPr>
      <w:r>
        <w:rPr>
          <w:rFonts w:ascii="Calibri" w:hAnsi="Calibri" w:eastAsia="Microsoft YaHei" w:cs="Calibri"/>
          <w:color w:val="3A7086"/>
          <w:sz w:val="20"/>
          <w:szCs w:val="20"/>
        </w:rPr>
        <w:t>1.5 What this Framework does and does not do</w:t>
      </w:r>
      <w:r>
        <w:rPr>
          <w:rFonts w:ascii="Calibri" w:hAnsi="Calibri" w:eastAsia="Microsoft YaHei"/>
          <w:color w:val="3A7086"/>
          <w:sz w:val="20"/>
        </w:rPr>
        <w:tab/>
      </w:r>
      <w:r>
        <w:rPr>
          <w:rFonts w:ascii="Calibri" w:hAnsi="Calibri" w:eastAsia="Microsoft YaHei" w:cs="Calibri"/>
          <w:color w:val="3A7086"/>
          <w:sz w:val="20"/>
          <w:szCs w:val="20"/>
        </w:rPr>
        <w:t>15</w:t>
      </w:r>
    </w:p>
    <w:p>
      <w:pPr>
        <w:pStyle w:val="TOC3"/>
      </w:pPr>
      <w:r>
        <w:rPr>
          <w:rFonts w:ascii="Calibri" w:hAnsi="Calibri" w:eastAsia="Microsoft YaHei" w:cs="Calibri"/>
          <w:color w:val="3A7086"/>
          <w:sz w:val="20"/>
          <w:szCs w:val="20"/>
        </w:rPr>
        <w:t>1.6 Jurisdictional layers</w:t>
      </w:r>
      <w:r>
        <w:rPr>
          <w:rFonts w:ascii="Calibri" w:hAnsi="Calibri" w:eastAsia="Microsoft YaHei"/>
          <w:color w:val="3A7086"/>
          <w:sz w:val="20"/>
        </w:rPr>
        <w:tab/>
      </w:r>
      <w:r>
        <w:rPr>
          <w:rFonts w:ascii="Calibri" w:hAnsi="Calibri" w:eastAsia="Microsoft YaHei" w:cs="Calibri"/>
          <w:color w:val="3A7086"/>
          <w:sz w:val="20"/>
          <w:szCs w:val="20"/>
        </w:rPr>
        <w:t>15</w:t>
      </w:r>
    </w:p>
    <w:p>
      <w:pPr>
        <w:pStyle w:val="TOC2"/>
      </w:pPr>
      <w:r>
        <w:rPr>
          <w:rFonts w:ascii="Calibri" w:hAnsi="Calibri" w:eastAsia="Microsoft YaHei" w:cs="Calibri"/>
          <w:color w:val="3A7086"/>
          <w:sz w:val="20"/>
          <w:szCs w:val="20"/>
        </w:rPr>
        <w:t>Article 2: Legal Foundations</w:t>
      </w:r>
      <w:r>
        <w:rPr>
          <w:rFonts w:ascii="Calibri" w:hAnsi="Calibri" w:eastAsia="Microsoft YaHei"/>
          <w:color w:val="3A7086"/>
          <w:sz w:val="20"/>
        </w:rPr>
        <w:tab/>
      </w:r>
      <w:r>
        <w:rPr>
          <w:rFonts w:ascii="Calibri" w:hAnsi="Calibri" w:eastAsia="Microsoft YaHei" w:cs="Calibri"/>
          <w:color w:val="3A7086"/>
          <w:sz w:val="20"/>
          <w:szCs w:val="20"/>
        </w:rPr>
        <w:t>16</w:t>
      </w:r>
    </w:p>
    <w:p>
      <w:pPr>
        <w:pStyle w:val="TOC3"/>
      </w:pPr>
      <w:r>
        <w:rPr>
          <w:rFonts w:ascii="Calibri" w:hAnsi="Calibri" w:eastAsia="Microsoft YaHei" w:cs="Calibri"/>
          <w:color w:val="3A7086"/>
          <w:sz w:val="20"/>
          <w:szCs w:val="20"/>
        </w:rPr>
        <w:t>2.1 Sovereign basis</w:t>
      </w:r>
      <w:r>
        <w:rPr>
          <w:rFonts w:ascii="Calibri" w:hAnsi="Calibri" w:eastAsia="Microsoft YaHei"/>
          <w:color w:val="3A7086"/>
          <w:sz w:val="20"/>
        </w:rPr>
        <w:tab/>
      </w:r>
      <w:r>
        <w:rPr>
          <w:rFonts w:ascii="Calibri" w:hAnsi="Calibri" w:eastAsia="Microsoft YaHei" w:cs="Calibri"/>
          <w:color w:val="3A7086"/>
          <w:sz w:val="20"/>
          <w:szCs w:val="20"/>
        </w:rPr>
        <w:t>16</w:t>
      </w:r>
    </w:p>
    <w:p>
      <w:pPr>
        <w:pStyle w:val="TOC3"/>
      </w:pPr>
      <w:r>
        <w:rPr>
          <w:rFonts w:ascii="Calibri" w:hAnsi="Calibri" w:eastAsia="Microsoft YaHei" w:cs="Calibri"/>
          <w:color w:val="3A7086"/>
          <w:sz w:val="20"/>
          <w:szCs w:val="20"/>
        </w:rPr>
        <w:t>2.2 Transit passage preserved</w:t>
      </w:r>
      <w:r>
        <w:rPr>
          <w:rFonts w:ascii="Calibri" w:hAnsi="Calibri" w:eastAsia="Microsoft YaHei"/>
          <w:color w:val="3A7086"/>
          <w:sz w:val="20"/>
        </w:rPr>
        <w:tab/>
      </w:r>
      <w:r>
        <w:rPr>
          <w:rFonts w:ascii="Calibri" w:hAnsi="Calibri" w:eastAsia="Microsoft YaHei" w:cs="Calibri"/>
          <w:color w:val="3A7086"/>
          <w:sz w:val="20"/>
          <w:szCs w:val="20"/>
        </w:rPr>
        <w:t>16</w:t>
      </w:r>
    </w:p>
    <w:p>
      <w:pPr>
        <w:pStyle w:val="TOC3"/>
      </w:pPr>
      <w:r>
        <w:rPr>
          <w:rFonts w:ascii="Calibri" w:hAnsi="Calibri" w:eastAsia="Microsoft YaHei" w:cs="Calibri"/>
          <w:color w:val="3A7086"/>
          <w:sz w:val="20"/>
          <w:szCs w:val="20"/>
        </w:rPr>
        <w:t>2.3 The service-fee distinction</w:t>
      </w:r>
      <w:r>
        <w:rPr>
          <w:rFonts w:ascii="Calibri" w:hAnsi="Calibri" w:eastAsia="Microsoft YaHei"/>
          <w:color w:val="3A7086"/>
          <w:sz w:val="20"/>
        </w:rPr>
        <w:tab/>
      </w:r>
      <w:r>
        <w:rPr>
          <w:rFonts w:ascii="Calibri" w:hAnsi="Calibri" w:eastAsia="Microsoft YaHei" w:cs="Calibri"/>
          <w:color w:val="3A7086"/>
          <w:sz w:val="20"/>
          <w:szCs w:val="20"/>
        </w:rPr>
        <w:t>16</w:t>
      </w:r>
    </w:p>
    <w:p>
      <w:pPr>
        <w:pStyle w:val="TOC3"/>
      </w:pPr>
      <w:r>
        <w:rPr>
          <w:rFonts w:ascii="Calibri" w:hAnsi="Calibri" w:eastAsia="Microsoft YaHei" w:cs="Calibri"/>
          <w:color w:val="3A7086"/>
          <w:sz w:val="20"/>
          <w:szCs w:val="20"/>
        </w:rPr>
        <w:t>2.4 Relationship to the Islamabad MOU</w:t>
      </w:r>
      <w:r>
        <w:rPr>
          <w:rFonts w:ascii="Calibri" w:hAnsi="Calibri" w:eastAsia="Microsoft YaHei"/>
          <w:color w:val="3A7086"/>
          <w:sz w:val="20"/>
        </w:rPr>
        <w:tab/>
      </w:r>
      <w:r>
        <w:rPr>
          <w:rFonts w:ascii="Calibri" w:hAnsi="Calibri" w:eastAsia="Microsoft YaHei" w:cs="Calibri"/>
          <w:color w:val="3A7086"/>
          <w:sz w:val="20"/>
          <w:szCs w:val="20"/>
        </w:rPr>
        <w:t>16</w:t>
      </w:r>
    </w:p>
    <w:p>
      <w:pPr>
        <w:pStyle w:val="TOC3"/>
      </w:pPr>
      <w:r>
        <w:rPr>
          <w:rFonts w:ascii="Calibri" w:hAnsi="Calibri" w:eastAsia="Microsoft YaHei" w:cs="Calibri"/>
          <w:color w:val="3A7086"/>
          <w:sz w:val="20"/>
          <w:szCs w:val="20"/>
        </w:rPr>
        <w:t>2.5 Relationship to the International Maritime Organization</w:t>
      </w:r>
      <w:r>
        <w:rPr>
          <w:rFonts w:ascii="Calibri" w:hAnsi="Calibri" w:eastAsia="Microsoft YaHei"/>
          <w:color w:val="3A7086"/>
          <w:sz w:val="20"/>
        </w:rPr>
        <w:tab/>
      </w:r>
      <w:r>
        <w:rPr>
          <w:rFonts w:ascii="Calibri" w:hAnsi="Calibri" w:eastAsia="Microsoft YaHei" w:cs="Calibri"/>
          <w:color w:val="3A7086"/>
          <w:sz w:val="20"/>
          <w:szCs w:val="20"/>
        </w:rPr>
        <w:t>17</w:t>
      </w:r>
    </w:p>
    <w:p>
      <w:pPr>
        <w:pStyle w:val="TOC3"/>
      </w:pPr>
      <w:r>
        <w:rPr>
          <w:rFonts w:ascii="Calibri" w:hAnsi="Calibri" w:eastAsia="Microsoft YaHei" w:cs="Calibri"/>
          <w:color w:val="3A7086"/>
          <w:sz w:val="20"/>
          <w:szCs w:val="20"/>
        </w:rPr>
        <w:t>2.6 Non-prejudice and no precedent</w:t>
      </w:r>
      <w:r>
        <w:rPr>
          <w:rFonts w:ascii="Calibri" w:hAnsi="Calibri" w:eastAsia="Microsoft YaHei"/>
          <w:color w:val="3A7086"/>
          <w:sz w:val="20"/>
        </w:rPr>
        <w:tab/>
      </w:r>
      <w:r>
        <w:rPr>
          <w:rFonts w:ascii="Calibri" w:hAnsi="Calibri" w:eastAsia="Microsoft YaHei" w:cs="Calibri"/>
          <w:color w:val="3A7086"/>
          <w:sz w:val="20"/>
          <w:szCs w:val="20"/>
        </w:rPr>
        <w:t>17</w:t>
      </w:r>
    </w:p>
    <w:p>
      <w:pPr>
        <w:pStyle w:val="TOC3"/>
      </w:pPr>
      <w:r>
        <w:rPr>
          <w:rFonts w:ascii="Calibri" w:hAnsi="Calibri" w:eastAsia="Microsoft YaHei" w:cs="Calibri"/>
          <w:color w:val="3A7086"/>
          <w:sz w:val="20"/>
          <w:szCs w:val="20"/>
        </w:rPr>
        <w:t>2.7 Relationship to the 1968 Traffic Separation Scheme</w:t>
      </w:r>
      <w:r>
        <w:rPr>
          <w:rFonts w:ascii="Calibri" w:hAnsi="Calibri" w:eastAsia="Microsoft YaHei"/>
          <w:color w:val="3A7086"/>
          <w:sz w:val="20"/>
        </w:rPr>
        <w:tab/>
      </w:r>
      <w:r>
        <w:rPr>
          <w:rFonts w:ascii="Calibri" w:hAnsi="Calibri" w:eastAsia="Microsoft YaHei" w:cs="Calibri"/>
          <w:color w:val="3A7086"/>
          <w:sz w:val="20"/>
          <w:szCs w:val="20"/>
        </w:rPr>
        <w:t>17</w:t>
      </w:r>
    </w:p>
    <w:p>
      <w:pPr>
        <w:pStyle w:val="TOC2"/>
      </w:pPr>
      <w:r>
        <w:rPr>
          <w:rFonts w:ascii="Calibri" w:hAnsi="Calibri" w:eastAsia="Microsoft YaHei" w:cs="Calibri"/>
          <w:color w:val="3A7086"/>
          <w:sz w:val="20"/>
          <w:szCs w:val="20"/>
        </w:rPr>
        <w:t>Article 3: Core Operating Principles</w:t>
      </w:r>
      <w:r>
        <w:rPr>
          <w:rFonts w:ascii="Calibri" w:hAnsi="Calibri" w:eastAsia="Microsoft YaHei"/>
          <w:color w:val="3A7086"/>
          <w:sz w:val="20"/>
        </w:rPr>
        <w:tab/>
      </w:r>
      <w:r>
        <w:rPr>
          <w:rFonts w:ascii="Calibri" w:hAnsi="Calibri" w:eastAsia="Microsoft YaHei" w:cs="Calibri"/>
          <w:color w:val="3A7086"/>
          <w:sz w:val="20"/>
          <w:szCs w:val="20"/>
        </w:rPr>
        <w:t>17</w:t>
      </w:r>
    </w:p>
    <w:p>
      <w:pPr>
        <w:pStyle w:val="TOC3"/>
      </w:pPr>
      <w:r>
        <w:rPr>
          <w:rFonts w:ascii="Calibri" w:hAnsi="Calibri" w:eastAsia="Microsoft YaHei" w:cs="Calibri"/>
          <w:color w:val="3A7086"/>
          <w:sz w:val="20"/>
          <w:szCs w:val="20"/>
        </w:rPr>
        <w:t>3.1 The political acceptability rule</w:t>
      </w:r>
      <w:r>
        <w:rPr>
          <w:rFonts w:ascii="Calibri" w:hAnsi="Calibri" w:eastAsia="Microsoft YaHei"/>
          <w:color w:val="3A7086"/>
          <w:sz w:val="20"/>
        </w:rPr>
        <w:tab/>
      </w:r>
      <w:r>
        <w:rPr>
          <w:rFonts w:ascii="Calibri" w:hAnsi="Calibri" w:eastAsia="Microsoft YaHei" w:cs="Calibri"/>
          <w:color w:val="3A7086"/>
          <w:sz w:val="20"/>
          <w:szCs w:val="20"/>
        </w:rPr>
        <w:t>18</w:t>
      </w:r>
    </w:p>
    <w:p>
      <w:pPr>
        <w:pStyle w:val="TOC2"/>
      </w:pPr>
      <w:r>
        <w:rPr>
          <w:rFonts w:ascii="Calibri" w:hAnsi="Calibri" w:eastAsia="Microsoft YaHei" w:cs="Calibri"/>
          <w:color w:val="3A7086"/>
          <w:sz w:val="20"/>
          <w:szCs w:val="20"/>
        </w:rPr>
        <w:t>Article 4: The Six-Step Rule and the Simplicity Mandate</w:t>
      </w:r>
      <w:r>
        <w:rPr>
          <w:rFonts w:ascii="Calibri" w:hAnsi="Calibri" w:eastAsia="Microsoft YaHei"/>
          <w:color w:val="3A7086"/>
          <w:sz w:val="20"/>
        </w:rPr>
        <w:tab/>
      </w:r>
      <w:r>
        <w:rPr>
          <w:rFonts w:ascii="Calibri" w:hAnsi="Calibri" w:eastAsia="Microsoft YaHei" w:cs="Calibri"/>
          <w:color w:val="3A7086"/>
          <w:sz w:val="20"/>
          <w:szCs w:val="20"/>
        </w:rPr>
        <w:t>18</w:t>
      </w:r>
    </w:p>
    <w:p>
      <w:pPr>
        <w:pStyle w:val="TOC3"/>
      </w:pPr>
      <w:r>
        <w:rPr>
          <w:rFonts w:ascii="Calibri" w:hAnsi="Calibri" w:eastAsia="Microsoft YaHei" w:cs="Calibri"/>
          <w:color w:val="3A7086"/>
          <w:sz w:val="20"/>
          <w:szCs w:val="20"/>
        </w:rPr>
        <w:t>4.1 The Six-Step Rule</w:t>
      </w:r>
      <w:r>
        <w:rPr>
          <w:rFonts w:ascii="Calibri" w:hAnsi="Calibri" w:eastAsia="Microsoft YaHei"/>
          <w:color w:val="3A7086"/>
          <w:sz w:val="20"/>
        </w:rPr>
        <w:tab/>
      </w:r>
      <w:r>
        <w:rPr>
          <w:rFonts w:ascii="Calibri" w:hAnsi="Calibri" w:eastAsia="Microsoft YaHei" w:cs="Calibri"/>
          <w:color w:val="3A7086"/>
          <w:sz w:val="20"/>
          <w:szCs w:val="20"/>
        </w:rPr>
        <w:t>18</w:t>
      </w:r>
    </w:p>
    <w:p>
      <w:pPr>
        <w:pStyle w:val="TOC3"/>
      </w:pPr>
      <w:r>
        <w:rPr>
          <w:rFonts w:ascii="Calibri" w:hAnsi="Calibri" w:eastAsia="Microsoft YaHei" w:cs="Calibri"/>
          <w:color w:val="3A7086"/>
          <w:sz w:val="20"/>
          <w:szCs w:val="20"/>
        </w:rPr>
        <w:t>4.2 The one-page principle</w:t>
      </w:r>
      <w:r>
        <w:rPr>
          <w:rFonts w:ascii="Calibri" w:hAnsi="Calibri" w:eastAsia="Microsoft YaHei"/>
          <w:color w:val="3A7086"/>
          <w:sz w:val="20"/>
        </w:rPr>
        <w:tab/>
      </w:r>
      <w:r>
        <w:rPr>
          <w:rFonts w:ascii="Calibri" w:hAnsi="Calibri" w:eastAsia="Microsoft YaHei" w:cs="Calibri"/>
          <w:color w:val="3A7086"/>
          <w:sz w:val="20"/>
          <w:szCs w:val="20"/>
        </w:rPr>
        <w:t>18</w:t>
      </w:r>
    </w:p>
    <w:p>
      <w:pPr>
        <w:pStyle w:val="TOC3"/>
      </w:pPr>
      <w:r>
        <w:rPr>
          <w:rFonts w:ascii="Calibri" w:hAnsi="Calibri" w:eastAsia="Microsoft YaHei" w:cs="Calibri"/>
          <w:color w:val="3A7086"/>
          <w:sz w:val="20"/>
          <w:szCs w:val="20"/>
        </w:rPr>
        <w:t>4.3 The complexity audit</w:t>
      </w:r>
      <w:r>
        <w:rPr>
          <w:rFonts w:ascii="Calibri" w:hAnsi="Calibri" w:eastAsia="Microsoft YaHei"/>
          <w:color w:val="3A7086"/>
          <w:sz w:val="20"/>
        </w:rPr>
        <w:tab/>
      </w:r>
      <w:r>
        <w:rPr>
          <w:rFonts w:ascii="Calibri" w:hAnsi="Calibri" w:eastAsia="Microsoft YaHei" w:cs="Calibri"/>
          <w:color w:val="3A7086"/>
          <w:sz w:val="20"/>
          <w:szCs w:val="20"/>
        </w:rPr>
        <w:t>19</w:t>
      </w:r>
    </w:p>
    <w:p>
      <w:pPr>
        <w:pStyle w:val="TOC2"/>
      </w:pPr>
      <w:r>
        <w:rPr>
          <w:rFonts w:ascii="Calibri" w:hAnsi="Calibri" w:eastAsia="Microsoft YaHei" w:cs="Calibri"/>
          <w:color w:val="3A7086"/>
          <w:sz w:val="20"/>
          <w:szCs w:val="20"/>
        </w:rPr>
        <w:t>Article 5: The Nofade Guarantee</w:t>
      </w:r>
      <w:r>
        <w:rPr>
          <w:rFonts w:ascii="Calibri" w:hAnsi="Calibri" w:eastAsia="Microsoft YaHei"/>
          <w:color w:val="3A7086"/>
          <w:sz w:val="20"/>
        </w:rPr>
        <w:tab/>
      </w:r>
      <w:r>
        <w:rPr>
          <w:rFonts w:ascii="Calibri" w:hAnsi="Calibri" w:eastAsia="Microsoft YaHei" w:cs="Calibri"/>
          <w:color w:val="3A7086"/>
          <w:sz w:val="20"/>
          <w:szCs w:val="20"/>
        </w:rPr>
        <w:t>19</w:t>
      </w:r>
    </w:p>
    <w:p>
      <w:pPr>
        <w:pStyle w:val="TOC3"/>
      </w:pPr>
      <w:r>
        <w:rPr>
          <w:rFonts w:ascii="Calibri" w:hAnsi="Calibri" w:eastAsia="Microsoft YaHei" w:cs="Calibri"/>
          <w:color w:val="3A7086"/>
          <w:sz w:val="20"/>
          <w:szCs w:val="20"/>
        </w:rPr>
        <w:t>5.1 No sunset</w:t>
      </w:r>
      <w:r>
        <w:rPr>
          <w:rFonts w:ascii="Calibri" w:hAnsi="Calibri" w:eastAsia="Microsoft YaHei"/>
          <w:color w:val="3A7086"/>
          <w:sz w:val="20"/>
        </w:rPr>
        <w:tab/>
      </w:r>
      <w:r>
        <w:rPr>
          <w:rFonts w:ascii="Calibri" w:hAnsi="Calibri" w:eastAsia="Microsoft YaHei" w:cs="Calibri"/>
          <w:color w:val="3A7086"/>
          <w:sz w:val="20"/>
          <w:szCs w:val="20"/>
        </w:rPr>
        <w:t>19</w:t>
      </w:r>
    </w:p>
    <w:p>
      <w:pPr>
        <w:pStyle w:val="TOC3"/>
      </w:pPr>
      <w:r>
        <w:rPr>
          <w:rFonts w:ascii="Calibri" w:hAnsi="Calibri" w:eastAsia="Microsoft YaHei" w:cs="Calibri"/>
          <w:color w:val="3A7086"/>
          <w:sz w:val="20"/>
          <w:szCs w:val="20"/>
        </w:rPr>
        <w:t>5.2 No fade of commitments</w:t>
      </w:r>
      <w:r>
        <w:rPr>
          <w:rFonts w:ascii="Calibri" w:hAnsi="Calibri" w:eastAsia="Microsoft YaHei"/>
          <w:color w:val="3A7086"/>
          <w:sz w:val="20"/>
        </w:rPr>
        <w:tab/>
      </w:r>
      <w:r>
        <w:rPr>
          <w:rFonts w:ascii="Calibri" w:hAnsi="Calibri" w:eastAsia="Microsoft YaHei" w:cs="Calibri"/>
          <w:color w:val="3A7086"/>
          <w:sz w:val="20"/>
          <w:szCs w:val="20"/>
        </w:rPr>
        <w:t>19</w:t>
      </w:r>
    </w:p>
    <w:p>
      <w:pPr>
        <w:pStyle w:val="TOC3"/>
      </w:pPr>
      <w:r>
        <w:rPr>
          <w:rFonts w:ascii="Calibri" w:hAnsi="Calibri" w:eastAsia="Microsoft YaHei" w:cs="Calibri"/>
          <w:color w:val="3A7086"/>
          <w:sz w:val="20"/>
          <w:szCs w:val="20"/>
        </w:rPr>
        <w:t>5.3 No fade of earned benefits</w:t>
      </w:r>
      <w:r>
        <w:rPr>
          <w:rFonts w:ascii="Calibri" w:hAnsi="Calibri" w:eastAsia="Microsoft YaHei"/>
          <w:color w:val="3A7086"/>
          <w:sz w:val="20"/>
        </w:rPr>
        <w:tab/>
      </w:r>
      <w:r>
        <w:rPr>
          <w:rFonts w:ascii="Calibri" w:hAnsi="Calibri" w:eastAsia="Microsoft YaHei" w:cs="Calibri"/>
          <w:color w:val="3A7086"/>
          <w:sz w:val="20"/>
          <w:szCs w:val="20"/>
        </w:rPr>
        <w:t>19</w:t>
      </w:r>
    </w:p>
    <w:p>
      <w:pPr>
        <w:pStyle w:val="TOC3"/>
      </w:pPr>
      <w:r>
        <w:rPr>
          <w:rFonts w:ascii="Calibri" w:hAnsi="Calibri" w:eastAsia="Microsoft YaHei" w:cs="Calibri"/>
          <w:color w:val="3A7086"/>
          <w:sz w:val="20"/>
          <w:szCs w:val="20"/>
        </w:rPr>
        <w:t>5.4 No fade of verification</w:t>
      </w:r>
      <w:r>
        <w:rPr>
          <w:rFonts w:ascii="Calibri" w:hAnsi="Calibri" w:eastAsia="Microsoft YaHei"/>
          <w:color w:val="3A7086"/>
          <w:sz w:val="20"/>
        </w:rPr>
        <w:tab/>
      </w:r>
      <w:r>
        <w:rPr>
          <w:rFonts w:ascii="Calibri" w:hAnsi="Calibri" w:eastAsia="Microsoft YaHei" w:cs="Calibri"/>
          <w:color w:val="3A7086"/>
          <w:sz w:val="20"/>
          <w:szCs w:val="20"/>
        </w:rPr>
        <w:t>19</w:t>
      </w:r>
    </w:p>
    <w:p>
      <w:pPr>
        <w:pStyle w:val="TOC3"/>
      </w:pPr>
      <w:r>
        <w:rPr>
          <w:rFonts w:ascii="Calibri" w:hAnsi="Calibri" w:eastAsia="Microsoft YaHei" w:cs="Calibri"/>
          <w:color w:val="3A7086"/>
          <w:sz w:val="20"/>
          <w:szCs w:val="20"/>
        </w:rPr>
        <w:t>5.5 No fade of the Zero-Toll Rule</w:t>
      </w:r>
      <w:r>
        <w:rPr>
          <w:rFonts w:ascii="Calibri" w:hAnsi="Calibri" w:eastAsia="Microsoft YaHei"/>
          <w:color w:val="3A7086"/>
          <w:sz w:val="20"/>
        </w:rPr>
        <w:tab/>
      </w:r>
      <w:r>
        <w:rPr>
          <w:rFonts w:ascii="Calibri" w:hAnsi="Calibri" w:eastAsia="Microsoft YaHei" w:cs="Calibri"/>
          <w:color w:val="3A7086"/>
          <w:sz w:val="20"/>
          <w:szCs w:val="20"/>
        </w:rPr>
        <w:t>19</w:t>
      </w:r>
    </w:p>
    <w:p>
      <w:pPr>
        <w:pStyle w:val="TOC3"/>
      </w:pPr>
      <w:r>
        <w:rPr>
          <w:rFonts w:ascii="Calibri" w:hAnsi="Calibri" w:eastAsia="Microsoft YaHei" w:cs="Calibri"/>
          <w:color w:val="3A7086"/>
          <w:sz w:val="20"/>
          <w:szCs w:val="20"/>
        </w:rPr>
        <w:t>5.6 No fade of institutional memory</w:t>
      </w:r>
      <w:r>
        <w:rPr>
          <w:rFonts w:ascii="Calibri" w:hAnsi="Calibri" w:eastAsia="Microsoft YaHei"/>
          <w:color w:val="3A7086"/>
          <w:sz w:val="20"/>
        </w:rPr>
        <w:tab/>
      </w:r>
      <w:r>
        <w:rPr>
          <w:rFonts w:ascii="Calibri" w:hAnsi="Calibri" w:eastAsia="Microsoft YaHei" w:cs="Calibri"/>
          <w:color w:val="3A7086"/>
          <w:sz w:val="20"/>
          <w:szCs w:val="20"/>
        </w:rPr>
        <w:t>20</w:t>
      </w:r>
    </w:p>
    <w:p>
      <w:pPr>
        <w:pStyle w:val="TOC3"/>
      </w:pPr>
      <w:r>
        <w:rPr>
          <w:rFonts w:ascii="Calibri" w:hAnsi="Calibri" w:eastAsia="Microsoft YaHei" w:cs="Calibri"/>
          <w:color w:val="3A7086"/>
          <w:sz w:val="20"/>
          <w:szCs w:val="20"/>
        </w:rPr>
        <w:t>5.7 Renewal by silence and default continuity</w:t>
      </w:r>
      <w:r>
        <w:rPr>
          <w:rFonts w:ascii="Calibri" w:hAnsi="Calibri" w:eastAsia="Microsoft YaHei"/>
          <w:color w:val="3A7086"/>
          <w:sz w:val="20"/>
        </w:rPr>
        <w:tab/>
      </w:r>
      <w:r>
        <w:rPr>
          <w:rFonts w:ascii="Calibri" w:hAnsi="Calibri" w:eastAsia="Microsoft YaHei" w:cs="Calibri"/>
          <w:color w:val="3A7086"/>
          <w:sz w:val="20"/>
          <w:szCs w:val="20"/>
        </w:rPr>
        <w:t>20</w:t>
      </w:r>
    </w:p>
    <w:p>
      <w:pPr>
        <w:pStyle w:val="TOC3"/>
      </w:pPr>
      <w:r>
        <w:rPr>
          <w:rFonts w:ascii="Calibri" w:hAnsi="Calibri" w:eastAsia="Microsoft YaHei" w:cs="Calibri"/>
          <w:color w:val="3A7086"/>
          <w:sz w:val="20"/>
          <w:szCs w:val="20"/>
        </w:rPr>
        <w:t>5.8 Exit is an act, not a fade</w:t>
      </w:r>
      <w:r>
        <w:rPr>
          <w:rFonts w:ascii="Calibri" w:hAnsi="Calibri" w:eastAsia="Microsoft YaHei"/>
          <w:color w:val="3A7086"/>
          <w:sz w:val="20"/>
        </w:rPr>
        <w:tab/>
      </w:r>
      <w:r>
        <w:rPr>
          <w:rFonts w:ascii="Calibri" w:hAnsi="Calibri" w:eastAsia="Microsoft YaHei" w:cs="Calibri"/>
          <w:color w:val="3A7086"/>
          <w:sz w:val="20"/>
          <w:szCs w:val="20"/>
        </w:rPr>
        <w:t>20</w:t>
      </w:r>
    </w:p>
    <w:p>
      <w:pPr>
        <w:pStyle w:val="TOC2"/>
      </w:pPr>
      <w:r>
        <w:rPr>
          <w:rFonts w:ascii="Calibri" w:hAnsi="Calibri" w:eastAsia="Microsoft YaHei" w:cs="Calibri"/>
          <w:color w:val="3A7086"/>
          <w:sz w:val="20"/>
          <w:szCs w:val="20"/>
        </w:rPr>
        <w:t>Article 6: The Red Lines Register and the Perimeter Test</w:t>
      </w:r>
      <w:r>
        <w:rPr>
          <w:rFonts w:ascii="Calibri" w:hAnsi="Calibri" w:eastAsia="Microsoft YaHei"/>
          <w:color w:val="3A7086"/>
          <w:sz w:val="20"/>
        </w:rPr>
        <w:tab/>
      </w:r>
      <w:r>
        <w:rPr>
          <w:rFonts w:ascii="Calibri" w:hAnsi="Calibri" w:eastAsia="Microsoft YaHei" w:cs="Calibri"/>
          <w:color w:val="3A7086"/>
          <w:sz w:val="20"/>
          <w:szCs w:val="20"/>
        </w:rPr>
        <w:t>20</w:t>
      </w:r>
    </w:p>
    <w:p>
      <w:pPr>
        <w:pStyle w:val="TOC3"/>
      </w:pPr>
      <w:r>
        <w:rPr>
          <w:rFonts w:ascii="Calibri" w:hAnsi="Calibri" w:eastAsia="Microsoft YaHei" w:cs="Calibri"/>
          <w:color w:val="3A7086"/>
          <w:sz w:val="20"/>
          <w:szCs w:val="20"/>
        </w:rPr>
        <w:t>6.1 Purpose and method</w:t>
      </w:r>
      <w:r>
        <w:rPr>
          <w:rFonts w:ascii="Calibri" w:hAnsi="Calibri" w:eastAsia="Microsoft YaHei"/>
          <w:color w:val="3A7086"/>
          <w:sz w:val="20"/>
        </w:rPr>
        <w:tab/>
      </w:r>
      <w:r>
        <w:rPr>
          <w:rFonts w:ascii="Calibri" w:hAnsi="Calibri" w:eastAsia="Microsoft YaHei" w:cs="Calibri"/>
          <w:color w:val="3A7086"/>
          <w:sz w:val="20"/>
          <w:szCs w:val="20"/>
        </w:rPr>
        <w:t>20</w:t>
      </w:r>
    </w:p>
    <w:p>
      <w:pPr>
        <w:pStyle w:val="TOC3"/>
      </w:pPr>
      <w:r>
        <w:rPr>
          <w:rFonts w:ascii="Calibri" w:hAnsi="Calibri" w:eastAsia="Microsoft YaHei" w:cs="Calibri"/>
          <w:color w:val="3A7086"/>
          <w:sz w:val="20"/>
          <w:szCs w:val="20"/>
        </w:rPr>
        <w:t>6.2 The Perimeter Test</w:t>
      </w:r>
      <w:r>
        <w:rPr>
          <w:rFonts w:ascii="Calibri" w:hAnsi="Calibri" w:eastAsia="Microsoft YaHei"/>
          <w:color w:val="3A7086"/>
          <w:sz w:val="20"/>
        </w:rPr>
        <w:tab/>
      </w:r>
      <w:r>
        <w:rPr>
          <w:rFonts w:ascii="Calibri" w:hAnsi="Calibri" w:eastAsia="Microsoft YaHei" w:cs="Calibri"/>
          <w:color w:val="3A7086"/>
          <w:sz w:val="20"/>
          <w:szCs w:val="20"/>
        </w:rPr>
        <w:t>20</w:t>
      </w:r>
    </w:p>
    <w:p>
      <w:pPr>
        <w:pStyle w:val="TOC3"/>
      </w:pPr>
      <w:r>
        <w:rPr>
          <w:rFonts w:ascii="Calibri" w:hAnsi="Calibri" w:eastAsia="Microsoft YaHei" w:cs="Calibri"/>
          <w:color w:val="3A7086"/>
          <w:sz w:val="20"/>
          <w:szCs w:val="20"/>
        </w:rPr>
        <w:t>6.3 No trading of Red Lines</w:t>
      </w:r>
      <w:r>
        <w:rPr>
          <w:rFonts w:ascii="Calibri" w:hAnsi="Calibri" w:eastAsia="Microsoft YaHei"/>
          <w:color w:val="3A7086"/>
          <w:sz w:val="20"/>
        </w:rPr>
        <w:tab/>
      </w:r>
      <w:r>
        <w:rPr>
          <w:rFonts w:ascii="Calibri" w:hAnsi="Calibri" w:eastAsia="Microsoft YaHei" w:cs="Calibri"/>
          <w:color w:val="3A7086"/>
          <w:sz w:val="20"/>
          <w:szCs w:val="20"/>
        </w:rPr>
        <w:t>20</w:t>
      </w:r>
    </w:p>
    <w:p>
      <w:pPr>
        <w:pStyle w:val="TOC3"/>
      </w:pPr>
      <w:r>
        <w:rPr>
          <w:rFonts w:ascii="Calibri" w:hAnsi="Calibri" w:eastAsia="Microsoft YaHei" w:cs="Calibri"/>
          <w:color w:val="3A7086"/>
          <w:sz w:val="20"/>
          <w:szCs w:val="20"/>
        </w:rPr>
        <w:t>6.4 Red Line Consultation</w:t>
      </w:r>
      <w:r>
        <w:rPr>
          <w:rFonts w:ascii="Calibri" w:hAnsi="Calibri" w:eastAsia="Microsoft YaHei"/>
          <w:color w:val="3A7086"/>
          <w:sz w:val="20"/>
        </w:rPr>
        <w:tab/>
      </w:r>
      <w:r>
        <w:rPr>
          <w:rFonts w:ascii="Calibri" w:hAnsi="Calibri" w:eastAsia="Microsoft YaHei" w:cs="Calibri"/>
          <w:color w:val="3A7086"/>
          <w:sz w:val="20"/>
          <w:szCs w:val="20"/>
        </w:rPr>
        <w:t>21</w:t>
      </w:r>
    </w:p>
    <w:p>
      <w:pPr>
        <w:pStyle w:val="TOC1"/>
      </w:pPr>
      <w:r>
        <w:rPr>
          <w:rFonts w:ascii="Calibri" w:hAnsi="Calibri" w:eastAsia="Microsoft YaHei" w:cs="Calibri"/>
          <w:b/>
          <w:color w:val="22333B"/>
          <w:sz w:val="20"/>
          <w:szCs w:val="20"/>
        </w:rPr>
        <w:t>Part II: The Three-Corridor Navigation System</w:t>
      </w:r>
      <w:r>
        <w:rPr>
          <w:rFonts w:ascii="Calibri" w:hAnsi="Calibri" w:eastAsia="Microsoft YaHei"/>
          <w:b/>
          <w:color w:val="22333B"/>
          <w:sz w:val="20"/>
        </w:rPr>
        <w:tab/>
      </w:r>
      <w:r>
        <w:rPr>
          <w:rFonts w:ascii="Calibri" w:hAnsi="Calibri" w:eastAsia="Microsoft YaHei" w:cs="Calibri"/>
          <w:b/>
          <w:color w:val="22333B"/>
          <w:sz w:val="20"/>
          <w:szCs w:val="20"/>
        </w:rPr>
        <w:t>22</w:t>
      </w:r>
    </w:p>
    <w:p>
      <w:pPr>
        <w:pStyle w:val="TOC2"/>
      </w:pPr>
      <w:r>
        <w:rPr>
          <w:rFonts w:ascii="Calibri" w:hAnsi="Calibri" w:eastAsia="Microsoft YaHei" w:cs="Calibri"/>
          <w:color w:val="3A7086"/>
          <w:sz w:val="20"/>
          <w:szCs w:val="20"/>
        </w:rPr>
        <w:t>Article 7: The Governance Area and Boundary Coordinates</w:t>
      </w:r>
      <w:r>
        <w:rPr>
          <w:rFonts w:ascii="Calibri" w:hAnsi="Calibri" w:eastAsia="Microsoft YaHei"/>
          <w:color w:val="3A7086"/>
          <w:sz w:val="20"/>
        </w:rPr>
        <w:tab/>
      </w:r>
      <w:r>
        <w:rPr>
          <w:rFonts w:ascii="Calibri" w:hAnsi="Calibri" w:eastAsia="Microsoft YaHei" w:cs="Calibri"/>
          <w:color w:val="3A7086"/>
          <w:sz w:val="20"/>
          <w:szCs w:val="20"/>
        </w:rPr>
        <w:t>22</w:t>
      </w:r>
    </w:p>
    <w:p>
      <w:pPr>
        <w:pStyle w:val="TOC3"/>
      </w:pPr>
      <w:r>
        <w:rPr>
          <w:rFonts w:ascii="Calibri" w:hAnsi="Calibri" w:eastAsia="Microsoft YaHei" w:cs="Calibri"/>
          <w:color w:val="3A7086"/>
          <w:sz w:val="20"/>
          <w:szCs w:val="20"/>
        </w:rPr>
        <w:t>7.1 Establishment</w:t>
      </w:r>
      <w:r>
        <w:rPr>
          <w:rFonts w:ascii="Calibri" w:hAnsi="Calibri" w:eastAsia="Microsoft YaHei"/>
          <w:color w:val="3A7086"/>
          <w:sz w:val="20"/>
        </w:rPr>
        <w:tab/>
      </w:r>
      <w:r>
        <w:rPr>
          <w:rFonts w:ascii="Calibri" w:hAnsi="Calibri" w:eastAsia="Microsoft YaHei" w:cs="Calibri"/>
          <w:color w:val="3A7086"/>
          <w:sz w:val="20"/>
          <w:szCs w:val="20"/>
        </w:rPr>
        <w:t>22</w:t>
      </w:r>
    </w:p>
    <w:p>
      <w:pPr>
        <w:pStyle w:val="TOC3"/>
      </w:pPr>
      <w:r>
        <w:rPr>
          <w:rFonts w:ascii="Calibri" w:hAnsi="Calibri" w:eastAsia="Microsoft YaHei" w:cs="Calibri"/>
          <w:color w:val="3A7086"/>
          <w:sz w:val="20"/>
          <w:szCs w:val="20"/>
        </w:rPr>
        <w:t>7.2 Outer boundary</w:t>
      </w:r>
      <w:r>
        <w:rPr>
          <w:rFonts w:ascii="Calibri" w:hAnsi="Calibri" w:eastAsia="Microsoft YaHei"/>
          <w:color w:val="3A7086"/>
          <w:sz w:val="20"/>
        </w:rPr>
        <w:tab/>
      </w:r>
      <w:r>
        <w:rPr>
          <w:rFonts w:ascii="Calibri" w:hAnsi="Calibri" w:eastAsia="Microsoft YaHei" w:cs="Calibri"/>
          <w:color w:val="3A7086"/>
          <w:sz w:val="20"/>
          <w:szCs w:val="20"/>
        </w:rPr>
        <w:t>22</w:t>
      </w:r>
    </w:p>
    <w:p>
      <w:pPr>
        <w:pStyle w:val="TOC3"/>
      </w:pPr>
      <w:r>
        <w:rPr>
          <w:rFonts w:ascii="Calibri" w:hAnsi="Calibri" w:eastAsia="Microsoft YaHei" w:cs="Calibri"/>
          <w:color w:val="3A7086"/>
          <w:sz w:val="20"/>
          <w:szCs w:val="20"/>
        </w:rPr>
        <w:t>7.3 Internal reference lines</w:t>
      </w:r>
      <w:r>
        <w:rPr>
          <w:rFonts w:ascii="Calibri" w:hAnsi="Calibri" w:eastAsia="Microsoft YaHei"/>
          <w:color w:val="3A7086"/>
          <w:sz w:val="20"/>
        </w:rPr>
        <w:tab/>
      </w:r>
      <w:r>
        <w:rPr>
          <w:rFonts w:ascii="Calibri" w:hAnsi="Calibri" w:eastAsia="Microsoft YaHei" w:cs="Calibri"/>
          <w:color w:val="3A7086"/>
          <w:sz w:val="20"/>
          <w:szCs w:val="20"/>
        </w:rPr>
        <w:t>22</w:t>
      </w:r>
    </w:p>
    <w:p>
      <w:pPr>
        <w:pStyle w:val="TOC3"/>
      </w:pPr>
      <w:r>
        <w:rPr>
          <w:rFonts w:ascii="Calibri" w:hAnsi="Calibri" w:eastAsia="Microsoft YaHei" w:cs="Calibri"/>
          <w:color w:val="3A7086"/>
          <w:sz w:val="20"/>
          <w:szCs w:val="20"/>
        </w:rPr>
        <w:t>7.4 Chart custody and amendment</w:t>
      </w:r>
      <w:r>
        <w:rPr>
          <w:rFonts w:ascii="Calibri" w:hAnsi="Calibri" w:eastAsia="Microsoft YaHei"/>
          <w:color w:val="3A7086"/>
          <w:sz w:val="20"/>
        </w:rPr>
        <w:tab/>
      </w:r>
      <w:r>
        <w:rPr>
          <w:rFonts w:ascii="Calibri" w:hAnsi="Calibri" w:eastAsia="Microsoft YaHei" w:cs="Calibri"/>
          <w:color w:val="3A7086"/>
          <w:sz w:val="20"/>
          <w:szCs w:val="20"/>
        </w:rPr>
        <w:t>22</w:t>
      </w:r>
    </w:p>
    <w:p>
      <w:pPr>
        <w:pStyle w:val="TOC2"/>
      </w:pPr>
      <w:r>
        <w:rPr>
          <w:rFonts w:ascii="Calibri" w:hAnsi="Calibri" w:eastAsia="Microsoft YaHei" w:cs="Calibri"/>
          <w:color w:val="3A7086"/>
          <w:sz w:val="20"/>
          <w:szCs w:val="20"/>
        </w:rPr>
        <w:t>Article 8: The Three Corridors</w:t>
      </w:r>
      <w:r>
        <w:rPr>
          <w:rFonts w:ascii="Calibri" w:hAnsi="Calibri" w:eastAsia="Microsoft YaHei"/>
          <w:color w:val="3A7086"/>
          <w:sz w:val="20"/>
        </w:rPr>
        <w:tab/>
      </w:r>
      <w:r>
        <w:rPr>
          <w:rFonts w:ascii="Calibri" w:hAnsi="Calibri" w:eastAsia="Microsoft YaHei" w:cs="Calibri"/>
          <w:color w:val="3A7086"/>
          <w:sz w:val="20"/>
          <w:szCs w:val="20"/>
        </w:rPr>
        <w:t>23</w:t>
      </w:r>
    </w:p>
    <w:p>
      <w:pPr>
        <w:pStyle w:val="TOC3"/>
      </w:pPr>
      <w:r>
        <w:rPr>
          <w:rFonts w:ascii="Calibri" w:hAnsi="Calibri" w:eastAsia="Microsoft YaHei" w:cs="Calibri"/>
          <w:color w:val="3A7086"/>
          <w:sz w:val="20"/>
          <w:szCs w:val="20"/>
        </w:rPr>
        <w:t>8.1 The three-corridor system</w:t>
      </w:r>
      <w:r>
        <w:rPr>
          <w:rFonts w:ascii="Calibri" w:hAnsi="Calibri" w:eastAsia="Microsoft YaHei"/>
          <w:color w:val="3A7086"/>
          <w:sz w:val="20"/>
        </w:rPr>
        <w:tab/>
      </w:r>
      <w:r>
        <w:rPr>
          <w:rFonts w:ascii="Calibri" w:hAnsi="Calibri" w:eastAsia="Microsoft YaHei" w:cs="Calibri"/>
          <w:color w:val="3A7086"/>
          <w:sz w:val="20"/>
          <w:szCs w:val="20"/>
        </w:rPr>
        <w:t>23</w:t>
      </w:r>
    </w:p>
    <w:p>
      <w:pPr>
        <w:pStyle w:val="TOC3"/>
      </w:pPr>
      <w:r>
        <w:rPr>
          <w:rFonts w:ascii="Calibri" w:hAnsi="Calibri" w:eastAsia="Microsoft YaHei" w:cs="Calibri"/>
          <w:color w:val="3A7086"/>
          <w:sz w:val="20"/>
          <w:szCs w:val="20"/>
        </w:rPr>
        <w:t>8.2 The Southern Assurance Corridor</w:t>
      </w:r>
      <w:r>
        <w:rPr>
          <w:rFonts w:ascii="Calibri" w:hAnsi="Calibri" w:eastAsia="Microsoft YaHei"/>
          <w:color w:val="3A7086"/>
          <w:sz w:val="20"/>
        </w:rPr>
        <w:tab/>
      </w:r>
      <w:r>
        <w:rPr>
          <w:rFonts w:ascii="Calibri" w:hAnsi="Calibri" w:eastAsia="Microsoft YaHei" w:cs="Calibri"/>
          <w:color w:val="3A7086"/>
          <w:sz w:val="20"/>
          <w:szCs w:val="20"/>
        </w:rPr>
        <w:t>23</w:t>
      </w:r>
    </w:p>
    <w:p>
      <w:pPr>
        <w:pStyle w:val="TOC3"/>
      </w:pPr>
      <w:r>
        <w:rPr>
          <w:rFonts w:ascii="Calibri" w:hAnsi="Calibri" w:eastAsia="Microsoft YaHei" w:cs="Calibri"/>
          <w:color w:val="3A7086"/>
          <w:sz w:val="20"/>
          <w:szCs w:val="20"/>
        </w:rPr>
        <w:t>8.3 The Northern Coordination Corridor</w:t>
      </w:r>
      <w:r>
        <w:rPr>
          <w:rFonts w:ascii="Calibri" w:hAnsi="Calibri" w:eastAsia="Microsoft YaHei"/>
          <w:color w:val="3A7086"/>
          <w:sz w:val="20"/>
        </w:rPr>
        <w:tab/>
      </w:r>
      <w:r>
        <w:rPr>
          <w:rFonts w:ascii="Calibri" w:hAnsi="Calibri" w:eastAsia="Microsoft YaHei" w:cs="Calibri"/>
          <w:color w:val="3A7086"/>
          <w:sz w:val="20"/>
          <w:szCs w:val="20"/>
        </w:rPr>
        <w:t>23</w:t>
      </w:r>
    </w:p>
    <w:p>
      <w:pPr>
        <w:pStyle w:val="TOC3"/>
      </w:pPr>
      <w:r>
        <w:rPr>
          <w:rFonts w:ascii="Calibri" w:hAnsi="Calibri" w:eastAsia="Microsoft YaHei" w:cs="Calibri"/>
          <w:color w:val="3A7086"/>
          <w:sz w:val="20"/>
          <w:szCs w:val="20"/>
        </w:rPr>
        <w:t>8.4 The Central International Corridor</w:t>
      </w:r>
      <w:r>
        <w:rPr>
          <w:rFonts w:ascii="Calibri" w:hAnsi="Calibri" w:eastAsia="Microsoft YaHei"/>
          <w:color w:val="3A7086"/>
          <w:sz w:val="20"/>
        </w:rPr>
        <w:tab/>
      </w:r>
      <w:r>
        <w:rPr>
          <w:rFonts w:ascii="Calibri" w:hAnsi="Calibri" w:eastAsia="Microsoft YaHei" w:cs="Calibri"/>
          <w:color w:val="3A7086"/>
          <w:sz w:val="20"/>
          <w:szCs w:val="20"/>
        </w:rPr>
        <w:t>24</w:t>
      </w:r>
    </w:p>
    <w:p>
      <w:pPr>
        <w:pStyle w:val="TOC3"/>
      </w:pPr>
      <w:r>
        <w:rPr>
          <w:rFonts w:ascii="Calibri" w:hAnsi="Calibri" w:eastAsia="Microsoft YaHei" w:cs="Calibri"/>
          <w:color w:val="3A7086"/>
          <w:sz w:val="20"/>
          <w:szCs w:val="20"/>
        </w:rPr>
        <w:t>8.5 Management arrangement</w:t>
      </w:r>
      <w:r>
        <w:rPr>
          <w:rFonts w:ascii="Calibri" w:hAnsi="Calibri" w:eastAsia="Microsoft YaHei"/>
          <w:color w:val="3A7086"/>
          <w:sz w:val="20"/>
        </w:rPr>
        <w:tab/>
      </w:r>
      <w:r>
        <w:rPr>
          <w:rFonts w:ascii="Calibri" w:hAnsi="Calibri" w:eastAsia="Microsoft YaHei" w:cs="Calibri"/>
          <w:color w:val="3A7086"/>
          <w:sz w:val="20"/>
          <w:szCs w:val="20"/>
        </w:rPr>
        <w:t>24</w:t>
      </w:r>
    </w:p>
    <w:p>
      <w:pPr>
        <w:pStyle w:val="TOC3"/>
      </w:pPr>
      <w:r>
        <w:rPr>
          <w:rFonts w:ascii="Calibri" w:hAnsi="Calibri" w:eastAsia="Microsoft YaHei" w:cs="Calibri"/>
          <w:color w:val="3A7086"/>
          <w:sz w:val="20"/>
          <w:szCs w:val="20"/>
        </w:rPr>
        <w:t>8.6 Flow States</w:t>
      </w:r>
      <w:r>
        <w:rPr>
          <w:rFonts w:ascii="Calibri" w:hAnsi="Calibri" w:eastAsia="Microsoft YaHei"/>
          <w:color w:val="3A7086"/>
          <w:sz w:val="20"/>
        </w:rPr>
        <w:tab/>
      </w:r>
      <w:r>
        <w:rPr>
          <w:rFonts w:ascii="Calibri" w:hAnsi="Calibri" w:eastAsia="Microsoft YaHei" w:cs="Calibri"/>
          <w:color w:val="3A7086"/>
          <w:sz w:val="20"/>
          <w:szCs w:val="20"/>
        </w:rPr>
        <w:t>24</w:t>
      </w:r>
    </w:p>
    <w:p>
      <w:pPr>
        <w:pStyle w:val="TOC3"/>
      </w:pPr>
      <w:r>
        <w:rPr>
          <w:rFonts w:ascii="Calibri" w:hAnsi="Calibri" w:eastAsia="Microsoft YaHei" w:cs="Calibri"/>
          <w:color w:val="3A7086"/>
          <w:sz w:val="20"/>
          <w:szCs w:val="20"/>
        </w:rPr>
        <w:t>8.7 The Open Water Bulletin</w:t>
      </w:r>
      <w:r>
        <w:rPr>
          <w:rFonts w:ascii="Calibri" w:hAnsi="Calibri" w:eastAsia="Microsoft YaHei"/>
          <w:color w:val="3A7086"/>
          <w:sz w:val="20"/>
        </w:rPr>
        <w:tab/>
      </w:r>
      <w:r>
        <w:rPr>
          <w:rFonts w:ascii="Calibri" w:hAnsi="Calibri" w:eastAsia="Microsoft YaHei" w:cs="Calibri"/>
          <w:color w:val="3A7086"/>
          <w:sz w:val="20"/>
          <w:szCs w:val="20"/>
        </w:rPr>
        <w:t>25</w:t>
      </w:r>
    </w:p>
    <w:p>
      <w:pPr>
        <w:pStyle w:val="TOC2"/>
      </w:pPr>
      <w:r>
        <w:rPr>
          <w:rFonts w:ascii="Calibri" w:hAnsi="Calibri" w:eastAsia="Microsoft YaHei" w:cs="Calibri"/>
          <w:color w:val="3A7086"/>
          <w:sz w:val="20"/>
          <w:szCs w:val="20"/>
        </w:rPr>
        <w:t>Article 9: Hazard Survey, Mines, and the Reopening Sequence</w:t>
      </w:r>
      <w:r>
        <w:rPr>
          <w:rFonts w:ascii="Calibri" w:hAnsi="Calibri" w:eastAsia="Microsoft YaHei"/>
          <w:color w:val="3A7086"/>
          <w:sz w:val="20"/>
        </w:rPr>
        <w:tab/>
      </w:r>
      <w:r>
        <w:rPr>
          <w:rFonts w:ascii="Calibri" w:hAnsi="Calibri" w:eastAsia="Microsoft YaHei" w:cs="Calibri"/>
          <w:color w:val="3A7086"/>
          <w:sz w:val="20"/>
          <w:szCs w:val="20"/>
        </w:rPr>
        <w:t>25</w:t>
      </w:r>
    </w:p>
    <w:p>
      <w:pPr>
        <w:pStyle w:val="TOC3"/>
      </w:pPr>
      <w:r>
        <w:rPr>
          <w:rFonts w:ascii="Calibri" w:hAnsi="Calibri" w:eastAsia="Microsoft YaHei" w:cs="Calibri"/>
          <w:color w:val="3A7086"/>
          <w:sz w:val="20"/>
          <w:szCs w:val="20"/>
        </w:rPr>
        <w:t>9.1 The mine exclusion</w:t>
      </w:r>
      <w:r>
        <w:rPr>
          <w:rFonts w:ascii="Calibri" w:hAnsi="Calibri" w:eastAsia="Microsoft YaHei"/>
          <w:color w:val="3A7086"/>
          <w:sz w:val="20"/>
        </w:rPr>
        <w:tab/>
      </w:r>
      <w:r>
        <w:rPr>
          <w:rFonts w:ascii="Calibri" w:hAnsi="Calibri" w:eastAsia="Microsoft YaHei" w:cs="Calibri"/>
          <w:color w:val="3A7086"/>
          <w:sz w:val="20"/>
          <w:szCs w:val="20"/>
        </w:rPr>
        <w:t>25</w:t>
      </w:r>
    </w:p>
    <w:p>
      <w:pPr>
        <w:pStyle w:val="TOC3"/>
      </w:pPr>
      <w:r>
        <w:rPr>
          <w:rFonts w:ascii="Calibri" w:hAnsi="Calibri" w:eastAsia="Microsoft YaHei" w:cs="Calibri"/>
          <w:color w:val="3A7086"/>
          <w:sz w:val="20"/>
          <w:szCs w:val="20"/>
        </w:rPr>
        <w:t>9.2 The Day One mine-hazard declaration</w:t>
      </w:r>
      <w:r>
        <w:rPr>
          <w:rFonts w:ascii="Calibri" w:hAnsi="Calibri" w:eastAsia="Microsoft YaHei"/>
          <w:color w:val="3A7086"/>
          <w:sz w:val="20"/>
        </w:rPr>
        <w:tab/>
      </w:r>
      <w:r>
        <w:rPr>
          <w:rFonts w:ascii="Calibri" w:hAnsi="Calibri" w:eastAsia="Microsoft YaHei" w:cs="Calibri"/>
          <w:color w:val="3A7086"/>
          <w:sz w:val="20"/>
          <w:szCs w:val="20"/>
        </w:rPr>
        <w:t>25</w:t>
      </w:r>
    </w:p>
    <w:p>
      <w:pPr>
        <w:pStyle w:val="TOC3"/>
      </w:pPr>
      <w:r>
        <w:rPr>
          <w:rFonts w:ascii="Calibri" w:hAnsi="Calibri" w:eastAsia="Microsoft YaHei" w:cs="Calibri"/>
          <w:color w:val="3A7086"/>
          <w:sz w:val="20"/>
          <w:szCs w:val="20"/>
        </w:rPr>
        <w:t>9.3 Hazard declaration and joint survey</w:t>
      </w:r>
      <w:r>
        <w:rPr>
          <w:rFonts w:ascii="Calibri" w:hAnsi="Calibri" w:eastAsia="Microsoft YaHei"/>
          <w:color w:val="3A7086"/>
          <w:sz w:val="20"/>
        </w:rPr>
        <w:tab/>
      </w:r>
      <w:r>
        <w:rPr>
          <w:rFonts w:ascii="Calibri" w:hAnsi="Calibri" w:eastAsia="Microsoft YaHei" w:cs="Calibri"/>
          <w:color w:val="3A7086"/>
          <w:sz w:val="20"/>
          <w:szCs w:val="20"/>
        </w:rPr>
        <w:t>26</w:t>
      </w:r>
    </w:p>
    <w:p>
      <w:pPr>
        <w:pStyle w:val="TOC3"/>
      </w:pPr>
      <w:r>
        <w:rPr>
          <w:rFonts w:ascii="Calibri" w:hAnsi="Calibri" w:eastAsia="Microsoft YaHei" w:cs="Calibri"/>
          <w:color w:val="3A7086"/>
          <w:sz w:val="20"/>
          <w:szCs w:val="20"/>
        </w:rPr>
        <w:t>9.4 The reopening sequence</w:t>
      </w:r>
      <w:r>
        <w:rPr>
          <w:rFonts w:ascii="Calibri" w:hAnsi="Calibri" w:eastAsia="Microsoft YaHei"/>
          <w:color w:val="3A7086"/>
          <w:sz w:val="20"/>
        </w:rPr>
        <w:tab/>
      </w:r>
      <w:r>
        <w:rPr>
          <w:rFonts w:ascii="Calibri" w:hAnsi="Calibri" w:eastAsia="Microsoft YaHei" w:cs="Calibri"/>
          <w:color w:val="3A7086"/>
          <w:sz w:val="20"/>
          <w:szCs w:val="20"/>
        </w:rPr>
        <w:t>26</w:t>
      </w:r>
    </w:p>
    <w:p>
      <w:pPr>
        <w:pStyle w:val="TOC3"/>
      </w:pPr>
      <w:r>
        <w:rPr>
          <w:rFonts w:ascii="Calibri" w:hAnsi="Calibri" w:eastAsia="Microsoft YaHei" w:cs="Calibri"/>
          <w:color w:val="3A7086"/>
          <w:sz w:val="20"/>
          <w:szCs w:val="20"/>
        </w:rPr>
        <w:t>9.5 Insurance normalization</w:t>
      </w:r>
      <w:r>
        <w:rPr>
          <w:rFonts w:ascii="Calibri" w:hAnsi="Calibri" w:eastAsia="Microsoft YaHei"/>
          <w:color w:val="3A7086"/>
          <w:sz w:val="20"/>
        </w:rPr>
        <w:tab/>
      </w:r>
      <w:r>
        <w:rPr>
          <w:rFonts w:ascii="Calibri" w:hAnsi="Calibri" w:eastAsia="Microsoft YaHei" w:cs="Calibri"/>
          <w:color w:val="3A7086"/>
          <w:sz w:val="20"/>
          <w:szCs w:val="20"/>
        </w:rPr>
        <w:t>26</w:t>
      </w:r>
    </w:p>
    <w:p>
      <w:pPr>
        <w:pStyle w:val="TOC2"/>
      </w:pPr>
      <w:r>
        <w:rPr>
          <w:rFonts w:ascii="Calibri" w:hAnsi="Calibri" w:eastAsia="Microsoft YaHei" w:cs="Calibri"/>
          <w:color w:val="3A7086"/>
          <w:sz w:val="20"/>
          <w:szCs w:val="20"/>
        </w:rPr>
        <w:t>Article 10: Vessel Classification and Differentiated Treatment</w:t>
      </w:r>
      <w:r>
        <w:rPr>
          <w:rFonts w:ascii="Calibri" w:hAnsi="Calibri" w:eastAsia="Microsoft YaHei"/>
          <w:color w:val="3A7086"/>
          <w:sz w:val="20"/>
        </w:rPr>
        <w:tab/>
      </w:r>
      <w:r>
        <w:rPr>
          <w:rFonts w:ascii="Calibri" w:hAnsi="Calibri" w:eastAsia="Microsoft YaHei" w:cs="Calibri"/>
          <w:color w:val="3A7086"/>
          <w:sz w:val="20"/>
          <w:szCs w:val="20"/>
        </w:rPr>
        <w:t>26</w:t>
      </w:r>
    </w:p>
    <w:p>
      <w:pPr>
        <w:pStyle w:val="TOC3"/>
      </w:pPr>
      <w:r>
        <w:rPr>
          <w:rFonts w:ascii="Calibri" w:hAnsi="Calibri" w:eastAsia="Microsoft YaHei" w:cs="Calibri"/>
          <w:color w:val="3A7086"/>
          <w:sz w:val="20"/>
          <w:szCs w:val="20"/>
        </w:rPr>
        <w:t>10.1 The classification principle</w:t>
      </w:r>
      <w:r>
        <w:rPr>
          <w:rFonts w:ascii="Calibri" w:hAnsi="Calibri" w:eastAsia="Microsoft YaHei"/>
          <w:color w:val="3A7086"/>
          <w:sz w:val="20"/>
        </w:rPr>
        <w:tab/>
      </w:r>
      <w:r>
        <w:rPr>
          <w:rFonts w:ascii="Calibri" w:hAnsi="Calibri" w:eastAsia="Microsoft YaHei" w:cs="Calibri"/>
          <w:color w:val="3A7086"/>
          <w:sz w:val="20"/>
          <w:szCs w:val="20"/>
        </w:rPr>
        <w:t>26</w:t>
      </w:r>
    </w:p>
    <w:p>
      <w:pPr>
        <w:pStyle w:val="TOC3"/>
      </w:pPr>
      <w:r>
        <w:rPr>
          <w:rFonts w:ascii="Calibri" w:hAnsi="Calibri" w:eastAsia="Microsoft YaHei" w:cs="Calibri"/>
          <w:color w:val="3A7086"/>
          <w:sz w:val="20"/>
          <w:szCs w:val="20"/>
        </w:rPr>
        <w:t>10.2 The eight classes</w:t>
      </w:r>
      <w:r>
        <w:rPr>
          <w:rFonts w:ascii="Calibri" w:hAnsi="Calibri" w:eastAsia="Microsoft YaHei"/>
          <w:color w:val="3A7086"/>
          <w:sz w:val="20"/>
        </w:rPr>
        <w:tab/>
      </w:r>
      <w:r>
        <w:rPr>
          <w:rFonts w:ascii="Calibri" w:hAnsi="Calibri" w:eastAsia="Microsoft YaHei" w:cs="Calibri"/>
          <w:color w:val="3A7086"/>
          <w:sz w:val="20"/>
          <w:szCs w:val="20"/>
        </w:rPr>
        <w:t>26</w:t>
      </w:r>
    </w:p>
    <w:p>
      <w:pPr>
        <w:pStyle w:val="TOC3"/>
      </w:pPr>
      <w:r>
        <w:rPr>
          <w:rFonts w:ascii="Calibri" w:hAnsi="Calibri" w:eastAsia="Microsoft YaHei" w:cs="Calibri"/>
          <w:color w:val="3A7086"/>
          <w:sz w:val="20"/>
          <w:szCs w:val="20"/>
        </w:rPr>
        <w:t>10.3 Treatment principles</w:t>
      </w:r>
      <w:r>
        <w:rPr>
          <w:rFonts w:ascii="Calibri" w:hAnsi="Calibri" w:eastAsia="Microsoft YaHei"/>
          <w:color w:val="3A7086"/>
          <w:sz w:val="20"/>
        </w:rPr>
        <w:tab/>
      </w:r>
      <w:r>
        <w:rPr>
          <w:rFonts w:ascii="Calibri" w:hAnsi="Calibri" w:eastAsia="Microsoft YaHei" w:cs="Calibri"/>
          <w:color w:val="3A7086"/>
          <w:sz w:val="20"/>
          <w:szCs w:val="20"/>
        </w:rPr>
        <w:t>27</w:t>
      </w:r>
    </w:p>
    <w:p>
      <w:pPr>
        <w:pStyle w:val="TOC3"/>
      </w:pPr>
      <w:r>
        <w:rPr>
          <w:rFonts w:ascii="Calibri" w:hAnsi="Calibri" w:eastAsia="Microsoft YaHei" w:cs="Calibri"/>
          <w:color w:val="3A7086"/>
          <w:sz w:val="20"/>
          <w:szCs w:val="20"/>
        </w:rPr>
        <w:t>10.4 Class H and the Anchor-and-Verify Protocol</w:t>
      </w:r>
      <w:r>
        <w:rPr>
          <w:rFonts w:ascii="Calibri" w:hAnsi="Calibri" w:eastAsia="Microsoft YaHei"/>
          <w:color w:val="3A7086"/>
          <w:sz w:val="20"/>
        </w:rPr>
        <w:tab/>
      </w:r>
      <w:r>
        <w:rPr>
          <w:rFonts w:ascii="Calibri" w:hAnsi="Calibri" w:eastAsia="Microsoft YaHei" w:cs="Calibri"/>
          <w:color w:val="3A7086"/>
          <w:sz w:val="20"/>
          <w:szCs w:val="20"/>
        </w:rPr>
        <w:t>27</w:t>
      </w:r>
    </w:p>
    <w:p>
      <w:pPr>
        <w:pStyle w:val="TOC3"/>
      </w:pPr>
      <w:r>
        <w:rPr>
          <w:rFonts w:ascii="Calibri" w:hAnsi="Calibri" w:eastAsia="Microsoft YaHei" w:cs="Calibri"/>
          <w:color w:val="3A7086"/>
          <w:sz w:val="20"/>
          <w:szCs w:val="20"/>
        </w:rPr>
        <w:t>10.5 Non-discrimination</w:t>
      </w:r>
      <w:r>
        <w:rPr>
          <w:rFonts w:ascii="Calibri" w:hAnsi="Calibri" w:eastAsia="Microsoft YaHei"/>
          <w:color w:val="3A7086"/>
          <w:sz w:val="20"/>
        </w:rPr>
        <w:tab/>
      </w:r>
      <w:r>
        <w:rPr>
          <w:rFonts w:ascii="Calibri" w:hAnsi="Calibri" w:eastAsia="Microsoft YaHei" w:cs="Calibri"/>
          <w:color w:val="3A7086"/>
          <w:sz w:val="20"/>
          <w:szCs w:val="20"/>
        </w:rPr>
        <w:t>28</w:t>
      </w:r>
    </w:p>
    <w:p>
      <w:pPr>
        <w:pStyle w:val="TOC3"/>
      </w:pPr>
      <w:r>
        <w:rPr>
          <w:rFonts w:ascii="Calibri" w:hAnsi="Calibri" w:eastAsia="Microsoft YaHei" w:cs="Calibri"/>
          <w:color w:val="3A7086"/>
          <w:sz w:val="20"/>
          <w:szCs w:val="20"/>
        </w:rPr>
        <w:t>10.6 The ground-truth patrol program</w:t>
      </w:r>
      <w:r>
        <w:rPr>
          <w:rFonts w:ascii="Calibri" w:hAnsi="Calibri" w:eastAsia="Microsoft YaHei"/>
          <w:color w:val="3A7086"/>
          <w:sz w:val="20"/>
        </w:rPr>
        <w:tab/>
      </w:r>
      <w:r>
        <w:rPr>
          <w:rFonts w:ascii="Calibri" w:hAnsi="Calibri" w:eastAsia="Microsoft YaHei" w:cs="Calibri"/>
          <w:color w:val="3A7086"/>
          <w:sz w:val="20"/>
          <w:szCs w:val="20"/>
        </w:rPr>
        <w:t>28</w:t>
      </w:r>
    </w:p>
    <w:p>
      <w:pPr>
        <w:pStyle w:val="TOC2"/>
      </w:pPr>
      <w:r>
        <w:rPr>
          <w:rFonts w:ascii="Calibri" w:hAnsi="Calibri" w:eastAsia="Microsoft YaHei" w:cs="Calibri"/>
          <w:color w:val="3A7086"/>
          <w:sz w:val="20"/>
          <w:szCs w:val="20"/>
        </w:rPr>
        <w:t>Article 11: Safe Passage and the Non-Interdiction Protocol</w:t>
      </w:r>
      <w:r>
        <w:rPr>
          <w:rFonts w:ascii="Calibri" w:hAnsi="Calibri" w:eastAsia="Microsoft YaHei"/>
          <w:color w:val="3A7086"/>
          <w:sz w:val="20"/>
        </w:rPr>
        <w:tab/>
      </w:r>
      <w:r>
        <w:rPr>
          <w:rFonts w:ascii="Calibri" w:hAnsi="Calibri" w:eastAsia="Microsoft YaHei" w:cs="Calibri"/>
          <w:color w:val="3A7086"/>
          <w:sz w:val="20"/>
          <w:szCs w:val="20"/>
        </w:rPr>
        <w:t>28</w:t>
      </w:r>
    </w:p>
    <w:p>
      <w:pPr>
        <w:pStyle w:val="TOC3"/>
      </w:pPr>
      <w:r>
        <w:rPr>
          <w:rFonts w:ascii="Calibri" w:hAnsi="Calibri" w:eastAsia="Microsoft YaHei" w:cs="Calibri"/>
          <w:color w:val="3A7086"/>
          <w:sz w:val="20"/>
          <w:szCs w:val="20"/>
        </w:rPr>
        <w:t>11.1 The guarantee of safe passage</w:t>
      </w:r>
      <w:r>
        <w:rPr>
          <w:rFonts w:ascii="Calibri" w:hAnsi="Calibri" w:eastAsia="Microsoft YaHei"/>
          <w:color w:val="3A7086"/>
          <w:sz w:val="20"/>
        </w:rPr>
        <w:tab/>
      </w:r>
      <w:r>
        <w:rPr>
          <w:rFonts w:ascii="Calibri" w:hAnsi="Calibri" w:eastAsia="Microsoft YaHei" w:cs="Calibri"/>
          <w:color w:val="3A7086"/>
          <w:sz w:val="20"/>
          <w:szCs w:val="20"/>
        </w:rPr>
        <w:t>28</w:t>
      </w:r>
    </w:p>
    <w:p>
      <w:pPr>
        <w:pStyle w:val="TOC3"/>
      </w:pPr>
      <w:r>
        <w:rPr>
          <w:rFonts w:ascii="Calibri" w:hAnsi="Calibri" w:eastAsia="Microsoft YaHei" w:cs="Calibri"/>
          <w:color w:val="3A7086"/>
          <w:sz w:val="20"/>
          <w:szCs w:val="20"/>
        </w:rPr>
        <w:t>11.2 The Non-Interdiction Protocol</w:t>
      </w:r>
      <w:r>
        <w:rPr>
          <w:rFonts w:ascii="Calibri" w:hAnsi="Calibri" w:eastAsia="Microsoft YaHei"/>
          <w:color w:val="3A7086"/>
          <w:sz w:val="20"/>
        </w:rPr>
        <w:tab/>
      </w:r>
      <w:r>
        <w:rPr>
          <w:rFonts w:ascii="Calibri" w:hAnsi="Calibri" w:eastAsia="Microsoft YaHei" w:cs="Calibri"/>
          <w:color w:val="3A7086"/>
          <w:sz w:val="20"/>
          <w:szCs w:val="20"/>
        </w:rPr>
        <w:t>28</w:t>
      </w:r>
    </w:p>
    <w:p>
      <w:pPr>
        <w:pStyle w:val="TOC3"/>
      </w:pPr>
      <w:r>
        <w:rPr>
          <w:rFonts w:ascii="Calibri" w:hAnsi="Calibri" w:eastAsia="Microsoft YaHei" w:cs="Calibri"/>
          <w:color w:val="3A7086"/>
          <w:sz w:val="20"/>
          <w:szCs w:val="20"/>
        </w:rPr>
        <w:t>11.3 Excluded measures</w:t>
      </w:r>
      <w:r>
        <w:rPr>
          <w:rFonts w:ascii="Calibri" w:hAnsi="Calibri" w:eastAsia="Microsoft YaHei"/>
          <w:color w:val="3A7086"/>
          <w:sz w:val="20"/>
        </w:rPr>
        <w:tab/>
      </w:r>
      <w:r>
        <w:rPr>
          <w:rFonts w:ascii="Calibri" w:hAnsi="Calibri" w:eastAsia="Microsoft YaHei" w:cs="Calibri"/>
          <w:color w:val="3A7086"/>
          <w:sz w:val="20"/>
          <w:szCs w:val="20"/>
        </w:rPr>
        <w:t>29</w:t>
      </w:r>
    </w:p>
    <w:p>
      <w:pPr>
        <w:pStyle w:val="TOC3"/>
      </w:pPr>
      <w:r>
        <w:rPr>
          <w:rFonts w:ascii="Calibri" w:hAnsi="Calibri" w:eastAsia="Microsoft YaHei" w:cs="Calibri"/>
          <w:color w:val="3A7086"/>
          <w:sz w:val="20"/>
          <w:szCs w:val="20"/>
        </w:rPr>
        <w:t>11.4 The joint openness declaration</w:t>
      </w:r>
      <w:r>
        <w:rPr>
          <w:rFonts w:ascii="Calibri" w:hAnsi="Calibri" w:eastAsia="Microsoft YaHei"/>
          <w:color w:val="3A7086"/>
          <w:sz w:val="20"/>
        </w:rPr>
        <w:tab/>
      </w:r>
      <w:r>
        <w:rPr>
          <w:rFonts w:ascii="Calibri" w:hAnsi="Calibri" w:eastAsia="Microsoft YaHei" w:cs="Calibri"/>
          <w:color w:val="3A7086"/>
          <w:sz w:val="20"/>
          <w:szCs w:val="20"/>
        </w:rPr>
        <w:t>29</w:t>
      </w:r>
    </w:p>
    <w:p>
      <w:pPr>
        <w:pStyle w:val="TOC3"/>
      </w:pPr>
      <w:r>
        <w:rPr>
          <w:rFonts w:ascii="Calibri" w:hAnsi="Calibri" w:eastAsia="Microsoft YaHei" w:cs="Calibri"/>
          <w:color w:val="3A7086"/>
          <w:sz w:val="20"/>
          <w:szCs w:val="20"/>
        </w:rPr>
        <w:t>11.5 Safe passage services</w:t>
      </w:r>
      <w:r>
        <w:rPr>
          <w:rFonts w:ascii="Calibri" w:hAnsi="Calibri" w:eastAsia="Microsoft YaHei"/>
          <w:color w:val="3A7086"/>
          <w:sz w:val="20"/>
        </w:rPr>
        <w:tab/>
      </w:r>
      <w:r>
        <w:rPr>
          <w:rFonts w:ascii="Calibri" w:hAnsi="Calibri" w:eastAsia="Microsoft YaHei" w:cs="Calibri"/>
          <w:color w:val="3A7086"/>
          <w:sz w:val="20"/>
          <w:szCs w:val="20"/>
        </w:rPr>
        <w:t>29</w:t>
      </w:r>
    </w:p>
    <w:p>
      <w:pPr>
        <w:pStyle w:val="TOC1"/>
      </w:pPr>
      <w:r>
        <w:rPr>
          <w:rFonts w:ascii="Calibri" w:hAnsi="Calibri" w:eastAsia="Microsoft YaHei" w:cs="Calibri"/>
          <w:b/>
          <w:color w:val="22333B"/>
          <w:sz w:val="20"/>
          <w:szCs w:val="20"/>
        </w:rPr>
        <w:t>Part III: Institutional Architecture</w:t>
      </w:r>
      <w:r>
        <w:rPr>
          <w:rFonts w:ascii="Calibri" w:hAnsi="Calibri" w:eastAsia="Microsoft YaHei"/>
          <w:b/>
          <w:color w:val="22333B"/>
          <w:sz w:val="20"/>
        </w:rPr>
        <w:tab/>
      </w:r>
      <w:r>
        <w:rPr>
          <w:rFonts w:ascii="Calibri" w:hAnsi="Calibri" w:eastAsia="Microsoft YaHei" w:cs="Calibri"/>
          <w:b/>
          <w:color w:val="22333B"/>
          <w:sz w:val="20"/>
          <w:szCs w:val="20"/>
        </w:rPr>
        <w:t>30</w:t>
      </w:r>
    </w:p>
    <w:p>
      <w:pPr>
        <w:pStyle w:val="TOC2"/>
      </w:pPr>
      <w:r>
        <w:rPr>
          <w:rFonts w:ascii="Calibri" w:hAnsi="Calibri" w:eastAsia="Microsoft YaHei" w:cs="Calibri"/>
          <w:color w:val="3A7086"/>
          <w:sz w:val="20"/>
          <w:szCs w:val="20"/>
        </w:rPr>
        <w:t>Article 12: The Daryaban Council</w:t>
      </w:r>
      <w:r>
        <w:rPr>
          <w:rFonts w:ascii="Calibri" w:hAnsi="Calibri" w:eastAsia="Microsoft YaHei"/>
          <w:color w:val="3A7086"/>
          <w:sz w:val="20"/>
        </w:rPr>
        <w:tab/>
      </w:r>
      <w:r>
        <w:rPr>
          <w:rFonts w:ascii="Calibri" w:hAnsi="Calibri" w:eastAsia="Microsoft YaHei" w:cs="Calibri"/>
          <w:color w:val="3A7086"/>
          <w:sz w:val="20"/>
          <w:szCs w:val="20"/>
        </w:rPr>
        <w:t>30</w:t>
      </w:r>
    </w:p>
    <w:p>
      <w:pPr>
        <w:pStyle w:val="TOC3"/>
      </w:pPr>
      <w:r>
        <w:rPr>
          <w:rFonts w:ascii="Calibri" w:hAnsi="Calibri" w:eastAsia="Microsoft YaHei" w:cs="Calibri"/>
          <w:color w:val="3A7086"/>
          <w:sz w:val="20"/>
          <w:szCs w:val="20"/>
        </w:rPr>
        <w:t>12.1 Composition</w:t>
      </w:r>
      <w:r>
        <w:rPr>
          <w:rFonts w:ascii="Calibri" w:hAnsi="Calibri" w:eastAsia="Microsoft YaHei"/>
          <w:color w:val="3A7086"/>
          <w:sz w:val="20"/>
        </w:rPr>
        <w:tab/>
      </w:r>
      <w:r>
        <w:rPr>
          <w:rFonts w:ascii="Calibri" w:hAnsi="Calibri" w:eastAsia="Microsoft YaHei" w:cs="Calibri"/>
          <w:color w:val="3A7086"/>
          <w:sz w:val="20"/>
          <w:szCs w:val="20"/>
        </w:rPr>
        <w:t>30</w:t>
      </w:r>
    </w:p>
    <w:p>
      <w:pPr>
        <w:pStyle w:val="TOC3"/>
      </w:pPr>
      <w:r>
        <w:rPr>
          <w:rFonts w:ascii="Calibri" w:hAnsi="Calibri" w:eastAsia="Microsoft YaHei" w:cs="Calibri"/>
          <w:color w:val="3A7086"/>
          <w:sz w:val="20"/>
          <w:szCs w:val="20"/>
        </w:rPr>
        <w:t>12.2 Functions</w:t>
      </w:r>
      <w:r>
        <w:rPr>
          <w:rFonts w:ascii="Calibri" w:hAnsi="Calibri" w:eastAsia="Microsoft YaHei"/>
          <w:color w:val="3A7086"/>
          <w:sz w:val="20"/>
        </w:rPr>
        <w:tab/>
      </w:r>
      <w:r>
        <w:rPr>
          <w:rFonts w:ascii="Calibri" w:hAnsi="Calibri" w:eastAsia="Microsoft YaHei" w:cs="Calibri"/>
          <w:color w:val="3A7086"/>
          <w:sz w:val="20"/>
          <w:szCs w:val="20"/>
        </w:rPr>
        <w:t>30</w:t>
      </w:r>
    </w:p>
    <w:p>
      <w:pPr>
        <w:pStyle w:val="TOC3"/>
      </w:pPr>
      <w:r>
        <w:rPr>
          <w:rFonts w:ascii="Calibri" w:hAnsi="Calibri" w:eastAsia="Microsoft YaHei" w:cs="Calibri"/>
          <w:color w:val="3A7086"/>
          <w:sz w:val="20"/>
          <w:szCs w:val="20"/>
        </w:rPr>
        <w:t>12.3 Meetings and cadence</w:t>
      </w:r>
      <w:r>
        <w:rPr>
          <w:rFonts w:ascii="Calibri" w:hAnsi="Calibri" w:eastAsia="Microsoft YaHei"/>
          <w:color w:val="3A7086"/>
          <w:sz w:val="20"/>
        </w:rPr>
        <w:tab/>
      </w:r>
      <w:r>
        <w:rPr>
          <w:rFonts w:ascii="Calibri" w:hAnsi="Calibri" w:eastAsia="Microsoft YaHei" w:cs="Calibri"/>
          <w:color w:val="3A7086"/>
          <w:sz w:val="20"/>
          <w:szCs w:val="20"/>
        </w:rPr>
        <w:t>30</w:t>
      </w:r>
    </w:p>
    <w:p>
      <w:pPr>
        <w:pStyle w:val="TOC3"/>
      </w:pPr>
      <w:r>
        <w:rPr>
          <w:rFonts w:ascii="Calibri" w:hAnsi="Calibri" w:eastAsia="Microsoft YaHei" w:cs="Calibri"/>
          <w:color w:val="3A7086"/>
          <w:sz w:val="20"/>
          <w:szCs w:val="20"/>
        </w:rPr>
        <w:t>12.4 The Central Corridor Management Council</w:t>
      </w:r>
      <w:r>
        <w:rPr>
          <w:rFonts w:ascii="Calibri" w:hAnsi="Calibri" w:eastAsia="Microsoft YaHei"/>
          <w:color w:val="3A7086"/>
          <w:sz w:val="20"/>
        </w:rPr>
        <w:tab/>
      </w:r>
      <w:r>
        <w:rPr>
          <w:rFonts w:ascii="Calibri" w:hAnsi="Calibri" w:eastAsia="Microsoft YaHei" w:cs="Calibri"/>
          <w:color w:val="3A7086"/>
          <w:sz w:val="20"/>
          <w:szCs w:val="20"/>
        </w:rPr>
        <w:t>31</w:t>
      </w:r>
    </w:p>
    <w:p>
      <w:pPr>
        <w:pStyle w:val="TOC2"/>
      </w:pPr>
      <w:r>
        <w:rPr>
          <w:rFonts w:ascii="Calibri" w:hAnsi="Calibri" w:eastAsia="Microsoft YaHei" w:cs="Calibri"/>
          <w:color w:val="3A7086"/>
          <w:sz w:val="20"/>
          <w:szCs w:val="20"/>
        </w:rPr>
        <w:t>Article 13: The Daryaban Operations Center and the Technical Committee</w:t>
      </w:r>
      <w:r>
        <w:rPr>
          <w:rFonts w:ascii="Calibri" w:hAnsi="Calibri" w:eastAsia="Microsoft YaHei"/>
          <w:color w:val="3A7086"/>
          <w:sz w:val="20"/>
        </w:rPr>
        <w:tab/>
      </w:r>
      <w:r>
        <w:rPr>
          <w:rFonts w:ascii="Calibri" w:hAnsi="Calibri" w:eastAsia="Microsoft YaHei" w:cs="Calibri"/>
          <w:color w:val="3A7086"/>
          <w:sz w:val="20"/>
          <w:szCs w:val="20"/>
        </w:rPr>
        <w:t>31</w:t>
      </w:r>
    </w:p>
    <w:p>
      <w:pPr>
        <w:pStyle w:val="TOC3"/>
      </w:pPr>
      <w:r>
        <w:rPr>
          <w:rFonts w:ascii="Calibri" w:hAnsi="Calibri" w:eastAsia="Microsoft YaHei" w:cs="Calibri"/>
          <w:color w:val="3A7086"/>
          <w:sz w:val="20"/>
          <w:szCs w:val="20"/>
        </w:rPr>
        <w:t>13.1 Seat and mirror facility</w:t>
      </w:r>
      <w:r>
        <w:rPr>
          <w:rFonts w:ascii="Calibri" w:hAnsi="Calibri" w:eastAsia="Microsoft YaHei"/>
          <w:color w:val="3A7086"/>
          <w:sz w:val="20"/>
        </w:rPr>
        <w:tab/>
      </w:r>
      <w:r>
        <w:rPr>
          <w:rFonts w:ascii="Calibri" w:hAnsi="Calibri" w:eastAsia="Microsoft YaHei" w:cs="Calibri"/>
          <w:color w:val="3A7086"/>
          <w:sz w:val="20"/>
          <w:szCs w:val="20"/>
        </w:rPr>
        <w:t>31</w:t>
      </w:r>
    </w:p>
    <w:p>
      <w:pPr>
        <w:pStyle w:val="TOC3"/>
      </w:pPr>
      <w:r>
        <w:rPr>
          <w:rFonts w:ascii="Calibri" w:hAnsi="Calibri" w:eastAsia="Microsoft YaHei" w:cs="Calibri"/>
          <w:color w:val="3A7086"/>
          <w:sz w:val="20"/>
          <w:szCs w:val="20"/>
        </w:rPr>
        <w:t>13.2 Co-equal staffing</w:t>
      </w:r>
      <w:r>
        <w:rPr>
          <w:rFonts w:ascii="Calibri" w:hAnsi="Calibri" w:eastAsia="Microsoft YaHei"/>
          <w:color w:val="3A7086"/>
          <w:sz w:val="20"/>
        </w:rPr>
        <w:tab/>
      </w:r>
      <w:r>
        <w:rPr>
          <w:rFonts w:ascii="Calibri" w:hAnsi="Calibri" w:eastAsia="Microsoft YaHei" w:cs="Calibri"/>
          <w:color w:val="3A7086"/>
          <w:sz w:val="20"/>
          <w:szCs w:val="20"/>
        </w:rPr>
        <w:t>31</w:t>
      </w:r>
    </w:p>
    <w:p>
      <w:pPr>
        <w:pStyle w:val="TOC3"/>
      </w:pPr>
      <w:r>
        <w:rPr>
          <w:rFonts w:ascii="Calibri" w:hAnsi="Calibri" w:eastAsia="Microsoft YaHei" w:cs="Calibri"/>
          <w:color w:val="3A7086"/>
          <w:sz w:val="20"/>
          <w:szCs w:val="20"/>
        </w:rPr>
        <w:t>13.3 The watch floor</w:t>
      </w:r>
      <w:r>
        <w:rPr>
          <w:rFonts w:ascii="Calibri" w:hAnsi="Calibri" w:eastAsia="Microsoft YaHei"/>
          <w:color w:val="3A7086"/>
          <w:sz w:val="20"/>
        </w:rPr>
        <w:tab/>
      </w:r>
      <w:r>
        <w:rPr>
          <w:rFonts w:ascii="Calibri" w:hAnsi="Calibri" w:eastAsia="Microsoft YaHei" w:cs="Calibri"/>
          <w:color w:val="3A7086"/>
          <w:sz w:val="20"/>
          <w:szCs w:val="20"/>
        </w:rPr>
        <w:t>32</w:t>
      </w:r>
    </w:p>
    <w:p>
      <w:pPr>
        <w:pStyle w:val="TOC3"/>
      </w:pPr>
      <w:r>
        <w:rPr>
          <w:rFonts w:ascii="Calibri" w:hAnsi="Calibri" w:eastAsia="Microsoft YaHei" w:cs="Calibri"/>
          <w:color w:val="3A7086"/>
          <w:sz w:val="20"/>
          <w:szCs w:val="20"/>
        </w:rPr>
        <w:t>13.4 Functions and limits</w:t>
      </w:r>
      <w:r>
        <w:rPr>
          <w:rFonts w:ascii="Calibri" w:hAnsi="Calibri" w:eastAsia="Microsoft YaHei"/>
          <w:color w:val="3A7086"/>
          <w:sz w:val="20"/>
        </w:rPr>
        <w:tab/>
      </w:r>
      <w:r>
        <w:rPr>
          <w:rFonts w:ascii="Calibri" w:hAnsi="Calibri" w:eastAsia="Microsoft YaHei" w:cs="Calibri"/>
          <w:color w:val="3A7086"/>
          <w:sz w:val="20"/>
          <w:szCs w:val="20"/>
        </w:rPr>
        <w:t>32</w:t>
      </w:r>
    </w:p>
    <w:p>
      <w:pPr>
        <w:pStyle w:val="TOC3"/>
      </w:pPr>
      <w:r>
        <w:rPr>
          <w:rFonts w:ascii="Calibri" w:hAnsi="Calibri" w:eastAsia="Microsoft YaHei" w:cs="Calibri"/>
          <w:color w:val="3A7086"/>
          <w:sz w:val="20"/>
          <w:szCs w:val="20"/>
        </w:rPr>
        <w:t>13.5 Data custody</w:t>
      </w:r>
      <w:r>
        <w:rPr>
          <w:rFonts w:ascii="Calibri" w:hAnsi="Calibri" w:eastAsia="Microsoft YaHei"/>
          <w:color w:val="3A7086"/>
          <w:sz w:val="20"/>
        </w:rPr>
        <w:tab/>
      </w:r>
      <w:r>
        <w:rPr>
          <w:rFonts w:ascii="Calibri" w:hAnsi="Calibri" w:eastAsia="Microsoft YaHei" w:cs="Calibri"/>
          <w:color w:val="3A7086"/>
          <w:sz w:val="20"/>
          <w:szCs w:val="20"/>
        </w:rPr>
        <w:t>32</w:t>
      </w:r>
    </w:p>
    <w:p>
      <w:pPr>
        <w:pStyle w:val="TOC3"/>
      </w:pPr>
      <w:r>
        <w:rPr>
          <w:rFonts w:ascii="Calibri" w:hAnsi="Calibri" w:eastAsia="Microsoft YaHei" w:cs="Calibri"/>
          <w:color w:val="3A7086"/>
          <w:sz w:val="20"/>
          <w:szCs w:val="20"/>
        </w:rPr>
        <w:t>13.6 The Civilian Character Clause</w:t>
      </w:r>
      <w:r>
        <w:rPr>
          <w:rFonts w:ascii="Calibri" w:hAnsi="Calibri" w:eastAsia="Microsoft YaHei"/>
          <w:color w:val="3A7086"/>
          <w:sz w:val="20"/>
        </w:rPr>
        <w:tab/>
      </w:r>
      <w:r>
        <w:rPr>
          <w:rFonts w:ascii="Calibri" w:hAnsi="Calibri" w:eastAsia="Microsoft YaHei" w:cs="Calibri"/>
          <w:color w:val="3A7086"/>
          <w:sz w:val="20"/>
          <w:szCs w:val="20"/>
        </w:rPr>
        <w:t>32</w:t>
      </w:r>
    </w:p>
    <w:p>
      <w:pPr>
        <w:pStyle w:val="TOC3"/>
      </w:pPr>
      <w:r>
        <w:rPr>
          <w:rFonts w:ascii="Calibri" w:hAnsi="Calibri" w:eastAsia="Microsoft YaHei" w:cs="Calibri"/>
          <w:color w:val="3A7086"/>
          <w:sz w:val="20"/>
          <w:szCs w:val="20"/>
        </w:rPr>
        <w:t>13.7 The Technical and Standards Committee</w:t>
      </w:r>
      <w:r>
        <w:rPr>
          <w:rFonts w:ascii="Calibri" w:hAnsi="Calibri" w:eastAsia="Microsoft YaHei"/>
          <w:color w:val="3A7086"/>
          <w:sz w:val="20"/>
        </w:rPr>
        <w:tab/>
      </w:r>
      <w:r>
        <w:rPr>
          <w:rFonts w:ascii="Calibri" w:hAnsi="Calibri" w:eastAsia="Microsoft YaHei" w:cs="Calibri"/>
          <w:color w:val="3A7086"/>
          <w:sz w:val="20"/>
          <w:szCs w:val="20"/>
        </w:rPr>
        <w:t>33</w:t>
      </w:r>
    </w:p>
    <w:p>
      <w:pPr>
        <w:pStyle w:val="TOC3"/>
      </w:pPr>
      <w:r>
        <w:rPr>
          <w:rFonts w:ascii="Calibri" w:hAnsi="Calibri" w:eastAsia="Microsoft YaHei" w:cs="Calibri"/>
          <w:color w:val="3A7086"/>
          <w:sz w:val="20"/>
          <w:szCs w:val="20"/>
        </w:rPr>
        <w:t>13.8 Working language</w:t>
      </w:r>
      <w:r>
        <w:rPr>
          <w:rFonts w:ascii="Calibri" w:hAnsi="Calibri" w:eastAsia="Microsoft YaHei"/>
          <w:color w:val="3A7086"/>
          <w:sz w:val="20"/>
        </w:rPr>
        <w:tab/>
      </w:r>
      <w:r>
        <w:rPr>
          <w:rFonts w:ascii="Calibri" w:hAnsi="Calibri" w:eastAsia="Microsoft YaHei" w:cs="Calibri"/>
          <w:color w:val="3A7086"/>
          <w:sz w:val="20"/>
          <w:szCs w:val="20"/>
        </w:rPr>
        <w:t>33</w:t>
      </w:r>
    </w:p>
    <w:p>
      <w:pPr>
        <w:pStyle w:val="TOC3"/>
      </w:pPr>
      <w:r>
        <w:rPr>
          <w:rFonts w:ascii="Calibri" w:hAnsi="Calibri" w:eastAsia="Microsoft YaHei" w:cs="Calibri"/>
          <w:color w:val="3A7086"/>
          <w:sz w:val="20"/>
          <w:szCs w:val="20"/>
        </w:rPr>
        <w:t>13.9 System integrity</w:t>
      </w:r>
      <w:r>
        <w:rPr>
          <w:rFonts w:ascii="Calibri" w:hAnsi="Calibri" w:eastAsia="Microsoft YaHei"/>
          <w:color w:val="3A7086"/>
          <w:sz w:val="20"/>
        </w:rPr>
        <w:tab/>
      </w:r>
      <w:r>
        <w:rPr>
          <w:rFonts w:ascii="Calibri" w:hAnsi="Calibri" w:eastAsia="Microsoft YaHei" w:cs="Calibri"/>
          <w:color w:val="3A7086"/>
          <w:sz w:val="20"/>
          <w:szCs w:val="20"/>
        </w:rPr>
        <w:t>33</w:t>
      </w:r>
    </w:p>
    <w:p>
      <w:pPr>
        <w:pStyle w:val="TOC3"/>
      </w:pPr>
      <w:r>
        <w:rPr>
          <w:rFonts w:ascii="Calibri" w:hAnsi="Calibri" w:eastAsia="Microsoft YaHei" w:cs="Calibri"/>
          <w:color w:val="3A7086"/>
          <w:sz w:val="20"/>
          <w:szCs w:val="20"/>
        </w:rPr>
        <w:t>13.10 Whistleblower protection</w:t>
      </w:r>
      <w:r>
        <w:rPr>
          <w:rFonts w:ascii="Calibri" w:hAnsi="Calibri" w:eastAsia="Microsoft YaHei"/>
          <w:color w:val="3A7086"/>
          <w:sz w:val="20"/>
        </w:rPr>
        <w:tab/>
      </w:r>
      <w:r>
        <w:rPr>
          <w:rFonts w:ascii="Calibri" w:hAnsi="Calibri" w:eastAsia="Microsoft YaHei" w:cs="Calibri"/>
          <w:color w:val="3A7086"/>
          <w:sz w:val="20"/>
          <w:szCs w:val="20"/>
        </w:rPr>
        <w:t>34</w:t>
      </w:r>
    </w:p>
    <w:p>
      <w:pPr>
        <w:pStyle w:val="TOC3"/>
      </w:pPr>
      <w:r>
        <w:rPr>
          <w:rFonts w:ascii="Calibri" w:hAnsi="Calibri" w:eastAsia="Microsoft YaHei" w:cs="Calibri"/>
          <w:color w:val="3A7086"/>
          <w:sz w:val="20"/>
          <w:szCs w:val="20"/>
        </w:rPr>
        <w:t>13.11 Physical security</w:t>
      </w:r>
      <w:r>
        <w:rPr>
          <w:rFonts w:ascii="Calibri" w:hAnsi="Calibri" w:eastAsia="Microsoft YaHei"/>
          <w:color w:val="3A7086"/>
          <w:sz w:val="20"/>
        </w:rPr>
        <w:tab/>
      </w:r>
      <w:r>
        <w:rPr>
          <w:rFonts w:ascii="Calibri" w:hAnsi="Calibri" w:eastAsia="Microsoft YaHei" w:cs="Calibri"/>
          <w:color w:val="3A7086"/>
          <w:sz w:val="20"/>
          <w:szCs w:val="20"/>
        </w:rPr>
        <w:t>34</w:t>
      </w:r>
    </w:p>
    <w:p>
      <w:pPr>
        <w:pStyle w:val="TOC3"/>
      </w:pPr>
      <w:r>
        <w:rPr>
          <w:rFonts w:ascii="Calibri" w:hAnsi="Calibri" w:eastAsia="Microsoft YaHei" w:cs="Calibri"/>
          <w:color w:val="3A7086"/>
          <w:sz w:val="20"/>
          <w:szCs w:val="20"/>
        </w:rPr>
        <w:t>13.12 Supply chain integrity</w:t>
      </w:r>
      <w:r>
        <w:rPr>
          <w:rFonts w:ascii="Calibri" w:hAnsi="Calibri" w:eastAsia="Microsoft YaHei"/>
          <w:color w:val="3A7086"/>
          <w:sz w:val="20"/>
        </w:rPr>
        <w:tab/>
      </w:r>
      <w:r>
        <w:rPr>
          <w:rFonts w:ascii="Calibri" w:hAnsi="Calibri" w:eastAsia="Microsoft YaHei" w:cs="Calibri"/>
          <w:color w:val="3A7086"/>
          <w:sz w:val="20"/>
          <w:szCs w:val="20"/>
        </w:rPr>
        <w:t>34</w:t>
      </w:r>
    </w:p>
    <w:p>
      <w:pPr>
        <w:pStyle w:val="TOC2"/>
      </w:pPr>
      <w:r>
        <w:rPr>
          <w:rFonts w:ascii="Calibri" w:hAnsi="Calibri" w:eastAsia="Microsoft YaHei" w:cs="Calibri"/>
          <w:color w:val="3A7086"/>
          <w:sz w:val="20"/>
          <w:szCs w:val="20"/>
        </w:rPr>
        <w:t>Article 14: Participation Architecture and the Role of the United States</w:t>
      </w:r>
      <w:r>
        <w:rPr>
          <w:rFonts w:ascii="Calibri" w:hAnsi="Calibri" w:eastAsia="Microsoft YaHei"/>
          <w:color w:val="3A7086"/>
          <w:sz w:val="20"/>
        </w:rPr>
        <w:tab/>
      </w:r>
      <w:r>
        <w:rPr>
          <w:rFonts w:ascii="Calibri" w:hAnsi="Calibri" w:eastAsia="Microsoft YaHei" w:cs="Calibri"/>
          <w:color w:val="3A7086"/>
          <w:sz w:val="20"/>
          <w:szCs w:val="20"/>
        </w:rPr>
        <w:t>34</w:t>
      </w:r>
    </w:p>
    <w:p>
      <w:pPr>
        <w:pStyle w:val="TOC3"/>
      </w:pPr>
      <w:r>
        <w:rPr>
          <w:rFonts w:ascii="Calibri" w:hAnsi="Calibri" w:eastAsia="Microsoft YaHei" w:cs="Calibri"/>
          <w:color w:val="3A7086"/>
          <w:sz w:val="20"/>
          <w:szCs w:val="20"/>
        </w:rPr>
        <w:t>14.1 The participation layers</w:t>
      </w:r>
      <w:r>
        <w:rPr>
          <w:rFonts w:ascii="Calibri" w:hAnsi="Calibri" w:eastAsia="Microsoft YaHei"/>
          <w:color w:val="3A7086"/>
          <w:sz w:val="20"/>
        </w:rPr>
        <w:tab/>
      </w:r>
      <w:r>
        <w:rPr>
          <w:rFonts w:ascii="Calibri" w:hAnsi="Calibri" w:eastAsia="Microsoft YaHei" w:cs="Calibri"/>
          <w:color w:val="3A7086"/>
          <w:sz w:val="20"/>
          <w:szCs w:val="20"/>
        </w:rPr>
        <w:t>34</w:t>
      </w:r>
    </w:p>
    <w:p>
      <w:pPr>
        <w:pStyle w:val="TOC3"/>
      </w:pPr>
      <w:r>
        <w:rPr>
          <w:rFonts w:ascii="Calibri" w:hAnsi="Calibri" w:eastAsia="Microsoft YaHei" w:cs="Calibri"/>
          <w:color w:val="3A7086"/>
          <w:sz w:val="20"/>
          <w:szCs w:val="20"/>
        </w:rPr>
        <w:t>14.2 The United States as Endorsing Stakeholder</w:t>
      </w:r>
      <w:r>
        <w:rPr>
          <w:rFonts w:ascii="Calibri" w:hAnsi="Calibri" w:eastAsia="Microsoft YaHei"/>
          <w:color w:val="3A7086"/>
          <w:sz w:val="20"/>
        </w:rPr>
        <w:tab/>
      </w:r>
      <w:r>
        <w:rPr>
          <w:rFonts w:ascii="Calibri" w:hAnsi="Calibri" w:eastAsia="Microsoft YaHei" w:cs="Calibri"/>
          <w:color w:val="3A7086"/>
          <w:sz w:val="20"/>
          <w:szCs w:val="20"/>
        </w:rPr>
        <w:t>35</w:t>
      </w:r>
    </w:p>
    <w:p>
      <w:pPr>
        <w:pStyle w:val="TOC3"/>
      </w:pPr>
      <w:r>
        <w:rPr>
          <w:rFonts w:ascii="Calibri" w:hAnsi="Calibri" w:eastAsia="Microsoft YaHei" w:cs="Calibri"/>
          <w:color w:val="3A7086"/>
          <w:sz w:val="20"/>
          <w:szCs w:val="20"/>
        </w:rPr>
        <w:t>14.3 Observer states</w:t>
      </w:r>
      <w:r>
        <w:rPr>
          <w:rFonts w:ascii="Calibri" w:hAnsi="Calibri" w:eastAsia="Microsoft YaHei"/>
          <w:color w:val="3A7086"/>
          <w:sz w:val="20"/>
        </w:rPr>
        <w:tab/>
      </w:r>
      <w:r>
        <w:rPr>
          <w:rFonts w:ascii="Calibri" w:hAnsi="Calibri" w:eastAsia="Microsoft YaHei" w:cs="Calibri"/>
          <w:color w:val="3A7086"/>
          <w:sz w:val="20"/>
          <w:szCs w:val="20"/>
        </w:rPr>
        <w:t>35</w:t>
      </w:r>
    </w:p>
    <w:p>
      <w:pPr>
        <w:pStyle w:val="TOC3"/>
      </w:pPr>
      <w:r>
        <w:rPr>
          <w:rFonts w:ascii="Calibri" w:hAnsi="Calibri" w:eastAsia="Microsoft YaHei" w:cs="Calibri"/>
          <w:color w:val="3A7086"/>
          <w:sz w:val="20"/>
          <w:szCs w:val="20"/>
        </w:rPr>
        <w:t>14.4 The Stakeholder Panel</w:t>
      </w:r>
      <w:r>
        <w:rPr>
          <w:rFonts w:ascii="Calibri" w:hAnsi="Calibri" w:eastAsia="Microsoft YaHei"/>
          <w:color w:val="3A7086"/>
          <w:sz w:val="20"/>
        </w:rPr>
        <w:tab/>
      </w:r>
      <w:r>
        <w:rPr>
          <w:rFonts w:ascii="Calibri" w:hAnsi="Calibri" w:eastAsia="Microsoft YaHei" w:cs="Calibri"/>
          <w:color w:val="3A7086"/>
          <w:sz w:val="20"/>
          <w:szCs w:val="20"/>
        </w:rPr>
        <w:t>36</w:t>
      </w:r>
    </w:p>
    <w:p>
      <w:pPr>
        <w:pStyle w:val="TOC3"/>
      </w:pPr>
      <w:r>
        <w:rPr>
          <w:rFonts w:ascii="Calibri" w:hAnsi="Calibri" w:eastAsia="Microsoft YaHei" w:cs="Calibri"/>
          <w:color w:val="3A7086"/>
          <w:sz w:val="20"/>
          <w:szCs w:val="20"/>
        </w:rPr>
        <w:t>14.5 No external command</w:t>
      </w:r>
      <w:r>
        <w:rPr>
          <w:rFonts w:ascii="Calibri" w:hAnsi="Calibri" w:eastAsia="Microsoft YaHei"/>
          <w:color w:val="3A7086"/>
          <w:sz w:val="20"/>
        </w:rPr>
        <w:tab/>
      </w:r>
      <w:r>
        <w:rPr>
          <w:rFonts w:ascii="Calibri" w:hAnsi="Calibri" w:eastAsia="Microsoft YaHei" w:cs="Calibri"/>
          <w:color w:val="3A7086"/>
          <w:sz w:val="20"/>
          <w:szCs w:val="20"/>
        </w:rPr>
        <w:t>36</w:t>
      </w:r>
    </w:p>
    <w:p>
      <w:pPr>
        <w:pStyle w:val="TOC3"/>
      </w:pPr>
      <w:r>
        <w:rPr>
          <w:rFonts w:ascii="Calibri" w:hAnsi="Calibri" w:eastAsia="Microsoft YaHei" w:cs="Calibri"/>
          <w:color w:val="3A7086"/>
          <w:sz w:val="20"/>
          <w:szCs w:val="20"/>
        </w:rPr>
        <w:t>14.6 Non-participation</w:t>
      </w:r>
      <w:r>
        <w:rPr>
          <w:rFonts w:ascii="Calibri" w:hAnsi="Calibri" w:eastAsia="Microsoft YaHei"/>
          <w:color w:val="3A7086"/>
          <w:sz w:val="20"/>
        </w:rPr>
        <w:tab/>
      </w:r>
      <w:r>
        <w:rPr>
          <w:rFonts w:ascii="Calibri" w:hAnsi="Calibri" w:eastAsia="Microsoft YaHei" w:cs="Calibri"/>
          <w:color w:val="3A7086"/>
          <w:sz w:val="20"/>
          <w:szCs w:val="20"/>
        </w:rPr>
        <w:t>36</w:t>
      </w:r>
    </w:p>
    <w:p>
      <w:pPr>
        <w:pStyle w:val="TOC3"/>
      </w:pPr>
      <w:r>
        <w:rPr>
          <w:rFonts w:ascii="Calibri" w:hAnsi="Calibri" w:eastAsia="Microsoft YaHei" w:cs="Calibri"/>
          <w:color w:val="3A7086"/>
          <w:sz w:val="20"/>
          <w:szCs w:val="20"/>
        </w:rPr>
        <w:t>14.7 Public accountability</w:t>
      </w:r>
      <w:r>
        <w:rPr>
          <w:rFonts w:ascii="Calibri" w:hAnsi="Calibri" w:eastAsia="Microsoft YaHei"/>
          <w:color w:val="3A7086"/>
          <w:sz w:val="20"/>
        </w:rPr>
        <w:tab/>
      </w:r>
      <w:r>
        <w:rPr>
          <w:rFonts w:ascii="Calibri" w:hAnsi="Calibri" w:eastAsia="Microsoft YaHei" w:cs="Calibri"/>
          <w:color w:val="3A7086"/>
          <w:sz w:val="20"/>
          <w:szCs w:val="20"/>
        </w:rPr>
        <w:t>36</w:t>
      </w:r>
    </w:p>
    <w:p>
      <w:pPr>
        <w:pStyle w:val="TOC3"/>
      </w:pPr>
      <w:r>
        <w:rPr>
          <w:rFonts w:ascii="Calibri" w:hAnsi="Calibri" w:eastAsia="Microsoft YaHei" w:cs="Calibri"/>
          <w:color w:val="3A7086"/>
          <w:sz w:val="20"/>
          <w:szCs w:val="20"/>
        </w:rPr>
        <w:t>14.8 Regional dialogue</w:t>
      </w:r>
      <w:r>
        <w:rPr>
          <w:rFonts w:ascii="Calibri" w:hAnsi="Calibri" w:eastAsia="Microsoft YaHei"/>
          <w:color w:val="3A7086"/>
          <w:sz w:val="20"/>
        </w:rPr>
        <w:tab/>
      </w:r>
      <w:r>
        <w:rPr>
          <w:rFonts w:ascii="Calibri" w:hAnsi="Calibri" w:eastAsia="Microsoft YaHei" w:cs="Calibri"/>
          <w:color w:val="3A7086"/>
          <w:sz w:val="20"/>
          <w:szCs w:val="20"/>
        </w:rPr>
        <w:t>36</w:t>
      </w:r>
    </w:p>
    <w:p>
      <w:pPr>
        <w:pStyle w:val="TOC3"/>
      </w:pPr>
      <w:r>
        <w:rPr>
          <w:rFonts w:ascii="Calibri" w:hAnsi="Calibri" w:eastAsia="Microsoft YaHei" w:cs="Calibri"/>
          <w:color w:val="3A7086"/>
          <w:sz w:val="20"/>
          <w:szCs w:val="20"/>
        </w:rPr>
        <w:t>14.9 User feedback channel</w:t>
      </w:r>
      <w:r>
        <w:rPr>
          <w:rFonts w:ascii="Calibri" w:hAnsi="Calibri" w:eastAsia="Microsoft YaHei"/>
          <w:color w:val="3A7086"/>
          <w:sz w:val="20"/>
        </w:rPr>
        <w:tab/>
      </w:r>
      <w:r>
        <w:rPr>
          <w:rFonts w:ascii="Calibri" w:hAnsi="Calibri" w:eastAsia="Microsoft YaHei" w:cs="Calibri"/>
          <w:color w:val="3A7086"/>
          <w:sz w:val="20"/>
          <w:szCs w:val="20"/>
        </w:rPr>
        <w:t>36</w:t>
      </w:r>
    </w:p>
    <w:p>
      <w:pPr>
        <w:pStyle w:val="TOC2"/>
      </w:pPr>
      <w:r>
        <w:rPr>
          <w:rFonts w:ascii="Calibri" w:hAnsi="Calibri" w:eastAsia="Microsoft YaHei" w:cs="Calibri"/>
          <w:color w:val="3A7086"/>
          <w:sz w:val="20"/>
          <w:szCs w:val="20"/>
        </w:rPr>
        <w:t>Article 15: Decision Rules</w:t>
      </w:r>
      <w:r>
        <w:rPr>
          <w:rFonts w:ascii="Calibri" w:hAnsi="Calibri" w:eastAsia="Microsoft YaHei"/>
          <w:color w:val="3A7086"/>
          <w:sz w:val="20"/>
        </w:rPr>
        <w:tab/>
      </w:r>
      <w:r>
        <w:rPr>
          <w:rFonts w:ascii="Calibri" w:hAnsi="Calibri" w:eastAsia="Microsoft YaHei" w:cs="Calibri"/>
          <w:color w:val="3A7086"/>
          <w:sz w:val="20"/>
          <w:szCs w:val="20"/>
        </w:rPr>
        <w:t>37</w:t>
      </w:r>
    </w:p>
    <w:p>
      <w:pPr>
        <w:pStyle w:val="TOC3"/>
      </w:pPr>
      <w:r>
        <w:rPr>
          <w:rFonts w:ascii="Calibri" w:hAnsi="Calibri" w:eastAsia="Microsoft YaHei" w:cs="Calibri"/>
          <w:color w:val="3A7086"/>
          <w:sz w:val="20"/>
          <w:szCs w:val="20"/>
        </w:rPr>
        <w:t>15.1 The three tracks</w:t>
      </w:r>
      <w:r>
        <w:rPr>
          <w:rFonts w:ascii="Calibri" w:hAnsi="Calibri" w:eastAsia="Microsoft YaHei"/>
          <w:color w:val="3A7086"/>
          <w:sz w:val="20"/>
        </w:rPr>
        <w:tab/>
      </w:r>
      <w:r>
        <w:rPr>
          <w:rFonts w:ascii="Calibri" w:hAnsi="Calibri" w:eastAsia="Microsoft YaHei" w:cs="Calibri"/>
          <w:color w:val="3A7086"/>
          <w:sz w:val="20"/>
          <w:szCs w:val="20"/>
        </w:rPr>
        <w:t>37</w:t>
      </w:r>
    </w:p>
    <w:p>
      <w:pPr>
        <w:pStyle w:val="TOC3"/>
      </w:pPr>
      <w:r>
        <w:rPr>
          <w:rFonts w:ascii="Calibri" w:hAnsi="Calibri" w:eastAsia="Microsoft YaHei" w:cs="Calibri"/>
          <w:color w:val="3A7086"/>
          <w:sz w:val="20"/>
          <w:szCs w:val="20"/>
        </w:rPr>
        <w:t>15.2 The Twin Key Rule</w:t>
      </w:r>
      <w:r>
        <w:rPr>
          <w:rFonts w:ascii="Calibri" w:hAnsi="Calibri" w:eastAsia="Microsoft YaHei"/>
          <w:color w:val="3A7086"/>
          <w:sz w:val="20"/>
        </w:rPr>
        <w:tab/>
      </w:r>
      <w:r>
        <w:rPr>
          <w:rFonts w:ascii="Calibri" w:hAnsi="Calibri" w:eastAsia="Microsoft YaHei" w:cs="Calibri"/>
          <w:color w:val="3A7086"/>
          <w:sz w:val="20"/>
          <w:szCs w:val="20"/>
        </w:rPr>
        <w:t>37</w:t>
      </w:r>
    </w:p>
    <w:p>
      <w:pPr>
        <w:pStyle w:val="TOC3"/>
      </w:pPr>
      <w:r>
        <w:rPr>
          <w:rFonts w:ascii="Calibri" w:hAnsi="Calibri" w:eastAsia="Microsoft YaHei" w:cs="Calibri"/>
          <w:color w:val="3A7086"/>
          <w:sz w:val="20"/>
          <w:szCs w:val="20"/>
        </w:rPr>
        <w:t>15.3 Consensus and Consensus Minus One</w:t>
      </w:r>
      <w:r>
        <w:rPr>
          <w:rFonts w:ascii="Calibri" w:hAnsi="Calibri" w:eastAsia="Microsoft YaHei"/>
          <w:color w:val="3A7086"/>
          <w:sz w:val="20"/>
        </w:rPr>
        <w:tab/>
      </w:r>
      <w:r>
        <w:rPr>
          <w:rFonts w:ascii="Calibri" w:hAnsi="Calibri" w:eastAsia="Microsoft YaHei" w:cs="Calibri"/>
          <w:color w:val="3A7086"/>
          <w:sz w:val="20"/>
          <w:szCs w:val="20"/>
        </w:rPr>
        <w:t>37</w:t>
      </w:r>
    </w:p>
    <w:p>
      <w:pPr>
        <w:pStyle w:val="TOC3"/>
      </w:pPr>
      <w:r>
        <w:rPr>
          <w:rFonts w:ascii="Calibri" w:hAnsi="Calibri" w:eastAsia="Microsoft YaHei" w:cs="Calibri"/>
          <w:color w:val="3A7086"/>
          <w:sz w:val="20"/>
          <w:szCs w:val="20"/>
        </w:rPr>
        <w:t>15.4 Technical determinations and the silence procedure</w:t>
      </w:r>
      <w:r>
        <w:rPr>
          <w:rFonts w:ascii="Calibri" w:hAnsi="Calibri" w:eastAsia="Microsoft YaHei"/>
          <w:color w:val="3A7086"/>
          <w:sz w:val="20"/>
        </w:rPr>
        <w:tab/>
      </w:r>
      <w:r>
        <w:rPr>
          <w:rFonts w:ascii="Calibri" w:hAnsi="Calibri" w:eastAsia="Microsoft YaHei" w:cs="Calibri"/>
          <w:color w:val="3A7086"/>
          <w:sz w:val="20"/>
          <w:szCs w:val="20"/>
        </w:rPr>
        <w:t>37</w:t>
      </w:r>
    </w:p>
    <w:p>
      <w:pPr>
        <w:pStyle w:val="TOC3"/>
      </w:pPr>
      <w:r>
        <w:rPr>
          <w:rFonts w:ascii="Calibri" w:hAnsi="Calibri" w:eastAsia="Microsoft YaHei" w:cs="Calibri"/>
          <w:color w:val="3A7086"/>
          <w:sz w:val="20"/>
          <w:szCs w:val="20"/>
        </w:rPr>
        <w:t>15.5 Default continuity</w:t>
      </w:r>
      <w:r>
        <w:rPr>
          <w:rFonts w:ascii="Calibri" w:hAnsi="Calibri" w:eastAsia="Microsoft YaHei"/>
          <w:color w:val="3A7086"/>
          <w:sz w:val="20"/>
        </w:rPr>
        <w:tab/>
      </w:r>
      <w:r>
        <w:rPr>
          <w:rFonts w:ascii="Calibri" w:hAnsi="Calibri" w:eastAsia="Microsoft YaHei" w:cs="Calibri"/>
          <w:color w:val="3A7086"/>
          <w:sz w:val="20"/>
          <w:szCs w:val="20"/>
        </w:rPr>
        <w:t>37</w:t>
      </w:r>
    </w:p>
    <w:p>
      <w:pPr>
        <w:pStyle w:val="TOC3"/>
      </w:pPr>
      <w:r>
        <w:rPr>
          <w:rFonts w:ascii="Calibri" w:hAnsi="Calibri" w:eastAsia="Microsoft YaHei" w:cs="Calibri"/>
          <w:color w:val="3A7086"/>
          <w:sz w:val="20"/>
          <w:szCs w:val="20"/>
        </w:rPr>
        <w:t>15.6 The Guarantor and Facilitation Panel</w:t>
      </w:r>
      <w:r>
        <w:rPr>
          <w:rFonts w:ascii="Calibri" w:hAnsi="Calibri" w:eastAsia="Microsoft YaHei"/>
          <w:color w:val="3A7086"/>
          <w:sz w:val="20"/>
        </w:rPr>
        <w:tab/>
      </w:r>
      <w:r>
        <w:rPr>
          <w:rFonts w:ascii="Calibri" w:hAnsi="Calibri" w:eastAsia="Microsoft YaHei" w:cs="Calibri"/>
          <w:color w:val="3A7086"/>
          <w:sz w:val="20"/>
          <w:szCs w:val="20"/>
        </w:rPr>
        <w:t>37</w:t>
      </w:r>
    </w:p>
    <w:p>
      <w:pPr>
        <w:pStyle w:val="TOC1"/>
      </w:pPr>
      <w:r>
        <w:rPr>
          <w:rFonts w:ascii="Calibri" w:hAnsi="Calibri" w:eastAsia="Microsoft YaHei" w:cs="Calibri"/>
          <w:b/>
          <w:color w:val="22333B"/>
          <w:sz w:val="20"/>
          <w:szCs w:val="20"/>
        </w:rPr>
        <w:t>Part IV: The Financial Architecture: The Settlement of the Toll Question</w:t>
      </w:r>
      <w:r>
        <w:rPr>
          <w:rFonts w:ascii="Calibri" w:hAnsi="Calibri" w:eastAsia="Microsoft YaHei"/>
          <w:b/>
          <w:color w:val="22333B"/>
          <w:sz w:val="20"/>
        </w:rPr>
        <w:tab/>
      </w:r>
      <w:r>
        <w:rPr>
          <w:rFonts w:ascii="Calibri" w:hAnsi="Calibri" w:eastAsia="Microsoft YaHei" w:cs="Calibri"/>
          <w:b/>
          <w:color w:val="22333B"/>
          <w:sz w:val="20"/>
          <w:szCs w:val="20"/>
        </w:rPr>
        <w:t>39</w:t>
      </w:r>
    </w:p>
    <w:p>
      <w:pPr>
        <w:pStyle w:val="TOC2"/>
      </w:pPr>
      <w:r>
        <w:rPr>
          <w:rFonts w:ascii="Calibri" w:hAnsi="Calibri" w:eastAsia="Microsoft YaHei" w:cs="Calibri"/>
          <w:color w:val="3A7086"/>
          <w:sz w:val="20"/>
          <w:szCs w:val="20"/>
        </w:rPr>
        <w:t>Article 16: The Zero-Toll Rule</w:t>
      </w:r>
      <w:r>
        <w:rPr>
          <w:rFonts w:ascii="Calibri" w:hAnsi="Calibri" w:eastAsia="Microsoft YaHei"/>
          <w:color w:val="3A7086"/>
          <w:sz w:val="20"/>
        </w:rPr>
        <w:tab/>
      </w:r>
      <w:r>
        <w:rPr>
          <w:rFonts w:ascii="Calibri" w:hAnsi="Calibri" w:eastAsia="Microsoft YaHei" w:cs="Calibri"/>
          <w:color w:val="3A7086"/>
          <w:sz w:val="20"/>
          <w:szCs w:val="20"/>
        </w:rPr>
        <w:t>39</w:t>
      </w:r>
    </w:p>
    <w:p>
      <w:pPr>
        <w:pStyle w:val="TOC3"/>
      </w:pPr>
      <w:r>
        <w:rPr>
          <w:rFonts w:ascii="Calibri" w:hAnsi="Calibri" w:eastAsia="Microsoft YaHei" w:cs="Calibri"/>
          <w:color w:val="3A7086"/>
          <w:sz w:val="20"/>
          <w:szCs w:val="20"/>
        </w:rPr>
        <w:t>16.1 The rule</w:t>
      </w:r>
      <w:r>
        <w:rPr>
          <w:rFonts w:ascii="Calibri" w:hAnsi="Calibri" w:eastAsia="Microsoft YaHei"/>
          <w:color w:val="3A7086"/>
          <w:sz w:val="20"/>
        </w:rPr>
        <w:tab/>
      </w:r>
      <w:r>
        <w:rPr>
          <w:rFonts w:ascii="Calibri" w:hAnsi="Calibri" w:eastAsia="Microsoft YaHei" w:cs="Calibri"/>
          <w:color w:val="3A7086"/>
          <w:sz w:val="20"/>
          <w:szCs w:val="20"/>
        </w:rPr>
        <w:t>39</w:t>
      </w:r>
    </w:p>
    <w:p>
      <w:pPr>
        <w:pStyle w:val="TOC3"/>
      </w:pPr>
      <w:r>
        <w:rPr>
          <w:rFonts w:ascii="Calibri" w:hAnsi="Calibri" w:eastAsia="Microsoft YaHei" w:cs="Calibri"/>
          <w:color w:val="3A7086"/>
          <w:sz w:val="20"/>
          <w:szCs w:val="20"/>
        </w:rPr>
        <w:t>16.2 Mandatory insurance excluded</w:t>
      </w:r>
      <w:r>
        <w:rPr>
          <w:rFonts w:ascii="Calibri" w:hAnsi="Calibri" w:eastAsia="Microsoft YaHei"/>
          <w:color w:val="3A7086"/>
          <w:sz w:val="20"/>
        </w:rPr>
        <w:tab/>
      </w:r>
      <w:r>
        <w:rPr>
          <w:rFonts w:ascii="Calibri" w:hAnsi="Calibri" w:eastAsia="Microsoft YaHei" w:cs="Calibri"/>
          <w:color w:val="3A7086"/>
          <w:sz w:val="20"/>
          <w:szCs w:val="20"/>
        </w:rPr>
        <w:t>39</w:t>
      </w:r>
    </w:p>
    <w:p>
      <w:pPr>
        <w:pStyle w:val="TOC3"/>
      </w:pPr>
      <w:r>
        <w:rPr>
          <w:rFonts w:ascii="Calibri" w:hAnsi="Calibri" w:eastAsia="Microsoft YaHei" w:cs="Calibri"/>
          <w:color w:val="3A7086"/>
          <w:sz w:val="20"/>
          <w:szCs w:val="20"/>
        </w:rPr>
        <w:t>16.3 Scope</w:t>
      </w:r>
      <w:r>
        <w:rPr>
          <w:rFonts w:ascii="Calibri" w:hAnsi="Calibri" w:eastAsia="Microsoft YaHei"/>
          <w:color w:val="3A7086"/>
          <w:sz w:val="20"/>
        </w:rPr>
        <w:tab/>
      </w:r>
      <w:r>
        <w:rPr>
          <w:rFonts w:ascii="Calibri" w:hAnsi="Calibri" w:eastAsia="Microsoft YaHei" w:cs="Calibri"/>
          <w:color w:val="3A7086"/>
          <w:sz w:val="20"/>
          <w:szCs w:val="20"/>
        </w:rPr>
        <w:t>39</w:t>
      </w:r>
    </w:p>
    <w:p>
      <w:pPr>
        <w:pStyle w:val="TOC3"/>
      </w:pPr>
      <w:r>
        <w:rPr>
          <w:rFonts w:ascii="Calibri" w:hAnsi="Calibri" w:eastAsia="Microsoft YaHei" w:cs="Calibri"/>
          <w:color w:val="3A7086"/>
          <w:sz w:val="20"/>
          <w:szCs w:val="20"/>
        </w:rPr>
        <w:t>16.4 The service-fee distinction reaffirmed</w:t>
      </w:r>
      <w:r>
        <w:rPr>
          <w:rFonts w:ascii="Calibri" w:hAnsi="Calibri" w:eastAsia="Microsoft YaHei"/>
          <w:color w:val="3A7086"/>
          <w:sz w:val="20"/>
        </w:rPr>
        <w:tab/>
      </w:r>
      <w:r>
        <w:rPr>
          <w:rFonts w:ascii="Calibri" w:hAnsi="Calibri" w:eastAsia="Microsoft YaHei" w:cs="Calibri"/>
          <w:color w:val="3A7086"/>
          <w:sz w:val="20"/>
          <w:szCs w:val="20"/>
        </w:rPr>
        <w:t>39</w:t>
      </w:r>
    </w:p>
    <w:p>
      <w:pPr>
        <w:pStyle w:val="TOC3"/>
      </w:pPr>
      <w:r>
        <w:rPr>
          <w:rFonts w:ascii="Calibri" w:hAnsi="Calibri" w:eastAsia="Microsoft YaHei" w:cs="Calibri"/>
          <w:color w:val="3A7086"/>
          <w:sz w:val="20"/>
          <w:szCs w:val="20"/>
        </w:rPr>
        <w:t>16.5 What the Fund pays for instead</w:t>
      </w:r>
      <w:r>
        <w:rPr>
          <w:rFonts w:ascii="Calibri" w:hAnsi="Calibri" w:eastAsia="Microsoft YaHei"/>
          <w:color w:val="3A7086"/>
          <w:sz w:val="20"/>
        </w:rPr>
        <w:tab/>
      </w:r>
      <w:r>
        <w:rPr>
          <w:rFonts w:ascii="Calibri" w:hAnsi="Calibri" w:eastAsia="Microsoft YaHei" w:cs="Calibri"/>
          <w:color w:val="3A7086"/>
          <w:sz w:val="20"/>
          <w:szCs w:val="20"/>
        </w:rPr>
        <w:t>39</w:t>
      </w:r>
    </w:p>
    <w:p>
      <w:pPr>
        <w:pStyle w:val="TOC3"/>
      </w:pPr>
      <w:r>
        <w:rPr>
          <w:rFonts w:ascii="Calibri" w:hAnsi="Calibri" w:eastAsia="Microsoft YaHei" w:cs="Calibri"/>
          <w:color w:val="3A7086"/>
          <w:sz w:val="20"/>
          <w:szCs w:val="20"/>
        </w:rPr>
        <w:t>16.6 Domestic law reconciliation</w:t>
      </w:r>
      <w:r>
        <w:rPr>
          <w:rFonts w:ascii="Calibri" w:hAnsi="Calibri" w:eastAsia="Microsoft YaHei"/>
          <w:color w:val="3A7086"/>
          <w:sz w:val="20"/>
        </w:rPr>
        <w:tab/>
      </w:r>
      <w:r>
        <w:rPr>
          <w:rFonts w:ascii="Calibri" w:hAnsi="Calibri" w:eastAsia="Microsoft YaHei" w:cs="Calibri"/>
          <w:color w:val="3A7086"/>
          <w:sz w:val="20"/>
          <w:szCs w:val="20"/>
        </w:rPr>
        <w:t>40</w:t>
      </w:r>
    </w:p>
    <w:p>
      <w:pPr>
        <w:pStyle w:val="TOC2"/>
      </w:pPr>
      <w:r>
        <w:rPr>
          <w:rFonts w:ascii="Calibri" w:hAnsi="Calibri" w:eastAsia="Microsoft YaHei" w:cs="Calibri"/>
          <w:color w:val="3A7086"/>
          <w:sz w:val="20"/>
          <w:szCs w:val="20"/>
        </w:rPr>
        <w:t>Article 17: The Transit Services Fund</w:t>
      </w:r>
      <w:r>
        <w:rPr>
          <w:rFonts w:ascii="Calibri" w:hAnsi="Calibri" w:eastAsia="Microsoft YaHei"/>
          <w:color w:val="3A7086"/>
          <w:sz w:val="20"/>
        </w:rPr>
        <w:tab/>
      </w:r>
      <w:r>
        <w:rPr>
          <w:rFonts w:ascii="Calibri" w:hAnsi="Calibri" w:eastAsia="Microsoft YaHei" w:cs="Calibri"/>
          <w:color w:val="3A7086"/>
          <w:sz w:val="20"/>
          <w:szCs w:val="20"/>
        </w:rPr>
        <w:t>40</w:t>
      </w:r>
    </w:p>
    <w:p>
      <w:pPr>
        <w:pStyle w:val="TOC3"/>
      </w:pPr>
      <w:r>
        <w:rPr>
          <w:rFonts w:ascii="Calibri" w:hAnsi="Calibri" w:eastAsia="Microsoft YaHei" w:cs="Calibri"/>
          <w:color w:val="3A7086"/>
          <w:sz w:val="20"/>
          <w:szCs w:val="20"/>
        </w:rPr>
        <w:t>17.1 Establishment and legal form</w:t>
      </w:r>
      <w:r>
        <w:rPr>
          <w:rFonts w:ascii="Calibri" w:hAnsi="Calibri" w:eastAsia="Microsoft YaHei"/>
          <w:color w:val="3A7086"/>
          <w:sz w:val="20"/>
        </w:rPr>
        <w:tab/>
      </w:r>
      <w:r>
        <w:rPr>
          <w:rFonts w:ascii="Calibri" w:hAnsi="Calibri" w:eastAsia="Microsoft YaHei" w:cs="Calibri"/>
          <w:color w:val="3A7086"/>
          <w:sz w:val="20"/>
          <w:szCs w:val="20"/>
        </w:rPr>
        <w:t>40</w:t>
      </w:r>
    </w:p>
    <w:p>
      <w:pPr>
        <w:pStyle w:val="TOC3"/>
      </w:pPr>
      <w:r>
        <w:rPr>
          <w:rFonts w:ascii="Calibri" w:hAnsi="Calibri" w:eastAsia="Microsoft YaHei" w:cs="Calibri"/>
          <w:color w:val="3A7086"/>
          <w:sz w:val="20"/>
          <w:szCs w:val="20"/>
        </w:rPr>
        <w:t>17.2 Purpose and the humanitarian lock</w:t>
      </w:r>
      <w:r>
        <w:rPr>
          <w:rFonts w:ascii="Calibri" w:hAnsi="Calibri" w:eastAsia="Microsoft YaHei"/>
          <w:color w:val="3A7086"/>
          <w:sz w:val="20"/>
        </w:rPr>
        <w:tab/>
      </w:r>
      <w:r>
        <w:rPr>
          <w:rFonts w:ascii="Calibri" w:hAnsi="Calibri" w:eastAsia="Microsoft YaHei" w:cs="Calibri"/>
          <w:color w:val="3A7086"/>
          <w:sz w:val="20"/>
          <w:szCs w:val="20"/>
        </w:rPr>
        <w:t>40</w:t>
      </w:r>
    </w:p>
    <w:p>
      <w:pPr>
        <w:pStyle w:val="TOC3"/>
      </w:pPr>
      <w:r>
        <w:rPr>
          <w:rFonts w:ascii="Calibri" w:hAnsi="Calibri" w:eastAsia="Microsoft YaHei" w:cs="Calibri"/>
          <w:color w:val="3A7086"/>
          <w:sz w:val="20"/>
          <w:szCs w:val="20"/>
        </w:rPr>
        <w:t>17.3 Resources</w:t>
      </w:r>
      <w:r>
        <w:rPr>
          <w:rFonts w:ascii="Calibri" w:hAnsi="Calibri" w:eastAsia="Microsoft YaHei"/>
          <w:color w:val="3A7086"/>
          <w:sz w:val="20"/>
        </w:rPr>
        <w:tab/>
      </w:r>
      <w:r>
        <w:rPr>
          <w:rFonts w:ascii="Calibri" w:hAnsi="Calibri" w:eastAsia="Microsoft YaHei" w:cs="Calibri"/>
          <w:color w:val="3A7086"/>
          <w:sz w:val="20"/>
          <w:szCs w:val="20"/>
        </w:rPr>
        <w:t>40</w:t>
      </w:r>
    </w:p>
    <w:p>
      <w:pPr>
        <w:pStyle w:val="TOC3"/>
      </w:pPr>
      <w:r>
        <w:rPr>
          <w:rFonts w:ascii="Calibri" w:hAnsi="Calibri" w:eastAsia="Microsoft YaHei" w:cs="Calibri"/>
          <w:color w:val="3A7086"/>
          <w:sz w:val="20"/>
          <w:szCs w:val="20"/>
        </w:rPr>
        <w:t>17.4 Administration</w:t>
      </w:r>
      <w:r>
        <w:rPr>
          <w:rFonts w:ascii="Calibri" w:hAnsi="Calibri" w:eastAsia="Microsoft YaHei"/>
          <w:color w:val="3A7086"/>
          <w:sz w:val="20"/>
        </w:rPr>
        <w:tab/>
      </w:r>
      <w:r>
        <w:rPr>
          <w:rFonts w:ascii="Calibri" w:hAnsi="Calibri" w:eastAsia="Microsoft YaHei" w:cs="Calibri"/>
          <w:color w:val="3A7086"/>
          <w:sz w:val="20"/>
          <w:szCs w:val="20"/>
        </w:rPr>
        <w:t>41</w:t>
      </w:r>
    </w:p>
    <w:p>
      <w:pPr>
        <w:pStyle w:val="TOC3"/>
      </w:pPr>
      <w:r>
        <w:rPr>
          <w:rFonts w:ascii="Calibri" w:hAnsi="Calibri" w:eastAsia="Microsoft YaHei" w:cs="Calibri"/>
          <w:color w:val="3A7086"/>
          <w:sz w:val="20"/>
          <w:szCs w:val="20"/>
        </w:rPr>
        <w:t>17.5 Governance</w:t>
      </w:r>
      <w:r>
        <w:rPr>
          <w:rFonts w:ascii="Calibri" w:hAnsi="Calibri" w:eastAsia="Microsoft YaHei"/>
          <w:color w:val="3A7086"/>
          <w:sz w:val="20"/>
        </w:rPr>
        <w:tab/>
      </w:r>
      <w:r>
        <w:rPr>
          <w:rFonts w:ascii="Calibri" w:hAnsi="Calibri" w:eastAsia="Microsoft YaHei" w:cs="Calibri"/>
          <w:color w:val="3A7086"/>
          <w:sz w:val="20"/>
          <w:szCs w:val="20"/>
        </w:rPr>
        <w:t>41</w:t>
      </w:r>
    </w:p>
    <w:p>
      <w:pPr>
        <w:pStyle w:val="TOC3"/>
      </w:pPr>
      <w:r>
        <w:rPr>
          <w:rFonts w:ascii="Calibri" w:hAnsi="Calibri" w:eastAsia="Microsoft YaHei" w:cs="Calibri"/>
          <w:color w:val="3A7086"/>
          <w:sz w:val="20"/>
          <w:szCs w:val="20"/>
        </w:rPr>
        <w:t>17.6 No double recovery</w:t>
      </w:r>
      <w:r>
        <w:rPr>
          <w:rFonts w:ascii="Calibri" w:hAnsi="Calibri" w:eastAsia="Microsoft YaHei"/>
          <w:color w:val="3A7086"/>
          <w:sz w:val="20"/>
        </w:rPr>
        <w:tab/>
      </w:r>
      <w:r>
        <w:rPr>
          <w:rFonts w:ascii="Calibri" w:hAnsi="Calibri" w:eastAsia="Microsoft YaHei" w:cs="Calibri"/>
          <w:color w:val="3A7086"/>
          <w:sz w:val="20"/>
          <w:szCs w:val="20"/>
        </w:rPr>
        <w:t>41</w:t>
      </w:r>
    </w:p>
    <w:p>
      <w:pPr>
        <w:pStyle w:val="TOC3"/>
      </w:pPr>
      <w:r>
        <w:rPr>
          <w:rFonts w:ascii="Calibri" w:hAnsi="Calibri" w:eastAsia="Microsoft YaHei" w:cs="Calibri"/>
          <w:color w:val="3A7086"/>
          <w:sz w:val="20"/>
          <w:szCs w:val="20"/>
        </w:rPr>
        <w:t>17.7 The compensation window</w:t>
      </w:r>
      <w:r>
        <w:rPr>
          <w:rFonts w:ascii="Calibri" w:hAnsi="Calibri" w:eastAsia="Microsoft YaHei"/>
          <w:color w:val="3A7086"/>
          <w:sz w:val="20"/>
        </w:rPr>
        <w:tab/>
      </w:r>
      <w:r>
        <w:rPr>
          <w:rFonts w:ascii="Calibri" w:hAnsi="Calibri" w:eastAsia="Microsoft YaHei" w:cs="Calibri"/>
          <w:color w:val="3A7086"/>
          <w:sz w:val="20"/>
          <w:szCs w:val="20"/>
        </w:rPr>
        <w:t>41</w:t>
      </w:r>
    </w:p>
    <w:p>
      <w:pPr>
        <w:pStyle w:val="TOC3"/>
      </w:pPr>
      <w:r>
        <w:rPr>
          <w:rFonts w:ascii="Calibri" w:hAnsi="Calibri" w:eastAsia="Microsoft YaHei" w:cs="Calibri"/>
          <w:color w:val="3A7086"/>
          <w:sz w:val="20"/>
          <w:szCs w:val="20"/>
        </w:rPr>
        <w:t>17.8 The security-reimbursement link</w:t>
      </w:r>
      <w:r>
        <w:rPr>
          <w:rFonts w:ascii="Calibri" w:hAnsi="Calibri" w:eastAsia="Microsoft YaHei"/>
          <w:color w:val="3A7086"/>
          <w:sz w:val="20"/>
        </w:rPr>
        <w:tab/>
      </w:r>
      <w:r>
        <w:rPr>
          <w:rFonts w:ascii="Calibri" w:hAnsi="Calibri" w:eastAsia="Microsoft YaHei" w:cs="Calibri"/>
          <w:color w:val="3A7086"/>
          <w:sz w:val="20"/>
          <w:szCs w:val="20"/>
        </w:rPr>
        <w:t>41</w:t>
      </w:r>
    </w:p>
    <w:p>
      <w:pPr>
        <w:pStyle w:val="TOC2"/>
      </w:pPr>
      <w:r>
        <w:rPr>
          <w:rFonts w:ascii="Calibri" w:hAnsi="Calibri" w:eastAsia="Microsoft YaHei" w:cs="Calibri"/>
          <w:color w:val="3A7086"/>
          <w:sz w:val="20"/>
          <w:szCs w:val="20"/>
        </w:rPr>
        <w:t>Article 18: Budget, Audit, and the Sanctions-Compliance Firewall</w:t>
      </w:r>
      <w:r>
        <w:rPr>
          <w:rFonts w:ascii="Calibri" w:hAnsi="Calibri" w:eastAsia="Microsoft YaHei"/>
          <w:color w:val="3A7086"/>
          <w:sz w:val="20"/>
        </w:rPr>
        <w:tab/>
      </w:r>
      <w:r>
        <w:rPr>
          <w:rFonts w:ascii="Calibri" w:hAnsi="Calibri" w:eastAsia="Microsoft YaHei" w:cs="Calibri"/>
          <w:color w:val="3A7086"/>
          <w:sz w:val="20"/>
          <w:szCs w:val="20"/>
        </w:rPr>
        <w:t>42</w:t>
      </w:r>
    </w:p>
    <w:p>
      <w:pPr>
        <w:pStyle w:val="TOC3"/>
      </w:pPr>
      <w:r>
        <w:rPr>
          <w:rFonts w:ascii="Calibri" w:hAnsi="Calibri" w:eastAsia="Microsoft YaHei" w:cs="Calibri"/>
          <w:color w:val="3A7086"/>
          <w:sz w:val="20"/>
          <w:szCs w:val="20"/>
        </w:rPr>
        <w:t>18.1 The annual budget</w:t>
      </w:r>
      <w:r>
        <w:rPr>
          <w:rFonts w:ascii="Calibri" w:hAnsi="Calibri" w:eastAsia="Microsoft YaHei"/>
          <w:color w:val="3A7086"/>
          <w:sz w:val="20"/>
        </w:rPr>
        <w:tab/>
      </w:r>
      <w:r>
        <w:rPr>
          <w:rFonts w:ascii="Calibri" w:hAnsi="Calibri" w:eastAsia="Microsoft YaHei" w:cs="Calibri"/>
          <w:color w:val="3A7086"/>
          <w:sz w:val="20"/>
          <w:szCs w:val="20"/>
        </w:rPr>
        <w:t>42</w:t>
      </w:r>
    </w:p>
    <w:p>
      <w:pPr>
        <w:pStyle w:val="TOC3"/>
      </w:pPr>
      <w:r>
        <w:rPr>
          <w:rFonts w:ascii="Calibri" w:hAnsi="Calibri" w:eastAsia="Microsoft YaHei" w:cs="Calibri"/>
          <w:color w:val="3A7086"/>
          <w:sz w:val="20"/>
          <w:szCs w:val="20"/>
        </w:rPr>
        <w:t>18.2 Audit</w:t>
      </w:r>
      <w:r>
        <w:rPr>
          <w:rFonts w:ascii="Calibri" w:hAnsi="Calibri" w:eastAsia="Microsoft YaHei"/>
          <w:color w:val="3A7086"/>
          <w:sz w:val="20"/>
        </w:rPr>
        <w:tab/>
      </w:r>
      <w:r>
        <w:rPr>
          <w:rFonts w:ascii="Calibri" w:hAnsi="Calibri" w:eastAsia="Microsoft YaHei" w:cs="Calibri"/>
          <w:color w:val="3A7086"/>
          <w:sz w:val="20"/>
          <w:szCs w:val="20"/>
        </w:rPr>
        <w:t>42</w:t>
      </w:r>
    </w:p>
    <w:p>
      <w:pPr>
        <w:pStyle w:val="TOC3"/>
      </w:pPr>
      <w:r>
        <w:rPr>
          <w:rFonts w:ascii="Calibri" w:hAnsi="Calibri" w:eastAsia="Microsoft YaHei" w:cs="Calibri"/>
          <w:color w:val="3A7086"/>
          <w:sz w:val="20"/>
          <w:szCs w:val="20"/>
        </w:rPr>
        <w:t>18.3 Anti-diversion</w:t>
      </w:r>
      <w:r>
        <w:rPr>
          <w:rFonts w:ascii="Calibri" w:hAnsi="Calibri" w:eastAsia="Microsoft YaHei"/>
          <w:color w:val="3A7086"/>
          <w:sz w:val="20"/>
        </w:rPr>
        <w:tab/>
      </w:r>
      <w:r>
        <w:rPr>
          <w:rFonts w:ascii="Calibri" w:hAnsi="Calibri" w:eastAsia="Microsoft YaHei" w:cs="Calibri"/>
          <w:color w:val="3A7086"/>
          <w:sz w:val="20"/>
          <w:szCs w:val="20"/>
        </w:rPr>
        <w:t>42</w:t>
      </w:r>
    </w:p>
    <w:p>
      <w:pPr>
        <w:pStyle w:val="TOC3"/>
      </w:pPr>
      <w:r>
        <w:rPr>
          <w:rFonts w:ascii="Calibri" w:hAnsi="Calibri" w:eastAsia="Microsoft YaHei" w:cs="Calibri"/>
          <w:color w:val="3A7086"/>
          <w:sz w:val="20"/>
          <w:szCs w:val="20"/>
        </w:rPr>
        <w:t>18.4 The Sanctions-Compliance Firewall</w:t>
      </w:r>
      <w:r>
        <w:rPr>
          <w:rFonts w:ascii="Calibri" w:hAnsi="Calibri" w:eastAsia="Microsoft YaHei"/>
          <w:color w:val="3A7086"/>
          <w:sz w:val="20"/>
        </w:rPr>
        <w:tab/>
      </w:r>
      <w:r>
        <w:rPr>
          <w:rFonts w:ascii="Calibri" w:hAnsi="Calibri" w:eastAsia="Microsoft YaHei" w:cs="Calibri"/>
          <w:color w:val="3A7086"/>
          <w:sz w:val="20"/>
          <w:szCs w:val="20"/>
        </w:rPr>
        <w:t>42</w:t>
      </w:r>
    </w:p>
    <w:p>
      <w:pPr>
        <w:pStyle w:val="TOC3"/>
      </w:pPr>
      <w:r>
        <w:rPr>
          <w:rFonts w:ascii="Calibri" w:hAnsi="Calibri" w:eastAsia="Microsoft YaHei" w:cs="Calibri"/>
          <w:color w:val="3A7086"/>
          <w:sz w:val="20"/>
          <w:szCs w:val="20"/>
        </w:rPr>
        <w:t>18.5 Anti-circumvention</w:t>
      </w:r>
      <w:r>
        <w:rPr>
          <w:rFonts w:ascii="Calibri" w:hAnsi="Calibri" w:eastAsia="Microsoft YaHei"/>
          <w:color w:val="3A7086"/>
          <w:sz w:val="20"/>
        </w:rPr>
        <w:tab/>
      </w:r>
      <w:r>
        <w:rPr>
          <w:rFonts w:ascii="Calibri" w:hAnsi="Calibri" w:eastAsia="Microsoft YaHei" w:cs="Calibri"/>
          <w:color w:val="3A7086"/>
          <w:sz w:val="20"/>
          <w:szCs w:val="20"/>
        </w:rPr>
        <w:t>42</w:t>
      </w:r>
    </w:p>
    <w:p>
      <w:pPr>
        <w:pStyle w:val="TOC2"/>
      </w:pPr>
      <w:r>
        <w:rPr>
          <w:rFonts w:ascii="Calibri" w:hAnsi="Calibri" w:eastAsia="Microsoft YaHei" w:cs="Calibri"/>
          <w:color w:val="3A7086"/>
          <w:sz w:val="20"/>
          <w:szCs w:val="20"/>
        </w:rPr>
        <w:t>Article 19: The Verified Services Catalog and the Assurance Registry</w:t>
      </w:r>
      <w:r>
        <w:rPr>
          <w:rFonts w:ascii="Calibri" w:hAnsi="Calibri" w:eastAsia="Microsoft YaHei"/>
          <w:color w:val="3A7086"/>
          <w:sz w:val="20"/>
        </w:rPr>
        <w:tab/>
      </w:r>
      <w:r>
        <w:rPr>
          <w:rFonts w:ascii="Calibri" w:hAnsi="Calibri" w:eastAsia="Microsoft YaHei" w:cs="Calibri"/>
          <w:color w:val="3A7086"/>
          <w:sz w:val="20"/>
          <w:szCs w:val="20"/>
        </w:rPr>
        <w:t>43</w:t>
      </w:r>
    </w:p>
    <w:p>
      <w:pPr>
        <w:pStyle w:val="TOC3"/>
      </w:pPr>
      <w:r>
        <w:rPr>
          <w:rFonts w:ascii="Calibri" w:hAnsi="Calibri" w:eastAsia="Microsoft YaHei" w:cs="Calibri"/>
          <w:color w:val="3A7086"/>
          <w:sz w:val="20"/>
          <w:szCs w:val="20"/>
        </w:rPr>
        <w:t>19.1 The Catalog</w:t>
      </w:r>
      <w:r>
        <w:rPr>
          <w:rFonts w:ascii="Calibri" w:hAnsi="Calibri" w:eastAsia="Microsoft YaHei"/>
          <w:color w:val="3A7086"/>
          <w:sz w:val="20"/>
        </w:rPr>
        <w:tab/>
      </w:r>
      <w:r>
        <w:rPr>
          <w:rFonts w:ascii="Calibri" w:hAnsi="Calibri" w:eastAsia="Microsoft YaHei" w:cs="Calibri"/>
          <w:color w:val="3A7086"/>
          <w:sz w:val="20"/>
          <w:szCs w:val="20"/>
        </w:rPr>
        <w:t>43</w:t>
      </w:r>
    </w:p>
    <w:p>
      <w:pPr>
        <w:pStyle w:val="TOC3"/>
      </w:pPr>
      <w:r>
        <w:rPr>
          <w:rFonts w:ascii="Calibri" w:hAnsi="Calibri" w:eastAsia="Microsoft YaHei" w:cs="Calibri"/>
          <w:color w:val="3A7086"/>
          <w:sz w:val="20"/>
          <w:szCs w:val="20"/>
        </w:rPr>
        <w:t>19.2 Verification of services</w:t>
      </w:r>
      <w:r>
        <w:rPr>
          <w:rFonts w:ascii="Calibri" w:hAnsi="Calibri" w:eastAsia="Microsoft YaHei"/>
          <w:color w:val="3A7086"/>
          <w:sz w:val="20"/>
        </w:rPr>
        <w:tab/>
      </w:r>
      <w:r>
        <w:rPr>
          <w:rFonts w:ascii="Calibri" w:hAnsi="Calibri" w:eastAsia="Microsoft YaHei" w:cs="Calibri"/>
          <w:color w:val="3A7086"/>
          <w:sz w:val="20"/>
          <w:szCs w:val="20"/>
        </w:rPr>
        <w:t>43</w:t>
      </w:r>
    </w:p>
    <w:p>
      <w:pPr>
        <w:pStyle w:val="TOC3"/>
      </w:pPr>
      <w:r>
        <w:rPr>
          <w:rFonts w:ascii="Calibri" w:hAnsi="Calibri" w:eastAsia="Microsoft YaHei" w:cs="Calibri"/>
          <w:color w:val="3A7086"/>
          <w:sz w:val="20"/>
          <w:szCs w:val="20"/>
        </w:rPr>
        <w:t>19.3 Delivery states</w:t>
      </w:r>
      <w:r>
        <w:rPr>
          <w:rFonts w:ascii="Calibri" w:hAnsi="Calibri" w:eastAsia="Microsoft YaHei"/>
          <w:color w:val="3A7086"/>
          <w:sz w:val="20"/>
        </w:rPr>
        <w:tab/>
      </w:r>
      <w:r>
        <w:rPr>
          <w:rFonts w:ascii="Calibri" w:hAnsi="Calibri" w:eastAsia="Microsoft YaHei" w:cs="Calibri"/>
          <w:color w:val="3A7086"/>
          <w:sz w:val="20"/>
          <w:szCs w:val="20"/>
        </w:rPr>
        <w:t>43</w:t>
      </w:r>
    </w:p>
    <w:p>
      <w:pPr>
        <w:pStyle w:val="TOC3"/>
      </w:pPr>
      <w:r>
        <w:rPr>
          <w:rFonts w:ascii="Calibri" w:hAnsi="Calibri" w:eastAsia="Microsoft YaHei" w:cs="Calibri"/>
          <w:color w:val="3A7086"/>
          <w:sz w:val="20"/>
          <w:szCs w:val="20"/>
        </w:rPr>
        <w:t>19.4 The apportionment band</w:t>
      </w:r>
      <w:r>
        <w:rPr>
          <w:rFonts w:ascii="Calibri" w:hAnsi="Calibri" w:eastAsia="Microsoft YaHei"/>
          <w:color w:val="3A7086"/>
          <w:sz w:val="20"/>
        </w:rPr>
        <w:tab/>
      </w:r>
      <w:r>
        <w:rPr>
          <w:rFonts w:ascii="Calibri" w:hAnsi="Calibri" w:eastAsia="Microsoft YaHei" w:cs="Calibri"/>
          <w:color w:val="3A7086"/>
          <w:sz w:val="20"/>
          <w:szCs w:val="20"/>
        </w:rPr>
        <w:t>43</w:t>
      </w:r>
    </w:p>
    <w:p>
      <w:pPr>
        <w:pStyle w:val="TOC3"/>
      </w:pPr>
      <w:r>
        <w:rPr>
          <w:rFonts w:ascii="Calibri" w:hAnsi="Calibri" w:eastAsia="Microsoft YaHei" w:cs="Calibri"/>
          <w:color w:val="3A7086"/>
          <w:sz w:val="20"/>
          <w:szCs w:val="20"/>
        </w:rPr>
        <w:t>19.5 The Assurance Registry and the Route Assurance Data Service</w:t>
      </w:r>
      <w:r>
        <w:rPr>
          <w:rFonts w:ascii="Calibri" w:hAnsi="Calibri" w:eastAsia="Microsoft YaHei"/>
          <w:color w:val="3A7086"/>
          <w:sz w:val="20"/>
        </w:rPr>
        <w:tab/>
      </w:r>
      <w:r>
        <w:rPr>
          <w:rFonts w:ascii="Calibri" w:hAnsi="Calibri" w:eastAsia="Microsoft YaHei" w:cs="Calibri"/>
          <w:color w:val="3A7086"/>
          <w:sz w:val="20"/>
          <w:szCs w:val="20"/>
        </w:rPr>
        <w:t>43</w:t>
      </w:r>
    </w:p>
    <w:p>
      <w:pPr>
        <w:pStyle w:val="TOC3"/>
      </w:pPr>
      <w:r>
        <w:rPr>
          <w:rFonts w:ascii="Calibri" w:hAnsi="Calibri" w:eastAsia="Microsoft YaHei" w:cs="Calibri"/>
          <w:color w:val="3A7086"/>
          <w:sz w:val="20"/>
          <w:szCs w:val="20"/>
        </w:rPr>
        <w:t>19.6 The Route Assurance Data Service</w:t>
      </w:r>
      <w:r>
        <w:rPr>
          <w:rFonts w:ascii="Calibri" w:hAnsi="Calibri" w:eastAsia="Microsoft YaHei"/>
          <w:color w:val="3A7086"/>
          <w:sz w:val="20"/>
        </w:rPr>
        <w:tab/>
      </w:r>
      <w:r>
        <w:rPr>
          <w:rFonts w:ascii="Calibri" w:hAnsi="Calibri" w:eastAsia="Microsoft YaHei" w:cs="Calibri"/>
          <w:color w:val="3A7086"/>
          <w:sz w:val="20"/>
          <w:szCs w:val="20"/>
        </w:rPr>
        <w:t>43</w:t>
      </w:r>
    </w:p>
    <w:p>
      <w:pPr>
        <w:pStyle w:val="TOC3"/>
      </w:pPr>
      <w:r>
        <w:rPr>
          <w:rFonts w:ascii="Calibri" w:hAnsi="Calibri" w:eastAsia="Microsoft YaHei" w:cs="Calibri"/>
          <w:color w:val="3A7086"/>
          <w:sz w:val="20"/>
          <w:szCs w:val="20"/>
        </w:rPr>
        <w:t>19.7 Premium normalization</w:t>
      </w:r>
      <w:r>
        <w:rPr>
          <w:rFonts w:ascii="Calibri" w:hAnsi="Calibri" w:eastAsia="Microsoft YaHei"/>
          <w:color w:val="3A7086"/>
          <w:sz w:val="20"/>
        </w:rPr>
        <w:tab/>
      </w:r>
      <w:r>
        <w:rPr>
          <w:rFonts w:ascii="Calibri" w:hAnsi="Calibri" w:eastAsia="Microsoft YaHei" w:cs="Calibri"/>
          <w:color w:val="3A7086"/>
          <w:sz w:val="20"/>
          <w:szCs w:val="20"/>
        </w:rPr>
        <w:t>44</w:t>
      </w:r>
    </w:p>
    <w:p>
      <w:pPr>
        <w:pStyle w:val="TOC1"/>
      </w:pPr>
      <w:r>
        <w:rPr>
          <w:rFonts w:ascii="Calibri" w:hAnsi="Calibri" w:eastAsia="Microsoft YaHei" w:cs="Calibri"/>
          <w:b/>
          <w:color w:val="22333B"/>
          <w:sz w:val="20"/>
          <w:szCs w:val="20"/>
        </w:rPr>
        <w:t>Part V: Verification, De-confliction, and Incident Management</w:t>
      </w:r>
      <w:r>
        <w:rPr>
          <w:rFonts w:ascii="Calibri" w:hAnsi="Calibri" w:eastAsia="Microsoft YaHei"/>
          <w:b/>
          <w:color w:val="22333B"/>
          <w:sz w:val="20"/>
        </w:rPr>
        <w:tab/>
      </w:r>
      <w:r>
        <w:rPr>
          <w:rFonts w:ascii="Calibri" w:hAnsi="Calibri" w:eastAsia="Microsoft YaHei" w:cs="Calibri"/>
          <w:b/>
          <w:color w:val="22333B"/>
          <w:sz w:val="20"/>
          <w:szCs w:val="20"/>
        </w:rPr>
        <w:t>45</w:t>
      </w:r>
    </w:p>
    <w:p>
      <w:pPr>
        <w:pStyle w:val="TOC2"/>
      </w:pPr>
      <w:r>
        <w:rPr>
          <w:rFonts w:ascii="Calibri" w:hAnsi="Calibri" w:eastAsia="Microsoft YaHei" w:cs="Calibri"/>
          <w:color w:val="3A7086"/>
          <w:sz w:val="20"/>
          <w:szCs w:val="20"/>
        </w:rPr>
        <w:t>Article 20: Verification: The Human Anchor Method</w:t>
      </w:r>
      <w:r>
        <w:rPr>
          <w:rFonts w:ascii="Calibri" w:hAnsi="Calibri" w:eastAsia="Microsoft YaHei"/>
          <w:color w:val="3A7086"/>
          <w:sz w:val="20"/>
        </w:rPr>
        <w:tab/>
      </w:r>
      <w:r>
        <w:rPr>
          <w:rFonts w:ascii="Calibri" w:hAnsi="Calibri" w:eastAsia="Microsoft YaHei" w:cs="Calibri"/>
          <w:color w:val="3A7086"/>
          <w:sz w:val="20"/>
          <w:szCs w:val="20"/>
        </w:rPr>
        <w:t>45</w:t>
      </w:r>
    </w:p>
    <w:p>
      <w:pPr>
        <w:pStyle w:val="TOC3"/>
      </w:pPr>
      <w:r>
        <w:rPr>
          <w:rFonts w:ascii="Calibri" w:hAnsi="Calibri" w:eastAsia="Microsoft YaHei" w:cs="Calibri"/>
          <w:color w:val="3A7086"/>
          <w:sz w:val="20"/>
          <w:szCs w:val="20"/>
        </w:rPr>
        <w:t>20.1 People over telemetry</w:t>
      </w:r>
      <w:r>
        <w:rPr>
          <w:rFonts w:ascii="Calibri" w:hAnsi="Calibri" w:eastAsia="Microsoft YaHei"/>
          <w:color w:val="3A7086"/>
          <w:sz w:val="20"/>
        </w:rPr>
        <w:tab/>
      </w:r>
      <w:r>
        <w:rPr>
          <w:rFonts w:ascii="Calibri" w:hAnsi="Calibri" w:eastAsia="Microsoft YaHei" w:cs="Calibri"/>
          <w:color w:val="3A7086"/>
          <w:sz w:val="20"/>
          <w:szCs w:val="20"/>
        </w:rPr>
        <w:t>45</w:t>
      </w:r>
    </w:p>
    <w:p>
      <w:pPr>
        <w:pStyle w:val="TOC3"/>
      </w:pPr>
      <w:r>
        <w:rPr>
          <w:rFonts w:ascii="Calibri" w:hAnsi="Calibri" w:eastAsia="Microsoft YaHei" w:cs="Calibri"/>
          <w:color w:val="3A7086"/>
          <w:sz w:val="20"/>
          <w:szCs w:val="20"/>
        </w:rPr>
        <w:t>20.2 The Convergence Standard</w:t>
      </w:r>
      <w:r>
        <w:rPr>
          <w:rFonts w:ascii="Calibri" w:hAnsi="Calibri" w:eastAsia="Microsoft YaHei"/>
          <w:color w:val="3A7086"/>
          <w:sz w:val="20"/>
        </w:rPr>
        <w:tab/>
      </w:r>
      <w:r>
        <w:rPr>
          <w:rFonts w:ascii="Calibri" w:hAnsi="Calibri" w:eastAsia="Microsoft YaHei" w:cs="Calibri"/>
          <w:color w:val="3A7086"/>
          <w:sz w:val="20"/>
          <w:szCs w:val="20"/>
        </w:rPr>
        <w:t>45</w:t>
      </w:r>
    </w:p>
    <w:p>
      <w:pPr>
        <w:pStyle w:val="TOC3"/>
      </w:pPr>
      <w:r>
        <w:rPr>
          <w:rFonts w:ascii="Calibri" w:hAnsi="Calibri" w:eastAsia="Microsoft YaHei" w:cs="Calibri"/>
          <w:color w:val="3A7086"/>
          <w:sz w:val="20"/>
          <w:szCs w:val="20"/>
        </w:rPr>
        <w:t>20.3 The Neutral Watch Office</w:t>
      </w:r>
      <w:r>
        <w:rPr>
          <w:rFonts w:ascii="Calibri" w:hAnsi="Calibri" w:eastAsia="Microsoft YaHei"/>
          <w:color w:val="3A7086"/>
          <w:sz w:val="20"/>
        </w:rPr>
        <w:tab/>
      </w:r>
      <w:r>
        <w:rPr>
          <w:rFonts w:ascii="Calibri" w:hAnsi="Calibri" w:eastAsia="Microsoft YaHei" w:cs="Calibri"/>
          <w:color w:val="3A7086"/>
          <w:sz w:val="20"/>
          <w:szCs w:val="20"/>
        </w:rPr>
        <w:t>45</w:t>
      </w:r>
    </w:p>
    <w:p>
      <w:pPr>
        <w:pStyle w:val="TOC3"/>
      </w:pPr>
      <w:r>
        <w:rPr>
          <w:rFonts w:ascii="Calibri" w:hAnsi="Calibri" w:eastAsia="Microsoft YaHei" w:cs="Calibri"/>
          <w:color w:val="3A7086"/>
          <w:sz w:val="20"/>
          <w:szCs w:val="20"/>
        </w:rPr>
        <w:t>20.4 Embarked observers</w:t>
      </w:r>
      <w:r>
        <w:rPr>
          <w:rFonts w:ascii="Calibri" w:hAnsi="Calibri" w:eastAsia="Microsoft YaHei"/>
          <w:color w:val="3A7086"/>
          <w:sz w:val="20"/>
        </w:rPr>
        <w:tab/>
      </w:r>
      <w:r>
        <w:rPr>
          <w:rFonts w:ascii="Calibri" w:hAnsi="Calibri" w:eastAsia="Microsoft YaHei" w:cs="Calibri"/>
          <w:color w:val="3A7086"/>
          <w:sz w:val="20"/>
          <w:szCs w:val="20"/>
        </w:rPr>
        <w:t>45</w:t>
      </w:r>
    </w:p>
    <w:p>
      <w:pPr>
        <w:pStyle w:val="TOC3"/>
      </w:pPr>
      <w:r>
        <w:rPr>
          <w:rFonts w:ascii="Calibri" w:hAnsi="Calibri" w:eastAsia="Microsoft YaHei" w:cs="Calibri"/>
          <w:color w:val="3A7086"/>
          <w:sz w:val="20"/>
          <w:szCs w:val="20"/>
        </w:rPr>
        <w:t>20.5 Data sovereignty and the two-key access rule</w:t>
      </w:r>
      <w:r>
        <w:rPr>
          <w:rFonts w:ascii="Calibri" w:hAnsi="Calibri" w:eastAsia="Microsoft YaHei"/>
          <w:color w:val="3A7086"/>
          <w:sz w:val="20"/>
        </w:rPr>
        <w:tab/>
      </w:r>
      <w:r>
        <w:rPr>
          <w:rFonts w:ascii="Calibri" w:hAnsi="Calibri" w:eastAsia="Microsoft YaHei" w:cs="Calibri"/>
          <w:color w:val="3A7086"/>
          <w:sz w:val="20"/>
          <w:szCs w:val="20"/>
        </w:rPr>
        <w:t>46</w:t>
      </w:r>
    </w:p>
    <w:p>
      <w:pPr>
        <w:pStyle w:val="TOC3"/>
      </w:pPr>
      <w:r>
        <w:rPr>
          <w:rFonts w:ascii="Calibri" w:hAnsi="Calibri" w:eastAsia="Microsoft YaHei" w:cs="Calibri"/>
          <w:color w:val="3A7086"/>
          <w:sz w:val="20"/>
          <w:szCs w:val="20"/>
        </w:rPr>
        <w:t>20.6 Degraded-mode operation</w:t>
      </w:r>
      <w:r>
        <w:rPr>
          <w:rFonts w:ascii="Calibri" w:hAnsi="Calibri" w:eastAsia="Microsoft YaHei"/>
          <w:color w:val="3A7086"/>
          <w:sz w:val="20"/>
        </w:rPr>
        <w:tab/>
      </w:r>
      <w:r>
        <w:rPr>
          <w:rFonts w:ascii="Calibri" w:hAnsi="Calibri" w:eastAsia="Microsoft YaHei" w:cs="Calibri"/>
          <w:color w:val="3A7086"/>
          <w:sz w:val="20"/>
          <w:szCs w:val="20"/>
        </w:rPr>
        <w:t>46</w:t>
      </w:r>
    </w:p>
    <w:p>
      <w:pPr>
        <w:pStyle w:val="TOC3"/>
      </w:pPr>
      <w:r>
        <w:rPr>
          <w:rFonts w:ascii="Calibri" w:hAnsi="Calibri" w:eastAsia="Microsoft YaHei" w:cs="Calibri"/>
          <w:color w:val="3A7086"/>
          <w:sz w:val="20"/>
          <w:szCs w:val="20"/>
        </w:rPr>
        <w:t>20.7 Enhanced monitoring of the Central International Corridor</w:t>
      </w:r>
      <w:r>
        <w:rPr>
          <w:rFonts w:ascii="Calibri" w:hAnsi="Calibri" w:eastAsia="Microsoft YaHei"/>
          <w:color w:val="3A7086"/>
          <w:sz w:val="20"/>
        </w:rPr>
        <w:tab/>
      </w:r>
      <w:r>
        <w:rPr>
          <w:rFonts w:ascii="Calibri" w:hAnsi="Calibri" w:eastAsia="Microsoft YaHei" w:cs="Calibri"/>
          <w:color w:val="3A7086"/>
          <w:sz w:val="20"/>
          <w:szCs w:val="20"/>
        </w:rPr>
        <w:t>46</w:t>
      </w:r>
    </w:p>
    <w:p>
      <w:pPr>
        <w:pStyle w:val="TOC3"/>
      </w:pPr>
      <w:r>
        <w:rPr>
          <w:rFonts w:ascii="Calibri" w:hAnsi="Calibri" w:eastAsia="Microsoft YaHei" w:cs="Calibri"/>
          <w:color w:val="3A7086"/>
          <w:sz w:val="20"/>
          <w:szCs w:val="20"/>
        </w:rPr>
        <w:t>20.8 Third-party verification of the Central International Corridor</w:t>
      </w:r>
      <w:r>
        <w:rPr>
          <w:rFonts w:ascii="Calibri" w:hAnsi="Calibri" w:eastAsia="Microsoft YaHei"/>
          <w:color w:val="3A7086"/>
          <w:sz w:val="20"/>
        </w:rPr>
        <w:tab/>
      </w:r>
      <w:r>
        <w:rPr>
          <w:rFonts w:ascii="Calibri" w:hAnsi="Calibri" w:eastAsia="Microsoft YaHei" w:cs="Calibri"/>
          <w:color w:val="3A7086"/>
          <w:sz w:val="20"/>
          <w:szCs w:val="20"/>
        </w:rPr>
        <w:t>46</w:t>
      </w:r>
    </w:p>
    <w:p>
      <w:pPr>
        <w:pStyle w:val="TOC3"/>
      </w:pPr>
      <w:r>
        <w:rPr>
          <w:rFonts w:ascii="Calibri" w:hAnsi="Calibri" w:eastAsia="Microsoft YaHei" w:cs="Calibri"/>
          <w:color w:val="3A7086"/>
          <w:sz w:val="20"/>
          <w:szCs w:val="20"/>
        </w:rPr>
        <w:t>20.9 The Central Corridor Compliance Certificate</w:t>
      </w:r>
      <w:r>
        <w:rPr>
          <w:rFonts w:ascii="Calibri" w:hAnsi="Calibri" w:eastAsia="Microsoft YaHei"/>
          <w:color w:val="3A7086"/>
          <w:sz w:val="20"/>
        </w:rPr>
        <w:tab/>
      </w:r>
      <w:r>
        <w:rPr>
          <w:rFonts w:ascii="Calibri" w:hAnsi="Calibri" w:eastAsia="Microsoft YaHei" w:cs="Calibri"/>
          <w:color w:val="3A7086"/>
          <w:sz w:val="20"/>
          <w:szCs w:val="20"/>
        </w:rPr>
        <w:t>46</w:t>
      </w:r>
    </w:p>
    <w:p>
      <w:pPr>
        <w:pStyle w:val="TOC2"/>
      </w:pPr>
      <w:r>
        <w:rPr>
          <w:rFonts w:ascii="Calibri" w:hAnsi="Calibri" w:eastAsia="Microsoft YaHei" w:cs="Calibri"/>
          <w:color w:val="3A7086"/>
          <w:sz w:val="20"/>
          <w:szCs w:val="20"/>
        </w:rPr>
        <w:t>Article 21: Naval De-confliction and the Standoff Geometry</w:t>
      </w:r>
      <w:r>
        <w:rPr>
          <w:rFonts w:ascii="Calibri" w:hAnsi="Calibri" w:eastAsia="Microsoft YaHei"/>
          <w:color w:val="3A7086"/>
          <w:sz w:val="20"/>
        </w:rPr>
        <w:tab/>
      </w:r>
      <w:r>
        <w:rPr>
          <w:rFonts w:ascii="Calibri" w:hAnsi="Calibri" w:eastAsia="Microsoft YaHei" w:cs="Calibri"/>
          <w:color w:val="3A7086"/>
          <w:sz w:val="20"/>
          <w:szCs w:val="20"/>
        </w:rPr>
        <w:t>46</w:t>
      </w:r>
    </w:p>
    <w:p>
      <w:pPr>
        <w:pStyle w:val="TOC3"/>
      </w:pPr>
      <w:r>
        <w:rPr>
          <w:rFonts w:ascii="Calibri" w:hAnsi="Calibri" w:eastAsia="Microsoft YaHei" w:cs="Calibri"/>
          <w:color w:val="3A7086"/>
          <w:sz w:val="20"/>
          <w:szCs w:val="20"/>
        </w:rPr>
        <w:t>21.1 Purpose</w:t>
      </w:r>
      <w:r>
        <w:rPr>
          <w:rFonts w:ascii="Calibri" w:hAnsi="Calibri" w:eastAsia="Microsoft YaHei"/>
          <w:color w:val="3A7086"/>
          <w:sz w:val="20"/>
        </w:rPr>
        <w:tab/>
      </w:r>
      <w:r>
        <w:rPr>
          <w:rFonts w:ascii="Calibri" w:hAnsi="Calibri" w:eastAsia="Microsoft YaHei" w:cs="Calibri"/>
          <w:color w:val="3A7086"/>
          <w:sz w:val="20"/>
          <w:szCs w:val="20"/>
        </w:rPr>
        <w:t>46</w:t>
      </w:r>
    </w:p>
    <w:p>
      <w:pPr>
        <w:pStyle w:val="TOC3"/>
      </w:pPr>
      <w:r>
        <w:rPr>
          <w:rFonts w:ascii="Calibri" w:hAnsi="Calibri" w:eastAsia="Microsoft YaHei" w:cs="Calibri"/>
          <w:color w:val="3A7086"/>
          <w:sz w:val="20"/>
          <w:szCs w:val="20"/>
        </w:rPr>
        <w:t>21.2 Standoff distances</w:t>
      </w:r>
      <w:r>
        <w:rPr>
          <w:rFonts w:ascii="Calibri" w:hAnsi="Calibri" w:eastAsia="Microsoft YaHei"/>
          <w:color w:val="3A7086"/>
          <w:sz w:val="20"/>
        </w:rPr>
        <w:tab/>
      </w:r>
      <w:r>
        <w:rPr>
          <w:rFonts w:ascii="Calibri" w:hAnsi="Calibri" w:eastAsia="Microsoft YaHei" w:cs="Calibri"/>
          <w:color w:val="3A7086"/>
          <w:sz w:val="20"/>
          <w:szCs w:val="20"/>
        </w:rPr>
        <w:t>47</w:t>
      </w:r>
    </w:p>
    <w:p>
      <w:pPr>
        <w:pStyle w:val="TOC3"/>
      </w:pPr>
      <w:r>
        <w:rPr>
          <w:rFonts w:ascii="Calibri" w:hAnsi="Calibri" w:eastAsia="Microsoft YaHei" w:cs="Calibri"/>
          <w:color w:val="3A7086"/>
          <w:sz w:val="20"/>
          <w:szCs w:val="20"/>
        </w:rPr>
        <w:t>21.3 Exercise notification and Quiet Water Windows</w:t>
      </w:r>
      <w:r>
        <w:rPr>
          <w:rFonts w:ascii="Calibri" w:hAnsi="Calibri" w:eastAsia="Microsoft YaHei"/>
          <w:color w:val="3A7086"/>
          <w:sz w:val="20"/>
        </w:rPr>
        <w:tab/>
      </w:r>
      <w:r>
        <w:rPr>
          <w:rFonts w:ascii="Calibri" w:hAnsi="Calibri" w:eastAsia="Microsoft YaHei" w:cs="Calibri"/>
          <w:color w:val="3A7086"/>
          <w:sz w:val="20"/>
          <w:szCs w:val="20"/>
        </w:rPr>
        <w:t>47</w:t>
      </w:r>
    </w:p>
    <w:p>
      <w:pPr>
        <w:pStyle w:val="TOC3"/>
      </w:pPr>
      <w:r>
        <w:rPr>
          <w:rFonts w:ascii="Calibri" w:hAnsi="Calibri" w:eastAsia="Microsoft YaHei" w:cs="Calibri"/>
          <w:color w:val="3A7086"/>
          <w:sz w:val="20"/>
          <w:szCs w:val="20"/>
        </w:rPr>
        <w:t>21.4 The military de-confliction channel</w:t>
      </w:r>
      <w:r>
        <w:rPr>
          <w:rFonts w:ascii="Calibri" w:hAnsi="Calibri" w:eastAsia="Microsoft YaHei"/>
          <w:color w:val="3A7086"/>
          <w:sz w:val="20"/>
        </w:rPr>
        <w:tab/>
      </w:r>
      <w:r>
        <w:rPr>
          <w:rFonts w:ascii="Calibri" w:hAnsi="Calibri" w:eastAsia="Microsoft YaHei" w:cs="Calibri"/>
          <w:color w:val="3A7086"/>
          <w:sz w:val="20"/>
          <w:szCs w:val="20"/>
        </w:rPr>
        <w:t>47</w:t>
      </w:r>
    </w:p>
    <w:p>
      <w:pPr>
        <w:pStyle w:val="TOC3"/>
      </w:pPr>
      <w:r>
        <w:rPr>
          <w:rFonts w:ascii="Calibri" w:hAnsi="Calibri" w:eastAsia="Microsoft YaHei" w:cs="Calibri"/>
          <w:color w:val="3A7086"/>
          <w:sz w:val="20"/>
          <w:szCs w:val="20"/>
        </w:rPr>
        <w:t>21.5 Military transit</w:t>
      </w:r>
      <w:r>
        <w:rPr>
          <w:rFonts w:ascii="Calibri" w:hAnsi="Calibri" w:eastAsia="Microsoft YaHei"/>
          <w:color w:val="3A7086"/>
          <w:sz w:val="20"/>
        </w:rPr>
        <w:tab/>
      </w:r>
      <w:r>
        <w:rPr>
          <w:rFonts w:ascii="Calibri" w:hAnsi="Calibri" w:eastAsia="Microsoft YaHei" w:cs="Calibri"/>
          <w:color w:val="3A7086"/>
          <w:sz w:val="20"/>
          <w:szCs w:val="20"/>
        </w:rPr>
        <w:t>47</w:t>
      </w:r>
    </w:p>
    <w:p>
      <w:pPr>
        <w:pStyle w:val="TOC3"/>
      </w:pPr>
      <w:r>
        <w:rPr>
          <w:rFonts w:ascii="Calibri" w:hAnsi="Calibri" w:eastAsia="Microsoft YaHei" w:cs="Calibri"/>
          <w:color w:val="3A7086"/>
          <w:sz w:val="20"/>
          <w:szCs w:val="20"/>
        </w:rPr>
        <w:t>21.6 Exclusion of force</w:t>
      </w:r>
      <w:r>
        <w:rPr>
          <w:rFonts w:ascii="Calibri" w:hAnsi="Calibri" w:eastAsia="Microsoft YaHei"/>
          <w:color w:val="3A7086"/>
          <w:sz w:val="20"/>
        </w:rPr>
        <w:tab/>
      </w:r>
      <w:r>
        <w:rPr>
          <w:rFonts w:ascii="Calibri" w:hAnsi="Calibri" w:eastAsia="Microsoft YaHei" w:cs="Calibri"/>
          <w:color w:val="3A7086"/>
          <w:sz w:val="20"/>
          <w:szCs w:val="20"/>
        </w:rPr>
        <w:t>47</w:t>
      </w:r>
    </w:p>
    <w:p>
      <w:pPr>
        <w:pStyle w:val="TOC2"/>
      </w:pPr>
      <w:r>
        <w:rPr>
          <w:rFonts w:ascii="Calibri" w:hAnsi="Calibri" w:eastAsia="Microsoft YaHei" w:cs="Calibri"/>
          <w:color w:val="3A7086"/>
          <w:sz w:val="20"/>
          <w:szCs w:val="20"/>
        </w:rPr>
        <w:t>Article 22: Incidents, Proxy Attacks, and Recovery</w:t>
      </w:r>
      <w:r>
        <w:rPr>
          <w:rFonts w:ascii="Calibri" w:hAnsi="Calibri" w:eastAsia="Microsoft YaHei"/>
          <w:color w:val="3A7086"/>
          <w:sz w:val="20"/>
        </w:rPr>
        <w:tab/>
      </w:r>
      <w:r>
        <w:rPr>
          <w:rFonts w:ascii="Calibri" w:hAnsi="Calibri" w:eastAsia="Microsoft YaHei" w:cs="Calibri"/>
          <w:color w:val="3A7086"/>
          <w:sz w:val="20"/>
          <w:szCs w:val="20"/>
        </w:rPr>
        <w:t>48</w:t>
      </w:r>
    </w:p>
    <w:p>
      <w:pPr>
        <w:pStyle w:val="TOC3"/>
      </w:pPr>
      <w:r>
        <w:rPr>
          <w:rFonts w:ascii="Calibri" w:hAnsi="Calibri" w:eastAsia="Microsoft YaHei" w:cs="Calibri"/>
          <w:color w:val="3A7086"/>
          <w:sz w:val="20"/>
          <w:szCs w:val="20"/>
        </w:rPr>
        <w:t>22.1 The Mishap Protocol</w:t>
      </w:r>
      <w:r>
        <w:rPr>
          <w:rFonts w:ascii="Calibri" w:hAnsi="Calibri" w:eastAsia="Microsoft YaHei"/>
          <w:color w:val="3A7086"/>
          <w:sz w:val="20"/>
        </w:rPr>
        <w:tab/>
      </w:r>
      <w:r>
        <w:rPr>
          <w:rFonts w:ascii="Calibri" w:hAnsi="Calibri" w:eastAsia="Microsoft YaHei" w:cs="Calibri"/>
          <w:color w:val="3A7086"/>
          <w:sz w:val="20"/>
          <w:szCs w:val="20"/>
        </w:rPr>
        <w:t>48</w:t>
      </w:r>
    </w:p>
    <w:p>
      <w:pPr>
        <w:pStyle w:val="TOC3"/>
      </w:pPr>
      <w:r>
        <w:rPr>
          <w:rFonts w:ascii="Calibri" w:hAnsi="Calibri" w:eastAsia="Microsoft YaHei" w:cs="Calibri"/>
          <w:color w:val="3A7086"/>
          <w:sz w:val="20"/>
          <w:szCs w:val="20"/>
        </w:rPr>
        <w:t>22.2 The rogue-actor and proxy-attack pathway</w:t>
      </w:r>
      <w:r>
        <w:rPr>
          <w:rFonts w:ascii="Calibri" w:hAnsi="Calibri" w:eastAsia="Microsoft YaHei"/>
          <w:color w:val="3A7086"/>
          <w:sz w:val="20"/>
        </w:rPr>
        <w:tab/>
      </w:r>
      <w:r>
        <w:rPr>
          <w:rFonts w:ascii="Calibri" w:hAnsi="Calibri" w:eastAsia="Microsoft YaHei" w:cs="Calibri"/>
          <w:color w:val="3A7086"/>
          <w:sz w:val="20"/>
          <w:szCs w:val="20"/>
        </w:rPr>
        <w:t>48</w:t>
      </w:r>
    </w:p>
    <w:p>
      <w:pPr>
        <w:pStyle w:val="TOC3"/>
      </w:pPr>
      <w:r>
        <w:rPr>
          <w:rFonts w:ascii="Calibri" w:hAnsi="Calibri" w:eastAsia="Microsoft YaHei" w:cs="Calibri"/>
          <w:color w:val="3A7086"/>
          <w:sz w:val="20"/>
          <w:szCs w:val="20"/>
        </w:rPr>
        <w:t>22.3 Interference events</w:t>
      </w:r>
      <w:r>
        <w:rPr>
          <w:rFonts w:ascii="Calibri" w:hAnsi="Calibri" w:eastAsia="Microsoft YaHei"/>
          <w:color w:val="3A7086"/>
          <w:sz w:val="20"/>
        </w:rPr>
        <w:tab/>
      </w:r>
      <w:r>
        <w:rPr>
          <w:rFonts w:ascii="Calibri" w:hAnsi="Calibri" w:eastAsia="Microsoft YaHei" w:cs="Calibri"/>
          <w:color w:val="3A7086"/>
          <w:sz w:val="20"/>
          <w:szCs w:val="20"/>
        </w:rPr>
        <w:t>49</w:t>
      </w:r>
    </w:p>
    <w:p>
      <w:pPr>
        <w:pStyle w:val="TOC3"/>
      </w:pPr>
      <w:r>
        <w:rPr>
          <w:rFonts w:ascii="Calibri" w:hAnsi="Calibri" w:eastAsia="Microsoft YaHei" w:cs="Calibri"/>
          <w:color w:val="3A7086"/>
          <w:sz w:val="20"/>
          <w:szCs w:val="20"/>
        </w:rPr>
        <w:t>22.4 Search and rescue and the distress priority</w:t>
      </w:r>
      <w:r>
        <w:rPr>
          <w:rFonts w:ascii="Calibri" w:hAnsi="Calibri" w:eastAsia="Microsoft YaHei"/>
          <w:color w:val="3A7086"/>
          <w:sz w:val="20"/>
        </w:rPr>
        <w:tab/>
      </w:r>
      <w:r>
        <w:rPr>
          <w:rFonts w:ascii="Calibri" w:hAnsi="Calibri" w:eastAsia="Microsoft YaHei" w:cs="Calibri"/>
          <w:color w:val="3A7086"/>
          <w:sz w:val="20"/>
          <w:szCs w:val="20"/>
        </w:rPr>
        <w:t>49</w:t>
      </w:r>
    </w:p>
    <w:p>
      <w:pPr>
        <w:pStyle w:val="TOC3"/>
      </w:pPr>
      <w:r>
        <w:rPr>
          <w:rFonts w:ascii="Calibri" w:hAnsi="Calibri" w:eastAsia="Microsoft YaHei" w:cs="Calibri"/>
          <w:color w:val="3A7086"/>
          <w:sz w:val="20"/>
          <w:szCs w:val="20"/>
        </w:rPr>
        <w:t>22.5 Environmental protection</w:t>
      </w:r>
      <w:r>
        <w:rPr>
          <w:rFonts w:ascii="Calibri" w:hAnsi="Calibri" w:eastAsia="Microsoft YaHei"/>
          <w:color w:val="3A7086"/>
          <w:sz w:val="20"/>
        </w:rPr>
        <w:tab/>
      </w:r>
      <w:r>
        <w:rPr>
          <w:rFonts w:ascii="Calibri" w:hAnsi="Calibri" w:eastAsia="Microsoft YaHei" w:cs="Calibri"/>
          <w:color w:val="3A7086"/>
          <w:sz w:val="20"/>
          <w:szCs w:val="20"/>
        </w:rPr>
        <w:t>49</w:t>
      </w:r>
    </w:p>
    <w:p>
      <w:pPr>
        <w:pStyle w:val="TOC3"/>
      </w:pPr>
      <w:r>
        <w:rPr>
          <w:rFonts w:ascii="Calibri" w:hAnsi="Calibri" w:eastAsia="Microsoft YaHei" w:cs="Calibri"/>
          <w:color w:val="3A7086"/>
          <w:sz w:val="20"/>
          <w:szCs w:val="20"/>
        </w:rPr>
        <w:t>22.6 Crew protections</w:t>
      </w:r>
      <w:r>
        <w:rPr>
          <w:rFonts w:ascii="Calibri" w:hAnsi="Calibri" w:eastAsia="Microsoft YaHei"/>
          <w:color w:val="3A7086"/>
          <w:sz w:val="20"/>
        </w:rPr>
        <w:tab/>
      </w:r>
      <w:r>
        <w:rPr>
          <w:rFonts w:ascii="Calibri" w:hAnsi="Calibri" w:eastAsia="Microsoft YaHei" w:cs="Calibri"/>
          <w:color w:val="3A7086"/>
          <w:sz w:val="20"/>
          <w:szCs w:val="20"/>
        </w:rPr>
        <w:t>50</w:t>
      </w:r>
    </w:p>
    <w:p>
      <w:pPr>
        <w:pStyle w:val="TOC1"/>
      </w:pPr>
      <w:r>
        <w:rPr>
          <w:rFonts w:ascii="Calibri" w:hAnsi="Calibri" w:eastAsia="Microsoft YaHei" w:cs="Calibri"/>
          <w:b/>
          <w:color w:val="22333B"/>
          <w:sz w:val="20"/>
          <w:szCs w:val="20"/>
        </w:rPr>
        <w:t>Part VI: Compliance, Accountability, and Dispute Resolution</w:t>
      </w:r>
      <w:r>
        <w:rPr>
          <w:rFonts w:ascii="Calibri" w:hAnsi="Calibri" w:eastAsia="Microsoft YaHei"/>
          <w:b/>
          <w:color w:val="22333B"/>
          <w:sz w:val="20"/>
        </w:rPr>
        <w:tab/>
      </w:r>
      <w:r>
        <w:rPr>
          <w:rFonts w:ascii="Calibri" w:hAnsi="Calibri" w:eastAsia="Microsoft YaHei" w:cs="Calibri"/>
          <w:b/>
          <w:color w:val="22333B"/>
          <w:sz w:val="20"/>
          <w:szCs w:val="20"/>
        </w:rPr>
        <w:t>51</w:t>
      </w:r>
    </w:p>
    <w:p>
      <w:pPr>
        <w:pStyle w:val="TOC2"/>
      </w:pPr>
      <w:r>
        <w:rPr>
          <w:rFonts w:ascii="Calibri" w:hAnsi="Calibri" w:eastAsia="Microsoft YaHei" w:cs="Calibri"/>
          <w:color w:val="3A7086"/>
          <w:sz w:val="20"/>
          <w:szCs w:val="20"/>
        </w:rPr>
        <w:t>Article 23: The Compliance Engine</w:t>
      </w:r>
      <w:r>
        <w:rPr>
          <w:rFonts w:ascii="Calibri" w:hAnsi="Calibri" w:eastAsia="Microsoft YaHei"/>
          <w:color w:val="3A7086"/>
          <w:sz w:val="20"/>
        </w:rPr>
        <w:tab/>
      </w:r>
      <w:r>
        <w:rPr>
          <w:rFonts w:ascii="Calibri" w:hAnsi="Calibri" w:eastAsia="Microsoft YaHei" w:cs="Calibri"/>
          <w:color w:val="3A7086"/>
          <w:sz w:val="20"/>
          <w:szCs w:val="20"/>
        </w:rPr>
        <w:t>51</w:t>
      </w:r>
    </w:p>
    <w:p>
      <w:pPr>
        <w:pStyle w:val="TOC3"/>
      </w:pPr>
      <w:r>
        <w:rPr>
          <w:rFonts w:ascii="Calibri" w:hAnsi="Calibri" w:eastAsia="Microsoft YaHei" w:cs="Calibri"/>
          <w:color w:val="3A7086"/>
          <w:sz w:val="20"/>
          <w:szCs w:val="20"/>
        </w:rPr>
        <w:t>23.1 Three categories of events</w:t>
      </w:r>
      <w:r>
        <w:rPr>
          <w:rFonts w:ascii="Calibri" w:hAnsi="Calibri" w:eastAsia="Microsoft YaHei"/>
          <w:color w:val="3A7086"/>
          <w:sz w:val="20"/>
        </w:rPr>
        <w:tab/>
      </w:r>
      <w:r>
        <w:rPr>
          <w:rFonts w:ascii="Calibri" w:hAnsi="Calibri" w:eastAsia="Microsoft YaHei" w:cs="Calibri"/>
          <w:color w:val="3A7086"/>
          <w:sz w:val="20"/>
          <w:szCs w:val="20"/>
        </w:rPr>
        <w:t>51</w:t>
      </w:r>
    </w:p>
    <w:p>
      <w:pPr>
        <w:pStyle w:val="TOC3"/>
      </w:pPr>
      <w:r>
        <w:rPr>
          <w:rFonts w:ascii="Calibri" w:hAnsi="Calibri" w:eastAsia="Microsoft YaHei" w:cs="Calibri"/>
          <w:color w:val="3A7086"/>
          <w:sz w:val="20"/>
          <w:szCs w:val="20"/>
        </w:rPr>
        <w:t>23.2 The graduated response ladder</w:t>
      </w:r>
      <w:r>
        <w:rPr>
          <w:rFonts w:ascii="Calibri" w:hAnsi="Calibri" w:eastAsia="Microsoft YaHei"/>
          <w:color w:val="3A7086"/>
          <w:sz w:val="20"/>
        </w:rPr>
        <w:tab/>
      </w:r>
      <w:r>
        <w:rPr>
          <w:rFonts w:ascii="Calibri" w:hAnsi="Calibri" w:eastAsia="Microsoft YaHei" w:cs="Calibri"/>
          <w:color w:val="3A7086"/>
          <w:sz w:val="20"/>
          <w:szCs w:val="20"/>
        </w:rPr>
        <w:t>51</w:t>
      </w:r>
    </w:p>
    <w:p>
      <w:pPr>
        <w:pStyle w:val="TOC3"/>
      </w:pPr>
      <w:r>
        <w:rPr>
          <w:rFonts w:ascii="Calibri" w:hAnsi="Calibri" w:eastAsia="Microsoft YaHei" w:cs="Calibri"/>
          <w:color w:val="3A7086"/>
          <w:sz w:val="20"/>
          <w:szCs w:val="20"/>
        </w:rPr>
        <w:t>23.3 Earn-back and restoration</w:t>
      </w:r>
      <w:r>
        <w:rPr>
          <w:rFonts w:ascii="Calibri" w:hAnsi="Calibri" w:eastAsia="Microsoft YaHei"/>
          <w:color w:val="3A7086"/>
          <w:sz w:val="20"/>
        </w:rPr>
        <w:tab/>
      </w:r>
      <w:r>
        <w:rPr>
          <w:rFonts w:ascii="Calibri" w:hAnsi="Calibri" w:eastAsia="Microsoft YaHei" w:cs="Calibri"/>
          <w:color w:val="3A7086"/>
          <w:sz w:val="20"/>
          <w:szCs w:val="20"/>
        </w:rPr>
        <w:t>52</w:t>
      </w:r>
    </w:p>
    <w:p>
      <w:pPr>
        <w:pStyle w:val="TOC3"/>
      </w:pPr>
      <w:r>
        <w:rPr>
          <w:rFonts w:ascii="Calibri" w:hAnsi="Calibri" w:eastAsia="Microsoft YaHei" w:cs="Calibri"/>
          <w:color w:val="3A7086"/>
          <w:sz w:val="20"/>
          <w:szCs w:val="20"/>
        </w:rPr>
        <w:t>23.4 The Performance Reserve and the humanitarian firewall</w:t>
      </w:r>
      <w:r>
        <w:rPr>
          <w:rFonts w:ascii="Calibri" w:hAnsi="Calibri" w:eastAsia="Microsoft YaHei"/>
          <w:color w:val="3A7086"/>
          <w:sz w:val="20"/>
        </w:rPr>
        <w:tab/>
      </w:r>
      <w:r>
        <w:rPr>
          <w:rFonts w:ascii="Calibri" w:hAnsi="Calibri" w:eastAsia="Microsoft YaHei" w:cs="Calibri"/>
          <w:color w:val="3A7086"/>
          <w:sz w:val="20"/>
          <w:szCs w:val="20"/>
        </w:rPr>
        <w:t>52</w:t>
      </w:r>
    </w:p>
    <w:p>
      <w:pPr>
        <w:pStyle w:val="TOC3"/>
      </w:pPr>
      <w:r>
        <w:rPr>
          <w:rFonts w:ascii="Calibri" w:hAnsi="Calibri" w:eastAsia="Microsoft YaHei" w:cs="Calibri"/>
          <w:color w:val="3A7086"/>
          <w:sz w:val="20"/>
          <w:szCs w:val="20"/>
        </w:rPr>
        <w:t>23.5 The Good Faith Reset and no snapback</w:t>
      </w:r>
      <w:r>
        <w:rPr>
          <w:rFonts w:ascii="Calibri" w:hAnsi="Calibri" w:eastAsia="Microsoft YaHei"/>
          <w:color w:val="3A7086"/>
          <w:sz w:val="20"/>
        </w:rPr>
        <w:tab/>
      </w:r>
      <w:r>
        <w:rPr>
          <w:rFonts w:ascii="Calibri" w:hAnsi="Calibri" w:eastAsia="Microsoft YaHei" w:cs="Calibri"/>
          <w:color w:val="3A7086"/>
          <w:sz w:val="20"/>
          <w:szCs w:val="20"/>
        </w:rPr>
        <w:t>52</w:t>
      </w:r>
    </w:p>
    <w:p>
      <w:pPr>
        <w:pStyle w:val="TOC3"/>
      </w:pPr>
      <w:r>
        <w:rPr>
          <w:rFonts w:ascii="Calibri" w:hAnsi="Calibri" w:eastAsia="Microsoft YaHei" w:cs="Calibri"/>
          <w:color w:val="3A7086"/>
          <w:sz w:val="20"/>
          <w:szCs w:val="20"/>
        </w:rPr>
        <w:t>23.6 Cross-module spillover protection</w:t>
      </w:r>
      <w:r>
        <w:rPr>
          <w:rFonts w:ascii="Calibri" w:hAnsi="Calibri" w:eastAsia="Microsoft YaHei"/>
          <w:color w:val="3A7086"/>
          <w:sz w:val="20"/>
        </w:rPr>
        <w:tab/>
      </w:r>
      <w:r>
        <w:rPr>
          <w:rFonts w:ascii="Calibri" w:hAnsi="Calibri" w:eastAsia="Microsoft YaHei" w:cs="Calibri"/>
          <w:color w:val="3A7086"/>
          <w:sz w:val="20"/>
          <w:szCs w:val="20"/>
        </w:rPr>
        <w:t>53</w:t>
      </w:r>
    </w:p>
    <w:p>
      <w:pPr>
        <w:pStyle w:val="TOC2"/>
      </w:pPr>
      <w:r>
        <w:rPr>
          <w:rFonts w:ascii="Calibri" w:hAnsi="Calibri" w:eastAsia="Microsoft YaHei" w:cs="Calibri"/>
          <w:color w:val="3A7086"/>
          <w:sz w:val="20"/>
          <w:szCs w:val="20"/>
        </w:rPr>
        <w:t>Article 24: The Daryaban Watch</w:t>
      </w:r>
      <w:r>
        <w:rPr>
          <w:rFonts w:ascii="Calibri" w:hAnsi="Calibri" w:eastAsia="Microsoft YaHei"/>
          <w:color w:val="3A7086"/>
          <w:sz w:val="20"/>
        </w:rPr>
        <w:tab/>
      </w:r>
      <w:r>
        <w:rPr>
          <w:rFonts w:ascii="Calibri" w:hAnsi="Calibri" w:eastAsia="Microsoft YaHei" w:cs="Calibri"/>
          <w:color w:val="3A7086"/>
          <w:sz w:val="20"/>
          <w:szCs w:val="20"/>
        </w:rPr>
        <w:t>53</w:t>
      </w:r>
    </w:p>
    <w:p>
      <w:pPr>
        <w:pStyle w:val="TOC3"/>
      </w:pPr>
      <w:r>
        <w:rPr>
          <w:rFonts w:ascii="Calibri" w:hAnsi="Calibri" w:eastAsia="Microsoft YaHei" w:cs="Calibri"/>
          <w:color w:val="3A7086"/>
          <w:sz w:val="20"/>
          <w:szCs w:val="20"/>
        </w:rPr>
        <w:t>24.1 The mechanism</w:t>
      </w:r>
      <w:r>
        <w:rPr>
          <w:rFonts w:ascii="Calibri" w:hAnsi="Calibri" w:eastAsia="Microsoft YaHei"/>
          <w:color w:val="3A7086"/>
          <w:sz w:val="20"/>
        </w:rPr>
        <w:tab/>
      </w:r>
      <w:r>
        <w:rPr>
          <w:rFonts w:ascii="Calibri" w:hAnsi="Calibri" w:eastAsia="Microsoft YaHei" w:cs="Calibri"/>
          <w:color w:val="3A7086"/>
          <w:sz w:val="20"/>
          <w:szCs w:val="20"/>
        </w:rPr>
        <w:t>53</w:t>
      </w:r>
    </w:p>
    <w:p>
      <w:pPr>
        <w:pStyle w:val="TOC3"/>
      </w:pPr>
      <w:r>
        <w:rPr>
          <w:rFonts w:ascii="Calibri" w:hAnsi="Calibri" w:eastAsia="Microsoft YaHei" w:cs="Calibri"/>
          <w:color w:val="3A7086"/>
          <w:sz w:val="20"/>
          <w:szCs w:val="20"/>
        </w:rPr>
        <w:t>24.2 What pauses</w:t>
      </w:r>
      <w:r>
        <w:rPr>
          <w:rFonts w:ascii="Calibri" w:hAnsi="Calibri" w:eastAsia="Microsoft YaHei"/>
          <w:color w:val="3A7086"/>
          <w:sz w:val="20"/>
        </w:rPr>
        <w:tab/>
      </w:r>
      <w:r>
        <w:rPr>
          <w:rFonts w:ascii="Calibri" w:hAnsi="Calibri" w:eastAsia="Microsoft YaHei" w:cs="Calibri"/>
          <w:color w:val="3A7086"/>
          <w:sz w:val="20"/>
          <w:szCs w:val="20"/>
        </w:rPr>
        <w:t>53</w:t>
      </w:r>
    </w:p>
    <w:p>
      <w:pPr>
        <w:pStyle w:val="TOC3"/>
      </w:pPr>
      <w:r>
        <w:rPr>
          <w:rFonts w:ascii="Calibri" w:hAnsi="Calibri" w:eastAsia="Microsoft YaHei" w:cs="Calibri"/>
          <w:color w:val="3A7086"/>
          <w:sz w:val="20"/>
          <w:szCs w:val="20"/>
        </w:rPr>
        <w:t>24.3 What never pauses</w:t>
      </w:r>
      <w:r>
        <w:rPr>
          <w:rFonts w:ascii="Calibri" w:hAnsi="Calibri" w:eastAsia="Microsoft YaHei"/>
          <w:color w:val="3A7086"/>
          <w:sz w:val="20"/>
        </w:rPr>
        <w:tab/>
      </w:r>
      <w:r>
        <w:rPr>
          <w:rFonts w:ascii="Calibri" w:hAnsi="Calibri" w:eastAsia="Microsoft YaHei" w:cs="Calibri"/>
          <w:color w:val="3A7086"/>
          <w:sz w:val="20"/>
          <w:szCs w:val="20"/>
        </w:rPr>
        <w:t>53</w:t>
      </w:r>
    </w:p>
    <w:p>
      <w:pPr>
        <w:pStyle w:val="TOC3"/>
      </w:pPr>
      <w:r>
        <w:rPr>
          <w:rFonts w:ascii="Calibri" w:hAnsi="Calibri" w:eastAsia="Microsoft YaHei" w:cs="Calibri"/>
          <w:color w:val="3A7086"/>
          <w:sz w:val="20"/>
          <w:szCs w:val="20"/>
        </w:rPr>
        <w:t>24.4 Exit from the Watch</w:t>
      </w:r>
      <w:r>
        <w:rPr>
          <w:rFonts w:ascii="Calibri" w:hAnsi="Calibri" w:eastAsia="Microsoft YaHei"/>
          <w:color w:val="3A7086"/>
          <w:sz w:val="20"/>
        </w:rPr>
        <w:tab/>
      </w:r>
      <w:r>
        <w:rPr>
          <w:rFonts w:ascii="Calibri" w:hAnsi="Calibri" w:eastAsia="Microsoft YaHei" w:cs="Calibri"/>
          <w:color w:val="3A7086"/>
          <w:sz w:val="20"/>
          <w:szCs w:val="20"/>
        </w:rPr>
        <w:t>53</w:t>
      </w:r>
    </w:p>
    <w:p>
      <w:pPr>
        <w:pStyle w:val="TOC2"/>
      </w:pPr>
      <w:r>
        <w:rPr>
          <w:rFonts w:ascii="Calibri" w:hAnsi="Calibri" w:eastAsia="Microsoft YaHei" w:cs="Calibri"/>
          <w:color w:val="3A7086"/>
          <w:sz w:val="20"/>
          <w:szCs w:val="20"/>
        </w:rPr>
        <w:t>Article 25: Substantiated Claims, the Performance Bond, and the Reciprocity Ledger</w:t>
      </w:r>
      <w:r>
        <w:rPr>
          <w:rFonts w:ascii="Calibri" w:hAnsi="Calibri" w:eastAsia="Microsoft YaHei"/>
          <w:color w:val="3A7086"/>
          <w:sz w:val="20"/>
        </w:rPr>
        <w:tab/>
      </w:r>
      <w:r>
        <w:rPr>
          <w:rFonts w:ascii="Calibri" w:hAnsi="Calibri" w:eastAsia="Microsoft YaHei" w:cs="Calibri"/>
          <w:color w:val="3A7086"/>
          <w:sz w:val="20"/>
          <w:szCs w:val="20"/>
        </w:rPr>
        <w:t>53</w:t>
      </w:r>
    </w:p>
    <w:p>
      <w:pPr>
        <w:pStyle w:val="TOC3"/>
      </w:pPr>
      <w:r>
        <w:rPr>
          <w:rFonts w:ascii="Calibri" w:hAnsi="Calibri" w:eastAsia="Microsoft YaHei" w:cs="Calibri"/>
          <w:color w:val="3A7086"/>
          <w:sz w:val="20"/>
          <w:szCs w:val="20"/>
        </w:rPr>
        <w:t>25.1 The claim standard</w:t>
      </w:r>
      <w:r>
        <w:rPr>
          <w:rFonts w:ascii="Calibri" w:hAnsi="Calibri" w:eastAsia="Microsoft YaHei"/>
          <w:color w:val="3A7086"/>
          <w:sz w:val="20"/>
        </w:rPr>
        <w:tab/>
      </w:r>
      <w:r>
        <w:rPr>
          <w:rFonts w:ascii="Calibri" w:hAnsi="Calibri" w:eastAsia="Microsoft YaHei" w:cs="Calibri"/>
          <w:color w:val="3A7086"/>
          <w:sz w:val="20"/>
          <w:szCs w:val="20"/>
        </w:rPr>
        <w:t>53</w:t>
      </w:r>
    </w:p>
    <w:p>
      <w:pPr>
        <w:pStyle w:val="TOC3"/>
      </w:pPr>
      <w:r>
        <w:rPr>
          <w:rFonts w:ascii="Calibri" w:hAnsi="Calibri" w:eastAsia="Microsoft YaHei" w:cs="Calibri"/>
          <w:color w:val="3A7086"/>
          <w:sz w:val="20"/>
          <w:szCs w:val="20"/>
        </w:rPr>
        <w:t>25.2 The Performance Bond</w:t>
      </w:r>
      <w:r>
        <w:rPr>
          <w:rFonts w:ascii="Calibri" w:hAnsi="Calibri" w:eastAsia="Microsoft YaHei"/>
          <w:color w:val="3A7086"/>
          <w:sz w:val="20"/>
        </w:rPr>
        <w:tab/>
      </w:r>
      <w:r>
        <w:rPr>
          <w:rFonts w:ascii="Calibri" w:hAnsi="Calibri" w:eastAsia="Microsoft YaHei" w:cs="Calibri"/>
          <w:color w:val="3A7086"/>
          <w:sz w:val="20"/>
          <w:szCs w:val="20"/>
        </w:rPr>
        <w:t>54</w:t>
      </w:r>
    </w:p>
    <w:p>
      <w:pPr>
        <w:pStyle w:val="TOC3"/>
      </w:pPr>
      <w:r>
        <w:rPr>
          <w:rFonts w:ascii="Calibri" w:hAnsi="Calibri" w:eastAsia="Microsoft YaHei" w:cs="Calibri"/>
          <w:color w:val="3A7086"/>
          <w:sz w:val="20"/>
          <w:szCs w:val="20"/>
        </w:rPr>
        <w:t>25.3 Determination</w:t>
      </w:r>
      <w:r>
        <w:rPr>
          <w:rFonts w:ascii="Calibri" w:hAnsi="Calibri" w:eastAsia="Microsoft YaHei"/>
          <w:color w:val="3A7086"/>
          <w:sz w:val="20"/>
        </w:rPr>
        <w:tab/>
      </w:r>
      <w:r>
        <w:rPr>
          <w:rFonts w:ascii="Calibri" w:hAnsi="Calibri" w:eastAsia="Microsoft YaHei" w:cs="Calibri"/>
          <w:color w:val="3A7086"/>
          <w:sz w:val="20"/>
          <w:szCs w:val="20"/>
        </w:rPr>
        <w:t>54</w:t>
      </w:r>
    </w:p>
    <w:p>
      <w:pPr>
        <w:pStyle w:val="TOC3"/>
      </w:pPr>
      <w:r>
        <w:rPr>
          <w:rFonts w:ascii="Calibri" w:hAnsi="Calibri" w:eastAsia="Microsoft YaHei" w:cs="Calibri"/>
          <w:color w:val="3A7086"/>
          <w:sz w:val="20"/>
          <w:szCs w:val="20"/>
        </w:rPr>
        <w:t>25.4 The Reciprocity Ledger and standing levels</w:t>
      </w:r>
      <w:r>
        <w:rPr>
          <w:rFonts w:ascii="Calibri" w:hAnsi="Calibri" w:eastAsia="Microsoft YaHei"/>
          <w:color w:val="3A7086"/>
          <w:sz w:val="20"/>
        </w:rPr>
        <w:tab/>
      </w:r>
      <w:r>
        <w:rPr>
          <w:rFonts w:ascii="Calibri" w:hAnsi="Calibri" w:eastAsia="Microsoft YaHei" w:cs="Calibri"/>
          <w:color w:val="3A7086"/>
          <w:sz w:val="20"/>
          <w:szCs w:val="20"/>
        </w:rPr>
        <w:t>54</w:t>
      </w:r>
    </w:p>
    <w:p>
      <w:pPr>
        <w:pStyle w:val="TOC2"/>
      </w:pPr>
      <w:r>
        <w:rPr>
          <w:rFonts w:ascii="Calibri" w:hAnsi="Calibri" w:eastAsia="Microsoft YaHei" w:cs="Calibri"/>
          <w:color w:val="3A7086"/>
          <w:sz w:val="20"/>
          <w:szCs w:val="20"/>
        </w:rPr>
        <w:t>Article 26: Dispute Resolution</w:t>
      </w:r>
      <w:r>
        <w:rPr>
          <w:rFonts w:ascii="Calibri" w:hAnsi="Calibri" w:eastAsia="Microsoft YaHei"/>
          <w:color w:val="3A7086"/>
          <w:sz w:val="20"/>
        </w:rPr>
        <w:tab/>
      </w:r>
      <w:r>
        <w:rPr>
          <w:rFonts w:ascii="Calibri" w:hAnsi="Calibri" w:eastAsia="Microsoft YaHei" w:cs="Calibri"/>
          <w:color w:val="3A7086"/>
          <w:sz w:val="20"/>
          <w:szCs w:val="20"/>
        </w:rPr>
        <w:t>54</w:t>
      </w:r>
    </w:p>
    <w:p>
      <w:pPr>
        <w:pStyle w:val="TOC3"/>
      </w:pPr>
      <w:r>
        <w:rPr>
          <w:rFonts w:ascii="Calibri" w:hAnsi="Calibri" w:eastAsia="Microsoft YaHei" w:cs="Calibri"/>
          <w:color w:val="3A7086"/>
          <w:sz w:val="20"/>
          <w:szCs w:val="20"/>
        </w:rPr>
        <w:t>26.1 The tiered structure</w:t>
      </w:r>
      <w:r>
        <w:rPr>
          <w:rFonts w:ascii="Calibri" w:hAnsi="Calibri" w:eastAsia="Microsoft YaHei"/>
          <w:color w:val="3A7086"/>
          <w:sz w:val="20"/>
        </w:rPr>
        <w:tab/>
      </w:r>
      <w:r>
        <w:rPr>
          <w:rFonts w:ascii="Calibri" w:hAnsi="Calibri" w:eastAsia="Microsoft YaHei" w:cs="Calibri"/>
          <w:color w:val="3A7086"/>
          <w:sz w:val="20"/>
          <w:szCs w:val="20"/>
        </w:rPr>
        <w:t>54</w:t>
      </w:r>
    </w:p>
    <w:p>
      <w:pPr>
        <w:pStyle w:val="TOC3"/>
      </w:pPr>
      <w:r>
        <w:rPr>
          <w:rFonts w:ascii="Calibri" w:hAnsi="Calibri" w:eastAsia="Microsoft YaHei" w:cs="Calibri"/>
          <w:color w:val="3A7086"/>
          <w:sz w:val="20"/>
          <w:szCs w:val="20"/>
        </w:rPr>
        <w:t>26.2 The facilitation tier in detail</w:t>
      </w:r>
      <w:r>
        <w:rPr>
          <w:rFonts w:ascii="Calibri" w:hAnsi="Calibri" w:eastAsia="Microsoft YaHei"/>
          <w:color w:val="3A7086"/>
          <w:sz w:val="20"/>
        </w:rPr>
        <w:tab/>
      </w:r>
      <w:r>
        <w:rPr>
          <w:rFonts w:ascii="Calibri" w:hAnsi="Calibri" w:eastAsia="Microsoft YaHei" w:cs="Calibri"/>
          <w:color w:val="3A7086"/>
          <w:sz w:val="20"/>
          <w:szCs w:val="20"/>
        </w:rPr>
        <w:t>55</w:t>
      </w:r>
    </w:p>
    <w:p>
      <w:pPr>
        <w:pStyle w:val="TOC3"/>
      </w:pPr>
      <w:r>
        <w:rPr>
          <w:rFonts w:ascii="Calibri" w:hAnsi="Calibri" w:eastAsia="Microsoft YaHei" w:cs="Calibri"/>
          <w:color w:val="3A7086"/>
          <w:sz w:val="20"/>
          <w:szCs w:val="20"/>
        </w:rPr>
        <w:t>26.3 The independent technical referee</w:t>
      </w:r>
      <w:r>
        <w:rPr>
          <w:rFonts w:ascii="Calibri" w:hAnsi="Calibri" w:eastAsia="Microsoft YaHei"/>
          <w:color w:val="3A7086"/>
          <w:sz w:val="20"/>
        </w:rPr>
        <w:tab/>
      </w:r>
      <w:r>
        <w:rPr>
          <w:rFonts w:ascii="Calibri" w:hAnsi="Calibri" w:eastAsia="Microsoft YaHei" w:cs="Calibri"/>
          <w:color w:val="3A7086"/>
          <w:sz w:val="20"/>
          <w:szCs w:val="20"/>
        </w:rPr>
        <w:t>55</w:t>
      </w:r>
    </w:p>
    <w:p>
      <w:pPr>
        <w:pStyle w:val="TOC3"/>
      </w:pPr>
      <w:r>
        <w:rPr>
          <w:rFonts w:ascii="Calibri" w:hAnsi="Calibri" w:eastAsia="Microsoft YaHei" w:cs="Calibri"/>
          <w:color w:val="3A7086"/>
          <w:sz w:val="20"/>
          <w:szCs w:val="20"/>
        </w:rPr>
        <w:t>26.4 The Escalation Cap and the silence clause</w:t>
      </w:r>
      <w:r>
        <w:rPr>
          <w:rFonts w:ascii="Calibri" w:hAnsi="Calibri" w:eastAsia="Microsoft YaHei"/>
          <w:color w:val="3A7086"/>
          <w:sz w:val="20"/>
        </w:rPr>
        <w:tab/>
      </w:r>
      <w:r>
        <w:rPr>
          <w:rFonts w:ascii="Calibri" w:hAnsi="Calibri" w:eastAsia="Microsoft YaHei" w:cs="Calibri"/>
          <w:color w:val="3A7086"/>
          <w:sz w:val="20"/>
          <w:szCs w:val="20"/>
        </w:rPr>
        <w:t>55</w:t>
      </w:r>
    </w:p>
    <w:p>
      <w:pPr>
        <w:pStyle w:val="TOC3"/>
      </w:pPr>
      <w:r>
        <w:rPr>
          <w:rFonts w:ascii="Calibri" w:hAnsi="Calibri" w:eastAsia="Microsoft YaHei" w:cs="Calibri"/>
          <w:color w:val="3A7086"/>
          <w:sz w:val="20"/>
          <w:szCs w:val="20"/>
        </w:rPr>
        <w:t>26.5 Interim measures</w:t>
      </w:r>
      <w:r>
        <w:rPr>
          <w:rFonts w:ascii="Calibri" w:hAnsi="Calibri" w:eastAsia="Microsoft YaHei"/>
          <w:color w:val="3A7086"/>
          <w:sz w:val="20"/>
        </w:rPr>
        <w:tab/>
      </w:r>
      <w:r>
        <w:rPr>
          <w:rFonts w:ascii="Calibri" w:hAnsi="Calibri" w:eastAsia="Microsoft YaHei" w:cs="Calibri"/>
          <w:color w:val="3A7086"/>
          <w:sz w:val="20"/>
          <w:szCs w:val="20"/>
        </w:rPr>
        <w:t>56</w:t>
      </w:r>
    </w:p>
    <w:p>
      <w:pPr>
        <w:pStyle w:val="TOC2"/>
      </w:pPr>
      <w:r>
        <w:rPr>
          <w:rFonts w:ascii="Calibri" w:hAnsi="Calibri" w:eastAsia="Microsoft YaHei" w:cs="Calibri"/>
          <w:color w:val="3A7086"/>
          <w:sz w:val="20"/>
          <w:szCs w:val="20"/>
        </w:rPr>
        <w:t>Article 27: The Protection Covenant</w:t>
      </w:r>
      <w:r>
        <w:rPr>
          <w:rFonts w:ascii="Calibri" w:hAnsi="Calibri" w:eastAsia="Microsoft YaHei"/>
          <w:color w:val="3A7086"/>
          <w:sz w:val="20"/>
        </w:rPr>
        <w:tab/>
      </w:r>
      <w:r>
        <w:rPr>
          <w:rFonts w:ascii="Calibri" w:hAnsi="Calibri" w:eastAsia="Microsoft YaHei" w:cs="Calibri"/>
          <w:color w:val="3A7086"/>
          <w:sz w:val="20"/>
          <w:szCs w:val="20"/>
        </w:rPr>
        <w:t>56</w:t>
      </w:r>
    </w:p>
    <w:p>
      <w:pPr>
        <w:pStyle w:val="TOC3"/>
      </w:pPr>
      <w:r>
        <w:rPr>
          <w:rFonts w:ascii="Calibri" w:hAnsi="Calibri" w:eastAsia="Microsoft YaHei" w:cs="Calibri"/>
          <w:color w:val="3A7086"/>
          <w:sz w:val="20"/>
          <w:szCs w:val="20"/>
        </w:rPr>
        <w:t>27.1 The protected core</w:t>
      </w:r>
      <w:r>
        <w:rPr>
          <w:rFonts w:ascii="Calibri" w:hAnsi="Calibri" w:eastAsia="Microsoft YaHei"/>
          <w:color w:val="3A7086"/>
          <w:sz w:val="20"/>
        </w:rPr>
        <w:tab/>
      </w:r>
      <w:r>
        <w:rPr>
          <w:rFonts w:ascii="Calibri" w:hAnsi="Calibri" w:eastAsia="Microsoft YaHei" w:cs="Calibri"/>
          <w:color w:val="3A7086"/>
          <w:sz w:val="20"/>
          <w:szCs w:val="20"/>
        </w:rPr>
        <w:t>56</w:t>
      </w:r>
    </w:p>
    <w:p>
      <w:pPr>
        <w:pStyle w:val="TOC3"/>
      </w:pPr>
      <w:r>
        <w:rPr>
          <w:rFonts w:ascii="Calibri" w:hAnsi="Calibri" w:eastAsia="Microsoft YaHei" w:cs="Calibri"/>
          <w:color w:val="3A7086"/>
          <w:sz w:val="20"/>
          <w:szCs w:val="20"/>
        </w:rPr>
        <w:t>27.2 Non-severability of safeguards</w:t>
      </w:r>
      <w:r>
        <w:rPr>
          <w:rFonts w:ascii="Calibri" w:hAnsi="Calibri" w:eastAsia="Microsoft YaHei"/>
          <w:color w:val="3A7086"/>
          <w:sz w:val="20"/>
        </w:rPr>
        <w:tab/>
      </w:r>
      <w:r>
        <w:rPr>
          <w:rFonts w:ascii="Calibri" w:hAnsi="Calibri" w:eastAsia="Microsoft YaHei" w:cs="Calibri"/>
          <w:color w:val="3A7086"/>
          <w:sz w:val="20"/>
          <w:szCs w:val="20"/>
        </w:rPr>
        <w:t>56</w:t>
      </w:r>
    </w:p>
    <w:p>
      <w:pPr>
        <w:pStyle w:val="TOC3"/>
      </w:pPr>
      <w:r>
        <w:rPr>
          <w:rFonts w:ascii="Calibri" w:hAnsi="Calibri" w:eastAsia="Microsoft YaHei" w:cs="Calibri"/>
          <w:color w:val="3A7086"/>
          <w:sz w:val="20"/>
          <w:szCs w:val="20"/>
        </w:rPr>
        <w:t>27.3 Declarations of intent</w:t>
      </w:r>
      <w:r>
        <w:rPr>
          <w:rFonts w:ascii="Calibri" w:hAnsi="Calibri" w:eastAsia="Microsoft YaHei"/>
          <w:color w:val="3A7086"/>
          <w:sz w:val="20"/>
        </w:rPr>
        <w:tab/>
      </w:r>
      <w:r>
        <w:rPr>
          <w:rFonts w:ascii="Calibri" w:hAnsi="Calibri" w:eastAsia="Microsoft YaHei" w:cs="Calibri"/>
          <w:color w:val="3A7086"/>
          <w:sz w:val="20"/>
          <w:szCs w:val="20"/>
        </w:rPr>
        <w:t>56</w:t>
      </w:r>
    </w:p>
    <w:p>
      <w:pPr>
        <w:pStyle w:val="TOC3"/>
      </w:pPr>
      <w:r>
        <w:rPr>
          <w:rFonts w:ascii="Calibri" w:hAnsi="Calibri" w:eastAsia="Microsoft YaHei" w:cs="Calibri"/>
          <w:color w:val="3A7086"/>
          <w:sz w:val="20"/>
          <w:szCs w:val="20"/>
        </w:rPr>
        <w:t>27.4 Emergency oversight</w:t>
      </w:r>
      <w:r>
        <w:rPr>
          <w:rFonts w:ascii="Calibri" w:hAnsi="Calibri" w:eastAsia="Microsoft YaHei"/>
          <w:color w:val="3A7086"/>
          <w:sz w:val="20"/>
        </w:rPr>
        <w:tab/>
      </w:r>
      <w:r>
        <w:rPr>
          <w:rFonts w:ascii="Calibri" w:hAnsi="Calibri" w:eastAsia="Microsoft YaHei" w:cs="Calibri"/>
          <w:color w:val="3A7086"/>
          <w:sz w:val="20"/>
          <w:szCs w:val="20"/>
        </w:rPr>
        <w:t>56</w:t>
      </w:r>
    </w:p>
    <w:p>
      <w:pPr>
        <w:pStyle w:val="TOC3"/>
      </w:pPr>
      <w:r>
        <w:rPr>
          <w:rFonts w:ascii="Calibri" w:hAnsi="Calibri" w:eastAsia="Microsoft YaHei" w:cs="Calibri"/>
          <w:color w:val="3A7086"/>
          <w:sz w:val="20"/>
          <w:szCs w:val="20"/>
        </w:rPr>
        <w:t>27.5 The integrity review</w:t>
      </w:r>
      <w:r>
        <w:rPr>
          <w:rFonts w:ascii="Calibri" w:hAnsi="Calibri" w:eastAsia="Microsoft YaHei"/>
          <w:color w:val="3A7086"/>
          <w:sz w:val="20"/>
        </w:rPr>
        <w:tab/>
      </w:r>
      <w:r>
        <w:rPr>
          <w:rFonts w:ascii="Calibri" w:hAnsi="Calibri" w:eastAsia="Microsoft YaHei" w:cs="Calibri"/>
          <w:color w:val="3A7086"/>
          <w:sz w:val="20"/>
          <w:szCs w:val="20"/>
        </w:rPr>
        <w:t>56</w:t>
      </w:r>
    </w:p>
    <w:p>
      <w:pPr>
        <w:pStyle w:val="TOC3"/>
      </w:pPr>
      <w:r>
        <w:rPr>
          <w:rFonts w:ascii="Calibri" w:hAnsi="Calibri" w:eastAsia="Microsoft YaHei" w:cs="Calibri"/>
          <w:color w:val="3A7086"/>
          <w:sz w:val="20"/>
          <w:szCs w:val="20"/>
        </w:rPr>
        <w:t>27.6 The Central Corridor Security Guarantee</w:t>
      </w:r>
      <w:r>
        <w:rPr>
          <w:rFonts w:ascii="Calibri" w:hAnsi="Calibri" w:eastAsia="Microsoft YaHei"/>
          <w:color w:val="3A7086"/>
          <w:sz w:val="20"/>
        </w:rPr>
        <w:tab/>
      </w:r>
      <w:r>
        <w:rPr>
          <w:rFonts w:ascii="Calibri" w:hAnsi="Calibri" w:eastAsia="Microsoft YaHei" w:cs="Calibri"/>
          <w:color w:val="3A7086"/>
          <w:sz w:val="20"/>
          <w:szCs w:val="20"/>
        </w:rPr>
        <w:t>57</w:t>
      </w:r>
    </w:p>
    <w:p>
      <w:pPr>
        <w:pStyle w:val="TOC1"/>
      </w:pPr>
      <w:r>
        <w:rPr>
          <w:rFonts w:ascii="Calibri" w:hAnsi="Calibri" w:eastAsia="Microsoft YaHei" w:cs="Calibri"/>
          <w:b/>
          <w:color w:val="22333B"/>
          <w:sz w:val="20"/>
          <w:szCs w:val="20"/>
        </w:rPr>
        <w:t>Part VII: Continuity, Accession, and Final Provisions</w:t>
      </w:r>
      <w:r>
        <w:rPr>
          <w:rFonts w:ascii="Calibri" w:hAnsi="Calibri" w:eastAsia="Microsoft YaHei"/>
          <w:b/>
          <w:color w:val="22333B"/>
          <w:sz w:val="20"/>
        </w:rPr>
        <w:tab/>
      </w:r>
      <w:r>
        <w:rPr>
          <w:rFonts w:ascii="Calibri" w:hAnsi="Calibri" w:eastAsia="Microsoft YaHei" w:cs="Calibri"/>
          <w:b/>
          <w:color w:val="22333B"/>
          <w:sz w:val="20"/>
          <w:szCs w:val="20"/>
        </w:rPr>
        <w:t>58</w:t>
      </w:r>
    </w:p>
    <w:p>
      <w:pPr>
        <w:pStyle w:val="TOC2"/>
      </w:pPr>
      <w:r>
        <w:rPr>
          <w:rFonts w:ascii="Calibri" w:hAnsi="Calibri" w:eastAsia="Microsoft YaHei" w:cs="Calibri"/>
          <w:color w:val="3A7086"/>
          <w:sz w:val="20"/>
          <w:szCs w:val="20"/>
        </w:rPr>
        <w:t>Article 28: Accession and the Multilateral Expansion Path</w:t>
      </w:r>
      <w:r>
        <w:rPr>
          <w:rFonts w:ascii="Calibri" w:hAnsi="Calibri" w:eastAsia="Microsoft YaHei"/>
          <w:color w:val="3A7086"/>
          <w:sz w:val="20"/>
        </w:rPr>
        <w:tab/>
      </w:r>
      <w:r>
        <w:rPr>
          <w:rFonts w:ascii="Calibri" w:hAnsi="Calibri" w:eastAsia="Microsoft YaHei" w:cs="Calibri"/>
          <w:color w:val="3A7086"/>
          <w:sz w:val="20"/>
          <w:szCs w:val="20"/>
        </w:rPr>
        <w:t>58</w:t>
      </w:r>
    </w:p>
    <w:p>
      <w:pPr>
        <w:pStyle w:val="TOC3"/>
      </w:pPr>
      <w:r>
        <w:rPr>
          <w:rFonts w:ascii="Calibri" w:hAnsi="Calibri" w:eastAsia="Microsoft YaHei" w:cs="Calibri"/>
          <w:color w:val="3A7086"/>
          <w:sz w:val="20"/>
          <w:szCs w:val="20"/>
        </w:rPr>
        <w:t>28.1 The open path</w:t>
      </w:r>
      <w:r>
        <w:rPr>
          <w:rFonts w:ascii="Calibri" w:hAnsi="Calibri" w:eastAsia="Microsoft YaHei"/>
          <w:color w:val="3A7086"/>
          <w:sz w:val="20"/>
        </w:rPr>
        <w:tab/>
      </w:r>
      <w:r>
        <w:rPr>
          <w:rFonts w:ascii="Calibri" w:hAnsi="Calibri" w:eastAsia="Microsoft YaHei" w:cs="Calibri"/>
          <w:color w:val="3A7086"/>
          <w:sz w:val="20"/>
          <w:szCs w:val="20"/>
        </w:rPr>
        <w:t>58</w:t>
      </w:r>
    </w:p>
    <w:p>
      <w:pPr>
        <w:pStyle w:val="TOC3"/>
      </w:pPr>
      <w:r>
        <w:rPr>
          <w:rFonts w:ascii="Calibri" w:hAnsi="Calibri" w:eastAsia="Microsoft YaHei" w:cs="Calibri"/>
          <w:color w:val="3A7086"/>
          <w:sz w:val="20"/>
          <w:szCs w:val="20"/>
        </w:rPr>
        <w:t>28.2 The accession sequence</w:t>
      </w:r>
      <w:r>
        <w:rPr>
          <w:rFonts w:ascii="Calibri" w:hAnsi="Calibri" w:eastAsia="Microsoft YaHei"/>
          <w:color w:val="3A7086"/>
          <w:sz w:val="20"/>
        </w:rPr>
        <w:tab/>
      </w:r>
      <w:r>
        <w:rPr>
          <w:rFonts w:ascii="Calibri" w:hAnsi="Calibri" w:eastAsia="Microsoft YaHei" w:cs="Calibri"/>
          <w:color w:val="3A7086"/>
          <w:sz w:val="20"/>
          <w:szCs w:val="20"/>
        </w:rPr>
        <w:t>58</w:t>
      </w:r>
    </w:p>
    <w:p>
      <w:pPr>
        <w:pStyle w:val="TOC3"/>
      </w:pPr>
      <w:r>
        <w:rPr>
          <w:rFonts w:ascii="Calibri" w:hAnsi="Calibri" w:eastAsia="Microsoft YaHei" w:cs="Calibri"/>
          <w:color w:val="3A7086"/>
          <w:sz w:val="20"/>
          <w:szCs w:val="20"/>
        </w:rPr>
        <w:t>28.3 Effect of accession</w:t>
      </w:r>
      <w:r>
        <w:rPr>
          <w:rFonts w:ascii="Calibri" w:hAnsi="Calibri" w:eastAsia="Microsoft YaHei"/>
          <w:color w:val="3A7086"/>
          <w:sz w:val="20"/>
        </w:rPr>
        <w:tab/>
      </w:r>
      <w:r>
        <w:rPr>
          <w:rFonts w:ascii="Calibri" w:hAnsi="Calibri" w:eastAsia="Microsoft YaHei" w:cs="Calibri"/>
          <w:color w:val="3A7086"/>
          <w:sz w:val="20"/>
          <w:szCs w:val="20"/>
        </w:rPr>
        <w:t>58</w:t>
      </w:r>
    </w:p>
    <w:p>
      <w:pPr>
        <w:pStyle w:val="TOC3"/>
      </w:pPr>
      <w:r>
        <w:rPr>
          <w:rFonts w:ascii="Calibri" w:hAnsi="Calibri" w:eastAsia="Microsoft YaHei" w:cs="Calibri"/>
          <w:color w:val="3A7086"/>
          <w:sz w:val="20"/>
          <w:szCs w:val="20"/>
        </w:rPr>
        <w:t>28.4 The attachment module</w:t>
      </w:r>
      <w:r>
        <w:rPr>
          <w:rFonts w:ascii="Calibri" w:hAnsi="Calibri" w:eastAsia="Microsoft YaHei"/>
          <w:color w:val="3A7086"/>
          <w:sz w:val="20"/>
        </w:rPr>
        <w:tab/>
      </w:r>
      <w:r>
        <w:rPr>
          <w:rFonts w:ascii="Calibri" w:hAnsi="Calibri" w:eastAsia="Microsoft YaHei" w:cs="Calibri"/>
          <w:color w:val="3A7086"/>
          <w:sz w:val="20"/>
          <w:szCs w:val="20"/>
        </w:rPr>
        <w:t>58</w:t>
      </w:r>
    </w:p>
    <w:p>
      <w:pPr>
        <w:pStyle w:val="TOC3"/>
      </w:pPr>
      <w:r>
        <w:rPr>
          <w:rFonts w:ascii="Calibri" w:hAnsi="Calibri" w:eastAsia="Microsoft YaHei" w:cs="Calibri"/>
          <w:color w:val="3A7086"/>
          <w:sz w:val="20"/>
          <w:szCs w:val="20"/>
        </w:rPr>
        <w:t>28.5 Adherence by security liaisons</w:t>
      </w:r>
      <w:r>
        <w:rPr>
          <w:rFonts w:ascii="Calibri" w:hAnsi="Calibri" w:eastAsia="Microsoft YaHei"/>
          <w:color w:val="3A7086"/>
          <w:sz w:val="20"/>
        </w:rPr>
        <w:tab/>
      </w:r>
      <w:r>
        <w:rPr>
          <w:rFonts w:ascii="Calibri" w:hAnsi="Calibri" w:eastAsia="Microsoft YaHei" w:cs="Calibri"/>
          <w:color w:val="3A7086"/>
          <w:sz w:val="20"/>
          <w:szCs w:val="20"/>
        </w:rPr>
        <w:t>58</w:t>
      </w:r>
    </w:p>
    <w:p>
      <w:pPr>
        <w:pStyle w:val="TOC2"/>
      </w:pPr>
      <w:r>
        <w:rPr>
          <w:rFonts w:ascii="Calibri" w:hAnsi="Calibri" w:eastAsia="Microsoft YaHei" w:cs="Calibri"/>
          <w:color w:val="3A7086"/>
          <w:sz w:val="20"/>
          <w:szCs w:val="20"/>
        </w:rPr>
        <w:t>Article 29: Amendment and Review</w:t>
      </w:r>
      <w:r>
        <w:rPr>
          <w:rFonts w:ascii="Calibri" w:hAnsi="Calibri" w:eastAsia="Microsoft YaHei"/>
          <w:color w:val="3A7086"/>
          <w:sz w:val="20"/>
        </w:rPr>
        <w:tab/>
      </w:r>
      <w:r>
        <w:rPr>
          <w:rFonts w:ascii="Calibri" w:hAnsi="Calibri" w:eastAsia="Microsoft YaHei" w:cs="Calibri"/>
          <w:color w:val="3A7086"/>
          <w:sz w:val="20"/>
          <w:szCs w:val="20"/>
        </w:rPr>
        <w:t>58</w:t>
      </w:r>
    </w:p>
    <w:p>
      <w:pPr>
        <w:pStyle w:val="TOC3"/>
      </w:pPr>
      <w:r>
        <w:rPr>
          <w:rFonts w:ascii="Calibri" w:hAnsi="Calibri" w:eastAsia="Microsoft YaHei" w:cs="Calibri"/>
          <w:color w:val="3A7086"/>
          <w:sz w:val="20"/>
          <w:szCs w:val="20"/>
        </w:rPr>
        <w:t>29.1 Ordinary amendment</w:t>
      </w:r>
      <w:r>
        <w:rPr>
          <w:rFonts w:ascii="Calibri" w:hAnsi="Calibri" w:eastAsia="Microsoft YaHei"/>
          <w:color w:val="3A7086"/>
          <w:sz w:val="20"/>
        </w:rPr>
        <w:tab/>
      </w:r>
      <w:r>
        <w:rPr>
          <w:rFonts w:ascii="Calibri" w:hAnsi="Calibri" w:eastAsia="Microsoft YaHei" w:cs="Calibri"/>
          <w:color w:val="3A7086"/>
          <w:sz w:val="20"/>
          <w:szCs w:val="20"/>
        </w:rPr>
        <w:t>58</w:t>
      </w:r>
    </w:p>
    <w:p>
      <w:pPr>
        <w:pStyle w:val="TOC3"/>
      </w:pPr>
      <w:r>
        <w:rPr>
          <w:rFonts w:ascii="Calibri" w:hAnsi="Calibri" w:eastAsia="Microsoft YaHei" w:cs="Calibri"/>
          <w:color w:val="3A7086"/>
          <w:sz w:val="20"/>
          <w:szCs w:val="20"/>
        </w:rPr>
        <w:t>29.2 Elevated amendment</w:t>
      </w:r>
      <w:r>
        <w:rPr>
          <w:rFonts w:ascii="Calibri" w:hAnsi="Calibri" w:eastAsia="Microsoft YaHei"/>
          <w:color w:val="3A7086"/>
          <w:sz w:val="20"/>
        </w:rPr>
        <w:tab/>
      </w:r>
      <w:r>
        <w:rPr>
          <w:rFonts w:ascii="Calibri" w:hAnsi="Calibri" w:eastAsia="Microsoft YaHei" w:cs="Calibri"/>
          <w:color w:val="3A7086"/>
          <w:sz w:val="20"/>
          <w:szCs w:val="20"/>
        </w:rPr>
        <w:t>59</w:t>
      </w:r>
    </w:p>
    <w:p>
      <w:pPr>
        <w:pStyle w:val="TOC3"/>
      </w:pPr>
      <w:r>
        <w:rPr>
          <w:rFonts w:ascii="Calibri" w:hAnsi="Calibri" w:eastAsia="Microsoft YaHei" w:cs="Calibri"/>
          <w:color w:val="3A7086"/>
          <w:sz w:val="20"/>
          <w:szCs w:val="20"/>
        </w:rPr>
        <w:t>29.3 The symmetry review</w:t>
      </w:r>
      <w:r>
        <w:rPr>
          <w:rFonts w:ascii="Calibri" w:hAnsi="Calibri" w:eastAsia="Microsoft YaHei"/>
          <w:color w:val="3A7086"/>
          <w:sz w:val="20"/>
        </w:rPr>
        <w:tab/>
      </w:r>
      <w:r>
        <w:rPr>
          <w:rFonts w:ascii="Calibri" w:hAnsi="Calibri" w:eastAsia="Microsoft YaHei" w:cs="Calibri"/>
          <w:color w:val="3A7086"/>
          <w:sz w:val="20"/>
          <w:szCs w:val="20"/>
        </w:rPr>
        <w:t>59</w:t>
      </w:r>
    </w:p>
    <w:p>
      <w:pPr>
        <w:pStyle w:val="TOC3"/>
      </w:pPr>
      <w:r>
        <w:rPr>
          <w:rFonts w:ascii="Calibri" w:hAnsi="Calibri" w:eastAsia="Microsoft YaHei" w:cs="Calibri"/>
          <w:color w:val="3A7086"/>
          <w:sz w:val="20"/>
          <w:szCs w:val="20"/>
        </w:rPr>
        <w:t>29.4 The annual review conference</w:t>
      </w:r>
      <w:r>
        <w:rPr>
          <w:rFonts w:ascii="Calibri" w:hAnsi="Calibri" w:eastAsia="Microsoft YaHei"/>
          <w:color w:val="3A7086"/>
          <w:sz w:val="20"/>
        </w:rPr>
        <w:tab/>
      </w:r>
      <w:r>
        <w:rPr>
          <w:rFonts w:ascii="Calibri" w:hAnsi="Calibri" w:eastAsia="Microsoft YaHei" w:cs="Calibri"/>
          <w:color w:val="3A7086"/>
          <w:sz w:val="20"/>
          <w:szCs w:val="20"/>
        </w:rPr>
        <w:t>59</w:t>
      </w:r>
    </w:p>
    <w:p>
      <w:pPr>
        <w:pStyle w:val="TOC2"/>
      </w:pPr>
      <w:r>
        <w:rPr>
          <w:rFonts w:ascii="Calibri" w:hAnsi="Calibri" w:eastAsia="Microsoft YaHei" w:cs="Calibri"/>
          <w:color w:val="3A7086"/>
          <w:sz w:val="20"/>
          <w:szCs w:val="20"/>
        </w:rPr>
        <w:t>Article 30: Transition, Succession, Withdrawal, and Reconstitution</w:t>
      </w:r>
      <w:r>
        <w:rPr>
          <w:rFonts w:ascii="Calibri" w:hAnsi="Calibri" w:eastAsia="Microsoft YaHei"/>
          <w:color w:val="3A7086"/>
          <w:sz w:val="20"/>
        </w:rPr>
        <w:tab/>
      </w:r>
      <w:r>
        <w:rPr>
          <w:rFonts w:ascii="Calibri" w:hAnsi="Calibri" w:eastAsia="Microsoft YaHei" w:cs="Calibri"/>
          <w:color w:val="3A7086"/>
          <w:sz w:val="20"/>
          <w:szCs w:val="20"/>
        </w:rPr>
        <w:t>59</w:t>
      </w:r>
    </w:p>
    <w:p>
      <w:pPr>
        <w:pStyle w:val="TOC3"/>
      </w:pPr>
      <w:r>
        <w:rPr>
          <w:rFonts w:ascii="Calibri" w:hAnsi="Calibri" w:eastAsia="Microsoft YaHei" w:cs="Calibri"/>
          <w:color w:val="3A7086"/>
          <w:sz w:val="20"/>
          <w:szCs w:val="20"/>
        </w:rPr>
        <w:t>30.1 Phased activation</w:t>
      </w:r>
      <w:r>
        <w:rPr>
          <w:rFonts w:ascii="Calibri" w:hAnsi="Calibri" w:eastAsia="Microsoft YaHei"/>
          <w:color w:val="3A7086"/>
          <w:sz w:val="20"/>
        </w:rPr>
        <w:tab/>
      </w:r>
      <w:r>
        <w:rPr>
          <w:rFonts w:ascii="Calibri" w:hAnsi="Calibri" w:eastAsia="Microsoft YaHei" w:cs="Calibri"/>
          <w:color w:val="3A7086"/>
          <w:sz w:val="20"/>
          <w:szCs w:val="20"/>
        </w:rPr>
        <w:t>59</w:t>
      </w:r>
    </w:p>
    <w:p>
      <w:pPr>
        <w:pStyle w:val="TOC3"/>
      </w:pPr>
      <w:r>
        <w:rPr>
          <w:rFonts w:ascii="Calibri" w:hAnsi="Calibri" w:eastAsia="Microsoft YaHei" w:cs="Calibri"/>
          <w:color w:val="3A7086"/>
          <w:sz w:val="20"/>
          <w:szCs w:val="20"/>
        </w:rPr>
        <w:t>30.2 Succession</w:t>
      </w:r>
      <w:r>
        <w:rPr>
          <w:rFonts w:ascii="Calibri" w:hAnsi="Calibri" w:eastAsia="Microsoft YaHei"/>
          <w:color w:val="3A7086"/>
          <w:sz w:val="20"/>
        </w:rPr>
        <w:tab/>
      </w:r>
      <w:r>
        <w:rPr>
          <w:rFonts w:ascii="Calibri" w:hAnsi="Calibri" w:eastAsia="Microsoft YaHei" w:cs="Calibri"/>
          <w:color w:val="3A7086"/>
          <w:sz w:val="20"/>
          <w:szCs w:val="20"/>
        </w:rPr>
        <w:t>59</w:t>
      </w:r>
    </w:p>
    <w:p>
      <w:pPr>
        <w:pStyle w:val="TOC3"/>
      </w:pPr>
      <w:r>
        <w:rPr>
          <w:rFonts w:ascii="Calibri" w:hAnsi="Calibri" w:eastAsia="Microsoft YaHei" w:cs="Calibri"/>
          <w:color w:val="3A7086"/>
          <w:sz w:val="20"/>
          <w:szCs w:val="20"/>
        </w:rPr>
        <w:t>30.3 Succession of prior structures</w:t>
      </w:r>
      <w:r>
        <w:rPr>
          <w:rFonts w:ascii="Calibri" w:hAnsi="Calibri" w:eastAsia="Microsoft YaHei"/>
          <w:color w:val="3A7086"/>
          <w:sz w:val="20"/>
        </w:rPr>
        <w:tab/>
      </w:r>
      <w:r>
        <w:rPr>
          <w:rFonts w:ascii="Calibri" w:hAnsi="Calibri" w:eastAsia="Microsoft YaHei" w:cs="Calibri"/>
          <w:color w:val="3A7086"/>
          <w:sz w:val="20"/>
          <w:szCs w:val="20"/>
        </w:rPr>
        <w:t>60</w:t>
      </w:r>
    </w:p>
    <w:p>
      <w:pPr>
        <w:pStyle w:val="TOC3"/>
      </w:pPr>
      <w:r>
        <w:rPr>
          <w:rFonts w:ascii="Calibri" w:hAnsi="Calibri" w:eastAsia="Microsoft YaHei" w:cs="Calibri"/>
          <w:color w:val="3A7086"/>
          <w:sz w:val="20"/>
          <w:szCs w:val="20"/>
        </w:rPr>
        <w:t>30.4 Withdrawal</w:t>
      </w:r>
      <w:r>
        <w:rPr>
          <w:rFonts w:ascii="Calibri" w:hAnsi="Calibri" w:eastAsia="Microsoft YaHei"/>
          <w:color w:val="3A7086"/>
          <w:sz w:val="20"/>
        </w:rPr>
        <w:tab/>
      </w:r>
      <w:r>
        <w:rPr>
          <w:rFonts w:ascii="Calibri" w:hAnsi="Calibri" w:eastAsia="Microsoft YaHei" w:cs="Calibri"/>
          <w:color w:val="3A7086"/>
          <w:sz w:val="20"/>
          <w:szCs w:val="20"/>
        </w:rPr>
        <w:t>60</w:t>
      </w:r>
    </w:p>
    <w:p>
      <w:pPr>
        <w:pStyle w:val="TOC3"/>
      </w:pPr>
      <w:r>
        <w:rPr>
          <w:rFonts w:ascii="Calibri" w:hAnsi="Calibri" w:eastAsia="Microsoft YaHei" w:cs="Calibri"/>
          <w:color w:val="3A7086"/>
          <w:sz w:val="20"/>
          <w:szCs w:val="20"/>
        </w:rPr>
        <w:t>30.5 Reconstitution</w:t>
      </w:r>
      <w:r>
        <w:rPr>
          <w:rFonts w:ascii="Calibri" w:hAnsi="Calibri" w:eastAsia="Microsoft YaHei"/>
          <w:color w:val="3A7086"/>
          <w:sz w:val="20"/>
        </w:rPr>
        <w:tab/>
      </w:r>
      <w:r>
        <w:rPr>
          <w:rFonts w:ascii="Calibri" w:hAnsi="Calibri" w:eastAsia="Microsoft YaHei" w:cs="Calibri"/>
          <w:color w:val="3A7086"/>
          <w:sz w:val="20"/>
          <w:szCs w:val="20"/>
        </w:rPr>
        <w:t>60</w:t>
      </w:r>
    </w:p>
    <w:p>
      <w:pPr>
        <w:pStyle w:val="TOC3"/>
      </w:pPr>
      <w:r>
        <w:rPr>
          <w:rFonts w:ascii="Calibri" w:hAnsi="Calibri" w:eastAsia="Microsoft YaHei" w:cs="Calibri"/>
          <w:color w:val="3A7086"/>
          <w:sz w:val="20"/>
          <w:szCs w:val="20"/>
        </w:rPr>
        <w:t>30.6 The Essential Functions Protocol</w:t>
      </w:r>
      <w:r>
        <w:rPr>
          <w:rFonts w:ascii="Calibri" w:hAnsi="Calibri" w:eastAsia="Microsoft YaHei"/>
          <w:color w:val="3A7086"/>
          <w:sz w:val="20"/>
        </w:rPr>
        <w:tab/>
      </w:r>
      <w:r>
        <w:rPr>
          <w:rFonts w:ascii="Calibri" w:hAnsi="Calibri" w:eastAsia="Microsoft YaHei" w:cs="Calibri"/>
          <w:color w:val="3A7086"/>
          <w:sz w:val="20"/>
          <w:szCs w:val="20"/>
        </w:rPr>
        <w:t>60</w:t>
      </w:r>
    </w:p>
    <w:p>
      <w:pPr>
        <w:pStyle w:val="TOC3"/>
      </w:pPr>
      <w:r>
        <w:rPr>
          <w:rFonts w:ascii="Calibri" w:hAnsi="Calibri" w:eastAsia="Microsoft YaHei" w:cs="Calibri"/>
          <w:color w:val="3A7086"/>
          <w:sz w:val="20"/>
          <w:szCs w:val="20"/>
        </w:rPr>
        <w:t>30.7 The Continuity of Operations Plan</w:t>
      </w:r>
      <w:r>
        <w:rPr>
          <w:rFonts w:ascii="Calibri" w:hAnsi="Calibri" w:eastAsia="Microsoft YaHei"/>
          <w:color w:val="3A7086"/>
          <w:sz w:val="20"/>
        </w:rPr>
        <w:tab/>
      </w:r>
      <w:r>
        <w:rPr>
          <w:rFonts w:ascii="Calibri" w:hAnsi="Calibri" w:eastAsia="Microsoft YaHei" w:cs="Calibri"/>
          <w:color w:val="3A7086"/>
          <w:sz w:val="20"/>
          <w:szCs w:val="20"/>
        </w:rPr>
        <w:t>61</w:t>
      </w:r>
    </w:p>
    <w:p>
      <w:pPr>
        <w:pStyle w:val="TOC2"/>
      </w:pPr>
      <w:r>
        <w:rPr>
          <w:rFonts w:ascii="Calibri" w:hAnsi="Calibri" w:eastAsia="Microsoft YaHei" w:cs="Calibri"/>
          <w:color w:val="3A7086"/>
          <w:sz w:val="20"/>
          <w:szCs w:val="20"/>
        </w:rPr>
        <w:t>Article 31: Final Provisions</w:t>
      </w:r>
      <w:r>
        <w:rPr>
          <w:rFonts w:ascii="Calibri" w:hAnsi="Calibri" w:eastAsia="Microsoft YaHei"/>
          <w:color w:val="3A7086"/>
          <w:sz w:val="20"/>
        </w:rPr>
        <w:tab/>
      </w:r>
      <w:r>
        <w:rPr>
          <w:rFonts w:ascii="Calibri" w:hAnsi="Calibri" w:eastAsia="Microsoft YaHei" w:cs="Calibri"/>
          <w:color w:val="3A7086"/>
          <w:sz w:val="20"/>
          <w:szCs w:val="20"/>
        </w:rPr>
        <w:t>61</w:t>
      </w:r>
    </w:p>
    <w:p>
      <w:pPr>
        <w:pStyle w:val="TOC3"/>
      </w:pPr>
      <w:r>
        <w:rPr>
          <w:rFonts w:ascii="Calibri" w:hAnsi="Calibri" w:eastAsia="Microsoft YaHei" w:cs="Calibri"/>
          <w:color w:val="3A7086"/>
          <w:sz w:val="20"/>
          <w:szCs w:val="20"/>
        </w:rPr>
        <w:t>31.1 Entry into force</w:t>
      </w:r>
      <w:r>
        <w:rPr>
          <w:rFonts w:ascii="Calibri" w:hAnsi="Calibri" w:eastAsia="Microsoft YaHei"/>
          <w:color w:val="3A7086"/>
          <w:sz w:val="20"/>
        </w:rPr>
        <w:tab/>
      </w:r>
      <w:r>
        <w:rPr>
          <w:rFonts w:ascii="Calibri" w:hAnsi="Calibri" w:eastAsia="Microsoft YaHei" w:cs="Calibri"/>
          <w:color w:val="3A7086"/>
          <w:sz w:val="20"/>
          <w:szCs w:val="20"/>
        </w:rPr>
        <w:t>61</w:t>
      </w:r>
    </w:p>
    <w:p>
      <w:pPr>
        <w:pStyle w:val="TOC3"/>
      </w:pPr>
      <w:r>
        <w:rPr>
          <w:rFonts w:ascii="Calibri" w:hAnsi="Calibri" w:eastAsia="Microsoft YaHei" w:cs="Calibri"/>
          <w:color w:val="3A7086"/>
          <w:sz w:val="20"/>
          <w:szCs w:val="20"/>
        </w:rPr>
        <w:t>31.2 Depositary</w:t>
      </w:r>
      <w:r>
        <w:rPr>
          <w:rFonts w:ascii="Calibri" w:hAnsi="Calibri" w:eastAsia="Microsoft YaHei"/>
          <w:color w:val="3A7086"/>
          <w:sz w:val="20"/>
        </w:rPr>
        <w:tab/>
      </w:r>
      <w:r>
        <w:rPr>
          <w:rFonts w:ascii="Calibri" w:hAnsi="Calibri" w:eastAsia="Microsoft YaHei" w:cs="Calibri"/>
          <w:color w:val="3A7086"/>
          <w:sz w:val="20"/>
          <w:szCs w:val="20"/>
        </w:rPr>
        <w:t>61</w:t>
      </w:r>
    </w:p>
    <w:p>
      <w:pPr>
        <w:pStyle w:val="TOC3"/>
      </w:pPr>
      <w:r>
        <w:rPr>
          <w:rFonts w:ascii="Calibri" w:hAnsi="Calibri" w:eastAsia="Microsoft YaHei" w:cs="Calibri"/>
          <w:color w:val="3A7086"/>
          <w:sz w:val="20"/>
          <w:szCs w:val="20"/>
        </w:rPr>
        <w:t>31.3 Authentic texts</w:t>
      </w:r>
      <w:r>
        <w:rPr>
          <w:rFonts w:ascii="Calibri" w:hAnsi="Calibri" w:eastAsia="Microsoft YaHei"/>
          <w:color w:val="3A7086"/>
          <w:sz w:val="20"/>
        </w:rPr>
        <w:tab/>
      </w:r>
      <w:r>
        <w:rPr>
          <w:rFonts w:ascii="Calibri" w:hAnsi="Calibri" w:eastAsia="Microsoft YaHei" w:cs="Calibri"/>
          <w:color w:val="3A7086"/>
          <w:sz w:val="20"/>
          <w:szCs w:val="20"/>
        </w:rPr>
        <w:t>61</w:t>
      </w:r>
    </w:p>
    <w:p>
      <w:pPr>
        <w:pStyle w:val="TOC3"/>
      </w:pPr>
      <w:r>
        <w:rPr>
          <w:rFonts w:ascii="Calibri" w:hAnsi="Calibri" w:eastAsia="Microsoft YaHei" w:cs="Calibri"/>
          <w:color w:val="3A7086"/>
          <w:sz w:val="20"/>
          <w:szCs w:val="20"/>
        </w:rPr>
        <w:t>31.4 Registration</w:t>
      </w:r>
      <w:r>
        <w:rPr>
          <w:rFonts w:ascii="Calibri" w:hAnsi="Calibri" w:eastAsia="Microsoft YaHei"/>
          <w:color w:val="3A7086"/>
          <w:sz w:val="20"/>
        </w:rPr>
        <w:tab/>
      </w:r>
      <w:r>
        <w:rPr>
          <w:rFonts w:ascii="Calibri" w:hAnsi="Calibri" w:eastAsia="Microsoft YaHei" w:cs="Calibri"/>
          <w:color w:val="3A7086"/>
          <w:sz w:val="20"/>
          <w:szCs w:val="20"/>
        </w:rPr>
        <w:t>61</w:t>
      </w:r>
    </w:p>
    <w:p>
      <w:pPr>
        <w:pStyle w:val="TOC3"/>
      </w:pPr>
      <w:r>
        <w:rPr>
          <w:rFonts w:ascii="Calibri" w:hAnsi="Calibri" w:eastAsia="Microsoft YaHei" w:cs="Calibri"/>
          <w:color w:val="3A7086"/>
          <w:sz w:val="20"/>
          <w:szCs w:val="20"/>
        </w:rPr>
        <w:t>31.6 Parallel sovereign tracks</w:t>
      </w:r>
      <w:r>
        <w:rPr>
          <w:rFonts w:ascii="Calibri" w:hAnsi="Calibri" w:eastAsia="Microsoft YaHei"/>
          <w:color w:val="3A7086"/>
          <w:sz w:val="20"/>
        </w:rPr>
        <w:tab/>
      </w:r>
      <w:r>
        <w:rPr>
          <w:rFonts w:ascii="Calibri" w:hAnsi="Calibri" w:eastAsia="Microsoft YaHei" w:cs="Calibri"/>
          <w:color w:val="3A7086"/>
          <w:sz w:val="20"/>
          <w:szCs w:val="20"/>
        </w:rPr>
        <w:t>61</w:t>
      </w:r>
    </w:p>
    <w:p>
      <w:pPr>
        <w:pStyle w:val="TOC3"/>
      </w:pPr>
      <w:r>
        <w:rPr>
          <w:rFonts w:ascii="Calibri" w:hAnsi="Calibri" w:eastAsia="Microsoft YaHei" w:cs="Calibri"/>
          <w:color w:val="3A7086"/>
          <w:sz w:val="20"/>
          <w:szCs w:val="20"/>
        </w:rPr>
        <w:t>31.7 Security assurances</w:t>
      </w:r>
      <w:r>
        <w:rPr>
          <w:rFonts w:ascii="Calibri" w:hAnsi="Calibri" w:eastAsia="Microsoft YaHei"/>
          <w:color w:val="3A7086"/>
          <w:sz w:val="20"/>
        </w:rPr>
        <w:tab/>
      </w:r>
      <w:r>
        <w:rPr>
          <w:rFonts w:ascii="Calibri" w:hAnsi="Calibri" w:eastAsia="Microsoft YaHei" w:cs="Calibri"/>
          <w:color w:val="3A7086"/>
          <w:sz w:val="20"/>
          <w:szCs w:val="20"/>
        </w:rPr>
        <w:t>62</w:t>
      </w:r>
    </w:p>
    <w:p>
      <w:pPr>
        <w:pStyle w:val="TOC3"/>
      </w:pPr>
      <w:r>
        <w:rPr>
          <w:rFonts w:ascii="Calibri" w:hAnsi="Calibri" w:eastAsia="Microsoft YaHei" w:cs="Calibri"/>
          <w:color w:val="3A7086"/>
          <w:sz w:val="20"/>
          <w:szCs w:val="20"/>
        </w:rPr>
        <w:t>31.8 The Implementation Manual</w:t>
      </w:r>
      <w:r>
        <w:rPr>
          <w:rFonts w:ascii="Calibri" w:hAnsi="Calibri" w:eastAsia="Microsoft YaHei"/>
          <w:color w:val="3A7086"/>
          <w:sz w:val="20"/>
        </w:rPr>
        <w:tab/>
      </w:r>
      <w:r>
        <w:rPr>
          <w:rFonts w:ascii="Calibri" w:hAnsi="Calibri" w:eastAsia="Microsoft YaHei" w:cs="Calibri"/>
          <w:color w:val="3A7086"/>
          <w:sz w:val="20"/>
          <w:szCs w:val="20"/>
        </w:rPr>
        <w:t>62</w:t>
      </w:r>
    </w:p>
    <w:p>
      <w:pPr>
        <w:pStyle w:val="TOC3"/>
      </w:pPr>
      <w:r>
        <w:rPr>
          <w:rFonts w:ascii="Calibri" w:hAnsi="Calibri" w:eastAsia="Microsoft YaHei" w:cs="Calibri"/>
          <w:color w:val="3A7086"/>
          <w:sz w:val="20"/>
          <w:szCs w:val="20"/>
        </w:rPr>
        <w:t>31.9 Training and certification</w:t>
      </w:r>
      <w:r>
        <w:rPr>
          <w:rFonts w:ascii="Calibri" w:hAnsi="Calibri" w:eastAsia="Microsoft YaHei"/>
          <w:color w:val="3A7086"/>
          <w:sz w:val="20"/>
        </w:rPr>
        <w:tab/>
      </w:r>
      <w:r>
        <w:rPr>
          <w:rFonts w:ascii="Calibri" w:hAnsi="Calibri" w:eastAsia="Microsoft YaHei" w:cs="Calibri"/>
          <w:color w:val="3A7086"/>
          <w:sz w:val="20"/>
          <w:szCs w:val="20"/>
        </w:rPr>
        <w:t>62</w:t>
      </w:r>
    </w:p>
    <w:p>
      <w:pPr>
        <w:pStyle w:val="TOC3"/>
      </w:pPr>
      <w:r>
        <w:rPr>
          <w:rFonts w:ascii="Calibri" w:hAnsi="Calibri" w:eastAsia="Microsoft YaHei" w:cs="Calibri"/>
          <w:color w:val="3A7086"/>
          <w:sz w:val="20"/>
          <w:szCs w:val="20"/>
        </w:rPr>
        <w:t>31.10 Technical assistance pool</w:t>
      </w:r>
      <w:r>
        <w:rPr>
          <w:rFonts w:ascii="Calibri" w:hAnsi="Calibri" w:eastAsia="Microsoft YaHei"/>
          <w:color w:val="3A7086"/>
          <w:sz w:val="20"/>
        </w:rPr>
        <w:tab/>
      </w:r>
      <w:r>
        <w:rPr>
          <w:rFonts w:ascii="Calibri" w:hAnsi="Calibri" w:eastAsia="Microsoft YaHei" w:cs="Calibri"/>
          <w:color w:val="3A7086"/>
          <w:sz w:val="20"/>
          <w:szCs w:val="20"/>
        </w:rPr>
        <w:t>62</w:t>
      </w:r>
    </w:p>
    <w:p>
      <w:pPr>
        <w:pStyle w:val="TOC3"/>
      </w:pPr>
      <w:r>
        <w:rPr>
          <w:rFonts w:ascii="Calibri" w:hAnsi="Calibri" w:eastAsia="Microsoft YaHei" w:cs="Calibri"/>
          <w:color w:val="3A7086"/>
          <w:sz w:val="20"/>
          <w:szCs w:val="20"/>
        </w:rPr>
        <w:t>31.11 Diplomatic notification protocol</w:t>
      </w:r>
      <w:r>
        <w:rPr>
          <w:rFonts w:ascii="Calibri" w:hAnsi="Calibri" w:eastAsia="Microsoft YaHei"/>
          <w:color w:val="3A7086"/>
          <w:sz w:val="20"/>
        </w:rPr>
        <w:tab/>
      </w:r>
      <w:r>
        <w:rPr>
          <w:rFonts w:ascii="Calibri" w:hAnsi="Calibri" w:eastAsia="Microsoft YaHei" w:cs="Calibri"/>
          <w:color w:val="3A7086"/>
          <w:sz w:val="20"/>
          <w:szCs w:val="20"/>
        </w:rPr>
        <w:t>62</w:t>
      </w:r>
    </w:p>
    <w:p>
      <w:pPr>
        <w:pStyle w:val="TOC3"/>
      </w:pPr>
      <w:r>
        <w:rPr>
          <w:rFonts w:ascii="Calibri" w:hAnsi="Calibri" w:eastAsia="Microsoft YaHei" w:cs="Calibri"/>
          <w:color w:val="3A7086"/>
          <w:sz w:val="20"/>
          <w:szCs w:val="20"/>
        </w:rPr>
        <w:t>31.12 The Lessons Learned process</w:t>
      </w:r>
      <w:r>
        <w:rPr>
          <w:rFonts w:ascii="Calibri" w:hAnsi="Calibri" w:eastAsia="Microsoft YaHei"/>
          <w:color w:val="3A7086"/>
          <w:sz w:val="20"/>
        </w:rPr>
        <w:tab/>
      </w:r>
      <w:r>
        <w:rPr>
          <w:rFonts w:ascii="Calibri" w:hAnsi="Calibri" w:eastAsia="Microsoft YaHei" w:cs="Calibri"/>
          <w:color w:val="3A7086"/>
          <w:sz w:val="20"/>
          <w:szCs w:val="20"/>
        </w:rPr>
        <w:t>62</w:t>
      </w:r>
    </w:p>
    <w:p>
      <w:pPr>
        <w:pStyle w:val="TOC3"/>
      </w:pPr>
      <w:r>
        <w:rPr>
          <w:rFonts w:ascii="Calibri" w:hAnsi="Calibri" w:eastAsia="Microsoft YaHei" w:cs="Calibri"/>
          <w:color w:val="3A7086"/>
          <w:sz w:val="20"/>
          <w:szCs w:val="20"/>
        </w:rPr>
        <w:t>31.5 The guardian's charge</w:t>
      </w:r>
      <w:r>
        <w:rPr>
          <w:rFonts w:ascii="Calibri" w:hAnsi="Calibri" w:eastAsia="Microsoft YaHei"/>
          <w:color w:val="3A7086"/>
          <w:sz w:val="20"/>
        </w:rPr>
        <w:tab/>
      </w:r>
      <w:r>
        <w:rPr>
          <w:rFonts w:ascii="Calibri" w:hAnsi="Calibri" w:eastAsia="Microsoft YaHei" w:cs="Calibri"/>
          <w:color w:val="3A7086"/>
          <w:sz w:val="20"/>
          <w:szCs w:val="20"/>
        </w:rPr>
        <w:t>63</w:t>
      </w:r>
    </w:p>
    <w:p>
      <w:pPr>
        <w:pStyle w:val="TOC2"/>
      </w:pPr>
      <w:r>
        <w:rPr>
          <w:rFonts w:ascii="Calibri" w:hAnsi="Calibri" w:eastAsia="Microsoft YaHei" w:cs="Calibri"/>
          <w:color w:val="3A7086"/>
          <w:sz w:val="20"/>
          <w:szCs w:val="20"/>
        </w:rPr>
        <w:t>Signature Block</w:t>
      </w:r>
      <w:r>
        <w:rPr>
          <w:rFonts w:ascii="Calibri" w:hAnsi="Calibri" w:eastAsia="Microsoft YaHei"/>
          <w:color w:val="3A7086"/>
          <w:sz w:val="20"/>
        </w:rPr>
        <w:tab/>
      </w:r>
      <w:r>
        <w:rPr>
          <w:rFonts w:ascii="Calibri" w:hAnsi="Calibri" w:eastAsia="Microsoft YaHei" w:cs="Calibri"/>
          <w:color w:val="3A7086"/>
          <w:sz w:val="20"/>
          <w:szCs w:val="20"/>
        </w:rPr>
        <w:t>63</w:t>
      </w:r>
    </w:p>
    <w:p>
      <w:pPr>
        <w:pStyle w:val="TOC1"/>
      </w:pPr>
      <w:r>
        <w:rPr>
          <w:rFonts w:ascii="Calibri" w:hAnsi="Calibri" w:eastAsia="Microsoft YaHei" w:cs="Calibri"/>
          <w:b/>
          <w:color w:val="22333B"/>
          <w:sz w:val="20"/>
          <w:szCs w:val="20"/>
        </w:rPr>
        <w:t>Annex A: Passage Coordinates and Geometry Registry</w:t>
      </w:r>
      <w:r>
        <w:rPr>
          <w:rFonts w:ascii="Calibri" w:hAnsi="Calibri" w:eastAsia="Microsoft YaHei"/>
          <w:b/>
          <w:color w:val="22333B"/>
          <w:sz w:val="20"/>
        </w:rPr>
        <w:tab/>
      </w:r>
      <w:r>
        <w:rPr>
          <w:rFonts w:ascii="Calibri" w:hAnsi="Calibri" w:eastAsia="Microsoft YaHei" w:cs="Calibri"/>
          <w:b/>
          <w:color w:val="22333B"/>
          <w:sz w:val="20"/>
          <w:szCs w:val="20"/>
        </w:rPr>
        <w:t>64</w:t>
      </w:r>
    </w:p>
    <w:p>
      <w:pPr>
        <w:pStyle w:val="TOC3"/>
      </w:pPr>
      <w:r>
        <w:rPr>
          <w:rFonts w:ascii="Calibri" w:hAnsi="Calibri" w:eastAsia="Microsoft YaHei" w:cs="Calibri"/>
          <w:color w:val="3A7086"/>
          <w:sz w:val="20"/>
          <w:szCs w:val="20"/>
        </w:rPr>
        <w:t>A.1 Governance Area boundary</w:t>
      </w:r>
      <w:r>
        <w:rPr>
          <w:rFonts w:ascii="Calibri" w:hAnsi="Calibri" w:eastAsia="Microsoft YaHei"/>
          <w:color w:val="3A7086"/>
          <w:sz w:val="20"/>
        </w:rPr>
        <w:tab/>
      </w:r>
      <w:r>
        <w:rPr>
          <w:rFonts w:ascii="Calibri" w:hAnsi="Calibri" w:eastAsia="Microsoft YaHei" w:cs="Calibri"/>
          <w:color w:val="3A7086"/>
          <w:sz w:val="20"/>
          <w:szCs w:val="20"/>
        </w:rPr>
        <w:t>64</w:t>
      </w:r>
    </w:p>
    <w:p>
      <w:pPr>
        <w:pStyle w:val="TOC3"/>
      </w:pPr>
      <w:r>
        <w:rPr>
          <w:rFonts w:ascii="Calibri" w:hAnsi="Calibri" w:eastAsia="Microsoft YaHei" w:cs="Calibri"/>
          <w:color w:val="3A7086"/>
          <w:sz w:val="20"/>
          <w:szCs w:val="20"/>
        </w:rPr>
        <w:t>A.2 Southern Assurance Corridor waypoints</w:t>
      </w:r>
      <w:r>
        <w:rPr>
          <w:rFonts w:ascii="Calibri" w:hAnsi="Calibri" w:eastAsia="Microsoft YaHei"/>
          <w:color w:val="3A7086"/>
          <w:sz w:val="20"/>
        </w:rPr>
        <w:tab/>
      </w:r>
      <w:r>
        <w:rPr>
          <w:rFonts w:ascii="Calibri" w:hAnsi="Calibri" w:eastAsia="Microsoft YaHei" w:cs="Calibri"/>
          <w:color w:val="3A7086"/>
          <w:sz w:val="20"/>
          <w:szCs w:val="20"/>
        </w:rPr>
        <w:t>64</w:t>
      </w:r>
    </w:p>
    <w:p>
      <w:pPr>
        <w:pStyle w:val="TOC3"/>
      </w:pPr>
      <w:r>
        <w:rPr>
          <w:rFonts w:ascii="Calibri" w:hAnsi="Calibri" w:eastAsia="Microsoft YaHei" w:cs="Calibri"/>
          <w:color w:val="3A7086"/>
          <w:sz w:val="20"/>
          <w:szCs w:val="20"/>
        </w:rPr>
        <w:t>A.3 Northern Coordination Corridor waypoints</w:t>
      </w:r>
      <w:r>
        <w:rPr>
          <w:rFonts w:ascii="Calibri" w:hAnsi="Calibri" w:eastAsia="Microsoft YaHei"/>
          <w:color w:val="3A7086"/>
          <w:sz w:val="20"/>
        </w:rPr>
        <w:tab/>
      </w:r>
      <w:r>
        <w:rPr>
          <w:rFonts w:ascii="Calibri" w:hAnsi="Calibri" w:eastAsia="Microsoft YaHei" w:cs="Calibri"/>
          <w:color w:val="3A7086"/>
          <w:sz w:val="20"/>
          <w:szCs w:val="20"/>
        </w:rPr>
        <w:t>65</w:t>
      </w:r>
    </w:p>
    <w:p>
      <w:pPr>
        <w:pStyle w:val="TOC3"/>
      </w:pPr>
      <w:r>
        <w:rPr>
          <w:rFonts w:ascii="Calibri" w:hAnsi="Calibri" w:eastAsia="Microsoft YaHei" w:cs="Calibri"/>
          <w:color w:val="3A7086"/>
          <w:sz w:val="20"/>
          <w:szCs w:val="20"/>
        </w:rPr>
        <w:t>A.4 Central International Corridor waypoints</w:t>
      </w:r>
      <w:r>
        <w:rPr>
          <w:rFonts w:ascii="Calibri" w:hAnsi="Calibri" w:eastAsia="Microsoft YaHei"/>
          <w:color w:val="3A7086"/>
          <w:sz w:val="20"/>
        </w:rPr>
        <w:tab/>
      </w:r>
      <w:r>
        <w:rPr>
          <w:rFonts w:ascii="Calibri" w:hAnsi="Calibri" w:eastAsia="Microsoft YaHei" w:cs="Calibri"/>
          <w:color w:val="3A7086"/>
          <w:sz w:val="20"/>
          <w:szCs w:val="20"/>
        </w:rPr>
        <w:t>65</w:t>
      </w:r>
    </w:p>
    <w:p>
      <w:pPr>
        <w:pStyle w:val="TOC3"/>
      </w:pPr>
      <w:r>
        <w:rPr>
          <w:rFonts w:ascii="Calibri" w:hAnsi="Calibri" w:eastAsia="Microsoft YaHei" w:cs="Calibri"/>
          <w:color w:val="3A7086"/>
          <w:sz w:val="20"/>
          <w:szCs w:val="20"/>
        </w:rPr>
        <w:t>A.5 Separation belts</w:t>
      </w:r>
      <w:r>
        <w:rPr>
          <w:rFonts w:ascii="Calibri" w:hAnsi="Calibri" w:eastAsia="Microsoft YaHei"/>
          <w:color w:val="3A7086"/>
          <w:sz w:val="20"/>
        </w:rPr>
        <w:tab/>
      </w:r>
      <w:r>
        <w:rPr>
          <w:rFonts w:ascii="Calibri" w:hAnsi="Calibri" w:eastAsia="Microsoft YaHei" w:cs="Calibri"/>
          <w:color w:val="3A7086"/>
          <w:sz w:val="20"/>
          <w:szCs w:val="20"/>
        </w:rPr>
        <w:t>65</w:t>
      </w:r>
    </w:p>
    <w:p>
      <w:pPr>
        <w:pStyle w:val="TOC3"/>
      </w:pPr>
      <w:r>
        <w:rPr>
          <w:rFonts w:ascii="Calibri" w:hAnsi="Calibri" w:eastAsia="Microsoft YaHei" w:cs="Calibri"/>
          <w:color w:val="3A7086"/>
          <w:sz w:val="20"/>
          <w:szCs w:val="20"/>
        </w:rPr>
        <w:t>A.6 Precautionary zones and holding anchorages</w:t>
      </w:r>
      <w:r>
        <w:rPr>
          <w:rFonts w:ascii="Calibri" w:hAnsi="Calibri" w:eastAsia="Microsoft YaHei"/>
          <w:color w:val="3A7086"/>
          <w:sz w:val="20"/>
        </w:rPr>
        <w:tab/>
      </w:r>
      <w:r>
        <w:rPr>
          <w:rFonts w:ascii="Calibri" w:hAnsi="Calibri" w:eastAsia="Microsoft YaHei" w:cs="Calibri"/>
          <w:color w:val="3A7086"/>
          <w:sz w:val="20"/>
          <w:szCs w:val="20"/>
        </w:rPr>
        <w:t>65</w:t>
      </w:r>
    </w:p>
    <w:p>
      <w:pPr>
        <w:pStyle w:val="TOC3"/>
      </w:pPr>
      <w:r>
        <w:rPr>
          <w:rFonts w:ascii="Calibri" w:hAnsi="Calibri" w:eastAsia="Microsoft YaHei" w:cs="Calibri"/>
          <w:color w:val="3A7086"/>
          <w:sz w:val="20"/>
          <w:szCs w:val="20"/>
        </w:rPr>
        <w:t>A.7 Crossing gates, inshore bands, and reporting points</w:t>
      </w:r>
      <w:r>
        <w:rPr>
          <w:rFonts w:ascii="Calibri" w:hAnsi="Calibri" w:eastAsia="Microsoft YaHei"/>
          <w:color w:val="3A7086"/>
          <w:sz w:val="20"/>
        </w:rPr>
        <w:tab/>
      </w:r>
      <w:r>
        <w:rPr>
          <w:rFonts w:ascii="Calibri" w:hAnsi="Calibri" w:eastAsia="Microsoft YaHei" w:cs="Calibri"/>
          <w:color w:val="3A7086"/>
          <w:sz w:val="20"/>
          <w:szCs w:val="20"/>
        </w:rPr>
        <w:t>66</w:t>
      </w:r>
    </w:p>
    <w:p>
      <w:pPr>
        <w:pStyle w:val="TOC3"/>
      </w:pPr>
      <w:r>
        <w:rPr>
          <w:rFonts w:ascii="Calibri" w:hAnsi="Calibri" w:eastAsia="Microsoft YaHei" w:cs="Calibri"/>
          <w:color w:val="3A7086"/>
          <w:sz w:val="20"/>
          <w:szCs w:val="20"/>
        </w:rPr>
        <w:t>A.8 Chart edition</w:t>
      </w:r>
      <w:r>
        <w:rPr>
          <w:rFonts w:ascii="Calibri" w:hAnsi="Calibri" w:eastAsia="Microsoft YaHei"/>
          <w:color w:val="3A7086"/>
          <w:sz w:val="20"/>
        </w:rPr>
        <w:tab/>
      </w:r>
      <w:r>
        <w:rPr>
          <w:rFonts w:ascii="Calibri" w:hAnsi="Calibri" w:eastAsia="Microsoft YaHei" w:cs="Calibri"/>
          <w:color w:val="3A7086"/>
          <w:sz w:val="20"/>
          <w:szCs w:val="20"/>
        </w:rPr>
        <w:t>66</w:t>
      </w:r>
    </w:p>
    <w:p>
      <w:pPr>
        <w:pStyle w:val="TOC1"/>
      </w:pPr>
      <w:r>
        <w:rPr>
          <w:rFonts w:ascii="Calibri" w:hAnsi="Calibri" w:eastAsia="Microsoft YaHei" w:cs="Calibri"/>
          <w:b/>
          <w:color w:val="22333B"/>
          <w:sz w:val="20"/>
          <w:szCs w:val="20"/>
        </w:rPr>
        <w:t>Annex B: Transit Services Fund Charter</w:t>
      </w:r>
      <w:r>
        <w:rPr>
          <w:rFonts w:ascii="Calibri" w:hAnsi="Calibri" w:eastAsia="Microsoft YaHei"/>
          <w:b/>
          <w:color w:val="22333B"/>
          <w:sz w:val="20"/>
        </w:rPr>
        <w:tab/>
      </w:r>
      <w:r>
        <w:rPr>
          <w:rFonts w:ascii="Calibri" w:hAnsi="Calibri" w:eastAsia="Microsoft YaHei" w:cs="Calibri"/>
          <w:b/>
          <w:color w:val="22333B"/>
          <w:sz w:val="20"/>
          <w:szCs w:val="20"/>
        </w:rPr>
        <w:t>67</w:t>
      </w:r>
    </w:p>
    <w:p>
      <w:pPr>
        <w:pStyle w:val="TOC3"/>
      </w:pPr>
      <w:r>
        <w:rPr>
          <w:rFonts w:ascii="Calibri" w:hAnsi="Calibri" w:eastAsia="Microsoft YaHei" w:cs="Calibri"/>
          <w:color w:val="3A7086"/>
          <w:sz w:val="20"/>
          <w:szCs w:val="20"/>
        </w:rPr>
        <w:t>B.1 Legal form and accounts</w:t>
      </w:r>
      <w:r>
        <w:rPr>
          <w:rFonts w:ascii="Calibri" w:hAnsi="Calibri" w:eastAsia="Microsoft YaHei"/>
          <w:color w:val="3A7086"/>
          <w:sz w:val="20"/>
        </w:rPr>
        <w:tab/>
      </w:r>
      <w:r>
        <w:rPr>
          <w:rFonts w:ascii="Calibri" w:hAnsi="Calibri" w:eastAsia="Microsoft YaHei" w:cs="Calibri"/>
          <w:color w:val="3A7086"/>
          <w:sz w:val="20"/>
          <w:szCs w:val="20"/>
        </w:rPr>
        <w:t>67</w:t>
      </w:r>
    </w:p>
    <w:p>
      <w:pPr>
        <w:pStyle w:val="TOC3"/>
      </w:pPr>
      <w:r>
        <w:rPr>
          <w:rFonts w:ascii="Calibri" w:hAnsi="Calibri" w:eastAsia="Microsoft YaHei" w:cs="Calibri"/>
          <w:color w:val="3A7086"/>
          <w:sz w:val="20"/>
          <w:szCs w:val="20"/>
        </w:rPr>
        <w:t>B.2 Initial capitalization</w:t>
      </w:r>
      <w:r>
        <w:rPr>
          <w:rFonts w:ascii="Calibri" w:hAnsi="Calibri" w:eastAsia="Microsoft YaHei"/>
          <w:color w:val="3A7086"/>
          <w:sz w:val="20"/>
        </w:rPr>
        <w:tab/>
      </w:r>
      <w:r>
        <w:rPr>
          <w:rFonts w:ascii="Calibri" w:hAnsi="Calibri" w:eastAsia="Microsoft YaHei" w:cs="Calibri"/>
          <w:color w:val="3A7086"/>
          <w:sz w:val="20"/>
          <w:szCs w:val="20"/>
        </w:rPr>
        <w:t>67</w:t>
      </w:r>
    </w:p>
    <w:p>
      <w:pPr>
        <w:pStyle w:val="TOC3"/>
      </w:pPr>
      <w:r>
        <w:rPr>
          <w:rFonts w:ascii="Calibri" w:hAnsi="Calibri" w:eastAsia="Microsoft YaHei" w:cs="Calibri"/>
          <w:color w:val="3A7086"/>
          <w:sz w:val="20"/>
          <w:szCs w:val="20"/>
        </w:rPr>
        <w:t>B.3 Payment mechanics</w:t>
      </w:r>
      <w:r>
        <w:rPr>
          <w:rFonts w:ascii="Calibri" w:hAnsi="Calibri" w:eastAsia="Microsoft YaHei"/>
          <w:color w:val="3A7086"/>
          <w:sz w:val="20"/>
        </w:rPr>
        <w:tab/>
      </w:r>
      <w:r>
        <w:rPr>
          <w:rFonts w:ascii="Calibri" w:hAnsi="Calibri" w:eastAsia="Microsoft YaHei" w:cs="Calibri"/>
          <w:color w:val="3A7086"/>
          <w:sz w:val="20"/>
          <w:szCs w:val="20"/>
        </w:rPr>
        <w:t>67</w:t>
      </w:r>
    </w:p>
    <w:p>
      <w:pPr>
        <w:pStyle w:val="TOC3"/>
      </w:pPr>
      <w:r>
        <w:rPr>
          <w:rFonts w:ascii="Calibri" w:hAnsi="Calibri" w:eastAsia="Microsoft YaHei" w:cs="Calibri"/>
          <w:color w:val="3A7086"/>
          <w:sz w:val="20"/>
          <w:szCs w:val="20"/>
        </w:rPr>
        <w:t>B.4 Initial rate card</w:t>
      </w:r>
      <w:r>
        <w:rPr>
          <w:rFonts w:ascii="Calibri" w:hAnsi="Calibri" w:eastAsia="Microsoft YaHei"/>
          <w:color w:val="3A7086"/>
          <w:sz w:val="20"/>
        </w:rPr>
        <w:tab/>
      </w:r>
      <w:r>
        <w:rPr>
          <w:rFonts w:ascii="Calibri" w:hAnsi="Calibri" w:eastAsia="Microsoft YaHei" w:cs="Calibri"/>
          <w:color w:val="3A7086"/>
          <w:sz w:val="20"/>
          <w:szCs w:val="20"/>
        </w:rPr>
        <w:t>68</w:t>
      </w:r>
    </w:p>
    <w:p>
      <w:pPr>
        <w:pStyle w:val="TOC3"/>
      </w:pPr>
      <w:r>
        <w:rPr>
          <w:rFonts w:ascii="Calibri" w:hAnsi="Calibri" w:eastAsia="Microsoft YaHei" w:cs="Calibri"/>
          <w:color w:val="3A7086"/>
          <w:sz w:val="20"/>
          <w:szCs w:val="20"/>
        </w:rPr>
        <w:t>B.5 Apportionment mechanics</w:t>
      </w:r>
      <w:r>
        <w:rPr>
          <w:rFonts w:ascii="Calibri" w:hAnsi="Calibri" w:eastAsia="Microsoft YaHei"/>
          <w:color w:val="3A7086"/>
          <w:sz w:val="20"/>
        </w:rPr>
        <w:tab/>
      </w:r>
      <w:r>
        <w:rPr>
          <w:rFonts w:ascii="Calibri" w:hAnsi="Calibri" w:eastAsia="Microsoft YaHei" w:cs="Calibri"/>
          <w:color w:val="3A7086"/>
          <w:sz w:val="20"/>
          <w:szCs w:val="20"/>
        </w:rPr>
        <w:t>68</w:t>
      </w:r>
    </w:p>
    <w:p>
      <w:pPr>
        <w:pStyle w:val="TOC3"/>
      </w:pPr>
      <w:r>
        <w:rPr>
          <w:rFonts w:ascii="Calibri" w:hAnsi="Calibri" w:eastAsia="Microsoft YaHei" w:cs="Calibri"/>
          <w:color w:val="3A7086"/>
          <w:sz w:val="20"/>
          <w:szCs w:val="20"/>
        </w:rPr>
        <w:t>B.6 Compensation window schedule</w:t>
      </w:r>
      <w:r>
        <w:rPr>
          <w:rFonts w:ascii="Calibri" w:hAnsi="Calibri" w:eastAsia="Microsoft YaHei"/>
          <w:color w:val="3A7086"/>
          <w:sz w:val="20"/>
        </w:rPr>
        <w:tab/>
      </w:r>
      <w:r>
        <w:rPr>
          <w:rFonts w:ascii="Calibri" w:hAnsi="Calibri" w:eastAsia="Microsoft YaHei" w:cs="Calibri"/>
          <w:color w:val="3A7086"/>
          <w:sz w:val="20"/>
          <w:szCs w:val="20"/>
        </w:rPr>
        <w:t>68</w:t>
      </w:r>
    </w:p>
    <w:p>
      <w:pPr>
        <w:pStyle w:val="TOC3"/>
      </w:pPr>
      <w:r>
        <w:rPr>
          <w:rFonts w:ascii="Calibri" w:hAnsi="Calibri" w:eastAsia="Microsoft YaHei" w:cs="Calibri"/>
          <w:color w:val="3A7086"/>
          <w:sz w:val="20"/>
          <w:szCs w:val="20"/>
        </w:rPr>
        <w:t>B.7 Insurance normalization schedule</w:t>
      </w:r>
      <w:r>
        <w:rPr>
          <w:rFonts w:ascii="Calibri" w:hAnsi="Calibri" w:eastAsia="Microsoft YaHei"/>
          <w:color w:val="3A7086"/>
          <w:sz w:val="20"/>
        </w:rPr>
        <w:tab/>
      </w:r>
      <w:r>
        <w:rPr>
          <w:rFonts w:ascii="Calibri" w:hAnsi="Calibri" w:eastAsia="Microsoft YaHei" w:cs="Calibri"/>
          <w:color w:val="3A7086"/>
          <w:sz w:val="20"/>
          <w:szCs w:val="20"/>
        </w:rPr>
        <w:t>68</w:t>
      </w:r>
    </w:p>
    <w:p>
      <w:pPr>
        <w:pStyle w:val="TOC1"/>
      </w:pPr>
      <w:r>
        <w:rPr>
          <w:rFonts w:ascii="Calibri" w:hAnsi="Calibri" w:eastAsia="Microsoft YaHei" w:cs="Calibri"/>
          <w:b/>
          <w:color w:val="22333B"/>
          <w:sz w:val="20"/>
          <w:szCs w:val="20"/>
        </w:rPr>
        <w:t>Annex C: Point Schedule for Verified Deviations</w:t>
      </w:r>
      <w:r>
        <w:rPr>
          <w:rFonts w:ascii="Calibri" w:hAnsi="Calibri" w:eastAsia="Microsoft YaHei"/>
          <w:b/>
          <w:color w:val="22333B"/>
          <w:sz w:val="20"/>
        </w:rPr>
        <w:tab/>
      </w:r>
      <w:r>
        <w:rPr>
          <w:rFonts w:ascii="Calibri" w:hAnsi="Calibri" w:eastAsia="Microsoft YaHei" w:cs="Calibri"/>
          <w:b/>
          <w:color w:val="22333B"/>
          <w:sz w:val="20"/>
          <w:szCs w:val="20"/>
        </w:rPr>
        <w:t>70</w:t>
      </w:r>
    </w:p>
    <w:p>
      <w:pPr>
        <w:pStyle w:val="TOC3"/>
      </w:pPr>
      <w:r>
        <w:rPr>
          <w:rFonts w:ascii="Calibri" w:hAnsi="Calibri" w:eastAsia="Microsoft YaHei" w:cs="Calibri"/>
          <w:color w:val="3A7086"/>
          <w:sz w:val="20"/>
          <w:szCs w:val="20"/>
        </w:rPr>
        <w:t>C.2 Standing formula</w:t>
      </w:r>
      <w:r>
        <w:rPr>
          <w:rFonts w:ascii="Calibri" w:hAnsi="Calibri" w:eastAsia="Microsoft YaHei"/>
          <w:color w:val="3A7086"/>
          <w:sz w:val="20"/>
        </w:rPr>
        <w:tab/>
      </w:r>
      <w:r>
        <w:rPr>
          <w:rFonts w:ascii="Calibri" w:hAnsi="Calibri" w:eastAsia="Microsoft YaHei" w:cs="Calibri"/>
          <w:color w:val="3A7086"/>
          <w:sz w:val="20"/>
          <w:szCs w:val="20"/>
        </w:rPr>
        <w:t>71</w:t>
      </w:r>
    </w:p>
    <w:p>
      <w:pPr>
        <w:pStyle w:val="TOC1"/>
      </w:pPr>
      <w:r>
        <w:rPr>
          <w:rFonts w:ascii="Calibri" w:hAnsi="Calibri" w:eastAsia="Microsoft YaHei" w:cs="Calibri"/>
          <w:b/>
          <w:color w:val="22333B"/>
          <w:sz w:val="20"/>
          <w:szCs w:val="20"/>
        </w:rPr>
        <w:t>Annex D: Communications, Notification Formats, and the Mariners' Handbook</w:t>
      </w:r>
      <w:r>
        <w:rPr>
          <w:rFonts w:ascii="Calibri" w:hAnsi="Calibri" w:eastAsia="Microsoft YaHei"/>
          <w:b/>
          <w:color w:val="22333B"/>
          <w:sz w:val="20"/>
        </w:rPr>
        <w:tab/>
      </w:r>
      <w:r>
        <w:rPr>
          <w:rFonts w:ascii="Calibri" w:hAnsi="Calibri" w:eastAsia="Microsoft YaHei" w:cs="Calibri"/>
          <w:b/>
          <w:color w:val="22333B"/>
          <w:sz w:val="20"/>
          <w:szCs w:val="20"/>
        </w:rPr>
        <w:t>72</w:t>
      </w:r>
    </w:p>
    <w:p>
      <w:pPr>
        <w:pStyle w:val="TOC3"/>
      </w:pPr>
      <w:r>
        <w:rPr>
          <w:rFonts w:ascii="Calibri" w:hAnsi="Calibri" w:eastAsia="Microsoft YaHei" w:cs="Calibri"/>
          <w:color w:val="3A7086"/>
          <w:sz w:val="20"/>
          <w:szCs w:val="20"/>
        </w:rPr>
        <w:t>D.1 The twelve-field transit notice (Northern Coordination Corridor and Central International Corridor)</w:t>
      </w:r>
      <w:r>
        <w:rPr>
          <w:rFonts w:ascii="Calibri" w:hAnsi="Calibri" w:eastAsia="Microsoft YaHei"/>
          <w:color w:val="3A7086"/>
          <w:sz w:val="20"/>
        </w:rPr>
        <w:tab/>
      </w:r>
      <w:r>
        <w:rPr>
          <w:rFonts w:ascii="Calibri" w:hAnsi="Calibri" w:eastAsia="Microsoft YaHei" w:cs="Calibri"/>
          <w:color w:val="3A7086"/>
          <w:sz w:val="20"/>
          <w:szCs w:val="20"/>
        </w:rPr>
        <w:t>72</w:t>
      </w:r>
    </w:p>
    <w:p>
      <w:pPr>
        <w:pStyle w:val="TOC3"/>
      </w:pPr>
      <w:r>
        <w:rPr>
          <w:rFonts w:ascii="Calibri" w:hAnsi="Calibri" w:eastAsia="Microsoft YaHei" w:cs="Calibri"/>
          <w:color w:val="3A7086"/>
          <w:sz w:val="20"/>
          <w:szCs w:val="20"/>
        </w:rPr>
        <w:t>D.2 The voice discipline</w:t>
      </w:r>
      <w:r>
        <w:rPr>
          <w:rFonts w:ascii="Calibri" w:hAnsi="Calibri" w:eastAsia="Microsoft YaHei"/>
          <w:color w:val="3A7086"/>
          <w:sz w:val="20"/>
        </w:rPr>
        <w:tab/>
      </w:r>
      <w:r>
        <w:rPr>
          <w:rFonts w:ascii="Calibri" w:hAnsi="Calibri" w:eastAsia="Microsoft YaHei" w:cs="Calibri"/>
          <w:color w:val="3A7086"/>
          <w:sz w:val="20"/>
          <w:szCs w:val="20"/>
        </w:rPr>
        <w:t>72</w:t>
      </w:r>
    </w:p>
    <w:p>
      <w:pPr>
        <w:pStyle w:val="TOC3"/>
      </w:pPr>
      <w:r>
        <w:rPr>
          <w:rFonts w:ascii="Calibri" w:hAnsi="Calibri" w:eastAsia="Microsoft YaHei" w:cs="Calibri"/>
          <w:color w:val="3A7086"/>
          <w:sz w:val="20"/>
          <w:szCs w:val="20"/>
        </w:rPr>
        <w:t>D.3 The non-telemetry mode</w:t>
      </w:r>
      <w:r>
        <w:rPr>
          <w:rFonts w:ascii="Calibri" w:hAnsi="Calibri" w:eastAsia="Microsoft YaHei"/>
          <w:color w:val="3A7086"/>
          <w:sz w:val="20"/>
        </w:rPr>
        <w:tab/>
      </w:r>
      <w:r>
        <w:rPr>
          <w:rFonts w:ascii="Calibri" w:hAnsi="Calibri" w:eastAsia="Microsoft YaHei" w:cs="Calibri"/>
          <w:color w:val="3A7086"/>
          <w:sz w:val="20"/>
          <w:szCs w:val="20"/>
        </w:rPr>
        <w:t>72</w:t>
      </w:r>
    </w:p>
    <w:p>
      <w:pPr>
        <w:pStyle w:val="TOC3"/>
      </w:pPr>
      <w:r>
        <w:rPr>
          <w:rFonts w:ascii="Calibri" w:hAnsi="Calibri" w:eastAsia="Microsoft YaHei" w:cs="Calibri"/>
          <w:color w:val="3A7086"/>
          <w:sz w:val="20"/>
          <w:szCs w:val="20"/>
        </w:rPr>
        <w:t>D.4 The standing pre-authorization for clearance</w:t>
      </w:r>
      <w:r>
        <w:rPr>
          <w:rFonts w:ascii="Calibri" w:hAnsi="Calibri" w:eastAsia="Microsoft YaHei"/>
          <w:color w:val="3A7086"/>
          <w:sz w:val="20"/>
        </w:rPr>
        <w:tab/>
      </w:r>
      <w:r>
        <w:rPr>
          <w:rFonts w:ascii="Calibri" w:hAnsi="Calibri" w:eastAsia="Microsoft YaHei" w:cs="Calibri"/>
          <w:color w:val="3A7086"/>
          <w:sz w:val="20"/>
          <w:szCs w:val="20"/>
        </w:rPr>
        <w:t>72</w:t>
      </w:r>
    </w:p>
    <w:p>
      <w:pPr>
        <w:pStyle w:val="TOC3"/>
      </w:pPr>
      <w:r>
        <w:rPr>
          <w:rFonts w:ascii="Calibri" w:hAnsi="Calibri" w:eastAsia="Microsoft YaHei" w:cs="Calibri"/>
          <w:color w:val="3A7086"/>
          <w:sz w:val="20"/>
          <w:szCs w:val="20"/>
        </w:rPr>
        <w:t>D.5 The one-page cards</w:t>
      </w:r>
      <w:r>
        <w:rPr>
          <w:rFonts w:ascii="Calibri" w:hAnsi="Calibri" w:eastAsia="Microsoft YaHei"/>
          <w:color w:val="3A7086"/>
          <w:sz w:val="20"/>
        </w:rPr>
        <w:tab/>
      </w:r>
      <w:r>
        <w:rPr>
          <w:rFonts w:ascii="Calibri" w:hAnsi="Calibri" w:eastAsia="Microsoft YaHei" w:cs="Calibri"/>
          <w:color w:val="3A7086"/>
          <w:sz w:val="20"/>
          <w:szCs w:val="20"/>
        </w:rPr>
        <w:t>72</w:t>
      </w:r>
    </w:p>
    <w:p>
      <w:pPr>
        <w:pStyle w:val="TOC1"/>
      </w:pPr>
      <w:r>
        <w:rPr>
          <w:rFonts w:ascii="Calibri" w:hAnsi="Calibri" w:eastAsia="Microsoft YaHei" w:cs="Calibri"/>
          <w:b/>
          <w:color w:val="22333B"/>
          <w:sz w:val="20"/>
          <w:szCs w:val="20"/>
        </w:rPr>
        <w:t>Annex E: Implementation Timeline, Activation Checklists, and Staffing Table</w:t>
      </w:r>
      <w:r>
        <w:rPr>
          <w:rFonts w:ascii="Calibri" w:hAnsi="Calibri" w:eastAsia="Microsoft YaHei"/>
          <w:b/>
          <w:color w:val="22333B"/>
          <w:sz w:val="20"/>
        </w:rPr>
        <w:tab/>
      </w:r>
      <w:r>
        <w:rPr>
          <w:rFonts w:ascii="Calibri" w:hAnsi="Calibri" w:eastAsia="Microsoft YaHei" w:cs="Calibri"/>
          <w:b/>
          <w:color w:val="22333B"/>
          <w:sz w:val="20"/>
          <w:szCs w:val="20"/>
        </w:rPr>
        <w:t>73</w:t>
      </w:r>
    </w:p>
    <w:p>
      <w:pPr>
        <w:pStyle w:val="TOC3"/>
      </w:pPr>
      <w:r>
        <w:rPr>
          <w:rFonts w:ascii="Calibri" w:hAnsi="Calibri" w:eastAsia="Microsoft YaHei" w:cs="Calibri"/>
          <w:color w:val="3A7086"/>
          <w:sz w:val="20"/>
          <w:szCs w:val="20"/>
        </w:rPr>
        <w:t>E.1 The activation phases</w:t>
      </w:r>
      <w:r>
        <w:rPr>
          <w:rFonts w:ascii="Calibri" w:hAnsi="Calibri" w:eastAsia="Microsoft YaHei"/>
          <w:color w:val="3A7086"/>
          <w:sz w:val="20"/>
        </w:rPr>
        <w:tab/>
      </w:r>
      <w:r>
        <w:rPr>
          <w:rFonts w:ascii="Calibri" w:hAnsi="Calibri" w:eastAsia="Microsoft YaHei" w:cs="Calibri"/>
          <w:color w:val="3A7086"/>
          <w:sz w:val="20"/>
          <w:szCs w:val="20"/>
        </w:rPr>
        <w:t>73</w:t>
      </w:r>
    </w:p>
    <w:p>
      <w:pPr>
        <w:pStyle w:val="TOC3"/>
      </w:pPr>
      <w:r>
        <w:rPr>
          <w:rFonts w:ascii="Calibri" w:hAnsi="Calibri" w:eastAsia="Microsoft YaHei" w:cs="Calibri"/>
          <w:color w:val="3A7086"/>
          <w:sz w:val="20"/>
          <w:szCs w:val="20"/>
        </w:rPr>
        <w:t>E.2 Day One checklist</w:t>
      </w:r>
      <w:r>
        <w:rPr>
          <w:rFonts w:ascii="Calibri" w:hAnsi="Calibri" w:eastAsia="Microsoft YaHei"/>
          <w:color w:val="3A7086"/>
          <w:sz w:val="20"/>
        </w:rPr>
        <w:tab/>
      </w:r>
      <w:r>
        <w:rPr>
          <w:rFonts w:ascii="Calibri" w:hAnsi="Calibri" w:eastAsia="Microsoft YaHei" w:cs="Calibri"/>
          <w:color w:val="3A7086"/>
          <w:sz w:val="20"/>
          <w:szCs w:val="20"/>
        </w:rPr>
        <w:t>73</w:t>
      </w:r>
    </w:p>
    <w:p>
      <w:pPr>
        <w:pStyle w:val="TOC3"/>
      </w:pPr>
      <w:r>
        <w:rPr>
          <w:rFonts w:ascii="Calibri" w:hAnsi="Calibri" w:eastAsia="Microsoft YaHei" w:cs="Calibri"/>
          <w:color w:val="3A7086"/>
          <w:sz w:val="20"/>
          <w:szCs w:val="20"/>
        </w:rPr>
        <w:t>E.3 Early harvest</w:t>
      </w:r>
      <w:r>
        <w:rPr>
          <w:rFonts w:ascii="Calibri" w:hAnsi="Calibri" w:eastAsia="Microsoft YaHei"/>
          <w:color w:val="3A7086"/>
          <w:sz w:val="20"/>
        </w:rPr>
        <w:tab/>
      </w:r>
      <w:r>
        <w:rPr>
          <w:rFonts w:ascii="Calibri" w:hAnsi="Calibri" w:eastAsia="Microsoft YaHei" w:cs="Calibri"/>
          <w:color w:val="3A7086"/>
          <w:sz w:val="20"/>
          <w:szCs w:val="20"/>
        </w:rPr>
        <w:t>73</w:t>
      </w:r>
    </w:p>
    <w:p>
      <w:pPr>
        <w:pStyle w:val="TOC3"/>
      </w:pPr>
      <w:r>
        <w:rPr>
          <w:rFonts w:ascii="Calibri" w:hAnsi="Calibri" w:eastAsia="Microsoft YaHei" w:cs="Calibri"/>
          <w:color w:val="3A7086"/>
          <w:sz w:val="20"/>
          <w:szCs w:val="20"/>
        </w:rPr>
        <w:t>E.4 Staffing table parity band</w:t>
      </w:r>
      <w:r>
        <w:rPr>
          <w:rFonts w:ascii="Calibri" w:hAnsi="Calibri" w:eastAsia="Microsoft YaHei"/>
          <w:color w:val="3A7086"/>
          <w:sz w:val="20"/>
        </w:rPr>
        <w:tab/>
      </w:r>
      <w:r>
        <w:rPr>
          <w:rFonts w:ascii="Calibri" w:hAnsi="Calibri" w:eastAsia="Microsoft YaHei" w:cs="Calibri"/>
          <w:color w:val="3A7086"/>
          <w:sz w:val="20"/>
          <w:szCs w:val="20"/>
        </w:rPr>
        <w:t>73</w:t>
      </w:r>
    </w:p>
    <w:p>
      <w:pPr>
        <w:pStyle w:val="TOC1"/>
      </w:pPr>
      <w:r>
        <w:rPr>
          <w:rFonts w:ascii="Calibri" w:hAnsi="Calibri" w:eastAsia="Microsoft YaHei" w:cs="Calibri"/>
          <w:b/>
          <w:color w:val="22333B"/>
          <w:sz w:val="20"/>
          <w:szCs w:val="20"/>
        </w:rPr>
        <w:t>Annex F: Accession, Adherence, Attachment, and Participation Instruments</w:t>
      </w:r>
      <w:r>
        <w:rPr>
          <w:rFonts w:ascii="Calibri" w:hAnsi="Calibri" w:eastAsia="Microsoft YaHei"/>
          <w:b/>
          <w:color w:val="22333B"/>
          <w:sz w:val="20"/>
        </w:rPr>
        <w:tab/>
      </w:r>
      <w:r>
        <w:rPr>
          <w:rFonts w:ascii="Calibri" w:hAnsi="Calibri" w:eastAsia="Microsoft YaHei" w:cs="Calibri"/>
          <w:b/>
          <w:color w:val="22333B"/>
          <w:sz w:val="20"/>
          <w:szCs w:val="20"/>
        </w:rPr>
        <w:t>75</w:t>
      </w:r>
    </w:p>
    <w:p>
      <w:pPr>
        <w:pStyle w:val="TOC3"/>
      </w:pPr>
      <w:r>
        <w:rPr>
          <w:rFonts w:ascii="Calibri" w:hAnsi="Calibri" w:eastAsia="Microsoft YaHei" w:cs="Calibri"/>
          <w:color w:val="3A7086"/>
          <w:sz w:val="20"/>
          <w:szCs w:val="20"/>
        </w:rPr>
        <w:t>F.1 Model accession instrument</w:t>
      </w:r>
      <w:r>
        <w:rPr>
          <w:rFonts w:ascii="Calibri" w:hAnsi="Calibri" w:eastAsia="Microsoft YaHei"/>
          <w:color w:val="3A7086"/>
          <w:sz w:val="20"/>
        </w:rPr>
        <w:tab/>
      </w:r>
      <w:r>
        <w:rPr>
          <w:rFonts w:ascii="Calibri" w:hAnsi="Calibri" w:eastAsia="Microsoft YaHei" w:cs="Calibri"/>
          <w:color w:val="3A7086"/>
          <w:sz w:val="20"/>
          <w:szCs w:val="20"/>
        </w:rPr>
        <w:t>75</w:t>
      </w:r>
    </w:p>
    <w:p>
      <w:pPr>
        <w:pStyle w:val="TOC3"/>
      </w:pPr>
      <w:r>
        <w:rPr>
          <w:rFonts w:ascii="Calibri" w:hAnsi="Calibri" w:eastAsia="Microsoft YaHei" w:cs="Calibri"/>
          <w:color w:val="3A7086"/>
          <w:sz w:val="20"/>
          <w:szCs w:val="20"/>
        </w:rPr>
        <w:t>F.2 Model adherence instrument for security liaisons</w:t>
      </w:r>
      <w:r>
        <w:rPr>
          <w:rFonts w:ascii="Calibri" w:hAnsi="Calibri" w:eastAsia="Microsoft YaHei"/>
          <w:color w:val="3A7086"/>
          <w:sz w:val="20"/>
        </w:rPr>
        <w:tab/>
      </w:r>
      <w:r>
        <w:rPr>
          <w:rFonts w:ascii="Calibri" w:hAnsi="Calibri" w:eastAsia="Microsoft YaHei" w:cs="Calibri"/>
          <w:color w:val="3A7086"/>
          <w:sz w:val="20"/>
          <w:szCs w:val="20"/>
        </w:rPr>
        <w:t>75</w:t>
      </w:r>
    </w:p>
    <w:p>
      <w:pPr>
        <w:pStyle w:val="TOC3"/>
      </w:pPr>
      <w:r>
        <w:rPr>
          <w:rFonts w:ascii="Calibri" w:hAnsi="Calibri" w:eastAsia="Microsoft YaHei" w:cs="Calibri"/>
          <w:color w:val="3A7086"/>
          <w:sz w:val="20"/>
          <w:szCs w:val="20"/>
        </w:rPr>
        <w:t>F.3 Model attachment instruments for the MOU architecture</w:t>
      </w:r>
      <w:r>
        <w:rPr>
          <w:rFonts w:ascii="Calibri" w:hAnsi="Calibri" w:eastAsia="Microsoft YaHei"/>
          <w:color w:val="3A7086"/>
          <w:sz w:val="20"/>
        </w:rPr>
        <w:tab/>
      </w:r>
      <w:r>
        <w:rPr>
          <w:rFonts w:ascii="Calibri" w:hAnsi="Calibri" w:eastAsia="Microsoft YaHei" w:cs="Calibri"/>
          <w:color w:val="3A7086"/>
          <w:sz w:val="20"/>
          <w:szCs w:val="20"/>
        </w:rPr>
        <w:t>75</w:t>
      </w:r>
    </w:p>
    <w:p>
      <w:pPr>
        <w:pStyle w:val="TOC3"/>
      </w:pPr>
      <w:r>
        <w:rPr>
          <w:rFonts w:ascii="Calibri" w:hAnsi="Calibri" w:eastAsia="Microsoft YaHei" w:cs="Calibri"/>
          <w:color w:val="3A7086"/>
          <w:sz w:val="20"/>
          <w:szCs w:val="20"/>
        </w:rPr>
        <w:t>F.4 Standing invitations</w:t>
      </w:r>
      <w:r>
        <w:rPr>
          <w:rFonts w:ascii="Calibri" w:hAnsi="Calibri" w:eastAsia="Microsoft YaHei"/>
          <w:color w:val="3A7086"/>
          <w:sz w:val="20"/>
        </w:rPr>
        <w:tab/>
      </w:r>
      <w:r>
        <w:rPr>
          <w:rFonts w:ascii="Calibri" w:hAnsi="Calibri" w:eastAsia="Microsoft YaHei" w:cs="Calibri"/>
          <w:color w:val="3A7086"/>
          <w:sz w:val="20"/>
          <w:szCs w:val="20"/>
        </w:rPr>
        <w:t>75</w:t>
      </w:r>
    </w:p>
    <w:p>
      <w:pPr>
        <w:pStyle w:val="TOC1"/>
      </w:pPr>
      <w:r>
        <w:rPr>
          <w:rFonts w:ascii="Calibri" w:hAnsi="Calibri" w:eastAsia="Microsoft YaHei" w:cs="Calibri"/>
          <w:b/>
          <w:color w:val="22333B"/>
          <w:sz w:val="20"/>
          <w:szCs w:val="20"/>
        </w:rPr>
        <w:t>Annex G: The Red Lines Register (Full Operative Text)</w:t>
      </w:r>
      <w:r>
        <w:rPr>
          <w:rFonts w:ascii="Calibri" w:hAnsi="Calibri" w:eastAsia="Microsoft YaHei"/>
          <w:b/>
          <w:color w:val="22333B"/>
          <w:sz w:val="20"/>
        </w:rPr>
        <w:tab/>
      </w:r>
      <w:r>
        <w:rPr>
          <w:rFonts w:ascii="Calibri" w:hAnsi="Calibri" w:eastAsia="Microsoft YaHei" w:cs="Calibri"/>
          <w:b/>
          <w:color w:val="22333B"/>
          <w:sz w:val="20"/>
          <w:szCs w:val="20"/>
        </w:rPr>
        <w:t>76</w:t>
      </w:r>
    </w:p>
    <w:p>
      <w:pPr>
        <w:pStyle w:val="TOC1"/>
      </w:pPr>
      <w:r>
        <w:rPr>
          <w:rFonts w:ascii="Calibri" w:hAnsi="Calibri" w:eastAsia="Microsoft YaHei" w:cs="Calibri"/>
          <w:b/>
          <w:color w:val="22333B"/>
          <w:sz w:val="20"/>
          <w:szCs w:val="20"/>
        </w:rPr>
        <w:t>Annex H: The Verification Schedule</w:t>
      </w:r>
      <w:r>
        <w:rPr>
          <w:rFonts w:ascii="Calibri" w:hAnsi="Calibri" w:eastAsia="Microsoft YaHei"/>
          <w:b/>
          <w:color w:val="22333B"/>
          <w:sz w:val="20"/>
        </w:rPr>
        <w:tab/>
      </w:r>
      <w:r>
        <w:rPr>
          <w:rFonts w:ascii="Calibri" w:hAnsi="Calibri" w:eastAsia="Microsoft YaHei" w:cs="Calibri"/>
          <w:b/>
          <w:color w:val="22333B"/>
          <w:sz w:val="20"/>
          <w:szCs w:val="20"/>
        </w:rPr>
        <w:t>78</w:t>
      </w:r>
    </w:p>
    <w:p>
      <w:pPr>
        <w:pStyle w:val="TOC1"/>
      </w:pPr>
      <w:r>
        <w:rPr>
          <w:rFonts w:ascii="Calibri" w:hAnsi="Calibri" w:eastAsia="Microsoft YaHei" w:cs="Calibri"/>
          <w:b/>
          <w:color w:val="22333B"/>
          <w:sz w:val="20"/>
          <w:szCs w:val="20"/>
        </w:rPr>
        <w:t>Provenance and Source Frameworks</w:t>
      </w:r>
      <w:r>
        <w:rPr>
          <w:rFonts w:ascii="Calibri" w:hAnsi="Calibri" w:eastAsia="Microsoft YaHei"/>
          <w:b/>
          <w:color w:val="22333B"/>
          <w:sz w:val="20"/>
        </w:rPr>
        <w:tab/>
      </w:r>
      <w:r>
        <w:rPr>
          <w:rFonts w:ascii="Calibri" w:hAnsi="Calibri" w:eastAsia="Microsoft YaHei" w:cs="Calibri"/>
          <w:b/>
          <w:color w:val="22333B"/>
          <w:sz w:val="20"/>
          <w:szCs w:val="20"/>
        </w:rPr>
        <w:t>79</w:t>
      </w:r>
    </w:p>
    <w:p>
      <w:pPr>
        <w:pStyle w:val="Normal"/>
      </w:pPr>
      <w:r>
        <w:fldChar w:fldCharType="end"/>
      </w:r>
    </w:p>
    <w:p>
      <w:pPr>
        <w:pStyle w:val="Normal"/>
        <w:sectPr>
          <w:type w:val="nextPage"/>
          <w:pgSz w:w="11906" w:h="16838"/>
          <w:pgMar w:top="1440" w:right="1440" w:bottom="1440" w:left="1440" w:header="720" w:footer="720"/>
        </w:sectPr>
      </w:pPr>
    </w:p>
    <w:p>
      <w:pPr>
        <w:pStyle w:val="Heading1"/>
      </w:pPr>
      <w:r>
        <w:rPr>
          <w:rFonts w:ascii="Calibri" w:hAnsi="Calibri" w:eastAsia="Microsoft YaHei" w:cs="Calibri"/>
          <w:b/>
          <w:color w:val="1F4E5F"/>
          <w:sz w:val="30"/>
          <w:szCs w:val="30"/>
        </w:rPr>
        <w:t>Document Control</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2200"/>
        <w:gridCol w:w="6800"/>
      </w:tblGrid>
      <w:tr>
        <w:trPr>
          <w:tblHeader w:val="1"/>
        </w:trPr>
        <w:tc>
          <w:tcPr>
            <w:tcW w:w="22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Field</w:t>
            </w:r>
          </w:p>
        </w:tc>
        <w:tc>
          <w:tcPr>
            <w:tcW w:w="68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Entry</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Instrument</w:t>
            </w:r>
          </w:p>
        </w:tc>
        <w:tc>
          <w:tcPr>
            <w:tcW w:w="6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Daryaban Framework: A Multilateral Governance System for the Strait of Hormuz, Version 1.2. Daryaban derives from the Persian words darya (sea) and ban (guardian): the Guardian of the Sea.</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Short title</w:t>
            </w:r>
          </w:p>
        </w:tc>
        <w:tc>
          <w:tcPr>
            <w:tcW w:w="6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Daryaban Framework (the Framework)</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Status</w:t>
            </w:r>
          </w:p>
        </w:tc>
        <w:tc>
          <w:tcPr>
            <w:tcW w:w="6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Negotiating draft for authorized participants; every line adheres to the Immutable Present-Tense Matrix</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Date</w:t>
            </w:r>
          </w:p>
        </w:tc>
        <w:tc>
          <w:tcPr>
            <w:tcW w:w="6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July 2026</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Anchor instrument</w:t>
            </w:r>
          </w:p>
        </w:tc>
        <w:tc>
          <w:tcPr>
            <w:tcW w:w="6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Islamabad Memorandum of Understanding between the United States of America and the Islamic Republic of Iran, June 2026 (the MOU)</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Founding Parties (the Anchor Three)</w:t>
            </w:r>
          </w:p>
        </w:tc>
        <w:tc>
          <w:tcPr>
            <w:tcW w:w="6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Islamic Republic of Iran, the Sultanate of Oman, and the United Arab Emirates; entry into force upon signature by all three</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Mediator of Record</w:t>
            </w:r>
          </w:p>
        </w:tc>
        <w:tc>
          <w:tcPr>
            <w:tcW w:w="6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Sultanate of Oman</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Neutral Administrator</w:t>
            </w:r>
          </w:p>
        </w:tc>
        <w:tc>
          <w:tcPr>
            <w:tcW w:w="6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Swiss Confederation</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Supporting facilitators</w:t>
            </w:r>
          </w:p>
        </w:tc>
        <w:tc>
          <w:tcPr>
            <w:tcW w:w="6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State of Qatar and the Islamic Republic of Pakistan</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Technical interface</w:t>
            </w:r>
          </w:p>
        </w:tc>
        <w:tc>
          <w:tcPr>
            <w:tcW w:w="6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International Maritime Organization (IMO); the International Hydrographic Organization (IHO); the United Nations Mine Action Service for the survey sequence of Article 9</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Seat</w:t>
            </w:r>
          </w:p>
        </w:tc>
        <w:tc>
          <w:tcPr>
            <w:tcW w:w="6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Daryaban Operations Center, Muscat, with a mirror facility of equal rank at Bandar Abbas</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Depositary</w:t>
            </w:r>
          </w:p>
        </w:tc>
        <w:tc>
          <w:tcPr>
            <w:tcW w:w="6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Sultanate of Oman, Ministry of Foreign Affairs, Muscat</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Languages</w:t>
            </w:r>
          </w:p>
        </w:tc>
        <w:tc>
          <w:tcPr>
            <w:tcW w:w="6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Persian, Arabic, and English; the three texts carry equal authority</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Continuity rule</w:t>
            </w:r>
          </w:p>
        </w:tc>
        <w:tc>
          <w:tcPr>
            <w:tcW w:w="6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Nofade Guarantee (Article 5): no provision expires, lapses, or dissolves by the passage of time alone</w:t>
            </w:r>
          </w:p>
        </w:tc>
      </w:tr>
    </w:tbl>
    <w:tbl>
      <w:tblPr>
        <w:tblW w:w="5000" w:type="pct"/>
        <w:tblBorders>
          <w:top w:val="single" w:color="1F4E5F" w:sz="12"/>
          <w:left w:val="single" w:color="1F4E5F" w:sz="12"/>
          <w:bottom w:val="single" w:color="1F4E5F" w:sz="12"/>
          <w:right w:val="single" w:color="1F4E5F" w:sz="12"/>
        </w:tblBorders>
      </w:tblPr>
      <w:tblGrid>
        <w:gridCol w:w="9000"/>
      </w:tblGrid>
      <w:tr>
        <w:tc>
          <w:tcPr>
            <w:tcW w:w="9000" w:type="dxa"/>
            <w:shd w:val="clear" w:fill="F2F7F8" w:color="auto"/>
            <w:tcMar>
              <w:top w:w="160" w:type="dxa"/>
              <w:left w:w="220" w:type="dxa"/>
              <w:bottom w:w="160" w:type="dxa"/>
              <w:right w:w="220" w:type="dxa"/>
            </w:tcMar>
          </w:tcPr>
          <w:p>
            <w:pPr>
              <w:pStyle w:val="Normal"/>
              <w:spacing w:before="60" w:after="60" w:line="300" w:lineRule="auto"/>
              <w:jc w:val="both"/>
            </w:pPr>
            <w:r>
              <w:rPr>
                <w:i/>
                <w:color w:val="22333B"/>
                <w:sz w:val="21"/>
                <w:rFonts w:ascii="Calibri" w:hAnsi="Calibri" w:eastAsia="Microsoft YaHei" w:cs="Calibri"/>
                <w:szCs w:val="21"/>
              </w:rPr>
              <w:t>Drafting discipline note. Every provision of this Framework adheres to the Immutable Present-Tense Matrix: sovereign active present-tense drafting; mutual-architecture framing in which every constraint attaches to the shared design and never to one Party's restraint for another's benefit; automatic logic triggers stated as immediate operational realities; no command vocabulary; no discretionary softeners; no passive placeholders; no floating background imagery. The Nofade Guarantee of Article 5 stands first among equals: nothing in this instrument fades, lapses, or dissolves by the passage of time alone. Verified performance banks permanently. Renewal occurs by silence; change occurs by joint written instrument; exit is a deliberate, notified, time-buffered sovereign act, never a drift.</w:t>
            </w:r>
          </w:p>
        </w:tc>
      </w:tr>
    </w:tbl>
    <w:p>
      <w:pPr>
        <w:pStyle w:val="Normal"/>
        <w:jc w:val="both"/>
      </w:pPr>
      <w:r>
        <w:rPr>
          <w:rFonts w:ascii="Calibri" w:hAnsi="Calibri" w:eastAsia="Microsoft YaHei" w:cs="Calibri"/>
          <w:color w:val="22333B"/>
          <w:sz w:val="21"/>
          <w:szCs w:val="21"/>
        </w:rPr>
        <w:t>This instrument contains a main body of thirty-two Articles organized in seven Parts, followed by eight operative Annexes (Annex A through Annex H). The Annexes form an integral part of this instrument and bind the Parties to the same extent as the Articles. A reference to an Article includes the Annexes that the Article designates as operative for that Article.</w:t>
      </w:r>
    </w:p>
    <w:p>
      <w:pPr>
        <w:pStyle w:val="Heading1"/>
      </w:pPr>
      <w:r>
        <w:rPr>
          <w:rFonts w:ascii="Calibri" w:hAnsi="Calibri" w:eastAsia="Microsoft YaHei" w:cs="Calibri"/>
          <w:b/>
          <w:color w:val="1F4E5F"/>
          <w:sz w:val="30"/>
          <w:szCs w:val="30"/>
        </w:rPr>
        <w:t>The Daryaban Declaration of Principles</w:t>
      </w:r>
    </w:p>
    <w:p>
      <w:pPr>
        <w:pStyle w:val="Normal"/>
        <w:jc w:val="both"/>
      </w:pPr>
      <w:r>
        <w:rPr>
          <w:rFonts w:ascii="Calibri" w:hAnsi="Calibri" w:eastAsia="Microsoft YaHei" w:cs="Calibri"/>
          <w:color w:val="22333B"/>
          <w:sz w:val="21"/>
          <w:szCs w:val="21"/>
        </w:rPr>
        <w:t>Before the articles, the Parties state what this Framework protects, in one place and in plain terms. The fourteen lines below constitute the Red Lines Register of Annex G in summary form. Every organ, every officer, and every reader of this Framework holds this page as the measure of the system: a measure that touches one of these lines proceeds only in the exact form the corresponding safeguard permits, and a measure that crosses one of these lines fails.</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1300"/>
        <w:gridCol w:w="7700"/>
      </w:tblGrid>
      <w:tr>
        <w:trPr>
          <w:tblHeader w:val="1"/>
        </w:trPr>
        <w:tc>
          <w:tcPr>
            <w:tcW w:w="13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Ref</w:t>
            </w:r>
          </w:p>
        </w:tc>
        <w:tc>
          <w:tcPr>
            <w:tcW w:w="77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Principle</w:t>
            </w:r>
          </w:p>
        </w:tc>
      </w:tr>
      <w:tr>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RL-1</w:t>
            </w:r>
          </w:p>
        </w:tc>
        <w:tc>
          <w:tcPr>
            <w:tcW w:w="77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Transit carries no charge, in any corridor, for any vessel, ever.</w:t>
            </w:r>
          </w:p>
        </w:tc>
      </w:tr>
      <w:tr>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RL-2</w:t>
            </w:r>
          </w:p>
        </w:tc>
        <w:tc>
          <w:tcPr>
            <w:tcW w:w="77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Southern Assurance Passage transits unconditionally, without any notification layer.</w:t>
            </w:r>
          </w:p>
        </w:tc>
      </w:tr>
      <w:tr>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RL-3</w:t>
            </w:r>
          </w:p>
        </w:tc>
        <w:tc>
          <w:tcPr>
            <w:tcW w:w="77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northern littoral holds a recognized, formal, continuous management role.</w:t>
            </w:r>
          </w:p>
        </w:tc>
      </w:tr>
      <w:tr>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RL-4</w:t>
            </w:r>
          </w:p>
        </w:tc>
        <w:tc>
          <w:tcPr>
            <w:tcW w:w="77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 permission regime operates anywhere in this Framework.</w:t>
            </w:r>
          </w:p>
        </w:tc>
      </w:tr>
      <w:tr>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RL-5</w:t>
            </w:r>
          </w:p>
        </w:tc>
        <w:tc>
          <w:tcPr>
            <w:tcW w:w="77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 boarding, diversion, seizure, or inspection occurs inside a passage.</w:t>
            </w:r>
          </w:p>
        </w:tc>
      </w:tr>
      <w:tr>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RL-6</w:t>
            </w:r>
          </w:p>
        </w:tc>
        <w:tc>
          <w:tcPr>
            <w:tcW w:w="77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Framework's operational bodies remain civilian, always.</w:t>
            </w:r>
          </w:p>
        </w:tc>
      </w:tr>
      <w:tr>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RL-7</w:t>
            </w:r>
          </w:p>
        </w:tc>
        <w:tc>
          <w:tcPr>
            <w:tcW w:w="77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 shipper or operator pays any Party directly for anything.</w:t>
            </w:r>
          </w:p>
        </w:tc>
      </w:tr>
      <w:tr>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RL-8</w:t>
            </w:r>
          </w:p>
        </w:tc>
        <w:tc>
          <w:tcPr>
            <w:tcW w:w="77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Each Party's sovereignty over its own waters stands intact.</w:t>
            </w:r>
          </w:p>
        </w:tc>
      </w:tr>
      <w:tr>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RL-9</w:t>
            </w:r>
          </w:p>
        </w:tc>
        <w:tc>
          <w:tcPr>
            <w:tcW w:w="77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 commitment expires, lapses, or dilutes by time, silence, or routine.</w:t>
            </w:r>
          </w:p>
        </w:tc>
      </w:tr>
      <w:tr>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RL-10</w:t>
            </w:r>
          </w:p>
        </w:tc>
        <w:tc>
          <w:tcPr>
            <w:tcW w:w="77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Humanitarian traffic moves in every flow state, dispute, pause, and transition.</w:t>
            </w:r>
          </w:p>
        </w:tc>
      </w:tr>
      <w:tr>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RL-11</w:t>
            </w:r>
          </w:p>
        </w:tc>
        <w:tc>
          <w:tcPr>
            <w:tcW w:w="77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 finding of fact rests on a single input.</w:t>
            </w:r>
          </w:p>
        </w:tc>
      </w:tr>
      <w:tr>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RL-12</w:t>
            </w:r>
          </w:p>
        </w:tc>
        <w:tc>
          <w:tcPr>
            <w:tcW w:w="77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Framework assets, data, and channels never support kinetic action by any actor.</w:t>
            </w:r>
          </w:p>
        </w:tc>
      </w:tr>
      <w:tr>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RL-13</w:t>
            </w:r>
          </w:p>
        </w:tc>
        <w:tc>
          <w:tcPr>
            <w:tcW w:w="77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 single coastal state governs the Strait alone.</w:t>
            </w:r>
          </w:p>
        </w:tc>
      </w:tr>
      <w:tr>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RL-14</w:t>
            </w:r>
          </w:p>
        </w:tc>
        <w:tc>
          <w:tcPr>
            <w:tcW w:w="77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 external state or body commands any element of this Framework.</w:t>
            </w:r>
          </w:p>
        </w:tc>
      </w:tr>
    </w:tbl>
    <w:p>
      <w:pPr>
        <w:pStyle w:val="Caption"/>
      </w:pPr>
      <w:r>
        <w:rPr>
          <w:rFonts w:ascii="Calibri" w:hAnsi="Calibri" w:eastAsia="Microsoft YaHei" w:cs="Calibri"/>
          <w:i/>
          <w:color w:val="6E8A96"/>
          <w:sz w:val="18"/>
          <w:szCs w:val="18"/>
        </w:rPr>
        <w:t>The Daryaban Declaration of Principles; Annex G carries the full operative text</w:t>
      </w:r>
    </w:p>
    <w:p>
      <w:pPr>
        <w:pStyle w:val="Normal"/>
        <w:jc w:val="both"/>
      </w:pPr>
      <w:r>
        <w:rPr>
          <w:rFonts w:ascii="Calibri" w:hAnsi="Calibri" w:eastAsia="Microsoft YaHei" w:cs="Calibri"/>
          <w:color w:val="22333B"/>
          <w:sz w:val="21"/>
          <w:szCs w:val="21"/>
        </w:rPr>
        <w:t>The architecture holds every line simultaneously, at all times, without exception, and the Nofade Guarantee holds this Declaration as permanently as it holds every other word of this Framework.</w:t>
      </w:r>
    </w:p>
    <w:p>
      <w:pPr>
        <w:pStyle w:val="Heading1"/>
      </w:pPr>
      <w:r>
        <w:rPr>
          <w:rFonts w:ascii="Calibri" w:hAnsi="Calibri" w:eastAsia="Microsoft YaHei" w:cs="Calibri"/>
          <w:b/>
          <w:color w:val="1F4E5F"/>
          <w:sz w:val="30"/>
          <w:szCs w:val="30"/>
        </w:rPr>
        <w:t>Preamble: The Moment of July 2026</w:t>
      </w:r>
    </w:p>
    <w:p>
      <w:pPr>
        <w:pStyle w:val="Normal"/>
        <w:jc w:val="both"/>
      </w:pPr>
      <w:r>
        <w:rPr>
          <w:rFonts w:ascii="Calibri" w:hAnsi="Calibri" w:eastAsia="Microsoft YaHei" w:cs="Calibri"/>
          <w:color w:val="22333B"/>
          <w:sz w:val="21"/>
          <w:szCs w:val="21"/>
        </w:rPr>
        <w:t>The Islamic Republic of Iran, the Sultanate of Oman, and the United Arab Emirates, together the Founding Parties, joined in this instrument by every Gulf littoral state that accedes under Article 28, and supported by the Mediator of Record, the Neutral Administrator, and the facilitating states,</w:t>
      </w:r>
    </w:p>
    <w:p>
      <w:pPr>
        <w:pStyle w:val="Normal"/>
        <w:jc w:val="both"/>
      </w:pPr>
      <w:r>
        <w:rPr>
          <w:rFonts w:ascii="Calibri" w:hAnsi="Calibri" w:eastAsia="Microsoft YaHei" w:cs="Calibri"/>
          <w:color w:val="22333B"/>
          <w:sz w:val="21"/>
          <w:szCs w:val="21"/>
        </w:rPr>
        <w:t>Recalling the crisis of 2026, in which the Strait of Hormuz became a theater of military confrontation, commercial transits fell from a pre-crisis norm of roughly ninety vessels per day to a fraction of that figure, war-risk insurance multiples rose several-fold, and hundreds of vessels lay at anchor awaiting a settlement;</w:t>
      </w:r>
    </w:p>
    <w:p>
      <w:pPr>
        <w:pStyle w:val="Normal"/>
        <w:jc w:val="both"/>
      </w:pPr>
      <w:r>
        <w:rPr>
          <w:rFonts w:ascii="Calibri" w:hAnsi="Calibri" w:eastAsia="Microsoft YaHei" w:cs="Calibri"/>
          <w:color w:val="22333B"/>
          <w:sz w:val="21"/>
          <w:szCs w:val="21"/>
        </w:rPr>
        <w:t>Recalling the Islamabad Memorandum of Understanding of June 2026, which declared the termination of military operations and opened a sixty-day window toward comprehensive settlement;</w:t>
      </w:r>
    </w:p>
    <w:p>
      <w:pPr>
        <w:pStyle w:val="Normal"/>
        <w:jc w:val="both"/>
      </w:pPr>
      <w:r>
        <w:rPr>
          <w:rFonts w:ascii="Calibri" w:hAnsi="Calibri" w:eastAsia="Microsoft YaHei" w:cs="Calibri"/>
          <w:color w:val="22333B"/>
          <w:sz w:val="21"/>
          <w:szCs w:val="21"/>
        </w:rPr>
        <w:t>Recalling further the Joint Hormuz Committee convened in Muscat on 29 June 2026, in which Iran and Oman began negotiating routing rules, maritime services, and fee mechanisms, and noting that this bilateral channel performs real work yet remains unembedded in any durable multilateral structure;</w:t>
      </w:r>
    </w:p>
    <w:p>
      <w:pPr>
        <w:pStyle w:val="Normal"/>
        <w:jc w:val="both"/>
      </w:pPr>
      <w:r>
        <w:rPr>
          <w:rFonts w:ascii="Calibri" w:hAnsi="Calibri" w:eastAsia="Microsoft YaHei" w:cs="Calibri"/>
          <w:color w:val="22333B"/>
          <w:sz w:val="21"/>
          <w:szCs w:val="21"/>
        </w:rPr>
        <w:t>Noting that the wider implementation architecture of the MOU assigns sanctions, nuclear, reconstruction, and monitoring questions to four dedicated working groups, yet assigns the permanent governance of the Strait to no standing multilateral body, and that this Framework answers that structural gap by giving Hormuz governance a durable institutional home;</w:t>
      </w:r>
    </w:p>
    <w:p>
      <w:pPr>
        <w:pStyle w:val="Normal"/>
        <w:jc w:val="both"/>
      </w:pPr>
      <w:r>
        <w:rPr>
          <w:rFonts w:ascii="Calibri" w:hAnsi="Calibri" w:eastAsia="Microsoft YaHei" w:cs="Calibri"/>
          <w:color w:val="22333B"/>
          <w:sz w:val="21"/>
          <w:szCs w:val="21"/>
        </w:rPr>
        <w:t>Noting further that each Party's participation in this Framework is an exercise of sovereignty, not a delegation of sovereignty, and that the Framework operates as a technical and operational governance system without prejudice to any Party's sovereignty, territorial integrity, or legal positions on any question not expressly addressed by this instrument;</w:t>
      </w:r>
    </w:p>
    <w:p>
      <w:pPr>
        <w:pStyle w:val="Normal"/>
        <w:jc w:val="both"/>
      </w:pPr>
      <w:r>
        <w:rPr>
          <w:rFonts w:ascii="Calibri" w:hAnsi="Calibri" w:eastAsia="Microsoft YaHei" w:cs="Calibri"/>
          <w:color w:val="22333B"/>
          <w:sz w:val="21"/>
          <w:szCs w:val="21"/>
        </w:rPr>
        <w:t>Noting further that Iran's consultative assembly advances fee legislation touching the Strait while the Sultanate of Oman opposes transit charges, and that this Framework settles that difference inside one architecture rather than leaving it to legislation and counter-declaration;</w:t>
      </w:r>
    </w:p>
    <w:p>
      <w:pPr>
        <w:pStyle w:val="Normal"/>
        <w:jc w:val="both"/>
      </w:pPr>
      <w:r>
        <w:rPr>
          <w:rFonts w:ascii="Calibri" w:hAnsi="Calibri" w:eastAsia="Microsoft YaHei" w:cs="Calibri"/>
          <w:color w:val="22333B"/>
          <w:sz w:val="21"/>
          <w:szCs w:val="21"/>
        </w:rPr>
        <w:t>Recognizing that the Strait of Hormuz carries approximately one fifth of the world's seaborne oil supply and a substantial share of global liquefied natural gas, and that its uninterrupted, toll-free, multilaterally governed operation constitutes a shared interest of the coastal states, the user states, and the international community as a whole;</w:t>
      </w:r>
    </w:p>
    <w:p>
      <w:pPr>
        <w:pStyle w:val="Normal"/>
        <w:jc w:val="both"/>
      </w:pPr>
      <w:r>
        <w:rPr>
          <w:rFonts w:ascii="Calibri" w:hAnsi="Calibri" w:eastAsia="Microsoft YaHei" w:cs="Calibri"/>
          <w:color w:val="22333B"/>
          <w:sz w:val="21"/>
          <w:szCs w:val="21"/>
        </w:rPr>
        <w:t>Affirming that durable maritime order in the Strait does not rest on the restraint of one state for the benefit of another, but on a mutual architecture in which the framework itself carries the obligations, the corridors themselves carry the rules, and the verification systems themselves carry the evidence;</w:t>
      </w:r>
    </w:p>
    <w:p>
      <w:pPr>
        <w:pStyle w:val="Normal"/>
        <w:jc w:val="both"/>
      </w:pPr>
      <w:r>
        <w:rPr>
          <w:rFonts w:ascii="Calibri" w:hAnsi="Calibri" w:eastAsia="Microsoft YaHei" w:cs="Calibri"/>
          <w:color w:val="22333B"/>
          <w:sz w:val="21"/>
          <w:szCs w:val="21"/>
        </w:rPr>
        <w:t>Determined that this Framework settle the toll question definitively by separating the right of passage, which the architecture holds absolute and free, from the cost of services, which the architecture funds collectively through a dedicated multilateral mechanism;</w:t>
      </w:r>
    </w:p>
    <w:p>
      <w:pPr>
        <w:pStyle w:val="Normal"/>
        <w:jc w:val="both"/>
      </w:pPr>
      <w:r>
        <w:rPr>
          <w:rFonts w:ascii="Calibri" w:hAnsi="Calibri" w:eastAsia="Microsoft YaHei" w:cs="Calibri"/>
          <w:color w:val="22333B"/>
          <w:sz w:val="21"/>
          <w:szCs w:val="21"/>
        </w:rPr>
        <w:t>Determined further that every commitment in this Framework operate in the present tense as a living state of the architecture, that no provision fade or expire by the mere passage of time, that every consequence arrive graduated, proportionate, and reversible, and that no deviation of any kind produce permanent exclusion from the Framework;</w:t>
      </w:r>
    </w:p>
    <w:p>
      <w:pPr>
        <w:pStyle w:val="Normal"/>
        <w:jc w:val="both"/>
      </w:pPr>
      <w:r>
        <w:rPr>
          <w:rFonts w:ascii="Calibri" w:hAnsi="Calibri" w:eastAsia="Microsoft YaHei" w:cs="Calibri"/>
          <w:color w:val="22333B"/>
          <w:sz w:val="21"/>
          <w:szCs w:val="21"/>
        </w:rPr>
        <w:t>Conscious that snapback mechanics kill agreements, that binary collapse dynamics produce binary collapse outcomes, and that this Framework therefore replaces collapse with watchful continuity: discretionary benefits pause first, core constraints survive longest, humanitarian protections remain absolute, and restoration stays always available;</w:t>
      </w:r>
    </w:p>
    <w:p>
      <w:pPr>
        <w:pStyle w:val="Normal"/>
        <w:jc w:val="both"/>
      </w:pPr>
      <w:r>
        <w:rPr>
          <w:rFonts w:ascii="Calibri" w:hAnsi="Calibri" w:eastAsia="Microsoft YaHei" w:cs="Calibri"/>
          <w:color w:val="22333B"/>
          <w:sz w:val="21"/>
          <w:szCs w:val="21"/>
        </w:rPr>
        <w:t>Resolved that the governance of the Strait stand multilateral in structure as well as in spirit, so that no single coastal state carries the burden alone, no single user state holds a veto over order, every Gulf littoral state holds a defined path into the architecture, and no mechanism in this instrument exceeds six steps,</w:t>
      </w:r>
    </w:p>
    <w:p>
      <w:pPr>
        <w:pStyle w:val="Normal"/>
        <w:jc w:val="both"/>
      </w:pPr>
      <w:r>
        <w:rPr>
          <w:rFonts w:ascii="Calibri" w:hAnsi="Calibri" w:eastAsia="Microsoft YaHei" w:cs="Calibri"/>
          <w:color w:val="22333B"/>
          <w:sz w:val="21"/>
          <w:szCs w:val="21"/>
        </w:rPr>
        <w:t>Have agreed as follows.</w:t>
      </w:r>
    </w:p>
    <w:p>
      <w:pPr>
        <w:pStyle w:val="Heading1"/>
      </w:pPr>
      <w:r>
        <w:rPr>
          <w:rFonts w:ascii="Calibri" w:hAnsi="Calibri" w:eastAsia="Microsoft YaHei" w:cs="Calibri"/>
          <w:b/>
          <w:color w:val="1F4E5F"/>
          <w:sz w:val="30"/>
          <w:szCs w:val="30"/>
        </w:rPr>
        <w:t>Part I: Foundations</w:t>
      </w:r>
    </w:p>
    <w:p>
      <w:pPr>
        <w:pStyle w:val="Heading2"/>
      </w:pPr>
      <w:r>
        <w:rPr>
          <w:rFonts w:ascii="Calibri" w:hAnsi="Calibri" w:eastAsia="Microsoft YaHei" w:cs="Calibri"/>
          <w:b/>
          <w:color w:val="1F4E5F"/>
          <w:sz w:val="26"/>
          <w:szCs w:val="26"/>
        </w:rPr>
        <w:t>Article 1: Establishment, Purpose, and Scope</w:t>
      </w:r>
    </w:p>
    <w:p>
      <w:pPr>
        <w:pStyle w:val="Heading3"/>
      </w:pPr>
      <w:r>
        <w:rPr>
          <w:rFonts w:ascii="Calibri" w:hAnsi="Calibri" w:eastAsia="Microsoft YaHei" w:cs="Calibri"/>
          <w:b/>
          <w:color w:val="3A7086"/>
          <w:sz w:val="22"/>
          <w:szCs w:val="22"/>
        </w:rPr>
        <w:t>1.1 Establishment</w:t>
      </w:r>
    </w:p>
    <w:p>
      <w:pPr>
        <w:pStyle w:val="Normal"/>
        <w:jc w:val="both"/>
      </w:pPr>
      <w:r>
        <w:rPr>
          <w:rFonts w:ascii="Calibri" w:hAnsi="Calibri" w:eastAsia="Microsoft YaHei" w:cs="Calibri"/>
          <w:color w:val="22333B"/>
          <w:sz w:val="21"/>
          <w:szCs w:val="21"/>
        </w:rPr>
        <w:t>The Parties establish the Daryaban Framework as the standing multilateral governance system for the Strait of Hormuz. The Framework establishes a tripartite corridor governance system comprising the Northern Coordination Corridor, the Central International Corridor, and the Southern Assurance Corridor: the three Founding Parties, together with the jointly governed Central International Corridor, form the Tripod Plus Central Passage at the heart of the architecture. The Framework comprises the three-corridor navigation system of Part II, the institutions of Part III, the financial architecture of Part IV, the safety and verification system of Part V, the compliance and dispute machinery of Part VI, and the continuity machinery of Part VII. The Framework takes its name from its purpose: the guardian of the sea that stands watch so that shipping never stands hostage.</w:t>
      </w:r>
    </w:p>
    <w:p>
      <w:pPr>
        <w:pStyle w:val="Heading3"/>
      </w:pPr>
      <w:r>
        <w:rPr>
          <w:rFonts w:ascii="Calibri" w:hAnsi="Calibri" w:eastAsia="Microsoft YaHei" w:cs="Calibri"/>
          <w:b/>
          <w:color w:val="3A7086"/>
          <w:sz w:val="22"/>
          <w:szCs w:val="22"/>
        </w:rPr>
        <w:t>1.2 Purpose</w:t>
      </w:r>
    </w:p>
    <w:p>
      <w:pPr>
        <w:pStyle w:val="Normal"/>
        <w:jc w:val="both"/>
      </w:pPr>
      <w:r>
        <w:rPr>
          <w:rFonts w:ascii="Calibri" w:hAnsi="Calibri" w:eastAsia="Microsoft YaHei" w:cs="Calibri"/>
          <w:color w:val="22333B"/>
          <w:sz w:val="21"/>
          <w:szCs w:val="21"/>
        </w:rPr>
        <w:t>The Framework pursues six purposes, ranked equally:</w:t>
      </w:r>
    </w:p>
    <w:p>
      <w:pPr>
        <w:pStyle w:val="Normal"/>
        <w:ind w:left="480" w:hanging="240"/>
        <w:jc w:val="both"/>
      </w:pPr>
      <w:r>
        <w:rPr>
          <w:rFonts w:ascii="Calibri" w:hAnsi="Calibri" w:eastAsia="Microsoft YaHei" w:cs="Calibri"/>
          <w:color w:val="22333B"/>
          <w:sz w:val="21"/>
          <w:szCs w:val="21"/>
        </w:rPr>
        <w:t xml:space="preserve">•  Maritime order. The Framework governs transit through three defined corridors, a vessel classification system, a zero-toll rule, a non-interdiction protocol, and a naval de-confliction geometry, so that every vessel transits safely, predictably, and free of charge.</w:t>
      </w:r>
    </w:p>
    <w:p>
      <w:pPr>
        <w:pStyle w:val="Normal"/>
        <w:ind w:left="480" w:hanging="240"/>
        <w:jc w:val="both"/>
      </w:pPr>
      <w:r>
        <w:rPr>
          <w:rFonts w:ascii="Calibri" w:hAnsi="Calibri" w:eastAsia="Microsoft YaHei" w:cs="Calibri"/>
          <w:color w:val="22333B"/>
          <w:sz w:val="21"/>
          <w:szCs w:val="21"/>
        </w:rPr>
        <w:t xml:space="preserve">•  Multilateral stewardship. The Framework seats the Gulf littoral states as co-governors of the waterway, with Iran, Oman, and the United Arab Emirates as Founding Parties and a defined accession path for Saudi Arabia, Qatar, Bahrain, Kuwait, and Iraq.</w:t>
      </w:r>
    </w:p>
    <w:p>
      <w:pPr>
        <w:pStyle w:val="Normal"/>
        <w:ind w:left="480" w:hanging="240"/>
        <w:jc w:val="both"/>
      </w:pPr>
      <w:r>
        <w:rPr>
          <w:rFonts w:ascii="Calibri" w:hAnsi="Calibri" w:eastAsia="Microsoft YaHei" w:cs="Calibri"/>
          <w:color w:val="22333B"/>
          <w:sz w:val="21"/>
          <w:szCs w:val="21"/>
        </w:rPr>
        <w:t xml:space="preserve">•  User-state anchoring. The Framework binds the principal user states, flag states, insurers, and shipping interests to the architecture through observer seats, contribution channels, and published performance data, so that the community that benefits from the Strait underwrites its stability.</w:t>
      </w:r>
    </w:p>
    <w:p>
      <w:pPr>
        <w:pStyle w:val="Normal"/>
        <w:ind w:left="480" w:hanging="240"/>
        <w:jc w:val="both"/>
      </w:pPr>
      <w:r>
        <w:rPr>
          <w:rFonts w:ascii="Calibri" w:hAnsi="Calibri" w:eastAsia="Microsoft YaHei" w:cs="Calibri"/>
          <w:color w:val="22333B"/>
          <w:sz w:val="21"/>
          <w:szCs w:val="21"/>
        </w:rPr>
        <w:t xml:space="preserve">•  Verification over trust. The Framework substitutes convergent evidence, human-anchored observation, and a shared operational picture for assertion and suspicion, publishing the same record to every participant at the same time.</w:t>
      </w:r>
    </w:p>
    <w:p>
      <w:pPr>
        <w:pStyle w:val="Normal"/>
        <w:ind w:left="480" w:hanging="240"/>
        <w:jc w:val="both"/>
      </w:pPr>
      <w:r>
        <w:rPr>
          <w:rFonts w:ascii="Calibri" w:hAnsi="Calibri" w:eastAsia="Microsoft YaHei" w:cs="Calibri"/>
          <w:color w:val="22333B"/>
          <w:sz w:val="21"/>
          <w:szCs w:val="21"/>
        </w:rPr>
        <w:t xml:space="preserve">•  Economic normalization. The Framework restores insurance confidence, rebuilds the buyer base, and returns war-risk premiums toward pre-crisis levels through verified performance rather than through declarations.</w:t>
      </w:r>
    </w:p>
    <w:p>
      <w:pPr>
        <w:pStyle w:val="Normal"/>
        <w:ind w:left="480" w:hanging="240"/>
        <w:jc w:val="both"/>
      </w:pPr>
      <w:r>
        <w:rPr>
          <w:rFonts w:ascii="Calibri" w:hAnsi="Calibri" w:eastAsia="Microsoft YaHei" w:cs="Calibri"/>
          <w:color w:val="22333B"/>
          <w:sz w:val="21"/>
          <w:szCs w:val="21"/>
        </w:rPr>
        <w:t xml:space="preserve">•  Durability. The Framework persists through the Nofade Guarantee of Article 5. No clause sunsets. No obligation fades. Every mechanism remains in force until the Parties amend it through the procedure of Article 29.</w:t>
      </w:r>
    </w:p>
    <w:p>
      <w:pPr>
        <w:pStyle w:val="Heading3"/>
      </w:pPr>
      <w:r>
        <w:rPr>
          <w:rFonts w:ascii="Calibri" w:hAnsi="Calibri" w:eastAsia="Microsoft YaHei" w:cs="Calibri"/>
          <w:b/>
          <w:color w:val="3A7086"/>
          <w:sz w:val="22"/>
          <w:szCs w:val="22"/>
        </w:rPr>
        <w:t>1.3 Geographic scope</w:t>
      </w:r>
    </w:p>
    <w:p>
      <w:pPr>
        <w:pStyle w:val="Normal"/>
        <w:jc w:val="both"/>
      </w:pPr>
      <w:r>
        <w:rPr>
          <w:rFonts w:ascii="Calibri" w:hAnsi="Calibri" w:eastAsia="Microsoft YaHei" w:cs="Calibri"/>
          <w:color w:val="22333B"/>
          <w:sz w:val="21"/>
          <w:szCs w:val="21"/>
        </w:rPr>
        <w:t>The Framework operates in the Strait of Hormuz Governance Area, defined in Article 7 and Annex A as the waters and superjacent airspace bounded by the meridian 055 degrees 30.0 minutes East at the western approach and the meridian 057 degrees 00.0 minutes East at the eastern approach, together with the designated holding anchorages, precautionary zones, and inshore traffic bands described in Annex A. The Governance Area is an operational construct. It defines where the rules of the Framework operate. It defines no boundary between states, delimits no maritime zone, and prejudices no entitlement.</w:t>
      </w:r>
    </w:p>
    <w:p>
      <w:pPr>
        <w:pStyle w:val="Heading3"/>
      </w:pPr>
      <w:r>
        <w:rPr>
          <w:rFonts w:ascii="Calibri" w:hAnsi="Calibri" w:eastAsia="Microsoft YaHei" w:cs="Calibri"/>
          <w:b/>
          <w:color w:val="3A7086"/>
          <w:sz w:val="22"/>
          <w:szCs w:val="22"/>
        </w:rPr>
        <w:t>1.4 Functional scope</w:t>
      </w:r>
    </w:p>
    <w:p>
      <w:pPr>
        <w:pStyle w:val="Normal"/>
        <w:jc w:val="both"/>
      </w:pPr>
      <w:r>
        <w:rPr>
          <w:rFonts w:ascii="Calibri" w:hAnsi="Calibri" w:eastAsia="Microsoft YaHei" w:cs="Calibri"/>
          <w:color w:val="22333B"/>
          <w:sz w:val="21"/>
          <w:szCs w:val="21"/>
        </w:rPr>
        <w:t>The Framework governs: civilian maritime navigation; passage geometry and traffic management; vessel classification and transit notification; safety of navigation and incident response; search and rescue coordination; environmental protection and pollution response; the financing of maritime services; naval de-confliction touching civilian transit; verification, compliance, and dispute resolution among the Parties; and the continuity, amendment, and succession of the Framework itself.</w:t>
      </w:r>
    </w:p>
    <w:p>
      <w:pPr>
        <w:pStyle w:val="Normal"/>
        <w:jc w:val="both"/>
      </w:pPr>
      <w:r>
        <w:rPr>
          <w:rFonts w:ascii="Calibri" w:hAnsi="Calibri" w:eastAsia="Microsoft YaHei" w:cs="Calibri"/>
          <w:color w:val="22333B"/>
          <w:sz w:val="21"/>
          <w:szCs w:val="21"/>
        </w:rPr>
        <w:t>The Framework architecture excludes from its scope: the internal affairs and domestic political arrangements of any Party; the delimitation of maritime boundaries between any states; the cargo policies, trade policies, alliance policies, and sanctions regimes of any state, except as Article 18.4 interfaces with them for the protection of the financial architecture; military alliances and force structure; the nuclear file; and any authorization of the use of force, which the architecture excludes absolutely under Article 21.6. The Framework governance mandate is bounded: it governs navigation safety, traffic management, environmental protection, and service reimbursement within the Governance Area, and it excludes (a) military alliances and force posture outside the Governance Area; (b) sanctions regimes and compliance with any state's sanctions; (c) territorial delimitation, including the 1968 Traffic Separation Scheme; and (d) the internal security doctrines of any Party.</w:t>
      </w:r>
    </w:p>
    <w:p>
      <w:pPr>
        <w:pStyle w:val="Normal"/>
        <w:jc w:val="both"/>
      </w:pPr>
      <w:r>
        <w:rPr>
          <w:rFonts w:ascii="Calibri" w:hAnsi="Calibri" w:eastAsia="Microsoft YaHei" w:cs="Calibri"/>
          <w:color w:val="22333B"/>
          <w:sz w:val="21"/>
          <w:szCs w:val="21"/>
        </w:rPr>
        <w:t>The Framework architecture excludes any objective of political restructuring, governmental change, or interference in the internal affairs of any Party. No fund, mechanism, penalty, or procedure in this instrument operates for such a purpose. This clause restates the sovereignty and non-interference principles of the Islamabad MOU as an operative rule of the Framework.</w:t>
      </w:r>
    </w:p>
    <w:p>
      <w:pPr>
        <w:pStyle w:val="Heading3"/>
      </w:pPr>
      <w:r>
        <w:rPr>
          <w:rFonts w:ascii="Calibri" w:hAnsi="Calibri" w:eastAsia="Microsoft YaHei" w:cs="Calibri"/>
          <w:b/>
          <w:color w:val="3A7086"/>
          <w:sz w:val="22"/>
          <w:szCs w:val="22"/>
        </w:rPr>
        <w:t>1.5 What this Framework does and does not do</w:t>
      </w:r>
    </w:p>
    <w:tbl>
      <w:tblPr>
        <w:tblW w:w="5000" w:type="pct"/>
        <w:tblBorders>
          <w:top w:val="single" w:color="1F4E5F" w:sz="12"/>
          <w:left w:val="single" w:color="1F4E5F" w:sz="12"/>
          <w:bottom w:val="single" w:color="1F4E5F" w:sz="12"/>
          <w:right w:val="single" w:color="1F4E5F" w:sz="12"/>
        </w:tblBorders>
      </w:tblPr>
      <w:tblGrid>
        <w:gridCol w:w="9000"/>
      </w:tblGrid>
      <w:tr>
        <w:tc>
          <w:tcPr>
            <w:tcW w:w="9000" w:type="dxa"/>
            <w:shd w:val="clear" w:fill="F2F7F8" w:color="auto"/>
            <w:tcMar>
              <w:top w:w="160" w:type="dxa"/>
              <w:left w:w="220" w:type="dxa"/>
              <w:bottom w:w="160" w:type="dxa"/>
              <w:right w:w="220" w:type="dxa"/>
            </w:tcMar>
          </w:tcPr>
          <w:p>
            <w:pPr>
              <w:pStyle w:val="Normal"/>
              <w:spacing w:before="60" w:after="60" w:line="300" w:lineRule="auto"/>
              <w:jc w:val="both"/>
            </w:pPr>
            <w:r>
              <w:rPr>
                <w:i/>
                <w:color w:val="22333B"/>
                <w:sz w:val="21"/>
                <w:rFonts w:ascii="Calibri" w:hAnsi="Calibri" w:eastAsia="Microsoft YaHei" w:cs="Calibri"/>
                <w:szCs w:val="21"/>
              </w:rPr>
              <w:t>This Framework establishes a permanent multilateral operating system for the Strait of Hormuz. It keeps passage free, pays for verified services, verifies performance with human-anchored methods, seats every Gulf littoral state in the governance structure, and continues without expiry. This Framework does not create a toll regime, does not grant any Party command over another, does not transfer or dilute sovereignty, does not prejudice boundary positions, does not adjudicate the nuclear file or the sanctions file, and does not authorize the use of force by any actor.</w:t>
            </w:r>
          </w:p>
          <w:p>
            <w:pPr>
              <w:pStyle w:val="Heading3"/>
            </w:pPr>
            <w:r>
              <w:rPr>
                <w:rFonts w:ascii="Calibri" w:hAnsi="Calibri" w:eastAsia="Microsoft YaHei" w:cs="Calibri"/>
                <w:b/>
                <w:color w:val="3A7086"/>
                <w:sz w:val="22"/>
                <w:szCs w:val="22"/>
              </w:rPr>
              <w:t>1.6 Jurisdictional layers</w:t>
            </w:r>
          </w:p>
          <w:p>
            <w:pPr>
              <w:pStyle w:val="Normal"/>
              <w:jc w:val="both"/>
            </w:pPr>
            <w:r>
              <w:rPr>
                <w:rFonts w:ascii="Calibri" w:hAnsi="Calibri" w:eastAsia="Microsoft YaHei" w:cs="Calibri"/>
                <w:color w:val="22333B"/>
                <w:sz w:val="21"/>
                <w:szCs w:val="21"/>
              </w:rPr>
              <w:t>The Framework operates through three jurisdictional layers. Layer one, the sovereign layer: each coastal state retains full sovereignty over its territorial waters, and sovereign-layer decisions proceed only with the consent of the coastal state. Layer two, the joint layer: the Central International Corridor operates under joint governance, and joint-layer decisions proceed only on the consensus of Iran, Oman, and the Gulf Cooperation Council. Layer three, the framework layer: the Daryaban Council exercises overarching authority over the entire Governance Area under the decision rules of Article 15. The layers nest by design: a joint-layer measure never overrides a sovereign-layer consent, and a framework-layer measure never overrides either.</w:t>
            </w:r>
          </w:p>
        </w:tc>
      </w:tr>
    </w:tbl>
    <w:p>
      <w:pPr>
        <w:pStyle w:val="Heading2"/>
      </w:pPr>
      <w:r>
        <w:rPr>
          <w:rFonts w:ascii="Calibri" w:hAnsi="Calibri" w:eastAsia="Microsoft YaHei" w:cs="Calibri"/>
          <w:b/>
          <w:color w:val="1F4E5F"/>
          <w:sz w:val="26"/>
          <w:szCs w:val="26"/>
        </w:rPr>
        <w:t>Article 2: Legal Foundations</w:t>
      </w:r>
    </w:p>
    <w:p>
      <w:pPr>
        <w:pStyle w:val="Heading3"/>
      </w:pPr>
      <w:r>
        <w:rPr>
          <w:rFonts w:ascii="Calibri" w:hAnsi="Calibri" w:eastAsia="Microsoft YaHei" w:cs="Calibri"/>
          <w:b/>
          <w:color w:val="3A7086"/>
          <w:sz w:val="22"/>
          <w:szCs w:val="22"/>
        </w:rPr>
        <w:t>2.1 Sovereign basis</w:t>
      </w:r>
    </w:p>
    <w:p>
      <w:pPr>
        <w:pStyle w:val="Normal"/>
        <w:jc w:val="both"/>
      </w:pPr>
      <w:r>
        <w:rPr>
          <w:rFonts w:ascii="Calibri" w:hAnsi="Calibri" w:eastAsia="Microsoft YaHei" w:cs="Calibri"/>
          <w:color w:val="22333B"/>
          <w:sz w:val="21"/>
          <w:szCs w:val="21"/>
        </w:rPr>
        <w:t>The Framework rests on the sovereignty and sovereign rights of the coastal states over their respective territorial seas in the Strait of Hormuz, and on the customary international law of the sea as reflected in the 1982 United Nations Convention on the Law of the Sea. Oman and the United Arab Emirates apply the Convention as states party. Iran applies the customary rules the Convention reflects, including the regime of transit passage, as a matter of its stated policy and of this Framework. Nothing in this instrument adjudicates, prejudices, or alters the position of any Party on any question of maritime delimitation, and the Framework operates without prejudice to the differing treaty positions of the Parties.</w:t>
      </w:r>
    </w:p>
    <w:p>
      <w:pPr>
        <w:pStyle w:val="Heading3"/>
      </w:pPr>
      <w:r>
        <w:rPr>
          <w:rFonts w:ascii="Calibri" w:hAnsi="Calibri" w:eastAsia="Microsoft YaHei" w:cs="Calibri"/>
          <w:b/>
          <w:color w:val="3A7086"/>
          <w:sz w:val="22"/>
          <w:szCs w:val="22"/>
        </w:rPr>
        <w:t>2.2 Transit passage preserved</w:t>
      </w:r>
    </w:p>
    <w:p>
      <w:pPr>
        <w:pStyle w:val="Normal"/>
        <w:jc w:val="both"/>
      </w:pPr>
      <w:r>
        <w:rPr>
          <w:rFonts w:ascii="Calibri" w:hAnsi="Calibri" w:eastAsia="Microsoft YaHei" w:cs="Calibri"/>
          <w:color w:val="22333B"/>
          <w:sz w:val="21"/>
          <w:szCs w:val="21"/>
        </w:rPr>
        <w:t>The corridor system of Part II implements the regime of transit passage as an organized service architecture. The right of transit passage through the Strait of Hormuz operates continuously and without suspension for the ships and aircraft of all states, in all three corridors, under the rules of this Framework. The architecture excludes any suspension of transit passage for any reason, including any dispute among the Parties, any incident under investigation, any arrears in the financial system, or any external conflict. A Suspended Flow under Article 8.6 pauses new entries into a defined area only, for a stated period not exceeding seventy-two hours without a Council decision recorded with reasons, and never converts into a closure of the Strait.</w:t>
      </w:r>
    </w:p>
    <w:p>
      <w:pPr>
        <w:pStyle w:val="Heading3"/>
      </w:pPr>
      <w:r>
        <w:rPr>
          <w:rFonts w:ascii="Calibri" w:hAnsi="Calibri" w:eastAsia="Microsoft YaHei" w:cs="Calibri"/>
          <w:b/>
          <w:color w:val="3A7086"/>
          <w:sz w:val="22"/>
          <w:szCs w:val="22"/>
        </w:rPr>
        <w:t>2.3 The service-fee distinction</w:t>
      </w:r>
    </w:p>
    <w:p>
      <w:pPr>
        <w:pStyle w:val="Normal"/>
        <w:jc w:val="both"/>
      </w:pPr>
      <w:r>
        <w:rPr>
          <w:rFonts w:ascii="Calibri" w:hAnsi="Calibri" w:eastAsia="Microsoft YaHei" w:cs="Calibri"/>
          <w:color w:val="22333B"/>
          <w:sz w:val="21"/>
          <w:szCs w:val="21"/>
        </w:rPr>
        <w:t>International law draws a bright line between a charge on passage, which no coastal state levies in a strait used for international navigation, and a charge for specific services rendered, which a coastal state levies on a non-discriminatory basis. The financial architecture of Part IV sits entirely on the service side of that line. Transit itself carries no charge in any corridor, for any vessel, under any circumstances. Services carry documented, audited, pre-published costs, and payment for services flows through an independent multilateral fund, never from a ship to a state as a condition of passage. This distinction answers the fee question that the June 2026 co-governance talks left open: Iran's interest in compensated service delivery and Oman's opposition to transit charges reconcile inside one architecture, because the Fund compensates services while passage stays free.</w:t>
      </w:r>
    </w:p>
    <w:p>
      <w:pPr>
        <w:pStyle w:val="Heading3"/>
      </w:pPr>
      <w:r>
        <w:rPr>
          <w:rFonts w:ascii="Calibri" w:hAnsi="Calibri" w:eastAsia="Microsoft YaHei" w:cs="Calibri"/>
          <w:b/>
          <w:color w:val="3A7086"/>
          <w:sz w:val="22"/>
          <w:szCs w:val="22"/>
        </w:rPr>
        <w:t>2.4 Relationship to the Islamabad MOU</w:t>
      </w:r>
    </w:p>
    <w:p>
      <w:pPr>
        <w:pStyle w:val="Normal"/>
        <w:jc w:val="both"/>
      </w:pPr>
      <w:r>
        <w:rPr>
          <w:rFonts w:ascii="Calibri" w:hAnsi="Calibri" w:eastAsia="Microsoft YaHei" w:cs="Calibri"/>
          <w:color w:val="22333B"/>
          <w:sz w:val="21"/>
          <w:szCs w:val="21"/>
        </w:rPr>
        <w:t>The Framework discharges the safe-navigation commitment of the MOU and operates as its maritime implementing instrument for the coastal-state dimension. The Framework binds its Parties independently of the fate of any other instrument: a lapse, breach, or termination of any external agreement touches nothing in this Framework. The Parties design the Framework for attachment to the wider MOU architecture as a complementary governance module, by annex, protocol, or incorporation, at the election of the MOU parties, and Annex F carries the model attachment instruments. Attachment adds political linkage; it adds no obligation beyond the text of this Framework.</w:t>
      </w:r>
    </w:p>
    <w:p>
      <w:pPr>
        <w:pStyle w:val="Heading3"/>
      </w:pPr>
      <w:r>
        <w:rPr>
          <w:rFonts w:ascii="Calibri" w:hAnsi="Calibri" w:eastAsia="Microsoft YaHei" w:cs="Calibri"/>
          <w:b/>
          <w:color w:val="3A7086"/>
          <w:sz w:val="22"/>
          <w:szCs w:val="22"/>
        </w:rPr>
        <w:t>2.5 Relationship to the International Maritime Organization</w:t>
      </w:r>
    </w:p>
    <w:p>
      <w:pPr>
        <w:pStyle w:val="Normal"/>
        <w:jc w:val="both"/>
      </w:pPr>
      <w:r>
        <w:rPr>
          <w:rFonts w:ascii="Calibri" w:hAnsi="Calibri" w:eastAsia="Microsoft YaHei" w:cs="Calibri"/>
          <w:color w:val="22333B"/>
          <w:sz w:val="21"/>
          <w:szCs w:val="21"/>
        </w:rPr>
        <w:t>The Parties develop the corridor system in technical harmony with the routing measures adopted through the International Maritime Organization for the Strait of Hormuz, notify the corridor geometry of Annex A to the Organization jointly, register the vessel traffic service areas and reporting requirements, and invite the technical participation of the Organization under Article 14. The Framework creates no obligation for the Organization; it extends standing invitations, and each invitation remains open until accepted or declined in writing.</w:t>
      </w:r>
    </w:p>
    <w:p>
      <w:pPr>
        <w:pStyle w:val="Heading3"/>
      </w:pPr>
      <w:r>
        <w:rPr>
          <w:rFonts w:ascii="Calibri" w:hAnsi="Calibri" w:eastAsia="Microsoft YaHei" w:cs="Calibri"/>
          <w:b/>
          <w:color w:val="3A7086"/>
          <w:sz w:val="22"/>
          <w:szCs w:val="22"/>
        </w:rPr>
        <w:t>2.6 Non-prejudice and no precedent</w:t>
      </w:r>
    </w:p>
    <w:p>
      <w:pPr>
        <w:pStyle w:val="Normal"/>
        <w:jc w:val="both"/>
      </w:pPr>
      <w:r>
        <w:rPr>
          <w:rFonts w:ascii="Calibri" w:hAnsi="Calibri" w:eastAsia="Microsoft YaHei" w:cs="Calibri"/>
          <w:color w:val="22333B"/>
          <w:sz w:val="21"/>
          <w:szCs w:val="21"/>
        </w:rPr>
        <w:t>This instrument establishes no legal or political precedent for any other strait, waterway, dispute, or relationship. No act performed under it constitutes recognition of, acquiescence in, or prejudice to: any Party's position on sovereignty over any island, rock, or feature; any Party's position on the legal character of the Strait; the maritime entitlements of any coastal state; or any claim or defense in any other forum. Participation in data collection, passage coordination, or joint bodies carries no political imputation. Data serves technical verification exclusively.</w:t>
      </w:r>
    </w:p>
    <w:p>
      <w:pPr>
        <w:pStyle w:val="Heading3"/>
      </w:pPr>
      <w:r>
        <w:rPr>
          <w:rFonts w:ascii="Calibri" w:hAnsi="Calibri" w:eastAsia="Microsoft YaHei" w:cs="Calibri"/>
          <w:b/>
          <w:color w:val="3A7086"/>
          <w:sz w:val="22"/>
          <w:szCs w:val="22"/>
        </w:rPr>
        <w:t>2.7 Relationship to the 1968 Traffic Separation Scheme</w:t>
      </w:r>
    </w:p>
    <w:p>
      <w:pPr>
        <w:pStyle w:val="Normal"/>
        <w:jc w:val="both"/>
      </w:pPr>
      <w:r>
        <w:rPr>
          <w:rFonts w:ascii="Calibri" w:hAnsi="Calibri" w:eastAsia="Microsoft YaHei" w:cs="Calibri"/>
          <w:color w:val="22333B"/>
          <w:sz w:val="21"/>
          <w:szCs w:val="21"/>
        </w:rPr>
        <w:t>The Framework acknowledges that the 1968 Traffic Separation Scheme does not govern the corridors established under Part II. The Parties adopt a new traffic separation scheme through the multilateral architecture of this Framework and notify it to the International Maritime Organization under Article 2.5. Nothing in this clause prejudices any state's position on the status of the 1968 Traffic Separation Scheme.</w:t>
      </w:r>
    </w:p>
    <w:p>
      <w:pPr>
        <w:pStyle w:val="Heading2"/>
      </w:pPr>
      <w:r>
        <w:rPr>
          <w:rFonts w:ascii="Calibri" w:hAnsi="Calibri" w:eastAsia="Microsoft YaHei" w:cs="Calibri"/>
          <w:b/>
          <w:color w:val="1F4E5F"/>
          <w:sz w:val="26"/>
          <w:szCs w:val="26"/>
        </w:rPr>
        <w:t>Article 3: Core Operating Principles</w:t>
      </w:r>
    </w:p>
    <w:p>
      <w:pPr>
        <w:pStyle w:val="Normal"/>
        <w:jc w:val="both"/>
      </w:pPr>
      <w:r>
        <w:rPr>
          <w:rFonts w:ascii="Calibri" w:hAnsi="Calibri" w:eastAsia="Microsoft YaHei" w:cs="Calibri"/>
          <w:color w:val="22333B"/>
          <w:sz w:val="21"/>
          <w:szCs w:val="21"/>
        </w:rPr>
        <w:t>Twelve principles govern the interpretation and operation of every provision of this Framework. Where a provision admits two readings, the reading that serves these principles prevails.</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2900"/>
        <w:gridCol w:w="6100"/>
      </w:tblGrid>
      <w:tr>
        <w:trPr>
          <w:tblHeader w:val="1"/>
        </w:trPr>
        <w:tc>
          <w:tcPr>
            <w:tcW w:w="29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Principle</w:t>
            </w:r>
          </w:p>
        </w:tc>
        <w:tc>
          <w:tcPr>
            <w:tcW w:w="61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Operative meaning</w:t>
            </w:r>
          </w:p>
        </w:tc>
      </w:tr>
      <w:tr>
        <w:tc>
          <w:tcPr>
            <w:tcW w:w="2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1. The Nofade Guarantee</w:t>
            </w:r>
          </w:p>
        </w:tc>
        <w:tc>
          <w:tcPr>
            <w:tcW w:w="6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 commitment fades at any date boundary. Continuation forms the default at every review point. Verified performance banks permanently. This principle stands first among equals and governs the interpretation of every other provision.</w:t>
            </w:r>
          </w:p>
        </w:tc>
      </w:tr>
      <w:tr>
        <w:tc>
          <w:tcPr>
            <w:tcW w:w="2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 Mutual architecture</w:t>
            </w:r>
          </w:p>
        </w:tc>
        <w:tc>
          <w:tcPr>
            <w:tcW w:w="6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Every obligation attaches to the design of the Framework, not to one Party's restraint for another's benefit. All Parties stand bound equally by the same structure.</w:t>
            </w:r>
          </w:p>
        </w:tc>
      </w:tr>
      <w:tr>
        <w:tc>
          <w:tcPr>
            <w:tcW w:w="2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3. Multilateral balance</w:t>
            </w:r>
          </w:p>
        </w:tc>
        <w:tc>
          <w:tcPr>
            <w:tcW w:w="6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Every institution seats the littoral Parties in defined balance, every voting rule protects the small against the large and the large against the many, and no decision binds a Party whose vote the rules exclude.</w:t>
            </w:r>
          </w:p>
        </w:tc>
      </w:tr>
      <w:tr>
        <w:tc>
          <w:tcPr>
            <w:tcW w:w="2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4. Proportionality</w:t>
            </w:r>
          </w:p>
        </w:tc>
        <w:tc>
          <w:tcPr>
            <w:tcW w:w="6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Every consequence matches the severity and duration of the deviation that triggers it. Minor deviations produce minor consequences.</w:t>
            </w:r>
          </w:p>
        </w:tc>
      </w:tr>
      <w:tr>
        <w:tc>
          <w:tcPr>
            <w:tcW w:w="2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5. Restoration</w:t>
            </w:r>
          </w:p>
        </w:tc>
        <w:tc>
          <w:tcPr>
            <w:tcW w:w="6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Every consequence carries an automatic, defined restoration pathway. No deviation creates permanent exclusion. Full compliance returns a Party to full standing.</w:t>
            </w:r>
          </w:p>
        </w:tc>
      </w:tr>
      <w:tr>
        <w:tc>
          <w:tcPr>
            <w:tcW w:w="2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6. Humanitarian absolute</w:t>
            </w:r>
          </w:p>
        </w:tc>
        <w:tc>
          <w:tcPr>
            <w:tcW w:w="6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 mechanism in this Framework reduces, delays, or conditions flows of food, medicine, medical equipment, relief personnel, or aviation safety payments, under any circumstances.</w:t>
            </w:r>
          </w:p>
        </w:tc>
      </w:tr>
      <w:tr>
        <w:tc>
          <w:tcPr>
            <w:tcW w:w="2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7. Modularity</w:t>
            </w:r>
          </w:p>
        </w:tc>
        <w:tc>
          <w:tcPr>
            <w:tcW w:w="6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Each domain of the Framework operates as an independent module. Failure in one module does not cascade into another absent certified spillover under Article 23.6.</w:t>
            </w:r>
          </w:p>
        </w:tc>
      </w:tr>
      <w:tr>
        <w:tc>
          <w:tcPr>
            <w:tcW w:w="2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8. Human judgment above automation</w:t>
            </w:r>
          </w:p>
        </w:tc>
        <w:tc>
          <w:tcPr>
            <w:tcW w:w="6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Automated systems flag and present evidence. Human officers review, consult, and decide. No automated process classifies an incident, suspends a service, or triggers a consequence.</w:t>
            </w:r>
          </w:p>
        </w:tc>
      </w:tr>
      <w:tr>
        <w:tc>
          <w:tcPr>
            <w:tcW w:w="2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9. Structural decoupling of force</w:t>
            </w:r>
          </w:p>
        </w:tc>
        <w:tc>
          <w:tcPr>
            <w:tcW w:w="6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 compliance event, of any category, in any domain, authorizes, triggers, or justifies the use of military force. Military decisions rest exclusively with the respective head of government under constitutional procedures.</w:t>
            </w:r>
          </w:p>
        </w:tc>
      </w:tr>
      <w:tr>
        <w:tc>
          <w:tcPr>
            <w:tcW w:w="2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10. Civilian character</w:t>
            </w:r>
          </w:p>
        </w:tc>
        <w:tc>
          <w:tcPr>
            <w:tcW w:w="6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operational bodies of the Framework employ civilian maritime professionals. Military liaison occurs through designated channels at the policy level and never on the watch floor.</w:t>
            </w:r>
          </w:p>
        </w:tc>
      </w:tr>
      <w:tr>
        <w:tc>
          <w:tcPr>
            <w:tcW w:w="2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11. Transparency over trust</w:t>
            </w:r>
          </w:p>
        </w:tc>
        <w:tc>
          <w:tcPr>
            <w:tcW w:w="6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Framework substitutes publication for assurances. Every participant reads the same record at the same time.</w:t>
            </w:r>
          </w:p>
        </w:tc>
      </w:tr>
      <w:tr>
        <w:tc>
          <w:tcPr>
            <w:tcW w:w="2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12. Cost discipline</w:t>
            </w:r>
          </w:p>
        </w:tc>
        <w:tc>
          <w:tcPr>
            <w:tcW w:w="6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Framework reuses existing infrastructure, schemes, and institutions wherever they serve the mission, and builds new structures only where no existing structure carries the load.</w:t>
            </w:r>
          </w:p>
        </w:tc>
      </w:tr>
    </w:tbl>
    <w:p>
      <w:pPr>
        <w:pStyle w:val="Caption"/>
      </w:pPr>
      <w:r>
        <w:rPr>
          <w:rFonts w:ascii="Calibri" w:hAnsi="Calibri" w:eastAsia="Microsoft YaHei" w:cs="Calibri"/>
          <w:i/>
          <w:color w:val="6E8A96"/>
          <w:sz w:val="18"/>
          <w:szCs w:val="18"/>
        </w:rPr>
        <w:t>Table 3.1: Core operating principles of the Framework</w:t>
      </w:r>
    </w:p>
    <w:p>
      <w:pPr>
        <w:pStyle w:val="Heading3"/>
      </w:pPr>
      <w:r>
        <w:rPr>
          <w:rFonts w:ascii="Calibri" w:hAnsi="Calibri" w:eastAsia="Microsoft YaHei" w:cs="Calibri"/>
          <w:b/>
          <w:color w:val="3A7086"/>
          <w:sz w:val="22"/>
          <w:szCs w:val="22"/>
        </w:rPr>
        <w:t>3.1 The political acceptability rule</w:t>
      </w:r>
    </w:p>
    <w:p>
      <w:pPr>
        <w:pStyle w:val="Normal"/>
        <w:jc w:val="both"/>
      </w:pPr>
      <w:r>
        <w:rPr>
          <w:rFonts w:ascii="Calibri" w:hAnsi="Calibri" w:eastAsia="Microsoft YaHei" w:cs="Calibri"/>
          <w:color w:val="22333B"/>
          <w:sz w:val="21"/>
          <w:szCs w:val="21"/>
        </w:rPr>
        <w:t>Every mechanism in this instrument passes a symmetry test before adoption: the mechanism binds every Party through the same architecture, produces visible benefit for every public, avoids vocabulary of concession or capitulation, and permits each Party to present the Framework domestically as a structure it co-governs rather than an order it obeys. The Daryaban Council reviews every proposed amendment against this rule under Article 29.3.</w:t>
      </w:r>
    </w:p>
    <w:p>
      <w:pPr>
        <w:pStyle w:val="Heading2"/>
      </w:pPr>
      <w:r>
        <w:rPr>
          <w:rFonts w:ascii="Calibri" w:hAnsi="Calibri" w:eastAsia="Microsoft YaHei" w:cs="Calibri"/>
          <w:b/>
          <w:color w:val="1F4E5F"/>
          <w:sz w:val="26"/>
          <w:szCs w:val="26"/>
        </w:rPr>
        <w:t>Article 4: The Six-Step Rule and the Simplicity Mandate</w:t>
      </w:r>
    </w:p>
    <w:p>
      <w:pPr>
        <w:pStyle w:val="Heading3"/>
      </w:pPr>
      <w:r>
        <w:rPr>
          <w:rFonts w:ascii="Calibri" w:hAnsi="Calibri" w:eastAsia="Microsoft YaHei" w:cs="Calibri"/>
          <w:b/>
          <w:color w:val="3A7086"/>
          <w:sz w:val="22"/>
          <w:szCs w:val="22"/>
        </w:rPr>
        <w:t>4.1 The Six-Step Rule</w:t>
      </w:r>
    </w:p>
    <w:p>
      <w:pPr>
        <w:pStyle w:val="Normal"/>
        <w:jc w:val="both"/>
      </w:pPr>
      <w:r>
        <w:rPr>
          <w:rFonts w:ascii="Calibri" w:hAnsi="Calibri" w:eastAsia="Microsoft YaHei" w:cs="Calibri"/>
          <w:color w:val="22333B"/>
          <w:sz w:val="21"/>
          <w:szCs w:val="21"/>
        </w:rPr>
        <w:t>No mechanism, protocol, procedure, or process in this Framework contains more than six steps. The rule binds every Article and every Annex, and the Technical and Standards Committee certifies compliance with it in the annual systems audit of Article 13. Where a proposed measure presents a procedure exceeding six steps, the measure returns to the Technical and Standards Committee for restructuring before the Council receives it, and the restructuring record publishes with the measure.</w:t>
      </w:r>
    </w:p>
    <w:p>
      <w:pPr>
        <w:pStyle w:val="Heading3"/>
      </w:pPr>
      <w:r>
        <w:rPr>
          <w:rFonts w:ascii="Calibri" w:hAnsi="Calibri" w:eastAsia="Microsoft YaHei" w:cs="Calibri"/>
          <w:b/>
          <w:color w:val="3A7086"/>
          <w:sz w:val="22"/>
          <w:szCs w:val="22"/>
        </w:rPr>
        <w:t>4.2 The one-page principle</w:t>
      </w:r>
    </w:p>
    <w:p>
      <w:pPr>
        <w:pStyle w:val="Normal"/>
        <w:jc w:val="both"/>
      </w:pPr>
      <w:r>
        <w:rPr>
          <w:rFonts w:ascii="Calibri" w:hAnsi="Calibri" w:eastAsia="Microsoft YaHei" w:cs="Calibri"/>
          <w:color w:val="22333B"/>
          <w:sz w:val="21"/>
          <w:szCs w:val="21"/>
        </w:rPr>
        <w:t>Every operational procedure in this Framework fits on one page in the working language of the watch floor. The Daryaban Operations Center publishes each procedure as a single-page card in the Mariners' Handbook of Annex D, and each card states its steps, its clocks, and its responsible officer. A procedure that outgrows one page splits into two procedures, each under six steps, each with its own card.</w:t>
      </w:r>
    </w:p>
    <w:p>
      <w:pPr>
        <w:pStyle w:val="Heading3"/>
      </w:pPr>
      <w:r>
        <w:rPr>
          <w:rFonts w:ascii="Calibri" w:hAnsi="Calibri" w:eastAsia="Microsoft YaHei" w:cs="Calibri"/>
          <w:b/>
          <w:color w:val="3A7086"/>
          <w:sz w:val="22"/>
          <w:szCs w:val="22"/>
        </w:rPr>
        <w:t>4.3 The complexity audit</w:t>
      </w:r>
    </w:p>
    <w:p>
      <w:pPr>
        <w:pStyle w:val="Normal"/>
        <w:jc w:val="both"/>
      </w:pPr>
      <w:r>
        <w:rPr>
          <w:rFonts w:ascii="Calibri" w:hAnsi="Calibri" w:eastAsia="Microsoft YaHei" w:cs="Calibri"/>
          <w:color w:val="22333B"/>
          <w:sz w:val="21"/>
          <w:szCs w:val="21"/>
        </w:rPr>
        <w:t>The Neutral Watch Office conducts an annual complexity audit: it counts the steps of every active mechanism, measures the average time a duty officer needs to execute each card, and publishes the results. An audit finding of procedural creep triggers simplification within 90 days through the silence procedure of Article 15.4, and the Nofade Guarantee carries each simplified procedure forward without resetting any operational record.</w:t>
      </w:r>
    </w:p>
    <w:p>
      <w:pPr>
        <w:pStyle w:val="Heading2"/>
      </w:pPr>
      <w:r>
        <w:rPr>
          <w:rFonts w:ascii="Calibri" w:hAnsi="Calibri" w:eastAsia="Microsoft YaHei" w:cs="Calibri"/>
          <w:b/>
          <w:color w:val="1F4E5F"/>
          <w:sz w:val="26"/>
          <w:szCs w:val="26"/>
        </w:rPr>
        <w:t>Article 5: The Nofade Guarantee</w:t>
      </w:r>
    </w:p>
    <w:p>
      <w:pPr>
        <w:pStyle w:val="Heading3"/>
      </w:pPr>
      <w:r>
        <w:rPr>
          <w:rFonts w:ascii="Calibri" w:hAnsi="Calibri" w:eastAsia="Microsoft YaHei" w:cs="Calibri"/>
          <w:b/>
          <w:color w:val="3A7086"/>
          <w:sz w:val="22"/>
          <w:szCs w:val="22"/>
        </w:rPr>
        <w:t>5.1 No sunset</w:t>
      </w:r>
    </w:p>
    <w:p>
      <w:pPr>
        <w:pStyle w:val="Normal"/>
        <w:jc w:val="both"/>
      </w:pPr>
      <w:r>
        <w:rPr>
          <w:rFonts w:ascii="Calibri" w:hAnsi="Calibri" w:eastAsia="Microsoft YaHei" w:cs="Calibri"/>
          <w:color w:val="22333B"/>
          <w:sz w:val="21"/>
          <w:szCs w:val="21"/>
        </w:rPr>
        <w:t>The Framework contains no sunset clauses, no silent expirations, and no decaying obligations. It operates on a continuous horizon, by design, because a commitment that expires is a commitment that plans to fail. Every phase boundary, review point, reporting deadline, and certification cycle inside this instrument operates as an administrative rhythm: at every boundary, the operational state carries forward by default, and obligations persist exactly as written until the Parties amend them in writing.</w:t>
      </w:r>
    </w:p>
    <w:p>
      <w:pPr>
        <w:pStyle w:val="Heading3"/>
      </w:pPr>
      <w:r>
        <w:rPr>
          <w:rFonts w:ascii="Calibri" w:hAnsi="Calibri" w:eastAsia="Microsoft YaHei" w:cs="Calibri"/>
          <w:b/>
          <w:color w:val="3A7086"/>
          <w:sz w:val="22"/>
          <w:szCs w:val="22"/>
        </w:rPr>
        <w:t>5.2 No fade of commitments</w:t>
      </w:r>
    </w:p>
    <w:p>
      <w:pPr>
        <w:pStyle w:val="Normal"/>
        <w:jc w:val="both"/>
      </w:pPr>
      <w:r>
        <w:rPr>
          <w:rFonts w:ascii="Calibri" w:hAnsi="Calibri" w:eastAsia="Microsoft YaHei" w:cs="Calibri"/>
          <w:color w:val="22333B"/>
          <w:sz w:val="21"/>
          <w:szCs w:val="21"/>
        </w:rPr>
        <w:t>Every commitment persists at full strength from activation until the Parties jointly amend it in writing under Article 29. Time never dilutes an obligation; routine never weakens a verification right; political weather never erodes a standing rule. A change of government in any Party changes nothing in this Framework: the obligations attach to the state, and the succession rule of Article 30.2 binds every incoming administration from its first day.</w:t>
      </w:r>
    </w:p>
    <w:p>
      <w:pPr>
        <w:pStyle w:val="Heading3"/>
      </w:pPr>
      <w:r>
        <w:rPr>
          <w:rFonts w:ascii="Calibri" w:hAnsi="Calibri" w:eastAsia="Microsoft YaHei" w:cs="Calibri"/>
          <w:b/>
          <w:color w:val="3A7086"/>
          <w:sz w:val="22"/>
          <w:szCs w:val="22"/>
        </w:rPr>
        <w:t>5.3 No fade of earned benefits</w:t>
      </w:r>
    </w:p>
    <w:p>
      <w:pPr>
        <w:pStyle w:val="Normal"/>
        <w:jc w:val="both"/>
      </w:pPr>
      <w:r>
        <w:rPr>
          <w:rFonts w:ascii="Calibri" w:hAnsi="Calibri" w:eastAsia="Microsoft YaHei" w:cs="Calibri"/>
          <w:color w:val="22333B"/>
          <w:sz w:val="21"/>
          <w:szCs w:val="21"/>
        </w:rPr>
        <w:t>Benefits earned through verified compliance persist. No earned benefit lapses through the passage of time, a change of government, or a change of mood. Banked performance survives every review cycle, every suspension, and every transition, and carries forward into every successor instrument. Only the defined step-back of the compliance engine adjusts a benefit, and earn-back always restores it under Article 23.4.</w:t>
      </w:r>
    </w:p>
    <w:p>
      <w:pPr>
        <w:pStyle w:val="Heading3"/>
      </w:pPr>
      <w:r>
        <w:rPr>
          <w:rFonts w:ascii="Calibri" w:hAnsi="Calibri" w:eastAsia="Microsoft YaHei" w:cs="Calibri"/>
          <w:b/>
          <w:color w:val="3A7086"/>
          <w:sz w:val="22"/>
          <w:szCs w:val="22"/>
        </w:rPr>
        <w:t>5.4 No fade of verification</w:t>
      </w:r>
    </w:p>
    <w:p>
      <w:pPr>
        <w:pStyle w:val="Normal"/>
        <w:jc w:val="both"/>
      </w:pPr>
      <w:r>
        <w:rPr>
          <w:rFonts w:ascii="Calibri" w:hAnsi="Calibri" w:eastAsia="Microsoft YaHei" w:cs="Calibri"/>
          <w:color w:val="22333B"/>
          <w:sz w:val="21"/>
          <w:szCs w:val="21"/>
        </w:rPr>
        <w:t>Verification intensity never declines by default. The observer presence, the reporting rhythms, the ground-truth patrols, the audit rights, and the data feeds of this Framework continue at full strength for the life of the instrument. Any reduction of verification intensity constitutes an amendment and takes effect only through the joint written instrument of Article 29.2.</w:t>
      </w:r>
    </w:p>
    <w:p>
      <w:pPr>
        <w:pStyle w:val="Heading3"/>
      </w:pPr>
      <w:r>
        <w:rPr>
          <w:rFonts w:ascii="Calibri" w:hAnsi="Calibri" w:eastAsia="Microsoft YaHei" w:cs="Calibri"/>
          <w:b/>
          <w:color w:val="3A7086"/>
          <w:sz w:val="22"/>
          <w:szCs w:val="22"/>
        </w:rPr>
        <w:t>5.5 No fade of the Zero-Toll Rule</w:t>
      </w:r>
    </w:p>
    <w:p>
      <w:pPr>
        <w:pStyle w:val="Normal"/>
        <w:jc w:val="both"/>
      </w:pPr>
      <w:r>
        <w:rPr>
          <w:rFonts w:ascii="Calibri" w:hAnsi="Calibri" w:eastAsia="Microsoft YaHei" w:cs="Calibri"/>
          <w:color w:val="22333B"/>
          <w:sz w:val="21"/>
          <w:szCs w:val="21"/>
        </w:rPr>
        <w:t>The Zero-Toll Rule of Article 16 stands permanently. No passage charge arises by inaction, by silence, by custom, by national legislation, or by reinterpretation. Where a Party's domestic law advances a fee measure touching the Strait, the Framework's own rule governs the conduct of that Party within the Governance Area, and Article 16.6 routes the reconciliation.</w:t>
      </w:r>
    </w:p>
    <w:p>
      <w:pPr>
        <w:pStyle w:val="Heading3"/>
      </w:pPr>
      <w:r>
        <w:rPr>
          <w:rFonts w:ascii="Calibri" w:hAnsi="Calibri" w:eastAsia="Microsoft YaHei" w:cs="Calibri"/>
          <w:b/>
          <w:color w:val="3A7086"/>
          <w:sz w:val="22"/>
          <w:szCs w:val="22"/>
        </w:rPr>
        <w:t>5.6 No fade of institutional memory</w:t>
      </w:r>
    </w:p>
    <w:p>
      <w:pPr>
        <w:pStyle w:val="Normal"/>
        <w:jc w:val="both"/>
      </w:pPr>
      <w:r>
        <w:rPr>
          <w:rFonts w:ascii="Calibri" w:hAnsi="Calibri" w:eastAsia="Microsoft YaHei" w:cs="Calibri"/>
          <w:color w:val="22333B"/>
          <w:sz w:val="21"/>
          <w:szCs w:val="21"/>
        </w:rPr>
        <w:t>The shared registry and the incident archive never purge. The Framework forgets nothing and forgives through the Good Faith Reset of Article 23.5, which clears operational ledgers without touching the archive. Every certification, every deviation, every restoration, and every lesson remains on the record for the life of the instrument.</w:t>
      </w:r>
    </w:p>
    <w:p>
      <w:pPr>
        <w:pStyle w:val="Heading3"/>
      </w:pPr>
      <w:r>
        <w:rPr>
          <w:rFonts w:ascii="Calibri" w:hAnsi="Calibri" w:eastAsia="Microsoft YaHei" w:cs="Calibri"/>
          <w:b/>
          <w:color w:val="3A7086"/>
          <w:sz w:val="22"/>
          <w:szCs w:val="22"/>
        </w:rPr>
        <w:t>5.7 Renewal by silence and default continuity</w:t>
      </w:r>
    </w:p>
    <w:p>
      <w:pPr>
        <w:pStyle w:val="Normal"/>
        <w:jc w:val="both"/>
      </w:pPr>
      <w:r>
        <w:rPr>
          <w:rFonts w:ascii="Calibri" w:hAnsi="Calibri" w:eastAsia="Microsoft YaHei" w:cs="Calibri"/>
          <w:color w:val="22333B"/>
          <w:sz w:val="21"/>
          <w:szCs w:val="21"/>
        </w:rPr>
        <w:t>Renewal occurs by silence: at every review point, continuation proceeds automatically unless a Party tables a written amendment proposal within the review window. Where a decision stalls, the standing procedures of this Framework and its Annexes govern by default. A stalled budget question runs on the previous budget at the same level; a stalled rate question runs on the previous rate; a stalled procedure question runs on the existing annex text. No deadlock suspends, degrades, or re-prices any operation of the corridor system.</w:t>
      </w:r>
    </w:p>
    <w:p>
      <w:pPr>
        <w:pStyle w:val="Heading3"/>
      </w:pPr>
      <w:r>
        <w:rPr>
          <w:rFonts w:ascii="Calibri" w:hAnsi="Calibri" w:eastAsia="Microsoft YaHei" w:cs="Calibri"/>
          <w:b/>
          <w:color w:val="3A7086"/>
          <w:sz w:val="22"/>
          <w:szCs w:val="22"/>
        </w:rPr>
        <w:t>5.8 Exit is an act, not a fade</w:t>
      </w:r>
    </w:p>
    <w:p>
      <w:pPr>
        <w:pStyle w:val="Normal"/>
        <w:jc w:val="both"/>
      </w:pPr>
      <w:r>
        <w:rPr>
          <w:rFonts w:ascii="Calibri" w:hAnsi="Calibri" w:eastAsia="Microsoft YaHei" w:cs="Calibri"/>
          <w:color w:val="22333B"/>
          <w:sz w:val="21"/>
          <w:szCs w:val="21"/>
        </w:rPr>
        <w:t>Withdrawal under Article 30.4 constitutes a deliberate, notified, time-buffered sovereign act executed through the notice ladder, with the corridors operating at full standard throughout. Nothing in this Framework drifts away; everything either persists at full force or changes by joint written instrument.</w:t>
      </w:r>
    </w:p>
    <w:p>
      <w:pPr>
        <w:pStyle w:val="Heading2"/>
      </w:pPr>
      <w:r>
        <w:rPr>
          <w:rFonts w:ascii="Calibri" w:hAnsi="Calibri" w:eastAsia="Microsoft YaHei" w:cs="Calibri"/>
          <w:b/>
          <w:color w:val="1F4E5F"/>
          <w:sz w:val="26"/>
          <w:szCs w:val="26"/>
        </w:rPr>
        <w:t>Article 6: The Red Lines Register and the Perimeter Test</w:t>
      </w:r>
    </w:p>
    <w:p>
      <w:pPr>
        <w:pStyle w:val="Heading3"/>
      </w:pPr>
      <w:r>
        <w:rPr>
          <w:rFonts w:ascii="Calibri" w:hAnsi="Calibri" w:eastAsia="Microsoft YaHei" w:cs="Calibri"/>
          <w:b/>
          <w:color w:val="3A7086"/>
          <w:sz w:val="22"/>
          <w:szCs w:val="22"/>
        </w:rPr>
        <w:t>6.1 Purpose and method</w:t>
      </w:r>
    </w:p>
    <w:p>
      <w:pPr>
        <w:pStyle w:val="Normal"/>
        <w:jc w:val="both"/>
      </w:pPr>
      <w:r>
        <w:rPr>
          <w:rFonts w:ascii="Calibri" w:hAnsi="Calibri" w:eastAsia="Microsoft YaHei" w:cs="Calibri"/>
          <w:color w:val="22333B"/>
          <w:sz w:val="21"/>
          <w:szCs w:val="21"/>
        </w:rPr>
        <w:t>The Parties negotiate in the open about everything except the lines each treats as untouchable. The Red Lines Register of Annex G names those lines once, precisely, and the architecture then guards them automatically. Each entry states the line in neutral terms, names the interest it protects, and identifies the architectural safeguard that holds the line without daily political effort. The Register binds the framework, not the negotiators' rhetoric: a public statement outside the Register carries no operative weight inside the Framework.</w:t>
      </w:r>
    </w:p>
    <w:p>
      <w:pPr>
        <w:pStyle w:val="Heading3"/>
      </w:pPr>
      <w:r>
        <w:rPr>
          <w:rFonts w:ascii="Calibri" w:hAnsi="Calibri" w:eastAsia="Microsoft YaHei" w:cs="Calibri"/>
          <w:b/>
          <w:color w:val="3A7086"/>
          <w:sz w:val="22"/>
          <w:szCs w:val="22"/>
        </w:rPr>
        <w:t>6.2 The Perimeter Test</w:t>
      </w:r>
    </w:p>
    <w:p>
      <w:pPr>
        <w:pStyle w:val="Normal"/>
        <w:jc w:val="both"/>
      </w:pPr>
      <w:r>
        <w:rPr>
          <w:rFonts w:ascii="Calibri" w:hAnsi="Calibri" w:eastAsia="Microsoft YaHei" w:cs="Calibri"/>
          <w:color w:val="22333B"/>
          <w:sz w:val="21"/>
          <w:szCs w:val="21"/>
        </w:rPr>
        <w:t>Before the Daryaban Council adopts any measure, the legal desk of the Daryaban Operations Center screens the measure against every entry of the Register. The screening takes the form of a short written Perimeter Test, appended to the measure in the Council record. A measure that touches a Register line proceeds only in the exact form the corresponding safeguard permits. A measure that crosses a Register line fails, and the failure appears in the record with reasons. The Neutral Watch Office receives every Perimeter Test and reports annually on the integrity of the Register.</w:t>
      </w:r>
    </w:p>
    <w:p>
      <w:pPr>
        <w:pStyle w:val="Heading3"/>
      </w:pPr>
      <w:r>
        <w:rPr>
          <w:rFonts w:ascii="Calibri" w:hAnsi="Calibri" w:eastAsia="Microsoft YaHei" w:cs="Calibri"/>
          <w:b/>
          <w:color w:val="3A7086"/>
          <w:sz w:val="22"/>
          <w:szCs w:val="22"/>
        </w:rPr>
        <w:t>6.3 No trading of Red Lines</w:t>
      </w:r>
    </w:p>
    <w:p>
      <w:pPr>
        <w:pStyle w:val="Normal"/>
        <w:jc w:val="both"/>
      </w:pPr>
      <w:r>
        <w:rPr>
          <w:rFonts w:ascii="Calibri" w:hAnsi="Calibri" w:eastAsia="Microsoft YaHei" w:cs="Calibri"/>
          <w:color w:val="22333B"/>
          <w:sz w:val="21"/>
          <w:szCs w:val="21"/>
        </w:rPr>
        <w:t>The Parties do not trade Register entries against one another. The architecture holds every line simultaneously, and a breach response under Article 23 never suspends a Register entry. Amendment of the Register itself follows the elevated rule of Article 29.2: consensus of all Littoral Parties plus ratification by each of them.</w:t>
      </w:r>
    </w:p>
    <w:p>
      <w:pPr>
        <w:pStyle w:val="Heading3"/>
      </w:pPr>
      <w:r>
        <w:rPr>
          <w:rFonts w:ascii="Calibri" w:hAnsi="Calibri" w:eastAsia="Microsoft YaHei" w:cs="Calibri"/>
          <w:b/>
          <w:color w:val="3A7086"/>
          <w:sz w:val="22"/>
          <w:szCs w:val="22"/>
        </w:rPr>
        <w:t>6.4 Red Line Consultation</w:t>
      </w:r>
    </w:p>
    <w:p>
      <w:pPr>
        <w:pStyle w:val="Normal"/>
        <w:jc w:val="both"/>
      </w:pPr>
      <w:r>
        <w:rPr>
          <w:rFonts w:ascii="Calibri" w:hAnsi="Calibri" w:eastAsia="Microsoft YaHei" w:cs="Calibri"/>
          <w:color w:val="22333B"/>
          <w:sz w:val="21"/>
          <w:szCs w:val="21"/>
        </w:rPr>
        <w:t>A Party that perceives a Red Line under pressure activates a Red Line Consultation before any other response. The consultation convenes within 24 hours. The architecture freezes the relevant mechanism for 72 hours while the consultation proceeds, under the Daryaban Watch of Article 24, except for the humanitarian absolute and the distress-priority obligations, which never freeze.</w:t>
      </w:r>
    </w:p>
    <w:p>
      <w:pPr>
        <w:pStyle w:val="Normal"/>
        <w:jc w:val="both"/>
      </w:pPr>
      <w:r>
        <w:rPr>
          <w:rFonts w:ascii="Calibri" w:hAnsi="Calibri" w:eastAsia="Microsoft YaHei" w:cs="Calibri"/>
          <w:color w:val="22333B"/>
          <w:sz w:val="21"/>
          <w:szCs w:val="21"/>
        </w:rPr>
        <w:t>Consultation safeguards: during a Red Line Consultation, the disputing Party's Council members retain full voting rights on all matters except the specific mechanism under consultation. The architecture freezes only the mechanism under consultation, never the Party's standing or rights. The Neutral Watch Office publishes a summary of each Red Line Consultation within 7 days of its conclusion, with the Parties' stated positions redacted at their request. A Red Line Consultation never becomes a de facto suspension of a Party's rights.</w:t>
      </w:r>
    </w:p>
    <w:p>
      <w:pPr>
        <w:pStyle w:val="Heading1"/>
      </w:pPr>
      <w:r>
        <w:rPr>
          <w:rFonts w:ascii="Calibri" w:hAnsi="Calibri" w:eastAsia="Microsoft YaHei" w:cs="Calibri"/>
          <w:b/>
          <w:color w:val="1F4E5F"/>
          <w:sz w:val="30"/>
          <w:szCs w:val="30"/>
        </w:rPr>
        <w:t>Part II: The Three-Corridor Navigation System</w:t>
      </w:r>
    </w:p>
    <w:p>
      <w:pPr>
        <w:pStyle w:val="Heading2"/>
      </w:pPr>
      <w:r>
        <w:rPr>
          <w:rFonts w:ascii="Calibri" w:hAnsi="Calibri" w:eastAsia="Microsoft YaHei" w:cs="Calibri"/>
          <w:b/>
          <w:color w:val="1F4E5F"/>
          <w:sz w:val="26"/>
          <w:szCs w:val="26"/>
        </w:rPr>
        <w:t>Article 7: The Governance Area and Boundary Coordinates</w:t>
      </w:r>
    </w:p>
    <w:p>
      <w:pPr>
        <w:pStyle w:val="Heading3"/>
      </w:pPr>
      <w:r>
        <w:rPr>
          <w:rFonts w:ascii="Calibri" w:hAnsi="Calibri" w:eastAsia="Microsoft YaHei" w:cs="Calibri"/>
          <w:b/>
          <w:color w:val="3A7086"/>
          <w:sz w:val="22"/>
          <w:szCs w:val="22"/>
        </w:rPr>
        <w:t>7.1 Establishment</w:t>
      </w:r>
    </w:p>
    <w:p>
      <w:pPr>
        <w:pStyle w:val="Normal"/>
        <w:jc w:val="both"/>
      </w:pPr>
      <w:r>
        <w:rPr>
          <w:rFonts w:ascii="Calibri" w:hAnsi="Calibri" w:eastAsia="Microsoft YaHei" w:cs="Calibri"/>
          <w:color w:val="22333B"/>
          <w:sz w:val="21"/>
          <w:szCs w:val="21"/>
        </w:rPr>
        <w:t>The Parties establish the Governance Area as the geographic frame within which the passage rules, the de-confliction geometry, and the operations of the Daryaban Operations Center apply. The Governance Area is an operational construct. It defines where the rules of the Framework operate. It defines no boundary between states, delimits no maritime zone, and prejudices no entitlement, consistent with Article 2.6.</w:t>
      </w:r>
    </w:p>
    <w:p>
      <w:pPr>
        <w:pStyle w:val="Heading3"/>
      </w:pPr>
      <w:r>
        <w:rPr>
          <w:rFonts w:ascii="Calibri" w:hAnsi="Calibri" w:eastAsia="Microsoft YaHei" w:cs="Calibri"/>
          <w:b/>
          <w:color w:val="3A7086"/>
          <w:sz w:val="22"/>
          <w:szCs w:val="22"/>
        </w:rPr>
        <w:t>7.2 Outer boundary</w:t>
      </w:r>
    </w:p>
    <w:p>
      <w:pPr>
        <w:pStyle w:val="Normal"/>
        <w:jc w:val="both"/>
      </w:pPr>
      <w:r>
        <w:rPr>
          <w:rFonts w:ascii="Calibri" w:hAnsi="Calibri" w:eastAsia="Microsoft YaHei" w:cs="Calibri"/>
          <w:color w:val="22333B"/>
          <w:sz w:val="21"/>
          <w:szCs w:val="21"/>
        </w:rPr>
        <w:t>The Governance Area comprises the waters and superjacent airspace bounded by the following lines, all positions on the WGS-84 datum: the eastern boundary is the meridian 057 degrees 00.0 minutes East, from the coast of the Musandam Peninsula to the coast of Iran; the western boundary is the meridian 055 degrees 30.0 minutes East, from the coast of the Musandam Peninsula to the coast of Iran; the northern boundary is the coastline of the Islamic Republic of Iran, including the islands of Qeshm, Hormuz, Larak, and Hengam, and the territorial sea generated therefrom; the southern boundary is the coastline of the Musandam Peninsula of the Sultanate of Oman and the United Arab Emirates, and the territorial sea generated therefrom.</w:t>
      </w:r>
    </w:p>
    <w:p>
      <w:pPr>
        <w:pStyle w:val="Normal"/>
        <w:jc w:val="both"/>
      </w:pPr>
      <w:r>
        <w:rPr>
          <w:rFonts w:ascii="Calibri" w:hAnsi="Calibri" w:eastAsia="Microsoft YaHei" w:cs="Calibri"/>
          <w:color w:val="22333B"/>
          <w:sz w:val="21"/>
          <w:szCs w:val="21"/>
        </w:rPr>
        <w:t>Annex A, Table A.1 states the precise polygon of the Governance Area as twelve boundary vertices. The Daryaban Operations Center publishes the chartlet derived from those vertices as the official reference chart of the Framework, in harmony with the traffic separation scheme adopted through the International Maritime Organization.</w:t>
      </w:r>
    </w:p>
    <w:p>
      <w:pPr>
        <w:pStyle w:val="Heading3"/>
      </w:pPr>
      <w:r>
        <w:rPr>
          <w:rFonts w:ascii="Calibri" w:hAnsi="Calibri" w:eastAsia="Microsoft YaHei" w:cs="Calibri"/>
          <w:b/>
          <w:color w:val="3A7086"/>
          <w:sz w:val="22"/>
          <w:szCs w:val="22"/>
        </w:rPr>
        <w:t>7.3 Internal reference lines</w:t>
      </w:r>
    </w:p>
    <w:p>
      <w:pPr>
        <w:pStyle w:val="Normal"/>
        <w:jc w:val="both"/>
      </w:pPr>
      <w:r>
        <w:rPr>
          <w:rFonts w:ascii="Calibri" w:hAnsi="Calibri" w:eastAsia="Microsoft YaHei" w:cs="Calibri"/>
          <w:color w:val="22333B"/>
          <w:sz w:val="21"/>
          <w:szCs w:val="21"/>
        </w:rPr>
        <w:t>Within the Governance Area, the Framework designates: (a) the three corridor centerlines and corridor limit lines of Article 8; (b) the two separation belts dividing the corridors; (c) two precautionary zones at the eastern and western approaches; (d) the holding anchorages listed in Annex A, Table A.6; (e) the inshore local craft bands reserved for Class D vessels; and (f) the standoff reference lines of Article 21. Each line appears in Annex A as a coordinate series. A line's function is operational and regulatory. No line asserts, derogates, or modifies sovereignty or sovereign rights.</w:t>
      </w:r>
    </w:p>
    <w:p>
      <w:pPr>
        <w:pStyle w:val="Heading3"/>
      </w:pPr>
      <w:r>
        <w:rPr>
          <w:rFonts w:ascii="Calibri" w:hAnsi="Calibri" w:eastAsia="Microsoft YaHei" w:cs="Calibri"/>
          <w:b/>
          <w:color w:val="3A7086"/>
          <w:sz w:val="22"/>
          <w:szCs w:val="22"/>
        </w:rPr>
        <w:t>7.4 Chart custody and amendment</w:t>
      </w:r>
    </w:p>
    <w:p>
      <w:pPr>
        <w:pStyle w:val="Normal"/>
        <w:jc w:val="both"/>
      </w:pPr>
      <w:r>
        <w:rPr>
          <w:rFonts w:ascii="Calibri" w:hAnsi="Calibri" w:eastAsia="Microsoft YaHei" w:cs="Calibri"/>
          <w:color w:val="22333B"/>
          <w:sz w:val="21"/>
          <w:szCs w:val="21"/>
        </w:rPr>
        <w:t>The Neutral Administrator holds the master coordinate register. The Daryaban Operations Center maintains the working charts. A coordinate change takes effect only through: (a) a written proposal by the Technical and Standards Committee confirming navigational safety; (b) consultation with the International Maritime Organization and the International Hydrographic Organization where the change touches an adopted routing measure; (c) a decision of the Daryaban Council under the Twin Key Rule; and (d) publication with 30 days of notice to the maritime community, except where an immediate safety risk justifies 72 hours of notice. Under the Nofade Guarantee, an adjustment accumulates into the registry without resetting any certification, and the registry carries a full audit trail of every change.</w:t>
      </w:r>
    </w:p>
    <w:p>
      <w:pPr>
        <w:pStyle w:val="Heading2"/>
      </w:pPr>
      <w:r>
        <w:rPr>
          <w:rFonts w:ascii="Calibri" w:hAnsi="Calibri" w:eastAsia="Microsoft YaHei" w:cs="Calibri"/>
          <w:b/>
          <w:color w:val="1F4E5F"/>
          <w:sz w:val="26"/>
          <w:szCs w:val="26"/>
        </w:rPr>
        <w:t>Article 8: The Three Corridors</w:t>
      </w:r>
    </w:p>
    <w:p>
      <w:pPr>
        <w:pStyle w:val="Heading3"/>
      </w:pPr>
      <w:r>
        <w:rPr>
          <w:rFonts w:ascii="Calibri" w:hAnsi="Calibri" w:eastAsia="Microsoft YaHei" w:cs="Calibri"/>
          <w:b/>
          <w:color w:val="3A7086"/>
          <w:sz w:val="22"/>
          <w:szCs w:val="22"/>
        </w:rPr>
        <w:t>8.1 The three-corridor system</w:t>
      </w:r>
    </w:p>
    <w:p>
      <w:pPr>
        <w:pStyle w:val="Normal"/>
        <w:jc w:val="both"/>
      </w:pPr>
      <w:r>
        <w:rPr>
          <w:rFonts w:ascii="Calibri" w:hAnsi="Calibri" w:eastAsia="Microsoft YaHei" w:cs="Calibri"/>
          <w:color w:val="22333B"/>
          <w:sz w:val="21"/>
          <w:szCs w:val="21"/>
        </w:rPr>
        <w:t>Transit through the Strait operates through three corridors. The three-corridor structure honors two truths in one geography: transit through an international waterway stands free of charge and free of condition, and the coastal states hold sovereign rights and security interests in their own waters. The Southern Assurance Corridor operates on free navigation. The Northern Coordination Corridor operates on prior notification without tolls. The Central International Corridor operates under joint administration, combining the notification discipline of the Northern Coordination Corridor with the free-navigation guarantee of the Southern Assurance Corridor. All three corridors operate under the Zero-Toll Rule and the Non-Interdiction Protocol without exception. A vessel's flag, ownership, cargo origin, destination, or insurer does not determine its passage eligibility. Purpose and class determine treatment, per Article 10.</w:t>
      </w:r>
    </w:p>
    <w:p>
      <w:pPr>
        <w:pStyle w:val="Heading3"/>
      </w:pPr>
      <w:r>
        <w:rPr>
          <w:rFonts w:ascii="Calibri" w:hAnsi="Calibri" w:eastAsia="Microsoft YaHei" w:cs="Calibri"/>
          <w:b/>
          <w:color w:val="3A7086"/>
          <w:sz w:val="22"/>
          <w:szCs w:val="22"/>
        </w:rPr>
        <w:t>8.2 The Southern Assurance Corridor</w:t>
      </w:r>
    </w:p>
    <w:p>
      <w:pPr>
        <w:pStyle w:val="Normal"/>
        <w:jc w:val="both"/>
      </w:pPr>
      <w:r>
        <w:rPr>
          <w:rFonts w:ascii="Calibri" w:hAnsi="Calibri" w:eastAsia="Microsoft YaHei" w:cs="Calibri"/>
          <w:color w:val="22333B"/>
          <w:sz w:val="21"/>
          <w:szCs w:val="21"/>
        </w:rPr>
        <w:t>The Southern Assurance Corridor follows the established traffic separation scheme through the territorial sea of Oman off the Musandam Peninsula. Its centerline runs from waypoint S-1 (26 degrees 38.0 minutes North, 056 degrees 52.0 minutes East) in the Gulf of Oman to waypoint S-6 (26 degrees 24.0 minutes North, 055 degrees 38.0 minutes East) in the Gulf, with inbound and outbound lanes of 2.0 nautical miles width separated by a 1.0 nautical mile separation zone. Annex A, Table A.2 states the full waypoint schedule.</w:t>
      </w:r>
    </w:p>
    <w:p>
      <w:pPr>
        <w:pStyle w:val="Normal"/>
        <w:jc w:val="both"/>
      </w:pPr>
      <w:r>
        <w:rPr>
          <w:rFonts w:ascii="Calibri" w:hAnsi="Calibri" w:eastAsia="Microsoft YaHei" w:cs="Calibri"/>
          <w:color w:val="22333B"/>
          <w:sz w:val="21"/>
          <w:szCs w:val="21"/>
        </w:rPr>
        <w:t>The Southern Assurance Corridor operates under the free-navigation rule: any vessel of Classes A through H transits at any hour, in any direction, without prior approval, without prior notification beyond standard automatic identification system carriage, without inspection at sea, and without charge of any kind. Oman's vessel traffic service provides traffic information on a voluntary basis, integrated with the Daryaban Operations Center under the co-staffing rules of Article 12. The architecture excludes any approval step by any actor for the Southern Assurance Corridor, and equally excludes any coalition or third-state approval step. The Southern Assurance Corridor restores the pre-conflict pattern of navigation in full.</w:t>
      </w:r>
    </w:p>
    <w:p>
      <w:pPr>
        <w:pStyle w:val="Heading3"/>
      </w:pPr>
      <w:r>
        <w:rPr>
          <w:rFonts w:ascii="Calibri" w:hAnsi="Calibri" w:eastAsia="Microsoft YaHei" w:cs="Calibri"/>
          <w:b/>
          <w:color w:val="3A7086"/>
          <w:sz w:val="22"/>
          <w:szCs w:val="22"/>
        </w:rPr>
        <w:t>8.3 The Northern Coordination Corridor</w:t>
      </w:r>
    </w:p>
    <w:p>
      <w:pPr>
        <w:pStyle w:val="Normal"/>
        <w:jc w:val="both"/>
      </w:pPr>
      <w:r>
        <w:rPr>
          <w:rFonts w:ascii="Calibri" w:hAnsi="Calibri" w:eastAsia="Microsoft YaHei" w:cs="Calibri"/>
          <w:color w:val="22333B"/>
          <w:sz w:val="21"/>
          <w:szCs w:val="21"/>
        </w:rPr>
        <w:t>The Northern Coordination Corridor follows the northern deep-water route through the territorial sea of Iran, north of Larak and Hormuz Islands. Its centerline runs from waypoint N-1 (26 degrees 50.0 minutes North, 056 degrees 44.0 minutes East) to waypoint N-6 (26 degrees 40.0 minutes North, 055 degrees 32.0 minutes East), with lanes and separation as stated in Annex A, Table A.3.</w:t>
      </w:r>
    </w:p>
    <w:p>
      <w:pPr>
        <w:pStyle w:val="Normal"/>
        <w:jc w:val="both"/>
      </w:pPr>
      <w:r>
        <w:rPr>
          <w:rFonts w:ascii="Calibri" w:hAnsi="Calibri" w:eastAsia="Microsoft YaHei" w:cs="Calibri"/>
          <w:color w:val="22333B"/>
          <w:sz w:val="21"/>
          <w:szCs w:val="21"/>
        </w:rPr>
        <w:t>The Northern Coordination Corridor operates under the notification regime: a transiting vessel of Classes A, B, C, or E files a twelve-field transit notice with the Daryaban Operations Center between 72 and 6 hours before entering the corridor, in the format of Annex D, stating identity, class, cargo category in general terms, and intended lane. The notice produces an automatic acknowledgment within 30 minutes of filing. The acknowledgment is administrative, not permissive: transit never awaits approval, and silence beyond 30 minutes constitutes acknowledgment by default. The architecture prohibits the conversion of notification into permission.</w:t>
      </w:r>
    </w:p>
    <w:p>
      <w:pPr>
        <w:pStyle w:val="Normal"/>
        <w:jc w:val="both"/>
      </w:pPr>
      <w:r>
        <w:rPr>
          <w:rFonts w:ascii="Calibri" w:hAnsi="Calibri" w:eastAsia="Microsoft YaHei" w:cs="Calibri"/>
          <w:color w:val="22333B"/>
          <w:sz w:val="21"/>
          <w:szCs w:val="21"/>
        </w:rPr>
        <w:t>The notification regime gives Iran a documented, real-time picture of traffic in its territorial sea, which constitutes the recognized, formal management role that Red Line RL-3 registers. The regime simultaneously gives every vessel an absolute right of passage, which satisfies Red Line RL-2 and the user-state interest in open, toll-free transit. The architecture thereby converts a sovereignty dispute into an administrative routine.</w:t>
      </w:r>
    </w:p>
    <w:p>
      <w:pPr>
        <w:pStyle w:val="Heading3"/>
      </w:pPr>
      <w:r>
        <w:rPr>
          <w:rFonts w:ascii="Calibri" w:hAnsi="Calibri" w:eastAsia="Microsoft YaHei" w:cs="Calibri"/>
          <w:b/>
          <w:color w:val="3A7086"/>
          <w:sz w:val="22"/>
          <w:szCs w:val="22"/>
        </w:rPr>
        <w:t>8.4 The Central International Corridor</w:t>
      </w:r>
    </w:p>
    <w:p>
      <w:pPr>
        <w:pStyle w:val="Normal"/>
        <w:jc w:val="both"/>
      </w:pPr>
      <w:r>
        <w:rPr>
          <w:rFonts w:ascii="Calibri" w:hAnsi="Calibri" w:eastAsia="Microsoft YaHei" w:cs="Calibri"/>
          <w:color w:val="22333B"/>
          <w:sz w:val="21"/>
          <w:szCs w:val="21"/>
        </w:rPr>
        <w:t>The Central International Corridor runs between the Northern Coordination Corridor and the Southern Assurance Corridor along the centerline of Annex A, Table A.4, roughly centered on the traffic separation lane adopted through the International Maritime Organization. Iran, Oman, and the Gulf Cooperation Council administer the Central International Corridor jointly through the Central Corridor Management Council of Article 12.4, consistent with the regional-consortium principle. Vessels of Classes A through H transit the Central International Corridor under the notification regime of Article 8.3 and the safe-passage guarantee of Article 11.</w:t>
      </w:r>
    </w:p>
    <w:p>
      <w:pPr>
        <w:pStyle w:val="Normal"/>
        <w:jc w:val="both"/>
      </w:pPr>
      <w:r>
        <w:rPr>
          <w:rFonts w:ascii="Calibri" w:hAnsi="Calibri" w:eastAsia="Microsoft YaHei" w:cs="Calibri"/>
          <w:color w:val="22333B"/>
          <w:sz w:val="21"/>
          <w:szCs w:val="21"/>
        </w:rPr>
        <w:t>The Central International Corridor operates as a neutral jurisdiction: no single state holds primary enforcement authority in this corridor. Law enforcement, vessel inspection, and compliance actions in this corridor proceed only on the joint authorization of the Central Corridor Management Council. The architecture prohibits unilateral enforcement in the Central International Corridor absolutely.</w:t>
      </w:r>
    </w:p>
    <w:p>
      <w:pPr>
        <w:pStyle w:val="Normal"/>
        <w:jc w:val="both"/>
      </w:pPr>
      <w:r>
        <w:rPr>
          <w:rFonts w:ascii="Calibri" w:hAnsi="Calibri" w:eastAsia="Microsoft YaHei" w:cs="Calibri"/>
          <w:color w:val="22333B"/>
          <w:sz w:val="21"/>
          <w:szCs w:val="21"/>
        </w:rPr>
        <w:t>Iran exercises primary operational authority in the Northern Coordination Corridor and the Central International Corridor, covering vessel traffic service coordination, surveillance, and safety of navigation. Iran exercises this authority consistent with the Zero-Toll Rule, the Non-Interdiction Protocol, and the joint-authorization rule of this Article, and the daily log records every exercise of this authority for all Parties to inspect. Iran's operational authority in the Central International Corridor operates through the Central Corridor Management Council, and any action that constitutes enforcement under Article 11.2 proceeds only on the Council's prior authorization.</w:t>
      </w:r>
    </w:p>
    <w:p>
      <w:pPr>
        <w:pStyle w:val="Heading3"/>
      </w:pPr>
      <w:r>
        <w:rPr>
          <w:rFonts w:ascii="Calibri" w:hAnsi="Calibri" w:eastAsia="Microsoft YaHei" w:cs="Calibri"/>
          <w:b/>
          <w:color w:val="3A7086"/>
          <w:sz w:val="22"/>
          <w:szCs w:val="22"/>
        </w:rPr>
        <w:t>8.5 Management arrangement</w:t>
      </w:r>
    </w:p>
    <w:p>
      <w:pPr>
        <w:pStyle w:val="Normal"/>
        <w:jc w:val="both"/>
      </w:pPr>
      <w:r>
        <w:rPr>
          <w:rFonts w:ascii="Calibri" w:hAnsi="Calibri" w:eastAsia="Microsoft YaHei" w:cs="Calibri"/>
          <w:color w:val="22333B"/>
          <w:sz w:val="21"/>
          <w:szCs w:val="21"/>
        </w:rPr>
        <w:t>Oman leads the day-to-day management of the Southern Assurance Corridor through its existing vessel traffic service, Iran leads the day-to-day management of the Northern Coordination Corridor through its national maritime administration, and the Central Corridor Management Council coordinates the day-to-day management of the Central International Corridor through the Daryaban Operations Center, in each case integrated with the Daryaban Operations Center under the co-staffing rules of Article 12. The passage functions of prior national control structures fold into the Center's notification desk and watch floor under the succession rule of Article 30.3: the Center receives notifications, acknowledges them, and operates the traffic system. Each Party's liaison officers at the Center and at the mirror facility hold full real-time visibility of all three corridors, and the daily log records every management act for all Parties to inspect. The United Arab Emirates provides vessel traffic service coordination for the eastern approaches and the Gulf of Oman entry, and its vessel traffic service in Fujairah integrates with the Daryaban Operations Center on a coordinated basis.</w:t>
      </w:r>
    </w:p>
    <w:p>
      <w:pPr>
        <w:pStyle w:val="Heading3"/>
      </w:pPr>
      <w:r>
        <w:rPr>
          <w:rFonts w:ascii="Calibri" w:hAnsi="Calibri" w:eastAsia="Microsoft YaHei" w:cs="Calibri"/>
          <w:b/>
          <w:color w:val="3A7086"/>
          <w:sz w:val="22"/>
          <w:szCs w:val="22"/>
        </w:rPr>
        <w:t>8.6 Flow States</w:t>
      </w:r>
    </w:p>
    <w:p>
      <w:pPr>
        <w:pStyle w:val="Normal"/>
        <w:jc w:val="both"/>
      </w:pPr>
      <w:r>
        <w:rPr>
          <w:rFonts w:ascii="Calibri" w:hAnsi="Calibri" w:eastAsia="Microsoft YaHei" w:cs="Calibri"/>
          <w:color w:val="22333B"/>
          <w:sz w:val="21"/>
          <w:szCs w:val="21"/>
        </w:rPr>
        <w:t>Each corridor operates independently in one of three Flow States, published for each corridor separately in the Open Water Bulletin of Article 8.7:</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2300"/>
        <w:gridCol w:w="3300"/>
        <w:gridCol w:w="3400"/>
      </w:tblGrid>
      <w:tr>
        <w:trPr>
          <w:tblHeader w:val="1"/>
        </w:trPr>
        <w:tc>
          <w:tcPr>
            <w:tcW w:w="23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Flow State</w:t>
            </w:r>
          </w:p>
        </w:tc>
        <w:tc>
          <w:tcPr>
            <w:tcW w:w="33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Meaning</w:t>
            </w:r>
          </w:p>
        </w:tc>
        <w:tc>
          <w:tcPr>
            <w:tcW w:w="34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Rule</w:t>
            </w:r>
          </w:p>
        </w:tc>
      </w:tr>
      <w:tr>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Free Flow</w:t>
            </w:r>
          </w:p>
        </w:tc>
        <w:tc>
          <w:tcPr>
            <w:tcW w:w="3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Normal operation</w:t>
            </w:r>
          </w:p>
        </w:tc>
        <w:tc>
          <w:tcPr>
            <w:tcW w:w="34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Full schedule; speed band 10 to 16 knots; standard spacing</w:t>
            </w:r>
          </w:p>
        </w:tc>
      </w:tr>
      <w:tr>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Managed Flow</w:t>
            </w:r>
          </w:p>
        </w:tc>
        <w:tc>
          <w:tcPr>
            <w:tcW w:w="3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Heightened caution after an incident or survey finding</w:t>
            </w:r>
          </w:p>
        </w:tc>
        <w:tc>
          <w:tcPr>
            <w:tcW w:w="34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Speed band 9 to 13 knots; entry windows on the published cycle; escorted windows doubled</w:t>
            </w:r>
          </w:p>
        </w:tc>
      </w:tr>
      <w:tr>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Suspended Flow</w:t>
            </w:r>
          </w:p>
        </w:tc>
        <w:tc>
          <w:tcPr>
            <w:tcW w:w="3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A defined area pauses new entries for safety</w:t>
            </w:r>
          </w:p>
        </w:tc>
        <w:tc>
          <w:tcPr>
            <w:tcW w:w="34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Time-limited to 72 hours absent a Council decision recorded with reasons; never converts into closure; humanitarian transit continues</w:t>
            </w:r>
          </w:p>
        </w:tc>
      </w:tr>
    </w:tbl>
    <w:p>
      <w:pPr>
        <w:pStyle w:val="Caption"/>
      </w:pPr>
      <w:r>
        <w:rPr>
          <w:rFonts w:ascii="Calibri" w:hAnsi="Calibri" w:eastAsia="Microsoft YaHei" w:cs="Calibri"/>
          <w:i/>
          <w:color w:val="6E8A96"/>
          <w:sz w:val="18"/>
          <w:szCs w:val="18"/>
        </w:rPr>
        <w:t>Table 8.1: Flow States of the corridor system</w:t>
      </w:r>
    </w:p>
    <w:p>
      <w:pPr>
        <w:pStyle w:val="Heading3"/>
      </w:pPr>
      <w:r>
        <w:rPr>
          <w:rFonts w:ascii="Calibri" w:hAnsi="Calibri" w:eastAsia="Microsoft YaHei" w:cs="Calibri"/>
          <w:b/>
          <w:color w:val="3A7086"/>
          <w:sz w:val="22"/>
          <w:szCs w:val="22"/>
        </w:rPr>
        <w:t>8.7 The Open Water Bulletin</w:t>
      </w:r>
    </w:p>
    <w:p>
      <w:pPr>
        <w:pStyle w:val="Normal"/>
        <w:jc w:val="both"/>
      </w:pPr>
      <w:r>
        <w:rPr>
          <w:rFonts w:ascii="Calibri" w:hAnsi="Calibri" w:eastAsia="Microsoft YaHei" w:cs="Calibri"/>
          <w:color w:val="22333B"/>
          <w:sz w:val="21"/>
          <w:szCs w:val="21"/>
        </w:rPr>
        <w:t>The Daryaban Operations Center publishes the Open Water Bulletin every 6 hours and on any state change: flow states for each corridor separately, including a distinct Central International Corridor status line, hazard notices, escorted windows, Quiet Water Windows, and exercise notices in general terms. The Bulletin reaches every Party, every observer state, the International Maritime Organization's maritime safety information channel, and the insurance market simultaneously, with identical latency. The Bulletin never names a vessel without its flag state's consent, and it publishes restorations with the same prominence as disruptions.</w:t>
      </w:r>
    </w:p>
    <w:p>
      <w:pPr>
        <w:pStyle w:val="Heading2"/>
      </w:pPr>
      <w:r>
        <w:rPr>
          <w:rFonts w:ascii="Calibri" w:hAnsi="Calibri" w:eastAsia="Microsoft YaHei" w:cs="Calibri"/>
          <w:b/>
          <w:color w:val="1F4E5F"/>
          <w:sz w:val="26"/>
          <w:szCs w:val="26"/>
        </w:rPr>
        <w:t>Article 9: Hazard Survey, Mines, and the Reopening Sequence</w:t>
      </w:r>
    </w:p>
    <w:p>
      <w:pPr>
        <w:pStyle w:val="Heading3"/>
      </w:pPr>
      <w:r>
        <w:rPr>
          <w:rFonts w:ascii="Calibri" w:hAnsi="Calibri" w:eastAsia="Microsoft YaHei" w:cs="Calibri"/>
          <w:b/>
          <w:color w:val="3A7086"/>
          <w:sz w:val="22"/>
          <w:szCs w:val="22"/>
        </w:rPr>
        <w:t>9.1 The mine exclusion</w:t>
      </w:r>
    </w:p>
    <w:p>
      <w:pPr>
        <w:pStyle w:val="Normal"/>
        <w:jc w:val="both"/>
      </w:pPr>
      <w:r>
        <w:rPr>
          <w:rFonts w:ascii="Calibri" w:hAnsi="Calibri" w:eastAsia="Microsoft YaHei" w:cs="Calibri"/>
          <w:color w:val="22333B"/>
          <w:sz w:val="21"/>
          <w:szCs w:val="21"/>
        </w:rPr>
        <w:t>The Framework architecture excludes the laying, deployment, or tolerance of naval mines or equivalent placed hazards anywhere in the Governance Area, by any actor, at any time, under every circumstance. Discovery of a mine or ordnance activates the clearance protocol: the Center declares a 72-hour routing adjustment, the coastal states' clearance units operate jointly under Neutral Watch observation, and commercial traffic reroutes through the unaffected passage. Mine clearance activity by one coastal state inside the other's notification regime proceeds under the standing pre-authorization of Annex D, so that clearance never waits on politics.</w:t>
      </w:r>
    </w:p>
    <w:p>
      <w:pPr>
        <w:pStyle w:val="Heading3"/>
      </w:pPr>
      <w:r>
        <w:rPr>
          <w:rFonts w:ascii="Calibri" w:hAnsi="Calibri" w:eastAsia="Microsoft YaHei" w:cs="Calibri"/>
          <w:b/>
          <w:color w:val="3A7086"/>
          <w:sz w:val="22"/>
          <w:szCs w:val="22"/>
        </w:rPr>
        <w:t>9.2 The Day One mine-hazard declaration</w:t>
      </w:r>
    </w:p>
    <w:p>
      <w:pPr>
        <w:pStyle w:val="Normal"/>
        <w:jc w:val="both"/>
      </w:pPr>
      <w:r>
        <w:rPr>
          <w:rFonts w:ascii="Calibri" w:hAnsi="Calibri" w:eastAsia="Microsoft YaHei" w:cs="Calibri"/>
          <w:color w:val="22333B"/>
          <w:sz w:val="21"/>
          <w:szCs w:val="21"/>
        </w:rPr>
        <w:t>Within 24 hours of entry into force, the Daryaban Operations Center issues a Notice to Mariners declaring all parts of the Governance Area a Mine Hazard Area (Awaiting Survey), restricting transit to the designated routes of Annex A, and activating the mine countermeasure coordination function under Omani coordination with Neutral Watch observation. The declaration demonstrates the Framework's practical authority from its first day: the water carries a status, the routes carry a rule, and the clearance machine starts moving before the politics settles. The Notice remains in force zone by zone until each zone certifies clear under Article 9.3.</w:t>
      </w:r>
    </w:p>
    <w:p>
      <w:pPr>
        <w:pStyle w:val="Heading3"/>
      </w:pPr>
      <w:r>
        <w:rPr>
          <w:rFonts w:ascii="Calibri" w:hAnsi="Calibri" w:eastAsia="Microsoft YaHei" w:cs="Calibri"/>
          <w:b/>
          <w:color w:val="3A7086"/>
          <w:sz w:val="22"/>
          <w:szCs w:val="22"/>
        </w:rPr>
        <w:t>9.3 Hazard declaration and joint survey</w:t>
      </w:r>
    </w:p>
    <w:p>
      <w:pPr>
        <w:pStyle w:val="Normal"/>
        <w:jc w:val="both"/>
      </w:pPr>
      <w:r>
        <w:rPr>
          <w:rFonts w:ascii="Calibri" w:hAnsi="Calibri" w:eastAsia="Microsoft YaHei" w:cs="Calibri"/>
          <w:color w:val="22333B"/>
          <w:sz w:val="21"/>
          <w:szCs w:val="21"/>
        </w:rPr>
        <w:t>Each coastal Party declares known hazard locations within 72 hours of entry into force. A joint technical survey under the United Nations Mine Action Service, or another mutually accepted technical body, maps the corridor system within 21 days. Neutral mine countermeasure assets under Omani coordination clear contacts zone by zone, and the International Maritime Organization issues a Maritime Safety Information broadcast for each certified zone. Insurance markets receive each certification simultaneously. A zone certifies clear only after a second-pass verification confirms zero remaining mine-like contacts. Iran leads operational clearance in the Northern Coordination Corridor and the Central International Corridor, and Oman leads operational clearance in the Southern Assurance Corridor. Neutral Watch observers verify clearance in all three corridors.</w:t>
      </w:r>
    </w:p>
    <w:p>
      <w:pPr>
        <w:pStyle w:val="Heading3"/>
      </w:pPr>
      <w:r>
        <w:rPr>
          <w:rFonts w:ascii="Calibri" w:hAnsi="Calibri" w:eastAsia="Microsoft YaHei" w:cs="Calibri"/>
          <w:b/>
          <w:color w:val="3A7086"/>
          <w:sz w:val="22"/>
          <w:szCs w:val="22"/>
        </w:rPr>
        <w:t>9.4 The reopening sequence</w:t>
      </w:r>
    </w:p>
    <w:p>
      <w:pPr>
        <w:pStyle w:val="Normal"/>
        <w:jc w:val="both"/>
      </w:pPr>
      <w:r>
        <w:rPr>
          <w:rFonts w:ascii="Calibri" w:hAnsi="Calibri" w:eastAsia="Microsoft YaHei" w:cs="Calibri"/>
          <w:color w:val="22333B"/>
          <w:sz w:val="21"/>
          <w:szCs w:val="21"/>
        </w:rPr>
        <w:t>The Framework restores full commercial transit in phases tied to the survey record, per Annex E: scheduled daylight transits in the Southern Assurance Corridor from Day 3; phased zone certification through Day 21; night transit upon certification of all zones; and full three-corridor operation at or above the pre-crisis baseline of 90 to 140 commercial transits per day by Day 45. The International Maritime Organization conducts the final technical certification of the corridor system's safety, and its certification stands as the prerequisite for full three-corridor operation under this Article. Each phase certification posts to the shared registry and banks permanently under the Nofade Guarantee. A certification never reverses on the basis of an unverified allegation; reversal travels exclusively through the compliance engine of Article 23.</w:t>
      </w:r>
    </w:p>
    <w:p>
      <w:pPr>
        <w:pStyle w:val="Heading3"/>
      </w:pPr>
      <w:r>
        <w:rPr>
          <w:rFonts w:ascii="Calibri" w:hAnsi="Calibri" w:eastAsia="Microsoft YaHei" w:cs="Calibri"/>
          <w:b/>
          <w:color w:val="3A7086"/>
          <w:sz w:val="22"/>
          <w:szCs w:val="22"/>
        </w:rPr>
        <w:t>9.5 Insurance normalization</w:t>
      </w:r>
    </w:p>
    <w:p>
      <w:pPr>
        <w:pStyle w:val="Normal"/>
        <w:jc w:val="both"/>
      </w:pPr>
      <w:r>
        <w:rPr>
          <w:rFonts w:ascii="Calibri" w:hAnsi="Calibri" w:eastAsia="Microsoft YaHei" w:cs="Calibri"/>
          <w:color w:val="22333B"/>
          <w:sz w:val="21"/>
          <w:szCs w:val="21"/>
        </w:rPr>
        <w:t>On completion of the survey sequence, the Council and the International Maritime Organization issue a joint safety certification to the protection and indemnity clubs, targeting war-risk premiums at or below 1.5 times the pre-crisis level within two quarters of sustained clean operation, and full restoration of pre-crisis premium levels within four quarters, per the schedule of Annex B, Section B.7.</w:t>
      </w:r>
    </w:p>
    <w:p>
      <w:pPr>
        <w:pStyle w:val="Heading2"/>
      </w:pPr>
      <w:r>
        <w:rPr>
          <w:rFonts w:ascii="Calibri" w:hAnsi="Calibri" w:eastAsia="Microsoft YaHei" w:cs="Calibri"/>
          <w:b/>
          <w:color w:val="1F4E5F"/>
          <w:sz w:val="26"/>
          <w:szCs w:val="26"/>
        </w:rPr>
        <w:t>Article 10: Vessel Classification and Differentiated Treatment</w:t>
      </w:r>
    </w:p>
    <w:p>
      <w:pPr>
        <w:pStyle w:val="Heading3"/>
      </w:pPr>
      <w:r>
        <w:rPr>
          <w:rFonts w:ascii="Calibri" w:hAnsi="Calibri" w:eastAsia="Microsoft YaHei" w:cs="Calibri"/>
          <w:b/>
          <w:color w:val="3A7086"/>
          <w:sz w:val="22"/>
          <w:szCs w:val="22"/>
        </w:rPr>
        <w:t>10.1 The classification principle</w:t>
      </w:r>
    </w:p>
    <w:p>
      <w:pPr>
        <w:pStyle w:val="Normal"/>
        <w:jc w:val="both"/>
      </w:pPr>
      <w:r>
        <w:rPr>
          <w:rFonts w:ascii="Calibri" w:hAnsi="Calibri" w:eastAsia="Microsoft YaHei" w:cs="Calibri"/>
          <w:color w:val="22333B"/>
          <w:sz w:val="21"/>
          <w:szCs w:val="21"/>
        </w:rPr>
        <w:t>Every vessel in the Governance Area holds one of eight classes. Classification follows the vessel's purpose, size, and risk profile, never its flag, ownership, or political relationship. The classification society data feed and the automatic identification system message establish the class automatically; the Daryaban Operations Center resolves any ambiguity within 4 hours, and its resolution binds operations until the vessel completes its transit.</w:t>
      </w:r>
    </w:p>
    <w:p>
      <w:pPr>
        <w:pStyle w:val="Heading3"/>
      </w:pPr>
      <w:r>
        <w:rPr>
          <w:rFonts w:ascii="Calibri" w:hAnsi="Calibri" w:eastAsia="Microsoft YaHei" w:cs="Calibri"/>
          <w:b/>
          <w:color w:val="3A7086"/>
          <w:sz w:val="22"/>
          <w:szCs w:val="22"/>
        </w:rPr>
        <w:t>10.2 The eight classes</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2100"/>
        <w:gridCol w:w="3400"/>
        <w:gridCol w:w="3500"/>
      </w:tblGrid>
      <w:tr>
        <w:trPr>
          <w:tblHeader w:val="1"/>
        </w:trPr>
        <w:tc>
          <w:tcPr>
            <w:tcW w:w="21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Class</w:t>
            </w:r>
          </w:p>
        </w:tc>
        <w:tc>
          <w:tcPr>
            <w:tcW w:w="34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Description</w:t>
            </w:r>
          </w:p>
        </w:tc>
        <w:tc>
          <w:tcPr>
            <w:tcW w:w="35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Core treatment</w:t>
            </w:r>
          </w:p>
        </w:tc>
      </w:tr>
      <w:tr>
        <w:tc>
          <w:tcPr>
            <w:tcW w:w="2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Class A: General commercial cargo</w:t>
            </w:r>
          </w:p>
        </w:tc>
        <w:tc>
          <w:tcPr>
            <w:tcW w:w="34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Container ships, bulk carriers, general cargo, ro-ro, vehicle carriers, reefers</w:t>
            </w:r>
          </w:p>
        </w:tc>
        <w:tc>
          <w:tcPr>
            <w:tcW w:w="3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Standard transit; Southern Assurance Corridor default; notice regime in the Northern Coordination Corridor and the Central International Corridor; no inspection at sea</w:t>
            </w:r>
          </w:p>
        </w:tc>
      </w:tr>
      <w:tr>
        <w:tc>
          <w:tcPr>
            <w:tcW w:w="2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Class B: Energy carriers</w:t>
            </w:r>
          </w:p>
        </w:tc>
        <w:tc>
          <w:tcPr>
            <w:tcW w:w="34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Crude oil tankers, product tankers, LNG and LPG carriers, chemical tankers carrying petroleum derivatives</w:t>
            </w:r>
          </w:p>
        </w:tc>
        <w:tc>
          <w:tcPr>
            <w:tcW w:w="3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Priority scheduling; 3 nautical mile spacing; optional escorted windows; expedited notice; loading-terminal integration in the Northern Coordination Corridor</w:t>
            </w:r>
          </w:p>
        </w:tc>
      </w:tr>
      <w:tr>
        <w:tc>
          <w:tcPr>
            <w:tcW w:w="2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Class C: Passenger vessels</w:t>
            </w:r>
          </w:p>
        </w:tc>
        <w:tc>
          <w:tcPr>
            <w:tcW w:w="34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Passenger ships, ferries, crew boats carrying more than 12 passengers</w:t>
            </w:r>
          </w:p>
        </w:tc>
        <w:tc>
          <w:tcPr>
            <w:tcW w:w="3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Highest protection priority; advance manifest through the notice system; daylight transit recommended; dedicated separation from Class G activity</w:t>
            </w:r>
          </w:p>
        </w:tc>
      </w:tr>
      <w:tr>
        <w:tc>
          <w:tcPr>
            <w:tcW w:w="2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Class D: Fishing and small craft</w:t>
            </w:r>
          </w:p>
        </w:tc>
        <w:tc>
          <w:tcPr>
            <w:tcW w:w="34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Licensed fishing vessels, dhows, and small craft under 24 meters</w:t>
            </w:r>
          </w:p>
        </w:tc>
        <w:tc>
          <w:tcPr>
            <w:tcW w:w="3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Inshore local craft bands; crossing gates of Annex A; registration through coastal authority; non-interference with passage lanes</w:t>
            </w:r>
          </w:p>
        </w:tc>
      </w:tr>
      <w:tr>
        <w:tc>
          <w:tcPr>
            <w:tcW w:w="2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Class E: Humanitarian vessels</w:t>
            </w:r>
          </w:p>
        </w:tc>
        <w:tc>
          <w:tcPr>
            <w:tcW w:w="34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Vessels carrying food, medicine, medical equipment, or relief personnel under verified humanitarian consignment</w:t>
            </w:r>
          </w:p>
        </w:tc>
        <w:tc>
          <w:tcPr>
            <w:tcW w:w="3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Expedited regime; zero administrative delay; protected status under the humanitarian absolute; moves in every flow state including Suspended Flow</w:t>
            </w:r>
          </w:p>
        </w:tc>
      </w:tr>
      <w:tr>
        <w:tc>
          <w:tcPr>
            <w:tcW w:w="2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Class F: Government non-naval</w:t>
            </w:r>
          </w:p>
        </w:tc>
        <w:tc>
          <w:tcPr>
            <w:tcW w:w="34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Research, survey, coast guard, customs, and hydrographic vessels on non-enforcement missions</w:t>
            </w:r>
          </w:p>
        </w:tc>
        <w:tc>
          <w:tcPr>
            <w:tcW w:w="3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Notification regime in the Northern and Central corridors; mission description in the notice; de-confliction liaison through the Center</w:t>
            </w:r>
          </w:p>
        </w:tc>
      </w:tr>
      <w:tr>
        <w:tc>
          <w:tcPr>
            <w:tcW w:w="2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Class G: Naval and state vessels</w:t>
            </w:r>
          </w:p>
        </w:tc>
        <w:tc>
          <w:tcPr>
            <w:tcW w:w="34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Warships and state vessels on government non-commercial service</w:t>
            </w:r>
          </w:p>
        </w:tc>
        <w:tc>
          <w:tcPr>
            <w:tcW w:w="3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Southern Assurance Corridor only; 96-hour advance movement notice through the military channel; standoff geometry of Article 21 applies</w:t>
            </w:r>
          </w:p>
        </w:tc>
      </w:tr>
      <w:tr>
        <w:tc>
          <w:tcPr>
            <w:tcW w:w="2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Class H: Vessels of concern</w:t>
            </w:r>
          </w:p>
        </w:tc>
        <w:tc>
          <w:tcPr>
            <w:tcW w:w="34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Any vessel with a documented, evidence-backed cargo or documentation question pending</w:t>
            </w:r>
          </w:p>
        </w:tc>
        <w:tc>
          <w:tcPr>
            <w:tcW w:w="3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Anchor-and-Verify Protocol of Article 10.4: resolution at anchorage, never interdiction at sea</w:t>
            </w:r>
          </w:p>
        </w:tc>
      </w:tr>
    </w:tbl>
    <w:p>
      <w:pPr>
        <w:pStyle w:val="Caption"/>
      </w:pPr>
      <w:r>
        <w:rPr>
          <w:rFonts w:ascii="Calibri" w:hAnsi="Calibri" w:eastAsia="Microsoft YaHei" w:cs="Calibri"/>
          <w:i/>
          <w:color w:val="6E8A96"/>
          <w:sz w:val="18"/>
          <w:szCs w:val="18"/>
        </w:rPr>
        <w:t>Table 10.1: Vessel classes and core treatment</w:t>
      </w:r>
    </w:p>
    <w:p>
      <w:pPr>
        <w:pStyle w:val="Heading3"/>
      </w:pPr>
      <w:r>
        <w:rPr>
          <w:rFonts w:ascii="Calibri" w:hAnsi="Calibri" w:eastAsia="Microsoft YaHei" w:cs="Calibri"/>
          <w:b/>
          <w:color w:val="3A7086"/>
          <w:sz w:val="22"/>
          <w:szCs w:val="22"/>
        </w:rPr>
        <w:t>10.3 Treatment principles</w:t>
      </w:r>
    </w:p>
    <w:p>
      <w:pPr>
        <w:pStyle w:val="Normal"/>
        <w:jc w:val="both"/>
      </w:pPr>
      <w:r>
        <w:rPr>
          <w:rFonts w:ascii="Calibri" w:hAnsi="Calibri" w:eastAsia="Microsoft YaHei" w:cs="Calibri"/>
          <w:color w:val="22333B"/>
          <w:sz w:val="21"/>
          <w:szCs w:val="21"/>
        </w:rPr>
        <w:t>Purpose governs: two vessels of identical tonnage receive different treatment if their purposes differ, and identical treatment if their purposes match; flag never enters the treatment decision. Protection scales with vulnerability: Class C and Class E vessels receive the highest protection priority in scheduling, spacing, and incident response. Friction scales with risk, at anchor: the Framework concentrates all verification friction in the Anchor-and-Verify Protocol, so that the corridors themselves stay clean, fast, and free. No class carries a charge: the Zero-Toll Rule applies to every class equally, including Class G.</w:t>
      </w:r>
    </w:p>
    <w:p>
      <w:pPr>
        <w:pStyle w:val="Heading3"/>
      </w:pPr>
      <w:r>
        <w:rPr>
          <w:rFonts w:ascii="Calibri" w:hAnsi="Calibri" w:eastAsia="Microsoft YaHei" w:cs="Calibri"/>
          <w:b/>
          <w:color w:val="3A7086"/>
          <w:sz w:val="22"/>
          <w:szCs w:val="22"/>
        </w:rPr>
        <w:t>10.4 Class H and the Anchor-and-Verify Protocol</w:t>
      </w:r>
    </w:p>
    <w:p>
      <w:pPr>
        <w:pStyle w:val="Normal"/>
        <w:jc w:val="both"/>
      </w:pPr>
      <w:r>
        <w:rPr>
          <w:rFonts w:ascii="Calibri" w:hAnsi="Calibri" w:eastAsia="Microsoft YaHei" w:cs="Calibri"/>
          <w:color w:val="22333B"/>
          <w:sz w:val="21"/>
          <w:szCs w:val="21"/>
        </w:rPr>
        <w:t>A vessel becomes Class H only through a written, evidence-backed referral to the Daryaban Operations Center by a Party, the Neutral Administrator, or a classification society, stating the specific cargo or documentation question. A referral based on nationality, ownership structure, or routing alone fails automatically and counts against the referring Party's claim record under Article 25.</w:t>
      </w:r>
    </w:p>
    <w:p>
      <w:pPr>
        <w:pStyle w:val="Normal"/>
        <w:jc w:val="both"/>
      </w:pPr>
      <w:r>
        <w:rPr>
          <w:rFonts w:ascii="Calibri" w:hAnsi="Calibri" w:eastAsia="Microsoft YaHei" w:cs="Calibri"/>
          <w:color w:val="22333B"/>
          <w:sz w:val="21"/>
          <w:szCs w:val="21"/>
        </w:rPr>
        <w:t>Upon a valid referral, the vessel proceeds to a designated anchorage of its chosen passage state, or continues its voyage if the question resolves through documents. Verification at anchorage completes within 48 hours through a joint team: one inspector designated by the flag state, one by the passage coastal state, and one from the Neutral Watch Office roster. The team examines documents and, only where documents leave a material gap, the specific cargo in question. The vessel then resumes transit with a verified-transit marker. The architecture excludes at-sea boarding, diversion to a third state's port, and detention beyond 72 hours; a question unresolved at 72 hours routes to the Technical and Standards Committee, and the vessel resumes transit at hour 96 with the dispute continuing ashore.</w:t>
      </w:r>
    </w:p>
    <w:p>
      <w:pPr>
        <w:pStyle w:val="Heading3"/>
      </w:pPr>
      <w:r>
        <w:rPr>
          <w:rFonts w:ascii="Calibri" w:hAnsi="Calibri" w:eastAsia="Microsoft YaHei" w:cs="Calibri"/>
          <w:b/>
          <w:color w:val="3A7086"/>
          <w:sz w:val="22"/>
          <w:szCs w:val="22"/>
        </w:rPr>
        <w:t>10.5 Non-discrimination</w:t>
      </w:r>
    </w:p>
    <w:p>
      <w:pPr>
        <w:pStyle w:val="Normal"/>
        <w:jc w:val="both"/>
      </w:pPr>
      <w:r>
        <w:rPr>
          <w:rFonts w:ascii="Calibri" w:hAnsi="Calibri" w:eastAsia="Microsoft YaHei" w:cs="Calibri"/>
          <w:color w:val="22333B"/>
          <w:sz w:val="21"/>
          <w:szCs w:val="21"/>
        </w:rPr>
        <w:t>Within each class, treatment stands identical for all vessels. The architecture excludes: differential pricing by flag; differential notification burdens by ownership; differential inspection by destination; and any registry, list, or database that sorts vessels by political criteria. The Assurance Registry of Article 19 sorts vessels by participation in a documentary mechanism, never by politics, and it alters no transit right, no transit priority, and no safety service for any vessel.</w:t>
      </w:r>
    </w:p>
    <w:p>
      <w:pPr>
        <w:pStyle w:val="Heading3"/>
      </w:pPr>
      <w:r>
        <w:rPr>
          <w:rFonts w:ascii="Calibri" w:hAnsi="Calibri" w:eastAsia="Microsoft YaHei" w:cs="Calibri"/>
          <w:b/>
          <w:color w:val="3A7086"/>
          <w:sz w:val="22"/>
          <w:szCs w:val="22"/>
        </w:rPr>
        <w:t>10.6 The ground-truth patrol program</w:t>
      </w:r>
    </w:p>
    <w:p>
      <w:pPr>
        <w:pStyle w:val="Normal"/>
        <w:jc w:val="both"/>
      </w:pPr>
      <w:r>
        <w:rPr>
          <w:rFonts w:ascii="Calibri" w:hAnsi="Calibri" w:eastAsia="Microsoft YaHei" w:cs="Calibri"/>
          <w:color w:val="22333B"/>
          <w:sz w:val="21"/>
          <w:szCs w:val="21"/>
        </w:rPr>
        <w:t>Electronic surveillance deceives: identification signals spoof, satellite passes gap, and radar coverage bends around geography. The Framework therefore maintains a human verification layer on the water. The Daryaban Operations Center conducts one ground-truth patrol per week in each corridor, executed by mixed-crew patrol craft provided on rotation by the coastal states and embarked with a Neutral Watch observer. Each patrol physically verifies the position, identity, and declared class of at least 5 percent of the vessels transiting during the patrol window, selected by lot from the live traffic picture immediately before departure. Patrol findings reconcile against the shared operational picture within 24 hours; a discrepancy enters the operational flag register and, where it suggests deliberate signal manipulation, refers to the verification channel of Article 25. A ground-truth patrol never boards, never delays, and never directs a merchant vessel: it observes, photographs, and reconciles. Obstruction of a scheduled patrol classifies under Annex C, category M-2.</w:t>
      </w:r>
    </w:p>
    <w:p>
      <w:pPr>
        <w:pStyle w:val="Heading2"/>
      </w:pPr>
      <w:r>
        <w:rPr>
          <w:rFonts w:ascii="Calibri" w:hAnsi="Calibri" w:eastAsia="Microsoft YaHei" w:cs="Calibri"/>
          <w:b/>
          <w:color w:val="1F4E5F"/>
          <w:sz w:val="26"/>
          <w:szCs w:val="26"/>
        </w:rPr>
        <w:t>Article 11: Safe Passage and the Non-Interdiction Protocol</w:t>
      </w:r>
    </w:p>
    <w:p>
      <w:pPr>
        <w:pStyle w:val="Heading3"/>
      </w:pPr>
      <w:r>
        <w:rPr>
          <w:rFonts w:ascii="Calibri" w:hAnsi="Calibri" w:eastAsia="Microsoft YaHei" w:cs="Calibri"/>
          <w:b/>
          <w:color w:val="3A7086"/>
          <w:sz w:val="22"/>
          <w:szCs w:val="22"/>
        </w:rPr>
        <w:t>11.1 The guarantee of safe passage</w:t>
      </w:r>
    </w:p>
    <w:p>
      <w:pPr>
        <w:pStyle w:val="Normal"/>
        <w:jc w:val="both"/>
      </w:pPr>
      <w:r>
        <w:rPr>
          <w:rFonts w:ascii="Calibri" w:hAnsi="Calibri" w:eastAsia="Microsoft YaHei" w:cs="Calibri"/>
          <w:color w:val="22333B"/>
          <w:sz w:val="21"/>
          <w:szCs w:val="21"/>
        </w:rPr>
        <w:t>Every vessel transiting the corridor system in compliance with its class rules enjoys a standing guarantee of safe passage. The guarantee operates as a design feature of the shared architecture: the corridor system excludes kinetic attack, boarding, seizure, detention, harassment, diversion, and interdiction of transiting vessels, by the forces of any Party or any external actor, under every circumstance including armed conflict between any states. The guarantee binds equally in all three corridors and covers every class.</w:t>
      </w:r>
    </w:p>
    <w:p>
      <w:pPr>
        <w:pStyle w:val="Heading3"/>
      </w:pPr>
      <w:r>
        <w:rPr>
          <w:rFonts w:ascii="Calibri" w:hAnsi="Calibri" w:eastAsia="Microsoft YaHei" w:cs="Calibri"/>
          <w:b/>
          <w:color w:val="3A7086"/>
          <w:sz w:val="22"/>
          <w:szCs w:val="22"/>
        </w:rPr>
        <w:t>11.2 The Non-Interdiction Protocol</w:t>
      </w:r>
    </w:p>
    <w:p>
      <w:pPr>
        <w:pStyle w:val="Normal"/>
        <w:jc w:val="both"/>
      </w:pPr>
      <w:r>
        <w:rPr>
          <w:rFonts w:ascii="Calibri" w:hAnsi="Calibri" w:eastAsia="Microsoft YaHei" w:cs="Calibri"/>
          <w:color w:val="22333B"/>
          <w:sz w:val="21"/>
          <w:szCs w:val="21"/>
        </w:rPr>
        <w:t>Commercial transit operates under an absolute non-interdiction protocol within the Governance Area. The protocol binds every organ of every Party, every force under their command or coordination, and every external force present in the region whose state adheres under Article 28.5: no vessel of Classes A through F faces attack, seizure, boarding for enforcement, harassment, diversion, or detention within the Governance Area, except the Anchor-and-Verify Protocol of Article 10.4 executed exactly as written. The protocol excludes no flag and no cargo category, subject only to the Class H procedure. Law enforcement against a vessel occurs outside the Governance Area, under the law of the state with jurisdiction, and never inside a passage.</w:t>
      </w:r>
    </w:p>
    <w:p>
      <w:pPr>
        <w:pStyle w:val="Heading3"/>
      </w:pPr>
      <w:r>
        <w:rPr>
          <w:rFonts w:ascii="Calibri" w:hAnsi="Calibri" w:eastAsia="Microsoft YaHei" w:cs="Calibri"/>
          <w:b/>
          <w:color w:val="3A7086"/>
          <w:sz w:val="22"/>
          <w:szCs w:val="22"/>
        </w:rPr>
        <w:t>11.3 Excluded measures</w:t>
      </w:r>
    </w:p>
    <w:p>
      <w:pPr>
        <w:pStyle w:val="Normal"/>
        <w:jc w:val="both"/>
      </w:pPr>
      <w:r>
        <w:rPr>
          <w:rFonts w:ascii="Calibri" w:hAnsi="Calibri" w:eastAsia="Microsoft YaHei" w:cs="Calibri"/>
          <w:color w:val="22333B"/>
          <w:sz w:val="21"/>
          <w:szCs w:val="21"/>
        </w:rPr>
        <w:t>The following measures have no place anywhere in the Governance Area: tolls or charges on transit; permission regimes; boarding of transiting vessels; route assignment by flag or destination; mining; the placing of hazards; harassment by small craft; the jamming or spoofing of navigation signals; and the illumination of transiting commercial vessels with fire-control radar or targeting systems. The Parties treat interference with navigation signals as an interference event under Article 22, and the Center maintains a signal-integrity watch with land-based receivers at both the Muscat seat and the Bandar Abbas mirror.</w:t>
      </w:r>
    </w:p>
    <w:p>
      <w:pPr>
        <w:pStyle w:val="Heading3"/>
      </w:pPr>
      <w:r>
        <w:rPr>
          <w:rFonts w:ascii="Calibri" w:hAnsi="Calibri" w:eastAsia="Microsoft YaHei" w:cs="Calibri"/>
          <w:b/>
          <w:color w:val="3A7086"/>
          <w:sz w:val="22"/>
          <w:szCs w:val="22"/>
        </w:rPr>
        <w:t>11.4 The joint openness declaration</w:t>
      </w:r>
    </w:p>
    <w:p>
      <w:pPr>
        <w:pStyle w:val="Normal"/>
        <w:jc w:val="both"/>
      </w:pPr>
      <w:r>
        <w:rPr>
          <w:rFonts w:ascii="Calibri" w:hAnsi="Calibri" w:eastAsia="Microsoft YaHei" w:cs="Calibri"/>
          <w:color w:val="22333B"/>
          <w:sz w:val="21"/>
          <w:szCs w:val="21"/>
        </w:rPr>
        <w:t>Within 7 days of entry into force, the Parties issue a joint public declaration, drafted by the Mediator of Record, stating that all channels of the Strait of Hormuz operate open, that passage carries no toll, and that the Non-Interdiction Protocol governs all traffic. The Parties and the Central Corridor Management Council review and approve the declaration text before issuance. The declaration attributes the commitment to the shared architecture rather than to any Party's unilateral concession. The Daryaban Operations Center thereafter publishes the Open Water Bulletin under Article 8.7, so that the declaration renews itself through verifiable fact rather than repeated diplomacy.</w:t>
      </w:r>
    </w:p>
    <w:p>
      <w:pPr>
        <w:pStyle w:val="Heading3"/>
      </w:pPr>
      <w:r>
        <w:rPr>
          <w:rFonts w:ascii="Calibri" w:hAnsi="Calibri" w:eastAsia="Microsoft YaHei" w:cs="Calibri"/>
          <w:b/>
          <w:color w:val="3A7086"/>
          <w:sz w:val="22"/>
          <w:szCs w:val="22"/>
        </w:rPr>
        <w:t>11.5 Safe passage services</w:t>
      </w:r>
    </w:p>
    <w:p>
      <w:pPr>
        <w:pStyle w:val="Normal"/>
        <w:jc w:val="both"/>
      </w:pPr>
      <w:r>
        <w:rPr>
          <w:rFonts w:ascii="Calibri" w:hAnsi="Calibri" w:eastAsia="Microsoft YaHei" w:cs="Calibri"/>
          <w:color w:val="22333B"/>
          <w:sz w:val="21"/>
          <w:szCs w:val="21"/>
        </w:rPr>
        <w:t>The Daryaban Operations Center operates: (a) a 24-hour watch with direct lines to both coastal vessel traffic services; (b) a transit information broadcast every 6 hours covering traffic density, hazards, and Class G movements in general terms; (c) optional escorted transit windows for Class B vessels, organized with the coastal states' coast guards, twice daily in each direction; and (d) a vessel assistance desk for mechanical casualties, with contracted tug and salvage capacity on 2-hour notice at the eastern and western approaches. A vessel requests an escorted window through the daily schedule; the request carries no charge. Iran provides lead-escort services in the Northern Coordination Corridor and the Central International Corridor, and Oman provides lead-escort services in the Southern Assurance Corridor. All escort services operate under the Non-Interdiction Protocol of this Article.</w:t>
      </w:r>
    </w:p>
    <w:p>
      <w:pPr>
        <w:pStyle w:val="Heading1"/>
      </w:pPr>
      <w:r>
        <w:rPr>
          <w:rFonts w:ascii="Calibri" w:hAnsi="Calibri" w:eastAsia="Microsoft YaHei" w:cs="Calibri"/>
          <w:b/>
          <w:color w:val="1F4E5F"/>
          <w:sz w:val="30"/>
          <w:szCs w:val="30"/>
        </w:rPr>
        <w:t>Part III: Institutional Architecture</w:t>
      </w:r>
    </w:p>
    <w:p>
      <w:pPr>
        <w:pStyle w:val="Heading2"/>
      </w:pPr>
      <w:r>
        <w:rPr>
          <w:rFonts w:ascii="Calibri" w:hAnsi="Calibri" w:eastAsia="Microsoft YaHei" w:cs="Calibri"/>
          <w:b/>
          <w:color w:val="1F4E5F"/>
          <w:sz w:val="26"/>
          <w:szCs w:val="26"/>
        </w:rPr>
        <w:t>Article 12: The Daryaban Council</w:t>
      </w:r>
    </w:p>
    <w:p>
      <w:pPr>
        <w:pStyle w:val="Heading3"/>
      </w:pPr>
      <w:r>
        <w:rPr>
          <w:rFonts w:ascii="Calibri" w:hAnsi="Calibri" w:eastAsia="Microsoft YaHei" w:cs="Calibri"/>
          <w:b/>
          <w:color w:val="3A7086"/>
          <w:sz w:val="22"/>
          <w:szCs w:val="22"/>
        </w:rPr>
        <w:t>12.1 Composition</w:t>
      </w:r>
    </w:p>
    <w:p>
      <w:pPr>
        <w:pStyle w:val="Normal"/>
        <w:jc w:val="both"/>
      </w:pPr>
      <w:r>
        <w:rPr>
          <w:rFonts w:ascii="Calibri" w:hAnsi="Calibri" w:eastAsia="Microsoft YaHei" w:cs="Calibri"/>
          <w:color w:val="22333B"/>
          <w:sz w:val="21"/>
          <w:szCs w:val="21"/>
        </w:rPr>
        <w:t>The Daryaban Council is the governing body of the Framework. It seats voting members and non-voting participants as follows:</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2400"/>
        <w:gridCol w:w="3400"/>
        <w:gridCol w:w="3200"/>
      </w:tblGrid>
      <w:tr>
        <w:trPr>
          <w:tblHeader w:val="1"/>
        </w:trPr>
        <w:tc>
          <w:tcPr>
            <w:tcW w:w="24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Seat</w:t>
            </w:r>
          </w:p>
        </w:tc>
        <w:tc>
          <w:tcPr>
            <w:tcW w:w="34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Holder</w:t>
            </w:r>
          </w:p>
        </w:tc>
        <w:tc>
          <w:tcPr>
            <w:tcW w:w="32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Status</w:t>
            </w:r>
          </w:p>
        </w:tc>
      </w:tr>
      <w:tr>
        <w:tc>
          <w:tcPr>
            <w:tcW w:w="24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Founding Party seats</w:t>
            </w:r>
          </w:p>
        </w:tc>
        <w:tc>
          <w:tcPr>
            <w:tcW w:w="34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Iran, Oman, and the United Arab Emirates, two members each</w:t>
            </w:r>
          </w:p>
        </w:tc>
        <w:tc>
          <w:tcPr>
            <w:tcW w:w="3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Voting; founding members</w:t>
            </w:r>
          </w:p>
        </w:tc>
      </w:tr>
      <w:tr>
        <w:tc>
          <w:tcPr>
            <w:tcW w:w="24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Acceding Party seats</w:t>
            </w:r>
          </w:p>
        </w:tc>
        <w:tc>
          <w:tcPr>
            <w:tcW w:w="34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Saudi Arabia, Qatar, Bahrain, Kuwait, and Iraq, two members each</w:t>
            </w:r>
          </w:p>
        </w:tc>
        <w:tc>
          <w:tcPr>
            <w:tcW w:w="3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Voting upon accession as Acceding Parties under Article 28</w:t>
            </w:r>
          </w:p>
        </w:tc>
      </w:tr>
      <w:tr>
        <w:tc>
          <w:tcPr>
            <w:tcW w:w="24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Facilitator seats</w:t>
            </w:r>
          </w:p>
        </w:tc>
        <w:tc>
          <w:tcPr>
            <w:tcW w:w="34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Swiss Confederation as Neutral Administrator; the State of Qatar and the Islamic Republic of Pakistan as supporting facilitators</w:t>
            </w:r>
          </w:p>
        </w:tc>
        <w:tc>
          <w:tcPr>
            <w:tcW w:w="3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Deliberative voice, no vote on conduct classifications</w:t>
            </w:r>
          </w:p>
        </w:tc>
      </w:tr>
      <w:tr>
        <w:tc>
          <w:tcPr>
            <w:tcW w:w="24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Technical seats</w:t>
            </w:r>
          </w:p>
        </w:tc>
        <w:tc>
          <w:tcPr>
            <w:tcW w:w="34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International Maritime Organization and the International Hydrographic Organization</w:t>
            </w:r>
          </w:p>
        </w:tc>
        <w:tc>
          <w:tcPr>
            <w:tcW w:w="3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Non-voting technical seats</w:t>
            </w:r>
          </w:p>
        </w:tc>
      </w:tr>
      <w:tr>
        <w:tc>
          <w:tcPr>
            <w:tcW w:w="24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Endorsing Stakeholder seat</w:t>
            </w:r>
          </w:p>
        </w:tc>
        <w:tc>
          <w:tcPr>
            <w:tcW w:w="34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United States of America</w:t>
            </w:r>
          </w:p>
        </w:tc>
        <w:tc>
          <w:tcPr>
            <w:tcW w:w="3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Non-voting, per Article 14.2</w:t>
            </w:r>
          </w:p>
        </w:tc>
      </w:tr>
      <w:tr>
        <w:tc>
          <w:tcPr>
            <w:tcW w:w="24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Observer seats</w:t>
            </w:r>
          </w:p>
        </w:tc>
        <w:tc>
          <w:tcPr>
            <w:tcW w:w="34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Observer states and organizations under Article 14.3</w:t>
            </w:r>
          </w:p>
        </w:tc>
        <w:tc>
          <w:tcPr>
            <w:tcW w:w="3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Non-voting</w:t>
            </w:r>
          </w:p>
        </w:tc>
      </w:tr>
    </w:tbl>
    <w:p>
      <w:pPr>
        <w:pStyle w:val="Caption"/>
      </w:pPr>
      <w:r>
        <w:rPr>
          <w:rFonts w:ascii="Calibri" w:hAnsi="Calibri" w:eastAsia="Microsoft YaHei" w:cs="Calibri"/>
          <w:i/>
          <w:color w:val="6E8A96"/>
          <w:sz w:val="18"/>
          <w:szCs w:val="18"/>
        </w:rPr>
        <w:t>Table 12.1: Composition of the Daryaban Council</w:t>
      </w:r>
    </w:p>
    <w:p>
      <w:pPr>
        <w:pStyle w:val="Normal"/>
        <w:jc w:val="both"/>
      </w:pPr>
      <w:r>
        <w:rPr>
          <w:rFonts w:ascii="Calibri" w:hAnsi="Calibri" w:eastAsia="Microsoft YaHei" w:cs="Calibri"/>
          <w:color w:val="22333B"/>
          <w:sz w:val="21"/>
          <w:szCs w:val="21"/>
        </w:rPr>
        <w:t>Council members hold the rank of ambassador or equivalent and serve three-year terms, renewable. The chair rotates annually among the Littoral Parties in alphabetical order of their English short names, and the chair manages the agenda and the minutes and holds no casting vote.</w:t>
      </w:r>
    </w:p>
    <w:p>
      <w:pPr>
        <w:pStyle w:val="Heading3"/>
      </w:pPr>
      <w:r>
        <w:rPr>
          <w:rFonts w:ascii="Calibri" w:hAnsi="Calibri" w:eastAsia="Microsoft YaHei" w:cs="Calibri"/>
          <w:b/>
          <w:color w:val="3A7086"/>
          <w:sz w:val="22"/>
          <w:szCs w:val="22"/>
        </w:rPr>
        <w:t>12.2 Functions</w:t>
      </w:r>
    </w:p>
    <w:p>
      <w:pPr>
        <w:pStyle w:val="Normal"/>
        <w:jc w:val="both"/>
      </w:pPr>
      <w:r>
        <w:rPr>
          <w:rFonts w:ascii="Calibri" w:hAnsi="Calibri" w:eastAsia="Microsoft YaHei" w:cs="Calibri"/>
          <w:color w:val="22333B"/>
          <w:sz w:val="21"/>
          <w:szCs w:val="21"/>
        </w:rPr>
        <w:t>The Council: approves the annual budget and the Verified Services Catalog rates; adopts and amends technical annexes under Article 29; conducts the Perimeter Test on every measure; supervises the compliance engine at the policy level; certifies passage status at each phase gate of Annex E; represents the Framework to the International Maritime Organization and to external states; and resolves any matter a Party elevates. The Council never directs a specific vessel, never interferes with a notification, and never touches the payment mechanics of the Fund. Those lines keep politics away from the water.</w:t>
      </w:r>
    </w:p>
    <w:p>
      <w:pPr>
        <w:pStyle w:val="Heading3"/>
      </w:pPr>
      <w:r>
        <w:rPr>
          <w:rFonts w:ascii="Calibri" w:hAnsi="Calibri" w:eastAsia="Microsoft YaHei" w:cs="Calibri"/>
          <w:b/>
          <w:color w:val="3A7086"/>
          <w:sz w:val="22"/>
          <w:szCs w:val="22"/>
        </w:rPr>
        <w:t>12.3 Meetings and cadence</w:t>
      </w:r>
    </w:p>
    <w:p>
      <w:pPr>
        <w:pStyle w:val="Normal"/>
        <w:jc w:val="both"/>
      </w:pPr>
      <w:r>
        <w:rPr>
          <w:rFonts w:ascii="Calibri" w:hAnsi="Calibri" w:eastAsia="Microsoft YaHei" w:cs="Calibri"/>
          <w:color w:val="22333B"/>
          <w:sz w:val="21"/>
          <w:szCs w:val="21"/>
        </w:rPr>
        <w:t>The Council meets in ordinary session on the first Monday of each quarter, alternating seats between Muscat and Bandar Abbas, and in extraordinary session within 48 hours of an Architectural Breach classification, a Daryaban Watch activation, or any voting member's call. A secure video bridge links the two seats for weekly working-level synchronization. Quorum is a majority of voting members, including at least one member of Iran and one member of Oman.</w:t>
      </w:r>
    </w:p>
    <w:p>
      <w:pPr>
        <w:pStyle w:val="Heading3"/>
      </w:pPr>
      <w:r>
        <w:rPr>
          <w:rFonts w:ascii="Calibri" w:hAnsi="Calibri" w:eastAsia="Microsoft YaHei" w:cs="Calibri"/>
          <w:b/>
          <w:color w:val="3A7086"/>
          <w:sz w:val="22"/>
          <w:szCs w:val="22"/>
        </w:rPr>
        <w:t>12.4 The Central Corridor Management Council</w:t>
      </w:r>
    </w:p>
    <w:p>
      <w:pPr>
        <w:pStyle w:val="Normal"/>
        <w:jc w:val="both"/>
      </w:pPr>
      <w:r>
        <w:rPr>
          <w:rFonts w:ascii="Calibri" w:hAnsi="Calibri" w:eastAsia="Microsoft YaHei" w:cs="Calibri"/>
          <w:color w:val="22333B"/>
          <w:sz w:val="21"/>
          <w:szCs w:val="21"/>
        </w:rPr>
        <w:t>The Central Corridor Management Council governs the Central International Corridor as a dedicated sub-body of the Daryaban Council. It comprises one representative each from Iran, Oman, and the Gulf Cooperation Council Secretariat, with user states attending as observers. A decision of the Management Council carries only with the affirmative vote of all three voting members. The Management Council meets monthly and within 24 hours of any Central Corridor incident, publishes a monthly Central Corridor status review as a special bulletin, and reports every decision to the Daryaban Council at its next session.</w:t>
      </w:r>
    </w:p>
    <w:p>
      <w:pPr>
        <w:pStyle w:val="Heading2"/>
      </w:pPr>
      <w:r>
        <w:rPr>
          <w:rFonts w:ascii="Calibri" w:hAnsi="Calibri" w:eastAsia="Microsoft YaHei" w:cs="Calibri"/>
          <w:b/>
          <w:color w:val="1F4E5F"/>
          <w:sz w:val="26"/>
          <w:szCs w:val="26"/>
        </w:rPr>
        <w:t>Article 13: The Daryaban Operations Center and the Technical Committee</w:t>
      </w:r>
    </w:p>
    <w:p>
      <w:pPr>
        <w:pStyle w:val="Heading3"/>
      </w:pPr>
      <w:r>
        <w:rPr>
          <w:rFonts w:ascii="Calibri" w:hAnsi="Calibri" w:eastAsia="Microsoft YaHei" w:cs="Calibri"/>
          <w:b/>
          <w:color w:val="3A7086"/>
          <w:sz w:val="22"/>
          <w:szCs w:val="22"/>
        </w:rPr>
        <w:t>13.1 Seat and mirror facility</w:t>
      </w:r>
    </w:p>
    <w:p>
      <w:pPr>
        <w:pStyle w:val="Normal"/>
        <w:jc w:val="both"/>
      </w:pPr>
      <w:r>
        <w:rPr>
          <w:rFonts w:ascii="Calibri" w:hAnsi="Calibri" w:eastAsia="Microsoft YaHei" w:cs="Calibri"/>
          <w:color w:val="22333B"/>
          <w:sz w:val="21"/>
          <w:szCs w:val="21"/>
        </w:rPr>
        <w:t>The Daryaban Operations Center is the operational heart of the Framework. Its principal seat lies in Muscat, at facilities the Sultanate of Oman provides under a host agreement. The mirror facility lies in Bandar Abbas, at facilities the Islamic Republic of Iran provides under a matching host agreement. The mirror replicates the full watch floor capability of the principal seat. Either site runs the entire system alone for up to thirty days, and the two sites drill the handover monthly, alternating the primary watch for one watch period, so that the mirror never atrophies into ceremony.</w:t>
      </w:r>
    </w:p>
    <w:p>
      <w:pPr>
        <w:pStyle w:val="Normal"/>
        <w:jc w:val="both"/>
      </w:pPr>
      <w:r>
        <w:rPr>
          <w:rFonts w:ascii="Calibri" w:hAnsi="Calibri" w:eastAsia="Microsoft YaHei" w:cs="Calibri"/>
          <w:color w:val="22333B"/>
          <w:sz w:val="21"/>
          <w:szCs w:val="21"/>
        </w:rPr>
        <w:t>Full failover testing: the monthly mirror handover drill includes a full failover test in which each site operates the entire system alone for 24 hours with the other site offline for testing purposes. The Technical and Standards Committee certifies the handover result, and the certification publishes with the Bulletin. A failed handover test triggers automatic remediation planning within 7 days. The mirror facility earns its keep only through demonstrated performance.</w:t>
      </w:r>
    </w:p>
    <w:p>
      <w:pPr>
        <w:pStyle w:val="Heading3"/>
      </w:pPr>
      <w:r>
        <w:rPr>
          <w:rFonts w:ascii="Calibri" w:hAnsi="Calibri" w:eastAsia="Microsoft YaHei" w:cs="Calibri"/>
          <w:b/>
          <w:color w:val="3A7086"/>
          <w:sz w:val="22"/>
          <w:szCs w:val="22"/>
        </w:rPr>
        <w:t>13.2 Co-equal staffing</w:t>
      </w:r>
    </w:p>
    <w:p>
      <w:pPr>
        <w:pStyle w:val="Normal"/>
        <w:jc w:val="both"/>
      </w:pPr>
      <w:r>
        <w:rPr>
          <w:rFonts w:ascii="Calibri" w:hAnsi="Calibri" w:eastAsia="Microsoft YaHei" w:cs="Calibri"/>
          <w:color w:val="22333B"/>
          <w:sz w:val="21"/>
          <w:szCs w:val="21"/>
        </w:rPr>
        <w:t>Every operational post exists in pairs: two Co-Directors, two duty officers per watch, two notification desk officers per shift, two hydrographers, two legal desk officers. Each core pair consists of one Iranian national and one Omani national. Each duty officer pair consists of one officer from each of the two largest contributing Littoral Parties to the Transit Services Fund, rotating annually. At founding, the contribution schedule of Annex B places Iran and Oman in those seats, and the rotation rule governs every later shift in contribution ranking. Operational decisions thereby never rest with a single national viewpoint. Upon the accession of each further Littoral Party, the staffing table of Annex E adds paired posts so that every Littoral Party holds watch-floor presence. The Parties recruit additional technical staff from any nationality on merit, and every watch pair retains the paired structure regardless of additional staffing. Professional qualifications follow the standards of the International Maritime Organization model courses for each function, and the Technical and Standards Committee certifies every watchkeeper before first solo watch.</w:t>
      </w:r>
    </w:p>
    <w:p>
      <w:pPr>
        <w:pStyle w:val="Normal"/>
        <w:jc w:val="both"/>
      </w:pPr>
      <w:r>
        <w:rPr>
          <w:rFonts w:ascii="Calibri" w:hAnsi="Calibri" w:eastAsia="Microsoft YaHei" w:cs="Calibri"/>
          <w:color w:val="22333B"/>
          <w:sz w:val="21"/>
          <w:szCs w:val="21"/>
        </w:rPr>
        <w:t>Personnel vetting: every staff member of the Daryaban Operations Center, the mirror facility, the Neutral Watch Office, and the Fund holds a security clearance at the level appropriate to their function, verified by the host state with reciprocal recognition by all Littoral Parties. The Technical and Standards Committee certifies the vetting standard annually. A personnel vetting deficiency, including a known vetting failure, classifies as a Material Disruption under Article 23. The system knows who it employs.</w:t>
      </w:r>
    </w:p>
    <w:p>
      <w:pPr>
        <w:pStyle w:val="Heading3"/>
      </w:pPr>
      <w:r>
        <w:rPr>
          <w:rFonts w:ascii="Calibri" w:hAnsi="Calibri" w:eastAsia="Microsoft YaHei" w:cs="Calibri"/>
          <w:b/>
          <w:color w:val="3A7086"/>
          <w:sz w:val="22"/>
          <w:szCs w:val="22"/>
        </w:rPr>
        <w:t>13.3 The watch floor</w:t>
      </w:r>
    </w:p>
    <w:p>
      <w:pPr>
        <w:pStyle w:val="Normal"/>
        <w:jc w:val="both"/>
      </w:pPr>
      <w:r>
        <w:rPr>
          <w:rFonts w:ascii="Calibri" w:hAnsi="Calibri" w:eastAsia="Microsoft YaHei" w:cs="Calibri"/>
          <w:color w:val="22333B"/>
          <w:sz w:val="21"/>
          <w:szCs w:val="21"/>
        </w:rPr>
        <w:t>The watch floor operates continuously, in three eight-hour rotations, and each rotation closes with a paired handover note signed by both duty officers. The watch floor maintains the working radio channels, the notification desk, the Bulletin desk, the incident log, the escort coordination board, the ground-truth patrol program, and the search and rescue alert link. The daily log records every operational act: notifications, acknowledgments, flow state changes, incidents, hotline traffic, and observer movements. All Parties and the Neutral Watch Office read the full log; the Bulletin publishes the public summary. The Center's data flows simultaneously to every Party with identical latency; the architecture excludes preferential access, earlier notification, or exclusive feeds for any Party.</w:t>
      </w:r>
    </w:p>
    <w:p>
      <w:pPr>
        <w:pStyle w:val="Normal"/>
        <w:jc w:val="both"/>
      </w:pPr>
      <w:r>
        <w:rPr>
          <w:rFonts w:ascii="Calibri" w:hAnsi="Calibri" w:eastAsia="Microsoft YaHei" w:cs="Calibri"/>
          <w:color w:val="22333B"/>
          <w:sz w:val="21"/>
          <w:szCs w:val="21"/>
        </w:rPr>
        <w:t>Communications fallback hierarchy: the communications architecture operates on a four-tier fallback: (a) primary, the dedicated secure circuits; (b) secondary, the satellite backup; (c) tertiary, the commercial maritime satellite service; (d) quaternary, voice radio and physical relay by patrol craft. The Center tests the fallback tiers quarterly and publishes the results. A failure of any tier beyond primary triggers automatic reporting to the Technical and Standards Committee. Multiple paths defeat communications sabotage by design.</w:t>
      </w:r>
    </w:p>
    <w:p>
      <w:pPr>
        <w:pStyle w:val="Heading3"/>
      </w:pPr>
      <w:r>
        <w:rPr>
          <w:rFonts w:ascii="Calibri" w:hAnsi="Calibri" w:eastAsia="Microsoft YaHei" w:cs="Calibri"/>
          <w:b/>
          <w:color w:val="3A7086"/>
          <w:sz w:val="22"/>
          <w:szCs w:val="22"/>
        </w:rPr>
        <w:t>13.4 Functions and limits</w:t>
      </w:r>
    </w:p>
    <w:p>
      <w:pPr>
        <w:pStyle w:val="Normal"/>
        <w:jc w:val="both"/>
      </w:pPr>
      <w:r>
        <w:rPr>
          <w:rFonts w:ascii="Calibri" w:hAnsi="Calibri" w:eastAsia="Microsoft YaHei" w:cs="Calibri"/>
          <w:color w:val="22333B"/>
          <w:sz w:val="21"/>
          <w:szCs w:val="21"/>
        </w:rPr>
        <w:t>The Center: receives and acknowledges notifications; issues acknowledgments; operates the traffic system in all three corridors; publishes the Bulletin; coordinates escorts for electing vessels; runs the crossing gates for Class D; manages the anchorages; issues Notices to Mariners jointly; and executes the Mishap Protocol of Article 22. The Center commands no forces. Where a situation calls for a state response, the Center passes the situation to the liaison channel of the relevant Party, and the response occurs outside the corridors per Article 11.2. The Center coordinates; it never permits. No vessel requires the Center's approval to transit.</w:t>
      </w:r>
    </w:p>
    <w:p>
      <w:pPr>
        <w:pStyle w:val="Heading3"/>
      </w:pPr>
      <w:r>
        <w:rPr>
          <w:rFonts w:ascii="Calibri" w:hAnsi="Calibri" w:eastAsia="Microsoft YaHei" w:cs="Calibri"/>
          <w:b/>
          <w:color w:val="3A7086"/>
          <w:sz w:val="22"/>
          <w:szCs w:val="22"/>
        </w:rPr>
        <w:t>13.5 Data custody</w:t>
      </w:r>
    </w:p>
    <w:p>
      <w:pPr>
        <w:pStyle w:val="Normal"/>
        <w:jc w:val="both"/>
      </w:pPr>
      <w:r>
        <w:rPr>
          <w:rFonts w:ascii="Calibri" w:hAnsi="Calibri" w:eastAsia="Microsoft YaHei" w:cs="Calibri"/>
          <w:color w:val="22333B"/>
          <w:sz w:val="21"/>
          <w:szCs w:val="21"/>
        </w:rPr>
        <w:t>The Center retains every watch log, every notification, every track record, and every message for a minimum of seven years. Data custody follows the dual-copy rule: every record exists simultaneously in Muscat and Bandar Abbas under cryptographic timestamping, and neither copy admits unilateral alteration. The evidence standards of Article 20 treat a gap in the record as a fact calling for explanation, never as a fact supporting an accusation.</w:t>
      </w:r>
    </w:p>
    <w:p>
      <w:pPr>
        <w:pStyle w:val="Normal"/>
        <w:jc w:val="both"/>
      </w:pPr>
      <w:r>
        <w:rPr>
          <w:rFonts w:ascii="Calibri" w:hAnsi="Calibri" w:eastAsia="Microsoft YaHei" w:cs="Calibri"/>
          <w:color w:val="22333B"/>
          <w:sz w:val="21"/>
          <w:szCs w:val="21"/>
        </w:rPr>
        <w:t>Cyber resilience: the Daryaban Operations Center maintains cyber resilience standards consistent with internationally recognized frameworks, including ISO 27001 or equivalent. The Technical and Standards Committee conducts an annual cyber resilience audit, and the audit findings publish with the annual report. A material cyber resilience deficiency identified by the audit cures within 90 days; failure to cure classifies as a Material Disruption under Article 23. The Neutral Watch Office receives the full audit findings, including any classified elements. The system stands only as strong as its cyber defenses, and the recognized-standard baseline makes the strength verifiable.</w:t>
      </w:r>
    </w:p>
    <w:p>
      <w:pPr>
        <w:pStyle w:val="Heading3"/>
      </w:pPr>
      <w:r>
        <w:rPr>
          <w:rFonts w:ascii="Calibri" w:hAnsi="Calibri" w:eastAsia="Microsoft YaHei" w:cs="Calibri"/>
          <w:b/>
          <w:color w:val="3A7086"/>
          <w:sz w:val="22"/>
          <w:szCs w:val="22"/>
        </w:rPr>
        <w:t>13.6 The Civilian Character Clause</w:t>
      </w:r>
    </w:p>
    <w:p>
      <w:pPr>
        <w:pStyle w:val="Normal"/>
        <w:jc w:val="both"/>
      </w:pPr>
      <w:r>
        <w:rPr>
          <w:rFonts w:ascii="Calibri" w:hAnsi="Calibri" w:eastAsia="Microsoft YaHei" w:cs="Calibri"/>
          <w:color w:val="22333B"/>
          <w:sz w:val="21"/>
          <w:szCs w:val="21"/>
        </w:rPr>
        <w:t>The Center, the Council secretariat, the Neutral Watch Office, and the Fund employ civilian maritime professionals exclusively. Military personnel hold no operational role in any Framework body. Officers of the armed forces of any Party, including the Islamic Revolutionary Guard Corps and the regular armed forces of all Parties, hold no post in the Center, direct no operation of the watch floor, and issue no instruction to shipping through the Framework's channels. Each Party designates one military liaison officer at the policy level, accredited to the Council, who carries de-confliction traffic between the Center and that Party's forces; the liaison officers work in an annex separate from the watch floor and hold no command over Framework staff. This clause guards Red Line RL-6. The Neutral Watch Office verifies staffing compliance annually and on complaint.</w:t>
      </w:r>
    </w:p>
    <w:p>
      <w:pPr>
        <w:pStyle w:val="Normal"/>
        <w:jc w:val="both"/>
      </w:pPr>
      <w:r>
        <w:rPr>
          <w:rFonts w:ascii="Calibri" w:hAnsi="Calibri" w:eastAsia="Microsoft YaHei" w:cs="Calibri"/>
          <w:color w:val="22333B"/>
          <w:sz w:val="21"/>
          <w:szCs w:val="21"/>
        </w:rPr>
        <w:t>Contractor accountability: a contractor, subcontractor, or employee of any organ of this Framework who engages in conduct inconsistent with this Framework stands in the same legal position as the Party or organ for which they act, for all purposes of compliance and enforcement under this instrument. The Neutral Watch Office maintains a contractor register and publishes it quarterly. Accountability extends to every actor operating under the Framework, and the architecture admits no hiding behind a contractor's veil.</w:t>
      </w:r>
    </w:p>
    <w:p>
      <w:pPr>
        <w:pStyle w:val="Heading3"/>
      </w:pPr>
      <w:r>
        <w:rPr>
          <w:rFonts w:ascii="Calibri" w:hAnsi="Calibri" w:eastAsia="Microsoft YaHei" w:cs="Calibri"/>
          <w:b/>
          <w:color w:val="3A7086"/>
          <w:sz w:val="22"/>
          <w:szCs w:val="22"/>
        </w:rPr>
        <w:t>13.7 The Technical and Standards Committee</w:t>
      </w:r>
    </w:p>
    <w:p>
      <w:pPr>
        <w:pStyle w:val="Normal"/>
        <w:jc w:val="both"/>
      </w:pPr>
      <w:r>
        <w:rPr>
          <w:rFonts w:ascii="Calibri" w:hAnsi="Calibri" w:eastAsia="Microsoft YaHei" w:cs="Calibri"/>
          <w:color w:val="22333B"/>
          <w:sz w:val="21"/>
          <w:szCs w:val="21"/>
        </w:rPr>
        <w:t>The Technical and Standards Committee comprises two technical officers appointed by each Littoral Party: surveyors, engineers, and legal-technical specialists, supported by the Neutral Watch Office and the International Maritime Organization technical seat as non-voting advisers. The Committee certifies passage geometry, audits the services record, reviews incidents under Article 22, conducts the annual systems audit including the Six-Step Rule certification of Article 4.1, issues the technical certificates of Annex D, and prepares the Perimeter Tests of Article 6.2 for the legal desk's adoption. The Committee decides technical questions by simple majority with a quorum of four including at least one appointee of Iran and one of Oman. A tied question carries forward as an open item with both positions recorded, never as a suspension of the underlying operation, and routes to the independent technical referee of Article 26.3, whose determination binds all Parties on the technical facts and leaves policy to the Council.</w:t>
      </w:r>
    </w:p>
    <w:p>
      <w:pPr>
        <w:pStyle w:val="Heading3"/>
      </w:pPr>
      <w:r>
        <w:rPr>
          <w:rFonts w:ascii="Calibri" w:hAnsi="Calibri" w:eastAsia="Microsoft YaHei" w:cs="Calibri"/>
          <w:b/>
          <w:color w:val="3A7086"/>
          <w:sz w:val="22"/>
          <w:szCs w:val="22"/>
        </w:rPr>
        <w:t>13.8 Working language</w:t>
      </w:r>
    </w:p>
    <w:p>
      <w:pPr>
        <w:pStyle w:val="Normal"/>
        <w:jc w:val="both"/>
      </w:pPr>
      <w:r>
        <w:rPr>
          <w:rFonts w:ascii="Calibri" w:hAnsi="Calibri" w:eastAsia="Microsoft YaHei" w:cs="Calibri"/>
          <w:color w:val="22333B"/>
          <w:sz w:val="21"/>
          <w:szCs w:val="21"/>
        </w:rPr>
        <w:t>The working language of the Daryaban Operations Center, the mirror facility, and all operational communications under this Framework is English, using the Standard Marine Communication Phrases. All official records and publications are maintained in English and in the languages of the Littoral Parties, and the three authentic texts of Article 31 govern every question of legal meaning.</w:t>
      </w:r>
    </w:p>
    <w:p>
      <w:pPr>
        <w:pStyle w:val="Normal"/>
        <w:jc w:val="both"/>
      </w:pPr>
      <w:r>
        <w:rPr>
          <w:rFonts w:ascii="Calibri" w:hAnsi="Calibri" w:eastAsia="Microsoft YaHei" w:cs="Calibri"/>
          <w:color w:val="22333B"/>
          <w:sz w:val="21"/>
          <w:szCs w:val="21"/>
        </w:rPr>
        <w:t>Language access: the Mariners' Handbook of Annex D, the Implementation Manual of Article 31.8, and all public-facing materials of the Framework are available in Persian, Arabic, and English. The Center maintains translation capability for all official communications and publishes translations within 7 days of any material change. A framework the governed cannot read is a framework that fails.</w:t>
      </w:r>
    </w:p>
    <w:p>
      <w:pPr>
        <w:pStyle w:val="Heading3"/>
      </w:pPr>
      <w:r>
        <w:rPr>
          <w:rFonts w:ascii="Calibri" w:hAnsi="Calibri" w:eastAsia="Microsoft YaHei" w:cs="Calibri"/>
          <w:b/>
          <w:color w:val="3A7086"/>
          <w:sz w:val="22"/>
          <w:szCs w:val="22"/>
        </w:rPr>
        <w:t>13.9 System integrity</w:t>
      </w:r>
    </w:p>
    <w:p>
      <w:pPr>
        <w:pStyle w:val="Normal"/>
        <w:jc w:val="both"/>
      </w:pPr>
      <w:r>
        <w:rPr>
          <w:rFonts w:ascii="Calibri" w:hAnsi="Calibri" w:eastAsia="Microsoft YaHei" w:cs="Calibri"/>
          <w:color w:val="22333B"/>
          <w:sz w:val="21"/>
          <w:szCs w:val="21"/>
        </w:rPr>
        <w:t>The Daryaban Operations Center maintains a continuous integrity watch that monitors the registry, telemetry feeds, communications channels, and the watch floor for signs of unauthorized access, data manipulation, or system degradation. The integrity watch reports directly to the Neutral Watch Office and the Guarantor Panel, bypassing the chain of command for integrity-critical alerts. A confirmed integrity breach classifies as an Architectural Breach under Article 23 and triggers automatic referral to the Guarantor Panel within 24 hours. The Neutral Watch Office publishes a quarterly integrity report with the Bulletin. The integrity watch creates a dedicated layer of system protection independent of operational politics.</w:t>
      </w:r>
    </w:p>
    <w:p>
      <w:pPr>
        <w:pStyle w:val="Heading3"/>
      </w:pPr>
      <w:r>
        <w:rPr>
          <w:rFonts w:ascii="Calibri" w:hAnsi="Calibri" w:eastAsia="Microsoft YaHei" w:cs="Calibri"/>
          <w:b/>
          <w:color w:val="3A7086"/>
          <w:sz w:val="22"/>
          <w:szCs w:val="22"/>
        </w:rPr>
        <w:t>13.10 Whistleblower protection</w:t>
      </w:r>
    </w:p>
    <w:p>
      <w:pPr>
        <w:pStyle w:val="Normal"/>
        <w:jc w:val="both"/>
      </w:pPr>
      <w:r>
        <w:rPr>
          <w:rFonts w:ascii="Calibri" w:hAnsi="Calibri" w:eastAsia="Microsoft YaHei" w:cs="Calibri"/>
          <w:color w:val="22333B"/>
          <w:sz w:val="21"/>
          <w:szCs w:val="21"/>
        </w:rPr>
        <w:t>The Framework protects any person who reports in good faith a violation, attempted violation, or pattern of conduct inconsistent with this Framework. A whistleblower enjoys: (a) confidentiality of identity, accessible only to the Neutral Watch Office Director and the Guarantor Panel; (b) protection from retaliation by any Party, organ, or contractor; and (c) priority access to the claim process of Article 25. A proven retaliation against a whistleblower classifies as an Architectural Breach under Article 23, with points tripled. The Neutral Watch Office publishes an annual whistleblower report in aggregate form, with names and details redacted. Whistleblowers often carry the only evidence of systemic bad-faith conduct, and the architecture treats their protection as system infrastructure.</w:t>
      </w:r>
    </w:p>
    <w:p>
      <w:pPr>
        <w:pStyle w:val="Heading3"/>
      </w:pPr>
      <w:r>
        <w:rPr>
          <w:rFonts w:ascii="Calibri" w:hAnsi="Calibri" w:eastAsia="Microsoft YaHei" w:cs="Calibri"/>
          <w:b/>
          <w:color w:val="3A7086"/>
          <w:sz w:val="22"/>
          <w:szCs w:val="22"/>
        </w:rPr>
        <w:t>13.11 Physical security</w:t>
      </w:r>
    </w:p>
    <w:p>
      <w:pPr>
        <w:pStyle w:val="Normal"/>
        <w:jc w:val="both"/>
      </w:pPr>
      <w:r>
        <w:rPr>
          <w:rFonts w:ascii="Calibri" w:hAnsi="Calibri" w:eastAsia="Microsoft YaHei" w:cs="Calibri"/>
          <w:color w:val="22333B"/>
          <w:sz w:val="21"/>
          <w:szCs w:val="21"/>
        </w:rPr>
        <w:t>Each host state ensures the physical security of the Daryaban Operations Center, the mirror facility, the watch floor, and all Framework installations on its territory. The host state provides perimeter security, access control, and emergency response, consistent with the protection afforded to diplomatic missions under international law. The Neutral Watch Office conducts an annual physical security audit and publishes the findings in aggregate form.</w:t>
      </w:r>
    </w:p>
    <w:p>
      <w:pPr>
        <w:pStyle w:val="Heading3"/>
      </w:pPr>
      <w:r>
        <w:rPr>
          <w:rFonts w:ascii="Calibri" w:hAnsi="Calibri" w:eastAsia="Microsoft YaHei" w:cs="Calibri"/>
          <w:b/>
          <w:color w:val="3A7086"/>
          <w:sz w:val="22"/>
          <w:szCs w:val="22"/>
        </w:rPr>
        <w:t>13.12 Supply chain integrity</w:t>
      </w:r>
    </w:p>
    <w:p>
      <w:pPr>
        <w:pStyle w:val="Normal"/>
        <w:jc w:val="both"/>
      </w:pPr>
      <w:r>
        <w:rPr>
          <w:rFonts w:ascii="Calibri" w:hAnsi="Calibri" w:eastAsia="Microsoft YaHei" w:cs="Calibri"/>
          <w:color w:val="22333B"/>
          <w:sz w:val="21"/>
          <w:szCs w:val="21"/>
        </w:rPr>
        <w:t>All equipment, software, and services procured for the Framework carry a supply chain integrity declaration, identifying the manufacturer, the supplier, and the origin of all components. The Technical and Standards Committee maintains a supply chain register and updates it quarterly. A supply chain integrity failure, including counterfeit or compromised equipment, classifies as a Material Disruption under Article 23. The register publishes with the annual audit.</w:t>
      </w:r>
    </w:p>
    <w:p>
      <w:pPr>
        <w:pStyle w:val="Heading2"/>
      </w:pPr>
      <w:r>
        <w:rPr>
          <w:rFonts w:ascii="Calibri" w:hAnsi="Calibri" w:eastAsia="Microsoft YaHei" w:cs="Calibri"/>
          <w:b/>
          <w:color w:val="1F4E5F"/>
          <w:sz w:val="26"/>
          <w:szCs w:val="26"/>
        </w:rPr>
        <w:t>Article 14: Participation Architecture and the Role of the United States</w:t>
      </w:r>
    </w:p>
    <w:p>
      <w:pPr>
        <w:pStyle w:val="Heading3"/>
      </w:pPr>
      <w:r>
        <w:rPr>
          <w:rFonts w:ascii="Calibri" w:hAnsi="Calibri" w:eastAsia="Microsoft YaHei" w:cs="Calibri"/>
          <w:b/>
          <w:color w:val="3A7086"/>
          <w:sz w:val="22"/>
          <w:szCs w:val="22"/>
        </w:rPr>
        <w:t>14.1 The participation layers</w:t>
      </w:r>
    </w:p>
    <w:p>
      <w:pPr>
        <w:pStyle w:val="Normal"/>
        <w:jc w:val="both"/>
      </w:pPr>
      <w:r>
        <w:rPr>
          <w:rFonts w:ascii="Calibri" w:hAnsi="Calibri" w:eastAsia="Microsoft YaHei" w:cs="Calibri"/>
          <w:color w:val="22333B"/>
          <w:sz w:val="21"/>
          <w:szCs w:val="21"/>
        </w:rPr>
        <w:t>The Framework admits participation through five defined layers. The architecture grants each layer information, voice, and service in exact proportion to its function, and it reserves governance votes to the Littoral Parties alone.</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2400"/>
        <w:gridCol w:w="3300"/>
        <w:gridCol w:w="3300"/>
      </w:tblGrid>
      <w:tr>
        <w:trPr>
          <w:tblHeader w:val="1"/>
        </w:trPr>
        <w:tc>
          <w:tcPr>
            <w:tcW w:w="24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Layer</w:t>
            </w:r>
          </w:p>
        </w:tc>
        <w:tc>
          <w:tcPr>
            <w:tcW w:w="33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Participants</w:t>
            </w:r>
          </w:p>
        </w:tc>
        <w:tc>
          <w:tcPr>
            <w:tcW w:w="33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Status and function</w:t>
            </w:r>
          </w:p>
        </w:tc>
      </w:tr>
      <w:tr>
        <w:tc>
          <w:tcPr>
            <w:tcW w:w="24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Littoral Parties</w:t>
            </w:r>
          </w:p>
        </w:tc>
        <w:tc>
          <w:tcPr>
            <w:tcW w:w="3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Iran, Oman, and the United Arab Emirates as Founding Parties; Saudi Arabia, Qatar, Bahrain, Kuwait, and Iraq upon accession</w:t>
            </w:r>
          </w:p>
        </w:tc>
        <w:tc>
          <w:tcPr>
            <w:tcW w:w="3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Voting members of the Council; routing, services, and governance</w:t>
            </w:r>
          </w:p>
        </w:tc>
      </w:tr>
      <w:tr>
        <w:tc>
          <w:tcPr>
            <w:tcW w:w="24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Observer states</w:t>
            </w:r>
          </w:p>
        </w:tc>
        <w:tc>
          <w:tcPr>
            <w:tcW w:w="3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European Union, India, China, Japan, the Republic of Korea, the United Kingdom, and such other states as the Council adds</w:t>
            </w:r>
          </w:p>
        </w:tc>
        <w:tc>
          <w:tcPr>
            <w:tcW w:w="3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Full non-classified record; attend and address the Council on invitation; contribute to the Fund; no vote, no veto, no operational role</w:t>
            </w:r>
          </w:p>
        </w:tc>
      </w:tr>
      <w:tr>
        <w:tc>
          <w:tcPr>
            <w:tcW w:w="24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Institutional partners</w:t>
            </w:r>
          </w:p>
        </w:tc>
        <w:tc>
          <w:tcPr>
            <w:tcW w:w="3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International Maritime Organization, the International Hydrographic Organization, and the United Nations Mine Action Service</w:t>
            </w:r>
          </w:p>
        </w:tc>
        <w:tc>
          <w:tcPr>
            <w:tcW w:w="3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Technical validation, scheme registration, survey coordination; no treaty signature and no governing vote</w:t>
            </w:r>
          </w:p>
        </w:tc>
      </w:tr>
      <w:tr>
        <w:tc>
          <w:tcPr>
            <w:tcW w:w="24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Security liaisons</w:t>
            </w:r>
          </w:p>
        </w:tc>
        <w:tc>
          <w:tcPr>
            <w:tcW w:w="3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United States, the United Kingdom, and France, through the adherence instruments of Annex F</w:t>
            </w:r>
          </w:p>
        </w:tc>
        <w:tc>
          <w:tcPr>
            <w:tcW w:w="3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De-confliction channel participation, exercise notices, search and rescue cooperation; no governance authority of any kind</w:t>
            </w:r>
          </w:p>
        </w:tc>
      </w:tr>
      <w:tr>
        <w:tc>
          <w:tcPr>
            <w:tcW w:w="24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Non-state participants</w:t>
            </w:r>
          </w:p>
        </w:tc>
        <w:tc>
          <w:tcPr>
            <w:tcW w:w="3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Flag administrations, shipowner and operator associations, protection and indemnity clubs, and port authorities</w:t>
            </w:r>
          </w:p>
        </w:tc>
        <w:tc>
          <w:tcPr>
            <w:tcW w:w="3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Stakeholder Panel seats; data subscription; operational compliance and feedback; no treaty signature</w:t>
            </w:r>
          </w:p>
        </w:tc>
      </w:tr>
    </w:tbl>
    <w:p>
      <w:pPr>
        <w:pStyle w:val="Caption"/>
      </w:pPr>
      <w:r>
        <w:rPr>
          <w:rFonts w:ascii="Calibri" w:hAnsi="Calibri" w:eastAsia="Microsoft YaHei" w:cs="Calibri"/>
          <w:i/>
          <w:color w:val="6E8A96"/>
          <w:sz w:val="18"/>
          <w:szCs w:val="18"/>
        </w:rPr>
        <w:t>Table 14.1: The five participation layers</w:t>
      </w:r>
    </w:p>
    <w:p>
      <w:pPr>
        <w:pStyle w:val="Heading3"/>
      </w:pPr>
      <w:r>
        <w:rPr>
          <w:rFonts w:ascii="Calibri" w:hAnsi="Calibri" w:eastAsia="Microsoft YaHei" w:cs="Calibri"/>
          <w:b/>
          <w:color w:val="3A7086"/>
          <w:sz w:val="22"/>
          <w:szCs w:val="22"/>
        </w:rPr>
        <w:t>14.2 The United States as Endorsing Stakeholder</w:t>
      </w:r>
    </w:p>
    <w:p>
      <w:pPr>
        <w:pStyle w:val="Normal"/>
        <w:jc w:val="both"/>
      </w:pPr>
      <w:r>
        <w:rPr>
          <w:rFonts w:ascii="Calibri" w:hAnsi="Calibri" w:eastAsia="Microsoft YaHei" w:cs="Calibri"/>
          <w:color w:val="22333B"/>
          <w:sz w:val="21"/>
          <w:szCs w:val="21"/>
        </w:rPr>
        <w:t>The United States of America participates as Endorsing Stakeholder and as a security liaison. It is not a party to this Framework, and the architecture records no command, no veto, no fee role, and no enforcement role for it. Its role runs through five defined channels and no others:</w:t>
      </w:r>
    </w:p>
    <w:p>
      <w:pPr>
        <w:pStyle w:val="Normal"/>
        <w:ind w:left="480" w:hanging="240"/>
        <w:jc w:val="both"/>
      </w:pPr>
      <w:r>
        <w:rPr>
          <w:b/>
          <w:rFonts w:ascii="Calibri" w:hAnsi="Calibri" w:eastAsia="Microsoft YaHei" w:cs="Calibri"/>
          <w:color w:val="22333B"/>
          <w:sz w:val="21"/>
          <w:szCs w:val="21"/>
        </w:rPr>
        <w:t xml:space="preserve">1. </w:t>
      </w:r>
      <w:r>
        <w:rPr>
          <w:rFonts w:ascii="Calibri" w:hAnsi="Calibri" w:eastAsia="Microsoft YaHei" w:cs="Calibri"/>
          <w:color w:val="22333B"/>
          <w:sz w:val="21"/>
          <w:szCs w:val="21"/>
        </w:rPr>
        <w:t>A non-voting seat at the Council, through which it registers concerns on the record and reads every paper every voting member reads.</w:t>
      </w:r>
    </w:p>
    <w:p>
      <w:pPr>
        <w:pStyle w:val="Normal"/>
        <w:ind w:left="480" w:hanging="240"/>
        <w:jc w:val="both"/>
      </w:pPr>
      <w:r>
        <w:rPr>
          <w:b/>
          <w:rFonts w:ascii="Calibri" w:hAnsi="Calibri" w:eastAsia="Microsoft YaHei" w:cs="Calibri"/>
          <w:color w:val="22333B"/>
          <w:sz w:val="21"/>
          <w:szCs w:val="21"/>
        </w:rPr>
        <w:t xml:space="preserve">2. </w:t>
      </w:r>
      <w:r>
        <w:rPr>
          <w:rFonts w:ascii="Calibri" w:hAnsi="Calibri" w:eastAsia="Microsoft YaHei" w:cs="Calibri"/>
          <w:color w:val="22333B"/>
          <w:sz w:val="21"/>
          <w:szCs w:val="21"/>
        </w:rPr>
        <w:t>Adherence to the Non-Interdiction Protocol and the standoff geometry of Article 21 for its forces in the Governance Area, executed through the adherence instrument of Annex F.</w:t>
      </w:r>
    </w:p>
    <w:p>
      <w:pPr>
        <w:pStyle w:val="Normal"/>
        <w:ind w:left="480" w:hanging="240"/>
        <w:jc w:val="both"/>
      </w:pPr>
      <w:r>
        <w:rPr>
          <w:b/>
          <w:rFonts w:ascii="Calibri" w:hAnsi="Calibri" w:eastAsia="Microsoft YaHei" w:cs="Calibri"/>
          <w:color w:val="22333B"/>
          <w:sz w:val="21"/>
          <w:szCs w:val="21"/>
        </w:rPr>
        <w:t xml:space="preserve">3. </w:t>
      </w:r>
      <w:r>
        <w:rPr>
          <w:rFonts w:ascii="Calibri" w:hAnsi="Calibri" w:eastAsia="Microsoft YaHei" w:cs="Calibri"/>
          <w:color w:val="22333B"/>
          <w:sz w:val="21"/>
          <w:szCs w:val="21"/>
        </w:rPr>
        <w:t>Participation in the military de-confliction channel of Article 21.4: advance notice of exercises, movement notices, close-approach warnings, and search and rescue coordination.</w:t>
      </w:r>
    </w:p>
    <w:p>
      <w:pPr>
        <w:pStyle w:val="Normal"/>
        <w:ind w:left="480" w:hanging="240"/>
        <w:jc w:val="both"/>
      </w:pPr>
      <w:r>
        <w:rPr>
          <w:b/>
          <w:rFonts w:ascii="Calibri" w:hAnsi="Calibri" w:eastAsia="Microsoft YaHei" w:cs="Calibri"/>
          <w:color w:val="22333B"/>
          <w:sz w:val="21"/>
          <w:szCs w:val="21"/>
        </w:rPr>
        <w:t xml:space="preserve">4. </w:t>
      </w:r>
      <w:r>
        <w:rPr>
          <w:rFonts w:ascii="Calibri" w:hAnsi="Calibri" w:eastAsia="Microsoft YaHei" w:cs="Calibri"/>
          <w:color w:val="22333B"/>
          <w:sz w:val="21"/>
          <w:szCs w:val="21"/>
        </w:rPr>
        <w:t>Technical support through existing agencies and programs: vessel traffic service integration advice, hydrographic charting assistance, spill-response training, and counter-interference technology, delivered at the request of the Center and never as a condition on any Framework function.</w:t>
      </w:r>
    </w:p>
    <w:p>
      <w:pPr>
        <w:pStyle w:val="Normal"/>
        <w:ind w:left="480" w:hanging="240"/>
        <w:jc w:val="both"/>
      </w:pPr>
      <w:r>
        <w:rPr>
          <w:b/>
          <w:rFonts w:ascii="Calibri" w:hAnsi="Calibri" w:eastAsia="Microsoft YaHei" w:cs="Calibri"/>
          <w:color w:val="22333B"/>
          <w:sz w:val="21"/>
          <w:szCs w:val="21"/>
        </w:rPr>
        <w:t xml:space="preserve">5. </w:t>
      </w:r>
      <w:r>
        <w:rPr>
          <w:rFonts w:ascii="Calibri" w:hAnsi="Calibri" w:eastAsia="Microsoft YaHei" w:cs="Calibri"/>
          <w:color w:val="22333B"/>
          <w:sz w:val="21"/>
          <w:szCs w:val="21"/>
        </w:rPr>
        <w:t>Market-channel support: quiet support to protection and indemnity clubs, war-risk underwriters, and energy companies in reading the Bulletin and the Assurance Registry, so that verified performance lowers premiums.</w:t>
      </w:r>
    </w:p>
    <w:p>
      <w:pPr>
        <w:pStyle w:val="Normal"/>
        <w:jc w:val="both"/>
      </w:pPr>
      <w:r>
        <w:rPr>
          <w:rFonts w:ascii="Calibri" w:hAnsi="Calibri" w:eastAsia="Microsoft YaHei" w:cs="Calibri"/>
          <w:color w:val="22333B"/>
          <w:sz w:val="21"/>
          <w:szCs w:val="21"/>
        </w:rPr>
        <w:t>The Endorsing Stakeholder role keeps the Framework a littoral-state governance instrument rather than a geopolitical treaty: it preserves Omani neutrality, keeps Iranian engagement, and avoids converting the Framework into any external state's security instrument. The United States holds no role in fee structures, revenue questions, or the Transit Services Fund, and the architecture excludes its participation in every conduct classification. A request by the Endorsing Stakeholder for a technical briefing on any matter touching the concerns it registers on the record activates a Daryaban Council briefing within 14 days.</w:t>
      </w:r>
    </w:p>
    <w:p>
      <w:pPr>
        <w:pStyle w:val="Heading3"/>
      </w:pPr>
      <w:r>
        <w:rPr>
          <w:rFonts w:ascii="Calibri" w:hAnsi="Calibri" w:eastAsia="Microsoft YaHei" w:cs="Calibri"/>
          <w:b/>
          <w:color w:val="3A7086"/>
          <w:sz w:val="22"/>
          <w:szCs w:val="22"/>
        </w:rPr>
        <w:t>14.3 Observer states</w:t>
      </w:r>
    </w:p>
    <w:p>
      <w:pPr>
        <w:pStyle w:val="Normal"/>
        <w:jc w:val="both"/>
      </w:pPr>
      <w:r>
        <w:rPr>
          <w:rFonts w:ascii="Calibri" w:hAnsi="Calibri" w:eastAsia="Microsoft YaHei" w:cs="Calibri"/>
          <w:color w:val="22333B"/>
          <w:sz w:val="21"/>
          <w:szCs w:val="21"/>
        </w:rPr>
        <w:t>The standing observer invitations of Annex F extend to the European Union, India, China, Japan, the Republic of Korea, the United Kingdom, and such other states as the Council adds by the decision rule of Article 15.3. Observer states receive the full non-classified record, attend the Council, address it on invitation, and contribute to the Fund under Article 17. An observer state never receives a vote, a veto, or an operational role.</w:t>
      </w:r>
    </w:p>
    <w:p>
      <w:pPr>
        <w:pStyle w:val="Heading3"/>
      </w:pPr>
      <w:r>
        <w:rPr>
          <w:rFonts w:ascii="Calibri" w:hAnsi="Calibri" w:eastAsia="Microsoft YaHei" w:cs="Calibri"/>
          <w:b/>
          <w:color w:val="3A7086"/>
          <w:sz w:val="22"/>
          <w:szCs w:val="22"/>
        </w:rPr>
        <w:t>14.4 The Stakeholder Panel</w:t>
      </w:r>
    </w:p>
    <w:p>
      <w:pPr>
        <w:pStyle w:val="Normal"/>
        <w:jc w:val="both"/>
      </w:pPr>
      <w:r>
        <w:rPr>
          <w:rFonts w:ascii="Calibri" w:hAnsi="Calibri" w:eastAsia="Microsoft YaHei" w:cs="Calibri"/>
          <w:color w:val="22333B"/>
          <w:sz w:val="21"/>
          <w:szCs w:val="21"/>
        </w:rPr>
        <w:t>The Stakeholder Panel seats twelve advisory members: four flag-state maritime administrations, four shipowner and operator associations, two protection and indemnity club representatives, and two port authority representatives, one Gulf-side and one Oman-side. The Panel meets twice a year with the Council, reviews the Bulletin statistics, the Catalog rates, and the Registry operation, and files advisory opinions. The Council answers every opinion in the record within 60 days.</w:t>
      </w:r>
    </w:p>
    <w:p>
      <w:pPr>
        <w:pStyle w:val="Heading3"/>
      </w:pPr>
      <w:r>
        <w:rPr>
          <w:rFonts w:ascii="Calibri" w:hAnsi="Calibri" w:eastAsia="Microsoft YaHei" w:cs="Calibri"/>
          <w:b/>
          <w:color w:val="3A7086"/>
          <w:sz w:val="22"/>
          <w:szCs w:val="22"/>
        </w:rPr>
        <w:t>14.5 No external command</w:t>
      </w:r>
    </w:p>
    <w:p>
      <w:pPr>
        <w:pStyle w:val="Normal"/>
        <w:jc w:val="both"/>
      </w:pPr>
      <w:r>
        <w:rPr>
          <w:rFonts w:ascii="Calibri" w:hAnsi="Calibri" w:eastAsia="Microsoft YaHei" w:cs="Calibri"/>
          <w:color w:val="22333B"/>
          <w:sz w:val="21"/>
          <w:szCs w:val="21"/>
        </w:rPr>
        <w:t>No external state or body commands any element of the Framework. External participation occurs through the interfaces this Article defines, and the architecture routes every external request through the Council under the decision rules of Article 15. This rule guards Red Line RL-14.</w:t>
      </w:r>
    </w:p>
    <w:p>
      <w:pPr>
        <w:pStyle w:val="Heading3"/>
      </w:pPr>
      <w:r>
        <w:rPr>
          <w:rFonts w:ascii="Calibri" w:hAnsi="Calibri" w:eastAsia="Microsoft YaHei" w:cs="Calibri"/>
          <w:b/>
          <w:color w:val="3A7086"/>
          <w:sz w:val="22"/>
          <w:szCs w:val="22"/>
        </w:rPr>
        <w:t>14.6 Non-participation</w:t>
      </w:r>
    </w:p>
    <w:p>
      <w:pPr>
        <w:pStyle w:val="Normal"/>
        <w:jc w:val="both"/>
      </w:pPr>
      <w:r>
        <w:rPr>
          <w:rFonts w:ascii="Calibri" w:hAnsi="Calibri" w:eastAsia="Microsoft YaHei" w:cs="Calibri"/>
          <w:color w:val="22333B"/>
          <w:sz w:val="21"/>
          <w:szCs w:val="21"/>
        </w:rPr>
        <w:t>A littoral state that does not participate in this Framework retains every right it holds under international law, and this Framework neither diminishes nor conditions those rights. Within the Governance Area, the Framework stands as the sole multilateral governance system for the Strait, and no state establishes or operates a parallel governance mechanism over the same waters. A non-participating state receives the public tier of the Bulletin and the open record like every other reader, and the accession path of Article 28 remains open to it without time limit.</w:t>
      </w:r>
    </w:p>
    <w:p>
      <w:pPr>
        <w:pStyle w:val="Heading3"/>
      </w:pPr>
      <w:r>
        <w:rPr>
          <w:rFonts w:ascii="Calibri" w:hAnsi="Calibri" w:eastAsia="Microsoft YaHei" w:cs="Calibri"/>
          <w:b/>
          <w:color w:val="3A7086"/>
          <w:sz w:val="22"/>
          <w:szCs w:val="22"/>
        </w:rPr>
        <w:t>14.7 Public accountability</w:t>
      </w:r>
    </w:p>
    <w:p>
      <w:pPr>
        <w:pStyle w:val="Normal"/>
        <w:jc w:val="both"/>
      </w:pPr>
      <w:r>
        <w:rPr>
          <w:rFonts w:ascii="Calibri" w:hAnsi="Calibri" w:eastAsia="Microsoft YaHei" w:cs="Calibri"/>
          <w:color w:val="22333B"/>
          <w:sz w:val="21"/>
          <w:szCs w:val="21"/>
        </w:rPr>
        <w:t>The Independent Assurance Council, the Stakeholder Panel, and the Neutral Watch Office hold annual public sessions at the Open Water Review Conference, at which any Party, observer state, or stakeholder addresses the Council on the record. The sessions are webcast and archived, with interpretation provided in Persian, Arabic, and English. The public sessions give every participant a voice and every observer a window into the system's health, and transparency builds the trust that no assurance letter buys.</w:t>
      </w:r>
    </w:p>
    <w:p>
      <w:pPr>
        <w:pStyle w:val="Heading3"/>
      </w:pPr>
      <w:r>
        <w:rPr>
          <w:rFonts w:ascii="Calibri" w:hAnsi="Calibri" w:eastAsia="Microsoft YaHei" w:cs="Calibri"/>
          <w:b/>
          <w:color w:val="3A7086"/>
          <w:sz w:val="22"/>
          <w:szCs w:val="22"/>
        </w:rPr>
        <w:t>14.8 Regional dialogue</w:t>
      </w:r>
    </w:p>
    <w:p>
      <w:pPr>
        <w:pStyle w:val="Normal"/>
        <w:jc w:val="both"/>
      </w:pPr>
      <w:r>
        <w:rPr>
          <w:rFonts w:ascii="Calibri" w:hAnsi="Calibri" w:eastAsia="Microsoft YaHei" w:cs="Calibri"/>
          <w:color w:val="22333B"/>
          <w:sz w:val="21"/>
          <w:szCs w:val="21"/>
        </w:rPr>
        <w:t>The Council convenes an annual Regional Dialogue Session, open to all Gulf states, whether Parties or not, and to the Gulf Cooperation Council Secretariat. The Session addresses matters of shared concern: aids to navigation, hydrographic priorities, search and rescue interfaces, environmental standards, and the accession path. The Session's proceedings publish in summary form, and the Council answers every recommendation within 90 days. The Session positions the Framework as a regional asset, never a regional threat.</w:t>
      </w:r>
    </w:p>
    <w:p>
      <w:pPr>
        <w:pStyle w:val="Heading3"/>
      </w:pPr>
      <w:r>
        <w:rPr>
          <w:rFonts w:ascii="Calibri" w:hAnsi="Calibri" w:eastAsia="Microsoft YaHei" w:cs="Calibri"/>
          <w:b/>
          <w:color w:val="3A7086"/>
          <w:sz w:val="22"/>
          <w:szCs w:val="22"/>
        </w:rPr>
        <w:t>14.9 User feedback channel</w:t>
      </w:r>
    </w:p>
    <w:p>
      <w:pPr>
        <w:pStyle w:val="Normal"/>
        <w:jc w:val="both"/>
      </w:pPr>
      <w:r>
        <w:rPr>
          <w:rFonts w:ascii="Calibri" w:hAnsi="Calibri" w:eastAsia="Microsoft YaHei" w:cs="Calibri"/>
          <w:color w:val="22333B"/>
          <w:sz w:val="21"/>
          <w:szCs w:val="21"/>
        </w:rPr>
        <w:t>The Stakeholder Panel maintains a permanent user feedback channel for vessel operators, insurers, flag states, and port authorities to report operational friction, suggest procedural improvements, and raise concerns. The channel receives all feedback on the record, acknowledges it within 7 days, and provides a substantive response within 60 days. The feedback and responses publish in summary form with the Bulletin. The users know what works and what fails, and the architecture listens to them by design.</w:t>
      </w:r>
    </w:p>
    <w:p>
      <w:pPr>
        <w:pStyle w:val="Heading2"/>
      </w:pPr>
      <w:r>
        <w:rPr>
          <w:rFonts w:ascii="Calibri" w:hAnsi="Calibri" w:eastAsia="Microsoft YaHei" w:cs="Calibri"/>
          <w:b/>
          <w:color w:val="1F4E5F"/>
          <w:sz w:val="26"/>
          <w:szCs w:val="26"/>
        </w:rPr>
        <w:t>Article 15: Decision Rules</w:t>
      </w:r>
    </w:p>
    <w:p>
      <w:pPr>
        <w:pStyle w:val="Heading3"/>
      </w:pPr>
      <w:r>
        <w:rPr>
          <w:rFonts w:ascii="Calibri" w:hAnsi="Calibri" w:eastAsia="Microsoft YaHei" w:cs="Calibri"/>
          <w:b/>
          <w:color w:val="3A7086"/>
          <w:sz w:val="22"/>
          <w:szCs w:val="22"/>
        </w:rPr>
        <w:t>15.1 The three tracks</w:t>
      </w:r>
    </w:p>
    <w:p>
      <w:pPr>
        <w:pStyle w:val="Normal"/>
        <w:jc w:val="both"/>
      </w:pPr>
      <w:r>
        <w:rPr>
          <w:rFonts w:ascii="Calibri" w:hAnsi="Calibri" w:eastAsia="Microsoft YaHei" w:cs="Calibri"/>
          <w:color w:val="22333B"/>
          <w:sz w:val="21"/>
          <w:szCs w:val="21"/>
        </w:rPr>
        <w:t>Council decisions follow three tracks. Political questions, including amendments, scope changes, budgets, accession, and spillover certification, follow Article 15.3. Passage-operative questions touching the core bargain follow the Twin Key Rule of Article 15.2. Technical determinations, including confirmation of a Neutral Watch finding, data fidelity, measurement questions, and claim confirmation levels, follow Article 15.4. A classification question under Article 23 never counts as technical for the purpose of this rule.</w:t>
      </w:r>
    </w:p>
    <w:p>
      <w:pPr>
        <w:pStyle w:val="Heading3"/>
      </w:pPr>
      <w:r>
        <w:rPr>
          <w:rFonts w:ascii="Calibri" w:hAnsi="Calibri" w:eastAsia="Microsoft YaHei" w:cs="Calibri"/>
          <w:b/>
          <w:color w:val="3A7086"/>
          <w:sz w:val="22"/>
          <w:szCs w:val="22"/>
        </w:rPr>
        <w:t>15.2 The Twin Key Rule</w:t>
      </w:r>
    </w:p>
    <w:p>
      <w:pPr>
        <w:pStyle w:val="Normal"/>
        <w:jc w:val="both"/>
      </w:pPr>
      <w:r>
        <w:rPr>
          <w:rFonts w:ascii="Calibri" w:hAnsi="Calibri" w:eastAsia="Microsoft YaHei" w:cs="Calibri"/>
          <w:color w:val="22333B"/>
          <w:sz w:val="21"/>
          <w:szCs w:val="21"/>
        </w:rPr>
        <w:t>Decisions on passage geometry, flow-state doctrine, the Verified Services Catalog, the budget, and any measure that touches a Red Line carry two keys: the affirmative vote of at least one Iranian member and the affirmative vote of at least one Omani member. No such decision passes on a single key, and no such decision binds only one Party. The Council records every Twin Key decision in a paired-minute format: each minute states the decision, the Perimeter Test, the dissent if any, and the two keys. A matter that fails the Twin Key Rule twice moves to the facilitation tier of Article 26.2 with the votes recorded.</w:t>
      </w:r>
    </w:p>
    <w:p>
      <w:pPr>
        <w:pStyle w:val="Heading3"/>
      </w:pPr>
      <w:r>
        <w:rPr>
          <w:rFonts w:ascii="Calibri" w:hAnsi="Calibri" w:eastAsia="Microsoft YaHei" w:cs="Calibri"/>
          <w:b/>
          <w:color w:val="3A7086"/>
          <w:sz w:val="22"/>
          <w:szCs w:val="22"/>
        </w:rPr>
        <w:t>15.3 Consensus and Consensus Minus One</w:t>
      </w:r>
    </w:p>
    <w:p>
      <w:pPr>
        <w:pStyle w:val="Normal"/>
        <w:jc w:val="both"/>
      </w:pPr>
      <w:r>
        <w:rPr>
          <w:rFonts w:ascii="Calibri" w:hAnsi="Calibri" w:eastAsia="Microsoft YaHei" w:cs="Calibri"/>
          <w:color w:val="22333B"/>
          <w:sz w:val="21"/>
          <w:szCs w:val="21"/>
        </w:rPr>
        <w:t>Political questions pass by consensus of the Littoral Parties. Where a decision concerns the conduct of one Party, that Party's vote stands aside and the remaining voting members decide by consensus; where consensus minus one fails, the matter moves automatically to the Guarantor and Facilitation Panel for final political judgment within 7 days. The rule prevents a Party from blocking a finding about its own conduct through procedural obstruction, while preserving full political consensus for questions of general application.</w:t>
      </w:r>
    </w:p>
    <w:p>
      <w:pPr>
        <w:pStyle w:val="Heading3"/>
      </w:pPr>
      <w:r>
        <w:rPr>
          <w:rFonts w:ascii="Calibri" w:hAnsi="Calibri" w:eastAsia="Microsoft YaHei" w:cs="Calibri"/>
          <w:b/>
          <w:color w:val="3A7086"/>
          <w:sz w:val="22"/>
          <w:szCs w:val="22"/>
        </w:rPr>
        <w:t>15.4 Technical determinations and the silence procedure</w:t>
      </w:r>
    </w:p>
    <w:p>
      <w:pPr>
        <w:pStyle w:val="Normal"/>
        <w:jc w:val="both"/>
      </w:pPr>
      <w:r>
        <w:rPr>
          <w:rFonts w:ascii="Calibri" w:hAnsi="Calibri" w:eastAsia="Microsoft YaHei" w:cs="Calibri"/>
          <w:color w:val="22333B"/>
          <w:sz w:val="21"/>
          <w:szCs w:val="21"/>
        </w:rPr>
        <w:t>Technical determinations rest on evidence under the Convergence Standard, not on votes. Where the Council acts on a routine technical annex adjustment, the Mediator of Record circulates the text and it stands adopted 30 days after circulation absent a written objection from any Littoral Party. The silence procedure keeps routine technical maintenance free of negotiation drama, and the record publishes every adoption.</w:t>
      </w:r>
    </w:p>
    <w:p>
      <w:pPr>
        <w:pStyle w:val="Heading3"/>
      </w:pPr>
      <w:r>
        <w:rPr>
          <w:rFonts w:ascii="Calibri" w:hAnsi="Calibri" w:eastAsia="Microsoft YaHei" w:cs="Calibri"/>
          <w:b/>
          <w:color w:val="3A7086"/>
          <w:sz w:val="22"/>
          <w:szCs w:val="22"/>
        </w:rPr>
        <w:t>15.5 Default continuity</w:t>
      </w:r>
    </w:p>
    <w:p>
      <w:pPr>
        <w:pStyle w:val="Normal"/>
        <w:jc w:val="both"/>
      </w:pPr>
      <w:r>
        <w:rPr>
          <w:rFonts w:ascii="Calibri" w:hAnsi="Calibri" w:eastAsia="Microsoft YaHei" w:cs="Calibri"/>
          <w:color w:val="22333B"/>
          <w:sz w:val="21"/>
          <w:szCs w:val="21"/>
        </w:rPr>
        <w:t>Where a decision stalls, the standing procedures of this Framework and its Annexes govern by default, per the Nofade Guarantee: the previous budget runs, the previous rate runs, the existing annex text runs. No deadlock suspends, degrades, or re-prices any operation of the corridor system.</w:t>
      </w:r>
    </w:p>
    <w:p>
      <w:pPr>
        <w:pStyle w:val="Heading3"/>
      </w:pPr>
      <w:r>
        <w:rPr>
          <w:rFonts w:ascii="Calibri" w:hAnsi="Calibri" w:eastAsia="Microsoft YaHei" w:cs="Calibri"/>
          <w:b/>
          <w:color w:val="3A7086"/>
          <w:sz w:val="22"/>
          <w:szCs w:val="22"/>
        </w:rPr>
        <w:t>15.6 The Guarantor and Facilitation Panel</w:t>
      </w:r>
    </w:p>
    <w:p>
      <w:pPr>
        <w:pStyle w:val="Normal"/>
        <w:jc w:val="both"/>
      </w:pPr>
      <w:r>
        <w:rPr>
          <w:rFonts w:ascii="Calibri" w:hAnsi="Calibri" w:eastAsia="Microsoft YaHei" w:cs="Calibri"/>
          <w:color w:val="22333B"/>
          <w:sz w:val="21"/>
          <w:szCs w:val="21"/>
        </w:rPr>
        <w:t>The Guarantor and Facilitation Panel provides the final political judgment layer. It comprises the Sultanate of Oman, the Swiss Confederation, the State of Qatar, and the Islamic Republic of Pakistan as standing members, plus two rotating members drawn from a list maintained by the Council, with Japan and Singapore as the initial rotating members for their maritime-technical standing. The Panel convenes within 48 hours of an Architectural Breach classification, a failed Council referral, or a Red Line Consultation escalation. The Panel operates on a published rapid-response clock: a preliminary determination issues within 72 hours of convening, and a final determination issues within 120 hours of convening. A missed clock classifies under Annex C, category G-1, and the matter in question resolves by operation of the registry data and the verification certifications until the Panel acts, so that no actor profits from dragging out the review. The Panel's determinations on classification and restoration bind the operation of the mechanisms. The Panel possesses no military, police, or sanctioning power; its authority flows from the automaticity of the mechanisms it certifies.</w:t>
      </w:r>
    </w:p>
    <w:p>
      <w:pPr>
        <w:pStyle w:val="Heading1"/>
      </w:pPr>
      <w:r>
        <w:rPr>
          <w:rFonts w:ascii="Calibri" w:hAnsi="Calibri" w:eastAsia="Microsoft YaHei" w:cs="Calibri"/>
          <w:b/>
          <w:color w:val="1F4E5F"/>
          <w:sz w:val="30"/>
          <w:szCs w:val="30"/>
        </w:rPr>
        <w:t>Part IV: The Financial Architecture: The Settlement of the Toll Question</w:t>
      </w:r>
    </w:p>
    <w:p>
      <w:pPr>
        <w:pStyle w:val="Heading2"/>
      </w:pPr>
      <w:r>
        <w:rPr>
          <w:rFonts w:ascii="Calibri" w:hAnsi="Calibri" w:eastAsia="Microsoft YaHei" w:cs="Calibri"/>
          <w:b/>
          <w:color w:val="1F4E5F"/>
          <w:sz w:val="26"/>
          <w:szCs w:val="26"/>
        </w:rPr>
        <w:t>Article 16: The Zero-Toll Rule</w:t>
      </w:r>
    </w:p>
    <w:p>
      <w:pPr>
        <w:pStyle w:val="Heading3"/>
      </w:pPr>
      <w:r>
        <w:rPr>
          <w:rFonts w:ascii="Calibri" w:hAnsi="Calibri" w:eastAsia="Microsoft YaHei" w:cs="Calibri"/>
          <w:b/>
          <w:color w:val="3A7086"/>
          <w:sz w:val="22"/>
          <w:szCs w:val="22"/>
        </w:rPr>
        <w:t>16.1 The rule</w:t>
      </w:r>
    </w:p>
    <w:p>
      <w:pPr>
        <w:pStyle w:val="Normal"/>
        <w:jc w:val="both"/>
      </w:pPr>
      <w:r>
        <w:rPr>
          <w:rFonts w:ascii="Calibri" w:hAnsi="Calibri" w:eastAsia="Microsoft YaHei" w:cs="Calibri"/>
          <w:color w:val="22333B"/>
          <w:sz w:val="21"/>
          <w:szCs w:val="21"/>
        </w:rPr>
        <w:t>No charge of any kind attaches to the act of transit through the Strait of Hormuz, in any corridor, for any vessel, of any class, under any circumstances. Transit is free. The architecture defines the following measures as tolls regardless of their label, and excludes each of them absolutely: passage fees; transit charges; strait dues; per-ton or per-vessel charges on navigation; fee payments as a condition of entry, acknowledgment, scheduling, escort, or bulletin access; charges denominated as insurance, security, or environmental levies computed on transit rather than on a documented service; and mandatory insurance purchase from a designated provider as a condition of transit.</w:t>
      </w:r>
    </w:p>
    <w:p>
      <w:pPr>
        <w:pStyle w:val="Heading3"/>
      </w:pPr>
      <w:r>
        <w:rPr>
          <w:rFonts w:ascii="Calibri" w:hAnsi="Calibri" w:eastAsia="Microsoft YaHei" w:cs="Calibri"/>
          <w:b/>
          <w:color w:val="3A7086"/>
          <w:sz w:val="22"/>
          <w:szCs w:val="22"/>
        </w:rPr>
        <w:t>16.2 Mandatory insurance excluded</w:t>
      </w:r>
    </w:p>
    <w:p>
      <w:pPr>
        <w:pStyle w:val="Normal"/>
        <w:jc w:val="both"/>
      </w:pPr>
      <w:r>
        <w:rPr>
          <w:rFonts w:ascii="Calibri" w:hAnsi="Calibri" w:eastAsia="Microsoft YaHei" w:cs="Calibri"/>
          <w:color w:val="22333B"/>
          <w:sz w:val="21"/>
          <w:szCs w:val="21"/>
        </w:rPr>
        <w:t>The architecture excludes mandatory purchase of insurance from any designated provider as a condition of transit. Each vessel carries the insurance its flag state and its protection and indemnity club require, and the Assurance Registry recognizes every internationally established club and every commercial war-risk underwriter on equal terms.</w:t>
      </w:r>
    </w:p>
    <w:p>
      <w:pPr>
        <w:pStyle w:val="Heading3"/>
      </w:pPr>
      <w:r>
        <w:rPr>
          <w:rFonts w:ascii="Calibri" w:hAnsi="Calibri" w:eastAsia="Microsoft YaHei" w:cs="Calibri"/>
          <w:b/>
          <w:color w:val="3A7086"/>
          <w:sz w:val="22"/>
          <w:szCs w:val="22"/>
        </w:rPr>
        <w:t>16.3 Scope</w:t>
      </w:r>
    </w:p>
    <w:p>
      <w:pPr>
        <w:pStyle w:val="Normal"/>
        <w:jc w:val="both"/>
      </w:pPr>
      <w:r>
        <w:rPr>
          <w:rFonts w:ascii="Calibri" w:hAnsi="Calibri" w:eastAsia="Microsoft YaHei" w:cs="Calibri"/>
          <w:color w:val="22333B"/>
          <w:sz w:val="21"/>
          <w:szCs w:val="21"/>
        </w:rPr>
        <w:t>The Zero-Toll Rule covers every channel of the Governance Area, every lane, every anchorage, and every approach within the boundary coordinates of Article 7.2. The rule admits no exception for vessel class, flag, ownership, cargo origin or destination, crew nationality, insurer, or any other characteristic. The rule stands permanently under the Nofade Guarantee, Article 5.5.</w:t>
      </w:r>
    </w:p>
    <w:p>
      <w:pPr>
        <w:pStyle w:val="Heading3"/>
      </w:pPr>
      <w:r>
        <w:rPr>
          <w:rFonts w:ascii="Calibri" w:hAnsi="Calibri" w:eastAsia="Microsoft YaHei" w:cs="Calibri"/>
          <w:b/>
          <w:color w:val="3A7086"/>
          <w:sz w:val="22"/>
          <w:szCs w:val="22"/>
        </w:rPr>
        <w:t>16.4 The service-fee distinction reaffirmed</w:t>
      </w:r>
    </w:p>
    <w:p>
      <w:pPr>
        <w:pStyle w:val="Normal"/>
        <w:jc w:val="both"/>
      </w:pPr>
      <w:r>
        <w:rPr>
          <w:rFonts w:ascii="Calibri" w:hAnsi="Calibri" w:eastAsia="Microsoft YaHei" w:cs="Calibri"/>
          <w:color w:val="22333B"/>
          <w:sz w:val="21"/>
          <w:szCs w:val="21"/>
        </w:rPr>
        <w:t>Article 2.3's distinction governs all charging inside the Governance Area. A charge touches passage when its amount, timing, or conditionality attaches to the vessel's movement through the Strait; such a charge is a toll and the architecture excludes it. A charge attaches to a service when it follows a documented delivery, at a pre-published rate, auditable against a record; such a charge flows exclusively through the Transit Services Fund under Article 17. No Party, organ, or contractor collects any payment directly from any vessel, operator, or shipper for anything connected with the Governance Area.</w:t>
      </w:r>
    </w:p>
    <w:p>
      <w:pPr>
        <w:pStyle w:val="Normal"/>
        <w:jc w:val="both"/>
      </w:pPr>
      <w:r>
        <w:rPr>
          <w:rFonts w:ascii="Calibri" w:hAnsi="Calibri" w:eastAsia="Microsoft YaHei" w:cs="Calibri"/>
          <w:color w:val="22333B"/>
          <w:sz w:val="21"/>
          <w:szCs w:val="21"/>
        </w:rPr>
        <w:t>Non-prejudice of the settlement: nothing in this Framework's reimbursement architecture constitutes recognition by any Party of any legal position on the character or status of the Strait of Hormuz, the right of transit passage, or the lawfulness of any prior charge under international law. The reimbursement mechanism is a practical settlement of the fee question, and it prejudices no legal position of any Party.</w:t>
      </w:r>
    </w:p>
    <w:p>
      <w:pPr>
        <w:pStyle w:val="Heading3"/>
      </w:pPr>
      <w:r>
        <w:rPr>
          <w:rFonts w:ascii="Calibri" w:hAnsi="Calibri" w:eastAsia="Microsoft YaHei" w:cs="Calibri"/>
          <w:b/>
          <w:color w:val="3A7086"/>
          <w:sz w:val="22"/>
          <w:szCs w:val="22"/>
        </w:rPr>
        <w:t>16.5 What the Fund pays for instead</w:t>
      </w:r>
    </w:p>
    <w:p>
      <w:pPr>
        <w:pStyle w:val="Normal"/>
        <w:jc w:val="both"/>
      </w:pPr>
      <w:r>
        <w:rPr>
          <w:rFonts w:ascii="Calibri" w:hAnsi="Calibri" w:eastAsia="Microsoft YaHei" w:cs="Calibri"/>
          <w:color w:val="22333B"/>
          <w:sz w:val="21"/>
          <w:szCs w:val="21"/>
        </w:rPr>
        <w:t>The Parties finance the operating costs of the corridor system, including vessel traffic service operation, aids to navigation, hydrographic survey, search and rescue readiness, escort coordination, environmental standby, and the Framework's institutions, collectively through the Transit Services Fund. The Parties treat these costs as the shared cost of a shared waterway, not as charges on the ships that use it. The Fund's resources originate in endowment contributions, access contributions, and optional data-service subscriptions, per Article 17, and every inflow and outflow stands auditable and published under Article 18.</w:t>
      </w:r>
    </w:p>
    <w:p>
      <w:pPr>
        <w:pStyle w:val="Heading3"/>
      </w:pPr>
      <w:r>
        <w:rPr>
          <w:rFonts w:ascii="Calibri" w:hAnsi="Calibri" w:eastAsia="Microsoft YaHei" w:cs="Calibri"/>
          <w:b/>
          <w:color w:val="3A7086"/>
          <w:sz w:val="22"/>
          <w:szCs w:val="22"/>
        </w:rPr>
        <w:t>16.6 Domestic law reconciliation</w:t>
      </w:r>
    </w:p>
    <w:p>
      <w:pPr>
        <w:pStyle w:val="Normal"/>
        <w:jc w:val="both"/>
      </w:pPr>
      <w:r>
        <w:rPr>
          <w:rFonts w:ascii="Calibri" w:hAnsi="Calibri" w:eastAsia="Microsoft YaHei" w:cs="Calibri"/>
          <w:color w:val="22333B"/>
          <w:sz w:val="21"/>
          <w:szCs w:val="21"/>
        </w:rPr>
        <w:t>Where a Party's domestic law enacts or advances a fee measure touching the Strait, that Party's obligations under this Framework govern its conduct within the Governance Area: no collection occurs, no condition attaches, and the Daryaban Operations Center continues to acknowledge notifications and operate traffic without reference to the domestic measure. The Party routes the domestic measure to the facilitation tier of Article 26.2 for reconciliation within 90 days, and the public assurance layer of Article 14 notes the reconciliation status in its public reporting. The architecture thereby absorbs legislative friction without touching the water. Nothing in this Framework precludes any Party from presenting the service reimbursement mechanism domestically as a fee for services rendered, provided the mechanism operates internationally as a collective contribution structure and no vessel's transit ever conditions on payment.</w:t>
      </w:r>
    </w:p>
    <w:p>
      <w:pPr>
        <w:pStyle w:val="Heading2"/>
      </w:pPr>
      <w:r>
        <w:rPr>
          <w:rFonts w:ascii="Calibri" w:hAnsi="Calibri" w:eastAsia="Microsoft YaHei" w:cs="Calibri"/>
          <w:b/>
          <w:color w:val="1F4E5F"/>
          <w:sz w:val="26"/>
          <w:szCs w:val="26"/>
        </w:rPr>
        <w:t>Article 17: The Transit Services Fund</w:t>
      </w:r>
    </w:p>
    <w:p>
      <w:pPr>
        <w:pStyle w:val="Heading3"/>
      </w:pPr>
      <w:r>
        <w:rPr>
          <w:rFonts w:ascii="Calibri" w:hAnsi="Calibri" w:eastAsia="Microsoft YaHei" w:cs="Calibri"/>
          <w:b/>
          <w:color w:val="3A7086"/>
          <w:sz w:val="22"/>
          <w:szCs w:val="22"/>
        </w:rPr>
        <w:t>17.1 Establishment and legal form</w:t>
      </w:r>
    </w:p>
    <w:p>
      <w:pPr>
        <w:pStyle w:val="Normal"/>
        <w:jc w:val="both"/>
      </w:pPr>
      <w:r>
        <w:rPr>
          <w:rFonts w:ascii="Calibri" w:hAnsi="Calibri" w:eastAsia="Microsoft YaHei" w:cs="Calibri"/>
          <w:color w:val="22333B"/>
          <w:sz w:val="21"/>
          <w:szCs w:val="21"/>
        </w:rPr>
        <w:t>The Parties establish the Transit Services Fund as the single financial vehicle of the Framework. The Fund takes the legal form of a multilateral fiduciary facility administered by the Neutral Administrator under Swiss law, with its principal account in Switzerland and mirror settlement arrangements in Muscat. The Fund exists to pay for verified maritime services and Framework institutions, to reimburse the coastal states for services delivered, and to compensate economic loss where a disruption certified under this Framework closes a corridor. The Fund never pays any Party for passage, and no payment from the Fund ever travels as a condition of any vessel's transit.</w:t>
      </w:r>
    </w:p>
    <w:p>
      <w:pPr>
        <w:pStyle w:val="Heading3"/>
      </w:pPr>
      <w:r>
        <w:rPr>
          <w:rFonts w:ascii="Calibri" w:hAnsi="Calibri" w:eastAsia="Microsoft YaHei" w:cs="Calibri"/>
          <w:b/>
          <w:color w:val="3A7086"/>
          <w:sz w:val="22"/>
          <w:szCs w:val="22"/>
        </w:rPr>
        <w:t>17.2 Purpose and the humanitarian lock</w:t>
      </w:r>
    </w:p>
    <w:p>
      <w:pPr>
        <w:pStyle w:val="Normal"/>
        <w:jc w:val="both"/>
      </w:pPr>
      <w:r>
        <w:rPr>
          <w:rFonts w:ascii="Calibri" w:hAnsi="Calibri" w:eastAsia="Microsoft YaHei" w:cs="Calibri"/>
          <w:color w:val="22333B"/>
          <w:sz w:val="21"/>
          <w:szCs w:val="21"/>
        </w:rPr>
        <w:t>The Fund serves five purposes, in stated order of priority: first, the costs of the Neutral Watch Office, the Daryaban Operations Center, and the Independent Assurance Council, as a first call on all revenue; second, reimbursement of verified services under the Catalog of Article 19; third, readiness and standby capacity for escort, salvage, and pollution response; fourth, the compensation window of Article 17.7; fifth, capacity building for the maritime administrations of the Littoral Parties. The Fund operates under the humanitarian lock: it maintains a standing liquidity reserve equal to six months of institutional costs, and no draw, suspension, or dispute ever touches the reserve or delays a humanitarian transaction.</w:t>
      </w:r>
    </w:p>
    <w:p>
      <w:pPr>
        <w:pStyle w:val="Heading3"/>
      </w:pPr>
      <w:r>
        <w:rPr>
          <w:rFonts w:ascii="Calibri" w:hAnsi="Calibri" w:eastAsia="Microsoft YaHei" w:cs="Calibri"/>
          <w:b/>
          <w:color w:val="3A7086"/>
          <w:sz w:val="22"/>
          <w:szCs w:val="22"/>
        </w:rPr>
        <w:t>17.3 Resources</w:t>
      </w:r>
    </w:p>
    <w:p>
      <w:pPr>
        <w:pStyle w:val="Normal"/>
        <w:jc w:val="both"/>
      </w:pPr>
      <w:r>
        <w:rPr>
          <w:rFonts w:ascii="Calibri" w:hAnsi="Calibri" w:eastAsia="Microsoft YaHei" w:cs="Calibri"/>
          <w:color w:val="22333B"/>
          <w:sz w:val="21"/>
          <w:szCs w:val="21"/>
        </w:rPr>
        <w:t>The Fund's resources originate in three channels: endowment contributions from the Littoral Parties and participating user states at accession or endorsement, per the schedule of Annex B, Section B.2; access contributions from participants whose vessels consume Catalog services above the shared baseline, under the apportionment band of Article 19.4; and data-service subscriptions to the professional tier of the Route Assurance Data Service, per Article 19.6. Subscriptions never purchase any transit right, priority, or safety service. Annex B states the full resource schedule, the contribution formula, and the annual targets, and the Nofade Guarantee carries every contribution arrangement forward without expiry. Service contributions operate as standard operational costs of the services delivered, embedded into escort coordination, pilotage advisory, and vessel traffic service rates. The Fund reimburses Iran's service delivery in the Northern Coordination Corridor and the Central International Corridor at the published rate card, and the Daryaban Council reviews the rate card annually on the Technical and Standards Committee's cost study.</w:t>
      </w:r>
    </w:p>
    <w:p>
      <w:pPr>
        <w:pStyle w:val="Heading3"/>
      </w:pPr>
      <w:r>
        <w:rPr>
          <w:rFonts w:ascii="Calibri" w:hAnsi="Calibri" w:eastAsia="Microsoft YaHei" w:cs="Calibri"/>
          <w:b/>
          <w:color w:val="3A7086"/>
          <w:sz w:val="22"/>
          <w:szCs w:val="22"/>
        </w:rPr>
        <w:t>17.4 Administration</w:t>
      </w:r>
    </w:p>
    <w:p>
      <w:pPr>
        <w:pStyle w:val="Normal"/>
        <w:jc w:val="both"/>
      </w:pPr>
      <w:r>
        <w:rPr>
          <w:rFonts w:ascii="Calibri" w:hAnsi="Calibri" w:eastAsia="Microsoft YaHei" w:cs="Calibri"/>
          <w:color w:val="22333B"/>
          <w:sz w:val="21"/>
          <w:szCs w:val="21"/>
        </w:rPr>
        <w:t>The Neutral Administrator operates the Fund through a dedicated office of professional fund managers and auditors, under the charter at Annex B. The Administrator: holds accounts; executes payments against verified service records; publishes monthly statements; commissions an annual external audit by an international firm; and maintains the sanctions-compliance firewall of Article 18.4. The Administrator decides no policy question. It applies the Charter, and where the Charter and a payment request diverge, it declines payment and reports the divergence to the Council.</w:t>
      </w:r>
    </w:p>
    <w:p>
      <w:pPr>
        <w:pStyle w:val="Heading3"/>
      </w:pPr>
      <w:r>
        <w:rPr>
          <w:rFonts w:ascii="Calibri" w:hAnsi="Calibri" w:eastAsia="Microsoft YaHei" w:cs="Calibri"/>
          <w:b/>
          <w:color w:val="3A7086"/>
          <w:sz w:val="22"/>
          <w:szCs w:val="22"/>
        </w:rPr>
        <w:t>17.5 Governance</w:t>
      </w:r>
    </w:p>
    <w:p>
      <w:pPr>
        <w:pStyle w:val="Normal"/>
        <w:jc w:val="both"/>
      </w:pPr>
      <w:r>
        <w:rPr>
          <w:rFonts w:ascii="Calibri" w:hAnsi="Calibri" w:eastAsia="Microsoft YaHei" w:cs="Calibri"/>
          <w:color w:val="22333B"/>
          <w:sz w:val="21"/>
          <w:szCs w:val="21"/>
        </w:rPr>
        <w:t>The Fund operates under a board of governors: one governor per Littoral Party, one for the Neutral Administrator as chair without a casting vote, one for the contributing user states collectively, and one for the International Maritime Organization as observer. The board approves the annual budget, appoints the external auditor, and reviews the Administrator's reports. Payment execution follows the Charter automatically against verified records; the board never approves or declines individual payments. This separation keeps the money boring, and boring money keeps the water calm.</w:t>
      </w:r>
    </w:p>
    <w:p>
      <w:pPr>
        <w:pStyle w:val="Heading3"/>
      </w:pPr>
      <w:r>
        <w:rPr>
          <w:rFonts w:ascii="Calibri" w:hAnsi="Calibri" w:eastAsia="Microsoft YaHei" w:cs="Calibri"/>
          <w:b/>
          <w:color w:val="3A7086"/>
          <w:sz w:val="22"/>
          <w:szCs w:val="22"/>
        </w:rPr>
        <w:t>17.6 No double recovery</w:t>
      </w:r>
    </w:p>
    <w:p>
      <w:pPr>
        <w:pStyle w:val="Normal"/>
        <w:jc w:val="both"/>
      </w:pPr>
      <w:r>
        <w:rPr>
          <w:rFonts w:ascii="Calibri" w:hAnsi="Calibri" w:eastAsia="Microsoft YaHei" w:cs="Calibri"/>
          <w:color w:val="22333B"/>
          <w:sz w:val="21"/>
          <w:szCs w:val="21"/>
        </w:rPr>
        <w:t>Where a coastal state receives reimbursement from the Fund for a service, it collects no second payment for the same service from any other source. The audit trail reconciles every service record against every payment, and a double recovery triggers restitution plus a Material Disruption classification under Article 23.</w:t>
      </w:r>
    </w:p>
    <w:p>
      <w:pPr>
        <w:pStyle w:val="Heading3"/>
      </w:pPr>
      <w:r>
        <w:rPr>
          <w:rFonts w:ascii="Calibri" w:hAnsi="Calibri" w:eastAsia="Microsoft YaHei" w:cs="Calibri"/>
          <w:b/>
          <w:color w:val="3A7086"/>
          <w:sz w:val="22"/>
          <w:szCs w:val="22"/>
        </w:rPr>
        <w:t>17.7 The compensation window</w:t>
      </w:r>
    </w:p>
    <w:p>
      <w:pPr>
        <w:pStyle w:val="Normal"/>
        <w:jc w:val="both"/>
      </w:pPr>
      <w:r>
        <w:rPr>
          <w:rFonts w:ascii="Calibri" w:hAnsi="Calibri" w:eastAsia="Microsoft YaHei" w:cs="Calibri"/>
          <w:color w:val="22333B"/>
          <w:sz w:val="21"/>
          <w:szCs w:val="21"/>
        </w:rPr>
        <w:t>Where a disruption certified by the Neutral Watch Office closes a corridor beyond 24 hours, the Fund compensates documented economic loss of vessel operators and of the affected coastal state, per the schedule of Annex B, Section B.6, funded from a standing disruption reserve equal to 15 percent of the endowment. Compensation follows verification, never politics, and payment never implies fault: the window exists so that no actor profits from closure and no victim waits on litigation.</w:t>
      </w:r>
    </w:p>
    <w:p>
      <w:pPr>
        <w:pStyle w:val="Heading3"/>
      </w:pPr>
      <w:r>
        <w:rPr>
          <w:rFonts w:ascii="Calibri" w:hAnsi="Calibri" w:eastAsia="Microsoft YaHei" w:cs="Calibri"/>
          <w:b/>
          <w:color w:val="3A7086"/>
          <w:sz w:val="22"/>
          <w:szCs w:val="22"/>
        </w:rPr>
        <w:t>17.8 The security-reimbursement link</w:t>
      </w:r>
    </w:p>
    <w:p>
      <w:pPr>
        <w:pStyle w:val="Normal"/>
        <w:jc w:val="both"/>
      </w:pPr>
      <w:r>
        <w:rPr>
          <w:rFonts w:ascii="Calibri" w:hAnsi="Calibri" w:eastAsia="Microsoft YaHei" w:cs="Calibri"/>
          <w:color w:val="22333B"/>
          <w:sz w:val="21"/>
          <w:szCs w:val="21"/>
        </w:rPr>
        <w:t>A verified security incident in any corridor triggers an automatic review of that corridor's service reimbursements. Reimbursements for the affected corridor pause for up to 30 days pending completion of the Daryaban Watch and the investigation record, and the pause lifts automatically on publication of the investigation's findings. The pause touches no humanitarian transaction and no institutional first call under Article 17.2.</w:t>
      </w:r>
    </w:p>
    <w:p>
      <w:pPr>
        <w:pStyle w:val="Heading2"/>
      </w:pPr>
      <w:r>
        <w:rPr>
          <w:rFonts w:ascii="Calibri" w:hAnsi="Calibri" w:eastAsia="Microsoft YaHei" w:cs="Calibri"/>
          <w:b/>
          <w:color w:val="1F4E5F"/>
          <w:sz w:val="26"/>
          <w:szCs w:val="26"/>
        </w:rPr>
        <w:t>Article 18: Budget, Audit, and the Sanctions-Compliance Firewall</w:t>
      </w:r>
    </w:p>
    <w:p>
      <w:pPr>
        <w:pStyle w:val="Heading3"/>
      </w:pPr>
      <w:r>
        <w:rPr>
          <w:rFonts w:ascii="Calibri" w:hAnsi="Calibri" w:eastAsia="Microsoft YaHei" w:cs="Calibri"/>
          <w:b/>
          <w:color w:val="3A7086"/>
          <w:sz w:val="22"/>
          <w:szCs w:val="22"/>
        </w:rPr>
        <w:t>18.1 The annual budget</w:t>
      </w:r>
    </w:p>
    <w:p>
      <w:pPr>
        <w:pStyle w:val="Normal"/>
        <w:jc w:val="both"/>
      </w:pPr>
      <w:r>
        <w:rPr>
          <w:rFonts w:ascii="Calibri" w:hAnsi="Calibri" w:eastAsia="Microsoft YaHei" w:cs="Calibri"/>
          <w:color w:val="22333B"/>
          <w:sz w:val="21"/>
          <w:szCs w:val="21"/>
        </w:rPr>
        <w:t>The Administrator prepares, the Technical and Standards Committee reviews, and the Council adopts an annual budget covering institutions, services at the rate card, readiness, reserves, and capacity building. The budget publishes in full. A stalled adoption runs the previous budget at the same level, per Article 15.5.</w:t>
      </w:r>
    </w:p>
    <w:p>
      <w:pPr>
        <w:pStyle w:val="Heading3"/>
      </w:pPr>
      <w:r>
        <w:rPr>
          <w:rFonts w:ascii="Calibri" w:hAnsi="Calibri" w:eastAsia="Microsoft YaHei" w:cs="Calibri"/>
          <w:b/>
          <w:color w:val="3A7086"/>
          <w:sz w:val="22"/>
          <w:szCs w:val="22"/>
        </w:rPr>
        <w:t>18.2 Audit</w:t>
      </w:r>
    </w:p>
    <w:p>
      <w:pPr>
        <w:pStyle w:val="Normal"/>
        <w:jc w:val="both"/>
      </w:pPr>
      <w:r>
        <w:rPr>
          <w:rFonts w:ascii="Calibri" w:hAnsi="Calibri" w:eastAsia="Microsoft YaHei" w:cs="Calibri"/>
          <w:color w:val="22333B"/>
          <w:sz w:val="21"/>
          <w:szCs w:val="21"/>
        </w:rPr>
        <w:t>An international audit firm examines the Fund annually and publishes its report unedited. The Neutral Watch Office cross-checks service records quarterly. The Independent Assurance Council reads every audit and reports on it. The audit trail extends to every transaction: no payment moves without a record, and no record closes to inspection by the Parties and the assurance bodies.</w:t>
      </w:r>
    </w:p>
    <w:p>
      <w:pPr>
        <w:pStyle w:val="Heading3"/>
      </w:pPr>
      <w:r>
        <w:rPr>
          <w:rFonts w:ascii="Calibri" w:hAnsi="Calibri" w:eastAsia="Microsoft YaHei" w:cs="Calibri"/>
          <w:b/>
          <w:color w:val="3A7086"/>
          <w:sz w:val="22"/>
          <w:szCs w:val="22"/>
        </w:rPr>
        <w:t>18.3 Anti-diversion</w:t>
      </w:r>
    </w:p>
    <w:p>
      <w:pPr>
        <w:pStyle w:val="Normal"/>
        <w:jc w:val="both"/>
      </w:pPr>
      <w:r>
        <w:rPr>
          <w:rFonts w:ascii="Calibri" w:hAnsi="Calibri" w:eastAsia="Microsoft YaHei" w:cs="Calibri"/>
          <w:color w:val="22333B"/>
          <w:sz w:val="21"/>
          <w:szCs w:val="21"/>
        </w:rPr>
        <w:t>Fund resources serve the purposes of Article 17.2 exclusively. A diversion, established under the Convergence Standard, triggers restitution, an Architectural Breach classification, and suspension of the responsible official from any Framework function pending the facilitation tier. The architecture treats the Fund's integrity as a Red Line-adjacent asset: money that buys calm water never buys anything else.</w:t>
      </w:r>
    </w:p>
    <w:p>
      <w:pPr>
        <w:pStyle w:val="Heading3"/>
      </w:pPr>
      <w:r>
        <w:rPr>
          <w:rFonts w:ascii="Calibri" w:hAnsi="Calibri" w:eastAsia="Microsoft YaHei" w:cs="Calibri"/>
          <w:b/>
          <w:color w:val="3A7086"/>
          <w:sz w:val="22"/>
          <w:szCs w:val="22"/>
        </w:rPr>
        <w:t>18.4 The Sanctions-Compliance Firewall</w:t>
      </w:r>
    </w:p>
    <w:p>
      <w:pPr>
        <w:pStyle w:val="Normal"/>
        <w:jc w:val="both"/>
      </w:pPr>
      <w:r>
        <w:rPr>
          <w:rFonts w:ascii="Calibri" w:hAnsi="Calibri" w:eastAsia="Microsoft YaHei" w:cs="Calibri"/>
          <w:color w:val="22333B"/>
          <w:sz w:val="21"/>
          <w:szCs w:val="21"/>
        </w:rPr>
        <w:t>The Fund's design keeps every participant inside its own legal obligations. The architecture guarantees: no shipper pays any Party directly for anything; no payment travels as a condition of passage; every flow moves through the Neutral Administrator's accounts under Swiss fiduciary law with full transaction records; and every contributor and recipient passes the Administrator's compliance screening against applicable international obligations. Where a potential transaction touches the sanctions regime of any participating state, the Administrator structures the flow so that it never constitutes a prohibited transaction for any participant, or declines it and reports. The firewall guards Red Line RL-7 and makes participation safe for the shipping and banking community without requiring any state to change its sanctions laws.</w:t>
      </w:r>
    </w:p>
    <w:p>
      <w:pPr>
        <w:pStyle w:val="Heading3"/>
      </w:pPr>
      <w:r>
        <w:rPr>
          <w:rFonts w:ascii="Calibri" w:hAnsi="Calibri" w:eastAsia="Microsoft YaHei" w:cs="Calibri"/>
          <w:b/>
          <w:color w:val="3A7086"/>
          <w:sz w:val="22"/>
          <w:szCs w:val="22"/>
        </w:rPr>
        <w:t>18.5 Anti-circumvention</w:t>
      </w:r>
    </w:p>
    <w:p>
      <w:pPr>
        <w:pStyle w:val="Normal"/>
        <w:jc w:val="both"/>
      </w:pPr>
      <w:r>
        <w:rPr>
          <w:rFonts w:ascii="Calibri" w:hAnsi="Calibri" w:eastAsia="Microsoft YaHei" w:cs="Calibri"/>
          <w:color w:val="22333B"/>
          <w:sz w:val="21"/>
          <w:szCs w:val="21"/>
        </w:rPr>
        <w:t>The re-characterization of a service, a charge, or a transaction to evade the Zero-Toll Rule or the Sanctions-Compliance Firewall constitutes an Architectural Breach event under Article 23. The substance of a transaction governs its character, never its legal form: a payment that operates as a charge on passage counts as a toll whatever its label, and a flow that operates as a prohibited transaction counts as prohibited whatever its wrapper. The Neutral Administrator applies the substance test at payment execution, the external auditor tests it annually, and the Neutral Watch Office reports any re-characterization pattern to the Council with the evidence file attached.</w:t>
      </w:r>
    </w:p>
    <w:p>
      <w:pPr>
        <w:pStyle w:val="Heading2"/>
      </w:pPr>
      <w:r>
        <w:rPr>
          <w:rFonts w:ascii="Calibri" w:hAnsi="Calibri" w:eastAsia="Microsoft YaHei" w:cs="Calibri"/>
          <w:b/>
          <w:color w:val="1F4E5F"/>
          <w:sz w:val="26"/>
          <w:szCs w:val="26"/>
        </w:rPr>
        <w:t>Article 19: The Verified Services Catalog and the Assurance Registry</w:t>
      </w:r>
    </w:p>
    <w:p>
      <w:pPr>
        <w:pStyle w:val="Heading3"/>
      </w:pPr>
      <w:r>
        <w:rPr>
          <w:rFonts w:ascii="Calibri" w:hAnsi="Calibri" w:eastAsia="Microsoft YaHei" w:cs="Calibri"/>
          <w:b/>
          <w:color w:val="3A7086"/>
          <w:sz w:val="22"/>
          <w:szCs w:val="22"/>
        </w:rPr>
        <w:t>19.1 The Catalog</w:t>
      </w:r>
    </w:p>
    <w:p>
      <w:pPr>
        <w:pStyle w:val="Normal"/>
        <w:jc w:val="both"/>
      </w:pPr>
      <w:r>
        <w:rPr>
          <w:rFonts w:ascii="Calibri" w:hAnsi="Calibri" w:eastAsia="Microsoft YaHei" w:cs="Calibri"/>
          <w:color w:val="22333B"/>
          <w:sz w:val="21"/>
          <w:szCs w:val="21"/>
        </w:rPr>
        <w:t>The Verified Services Catalog lists every service the Fund reimburses, with a pre-published rate card: vessel traffic service operation per transit-day; pilotage at published port rates; escort coordination per escorted window; hydrographic survey per survey-mile; aids to navigation maintenance per aid-year; search and rescue standby per day; pollution response standby per day; and tug availability per standby-day. Annex B, Section B.4 carries the initial rate card, benchmarked against published regional port tariffs, and the Council adjusts rates annually on the Technical and Standards Committee's cost study, under the default-continuity rule for any stalled adjustment.</w:t>
      </w:r>
    </w:p>
    <w:p>
      <w:pPr>
        <w:pStyle w:val="Heading3"/>
      </w:pPr>
      <w:r>
        <w:rPr>
          <w:rFonts w:ascii="Calibri" w:hAnsi="Calibri" w:eastAsia="Microsoft YaHei" w:cs="Calibri"/>
          <w:b/>
          <w:color w:val="3A7086"/>
          <w:sz w:val="22"/>
          <w:szCs w:val="22"/>
        </w:rPr>
        <w:t>19.2 Verification of services</w:t>
      </w:r>
    </w:p>
    <w:p>
      <w:pPr>
        <w:pStyle w:val="Normal"/>
        <w:jc w:val="both"/>
      </w:pPr>
      <w:r>
        <w:rPr>
          <w:rFonts w:ascii="Calibri" w:hAnsi="Calibri" w:eastAsia="Microsoft YaHei" w:cs="Calibri"/>
          <w:color w:val="22333B"/>
          <w:sz w:val="21"/>
          <w:szCs w:val="21"/>
        </w:rPr>
        <w:t>A service earns reimbursement only against a verified record: the watch log entry, the escorted window record, the survey track, or the aid-maintenance certificate, countersigned by the delivering state's officer and visible to the Neutral Watch Office's quarterly cross-check. Self-declaration without a record earns nothing. The record system thereby pays for delivery, not for presence.</w:t>
      </w:r>
    </w:p>
    <w:p>
      <w:pPr>
        <w:pStyle w:val="Heading3"/>
      </w:pPr>
      <w:r>
        <w:rPr>
          <w:rFonts w:ascii="Calibri" w:hAnsi="Calibri" w:eastAsia="Microsoft YaHei" w:cs="Calibri"/>
          <w:b/>
          <w:color w:val="3A7086"/>
          <w:sz w:val="22"/>
          <w:szCs w:val="22"/>
        </w:rPr>
        <w:t>19.3 Delivery states</w:t>
      </w:r>
    </w:p>
    <w:p>
      <w:pPr>
        <w:pStyle w:val="Normal"/>
        <w:jc w:val="both"/>
      </w:pPr>
      <w:r>
        <w:rPr>
          <w:rFonts w:ascii="Calibri" w:hAnsi="Calibri" w:eastAsia="Microsoft YaHei" w:cs="Calibri"/>
          <w:color w:val="22333B"/>
          <w:sz w:val="21"/>
          <w:szCs w:val="21"/>
        </w:rPr>
        <w:t>Iran and Oman deliver services in their respective passages and waters, and each acceding Littoral Party joins the delivery roster for services in its waters on accession. The roster publishes quarterly. A state delivers services through its national maritime administration or through contractors it certifies to the Technical and Standards Committee; contractor delivery carries the same record standard.</w:t>
      </w:r>
    </w:p>
    <w:p>
      <w:pPr>
        <w:pStyle w:val="Heading3"/>
      </w:pPr>
      <w:r>
        <w:rPr>
          <w:rFonts w:ascii="Calibri" w:hAnsi="Calibri" w:eastAsia="Microsoft YaHei" w:cs="Calibri"/>
          <w:b/>
          <w:color w:val="3A7086"/>
          <w:sz w:val="22"/>
          <w:szCs w:val="22"/>
        </w:rPr>
        <w:t>19.4 The apportionment band</w:t>
      </w:r>
    </w:p>
    <w:p>
      <w:pPr>
        <w:pStyle w:val="Normal"/>
        <w:jc w:val="both"/>
      </w:pPr>
      <w:r>
        <w:rPr>
          <w:rFonts w:ascii="Calibri" w:hAnsi="Calibri" w:eastAsia="Microsoft YaHei" w:cs="Calibri"/>
          <w:color w:val="22333B"/>
          <w:sz w:val="21"/>
          <w:szCs w:val="21"/>
        </w:rPr>
        <w:t>The Fund apportions the net cost of services, after institutional costs, between endowment drawdown and access contributions within the band of 40 to 60 percent in any fiscal year, per Annex B, Section B.5. The band prevents either a shift of the whole burden onto user states or a drain of the endowment, and the board sets the year's point inside the band on the Auditor's sustainability opinion.</w:t>
      </w:r>
    </w:p>
    <w:p>
      <w:pPr>
        <w:pStyle w:val="Heading3"/>
      </w:pPr>
      <w:r>
        <w:rPr>
          <w:rFonts w:ascii="Calibri" w:hAnsi="Calibri" w:eastAsia="Microsoft YaHei" w:cs="Calibri"/>
          <w:b/>
          <w:color w:val="3A7086"/>
          <w:sz w:val="22"/>
          <w:szCs w:val="22"/>
        </w:rPr>
        <w:t>19.5 The Assurance Registry and the Route Assurance Data Service</w:t>
      </w:r>
    </w:p>
    <w:p>
      <w:pPr>
        <w:pStyle w:val="Normal"/>
        <w:jc w:val="both"/>
      </w:pPr>
      <w:r>
        <w:rPr>
          <w:rFonts w:ascii="Calibri" w:hAnsi="Calibri" w:eastAsia="Microsoft YaHei" w:cs="Calibri"/>
          <w:color w:val="22333B"/>
          <w:sz w:val="21"/>
          <w:szCs w:val="21"/>
        </w:rPr>
        <w:t>The Framework converts verified performance into economic value. The Assurance Registry lists, on a voluntary basis, vessels, operators, flag states, and insurers that adopt the Framework's documentary practices: electronic filing of notices, embarked-observer consent, automatic identification system integrity, and crew training on the passage rules. Listing costs nothing and conditions nothing: an unlisted vessel transits on identical terms. The Registry publishes each listed vessel's clean-transit record, and the market reads it. A listing never lapses by time; only a documented change in the underlying practices, verified under the Convergence Standard, changes a listing.</w:t>
      </w:r>
    </w:p>
    <w:p>
      <w:pPr>
        <w:pStyle w:val="Heading3"/>
      </w:pPr>
      <w:r>
        <w:rPr>
          <w:rFonts w:ascii="Calibri" w:hAnsi="Calibri" w:eastAsia="Microsoft YaHei" w:cs="Calibri"/>
          <w:b/>
          <w:color w:val="3A7086"/>
          <w:sz w:val="22"/>
          <w:szCs w:val="22"/>
        </w:rPr>
        <w:t>19.6 The Route Assurance Data Service</w:t>
      </w:r>
    </w:p>
    <w:p>
      <w:pPr>
        <w:pStyle w:val="Normal"/>
        <w:jc w:val="both"/>
      </w:pPr>
      <w:r>
        <w:rPr>
          <w:rFonts w:ascii="Calibri" w:hAnsi="Calibri" w:eastAsia="Microsoft YaHei" w:cs="Calibri"/>
          <w:color w:val="22333B"/>
          <w:sz w:val="21"/>
          <w:szCs w:val="21"/>
        </w:rPr>
        <w:t>The Service publishes the operational picture in three tiers. The public tier, free to all: the Open Water Bulletin, flow states, and weekly statistics. The professional tier, on published subscription: anonymized traffic flows, passage performance metrics, incident statistics, and the service quality index. The institutional tier, free to Parties, observer states, the International Maritime Organization, and the insurance market's recognized bodies: the full non-classified record under the two-key rule. Subscription revenue flows to the Fund, per Article 17.3, and the architecture excludes any sale of vessel-identifiable data.</w:t>
      </w:r>
    </w:p>
    <w:p>
      <w:pPr>
        <w:pStyle w:val="Heading3"/>
      </w:pPr>
      <w:r>
        <w:rPr>
          <w:rFonts w:ascii="Calibri" w:hAnsi="Calibri" w:eastAsia="Microsoft YaHei" w:cs="Calibri"/>
          <w:b/>
          <w:color w:val="3A7086"/>
          <w:sz w:val="22"/>
          <w:szCs w:val="22"/>
        </w:rPr>
        <w:t>19.7 Premium normalization</w:t>
      </w:r>
    </w:p>
    <w:p>
      <w:pPr>
        <w:pStyle w:val="Normal"/>
        <w:jc w:val="both"/>
      </w:pPr>
      <w:r>
        <w:rPr>
          <w:rFonts w:ascii="Calibri" w:hAnsi="Calibri" w:eastAsia="Microsoft YaHei" w:cs="Calibri"/>
          <w:color w:val="22333B"/>
          <w:sz w:val="21"/>
          <w:szCs w:val="21"/>
        </w:rPr>
        <w:t>The Center transmits the Bulletin and the monthly performance digest to the protection and indemnity clubs and the war-risk market, and the Stakeholder Panel's insurance members review the digest quarterly. The target path: war-risk premiums at or below 1.5 times the pre-crisis level within two quarters of sustained clean operation, and full restoration of pre-crisis levels within four quarters, per Article 9.5. The Framework treats the premium level as its public confidence index and publishes it weekly.</w:t>
      </w:r>
    </w:p>
    <w:p>
      <w:pPr>
        <w:pStyle w:val="Heading1"/>
      </w:pPr>
      <w:r>
        <w:rPr>
          <w:rFonts w:ascii="Calibri" w:hAnsi="Calibri" w:eastAsia="Microsoft YaHei" w:cs="Calibri"/>
          <w:b/>
          <w:color w:val="1F4E5F"/>
          <w:sz w:val="30"/>
          <w:szCs w:val="30"/>
        </w:rPr>
        <w:t>Part V: Verification, De-confliction, and Incident Management</w:t>
      </w:r>
    </w:p>
    <w:p>
      <w:pPr>
        <w:pStyle w:val="Heading2"/>
      </w:pPr>
      <w:r>
        <w:rPr>
          <w:rFonts w:ascii="Calibri" w:hAnsi="Calibri" w:eastAsia="Microsoft YaHei" w:cs="Calibri"/>
          <w:b/>
          <w:color w:val="1F4E5F"/>
          <w:sz w:val="26"/>
          <w:szCs w:val="26"/>
        </w:rPr>
        <w:t>Article 20: Verification: The Human Anchor Method</w:t>
      </w:r>
    </w:p>
    <w:p>
      <w:pPr>
        <w:pStyle w:val="Heading3"/>
      </w:pPr>
      <w:r>
        <w:rPr>
          <w:rFonts w:ascii="Calibri" w:hAnsi="Calibri" w:eastAsia="Microsoft YaHei" w:cs="Calibri"/>
          <w:b/>
          <w:color w:val="3A7086"/>
          <w:sz w:val="22"/>
          <w:szCs w:val="22"/>
        </w:rPr>
        <w:t>20.1 People over telemetry</w:t>
      </w:r>
    </w:p>
    <w:p>
      <w:pPr>
        <w:pStyle w:val="Normal"/>
        <w:jc w:val="both"/>
      </w:pPr>
      <w:r>
        <w:rPr>
          <w:rFonts w:ascii="Calibri" w:hAnsi="Calibri" w:eastAsia="Microsoft YaHei" w:cs="Calibri"/>
          <w:color w:val="22333B"/>
          <w:sz w:val="21"/>
          <w:szCs w:val="21"/>
        </w:rPr>
        <w:t>The Framework places human judgment at the center of verification. Instruments measure; people notice what matters. Every verification conclusion in this Framework traces to a human officer who observed, reviewed, and signed, supported by instruments that flag, record, and preserve. Automated systems detect anomalies and present evidence; human officers classify, decide, and answer for the decision. The architecture excludes automated classification of incidents, automated suspension of services, and automated triggering of consequences.</w:t>
      </w:r>
    </w:p>
    <w:p>
      <w:pPr>
        <w:pStyle w:val="Heading3"/>
      </w:pPr>
      <w:r>
        <w:rPr>
          <w:rFonts w:ascii="Calibri" w:hAnsi="Calibri" w:eastAsia="Microsoft YaHei" w:cs="Calibri"/>
          <w:b/>
          <w:color w:val="3A7086"/>
          <w:sz w:val="22"/>
          <w:szCs w:val="22"/>
        </w:rPr>
        <w:t>20.2 The Convergence Standard</w:t>
      </w:r>
    </w:p>
    <w:p>
      <w:pPr>
        <w:pStyle w:val="Normal"/>
        <w:jc w:val="both"/>
      </w:pPr>
      <w:r>
        <w:rPr>
          <w:rFonts w:ascii="Calibri" w:hAnsi="Calibri" w:eastAsia="Microsoft YaHei" w:cs="Calibri"/>
          <w:color w:val="22333B"/>
          <w:sz w:val="21"/>
          <w:szCs w:val="21"/>
        </w:rPr>
        <w:t>No verification finding rests on a single input. A finding requires at least two independent inputs in convergence: for example, an embarked observer's record plus the Center's track data; a coastal radar track plus a patrol's visual report; a satellite pass plus a port state's documentation. The standard protects every Party from error and from manipulation, and it gives every finding the weight to survive political challenge. A single-source anomaly enters the record as an open observation, and the system seeks convergence before any classification step. This standard guards Red Line RL-11.</w:t>
      </w:r>
    </w:p>
    <w:p>
      <w:pPr>
        <w:pStyle w:val="Normal"/>
        <w:jc w:val="both"/>
      </w:pPr>
      <w:r>
        <w:rPr>
          <w:rFonts w:ascii="Calibri" w:hAnsi="Calibri" w:eastAsia="Microsoft YaHei" w:cs="Calibri"/>
          <w:color w:val="22333B"/>
          <w:sz w:val="21"/>
          <w:szCs w:val="21"/>
        </w:rPr>
        <w:t>Technical truth escalation chain: where the Neutral Watch Office and the Technical and Standards Committee disagree on the facts of a compliance event, the matter escalates automatically to the independent technical referee of Article 26.3 within 72 hours. The referee's fact findings bind all Parties and organs. The technical truth escalation chain operates outside the dispute ladder of Article 26, and no Party delays, conditions, or obstructs it. The chain prevents procedural obstruction from blocking a factual finding.</w:t>
      </w:r>
    </w:p>
    <w:p>
      <w:pPr>
        <w:pStyle w:val="Heading3"/>
      </w:pPr>
      <w:r>
        <w:rPr>
          <w:rFonts w:ascii="Calibri" w:hAnsi="Calibri" w:eastAsia="Microsoft YaHei" w:cs="Calibri"/>
          <w:b/>
          <w:color w:val="3A7086"/>
          <w:sz w:val="22"/>
          <w:szCs w:val="22"/>
        </w:rPr>
        <w:t>20.3 The Neutral Watch Office</w:t>
      </w:r>
    </w:p>
    <w:p>
      <w:pPr>
        <w:pStyle w:val="Normal"/>
        <w:jc w:val="both"/>
      </w:pPr>
      <w:r>
        <w:rPr>
          <w:rFonts w:ascii="Calibri" w:hAnsi="Calibri" w:eastAsia="Microsoft YaHei" w:cs="Calibri"/>
          <w:color w:val="22333B"/>
          <w:sz w:val="21"/>
          <w:szCs w:val="21"/>
        </w:rPr>
        <w:t>The Neutral Watch Office verifies that the Framework does what the text says. It observes, audits, and reports. It never directs traffic, never boards vessels, and never classifies compliance events; classification belongs to the engine of Article 23 on the Office's inputs. The Office comprises a Director, a deputy, and a roster of eighteen maritime inspectors nominated through the International Maritime Organization's recognized inspection channels, plus administrative support provided under the Swiss facilitation arrangement. No inspector holds the nationality of any Littoral Party. Inspectors serve two-year rotations, and the Council confirms the roster on International Maritime Organization nomination.</w:t>
      </w:r>
    </w:p>
    <w:p>
      <w:pPr>
        <w:pStyle w:val="Heading3"/>
      </w:pPr>
      <w:r>
        <w:rPr>
          <w:rFonts w:ascii="Calibri" w:hAnsi="Calibri" w:eastAsia="Microsoft YaHei" w:cs="Calibri"/>
          <w:b/>
          <w:color w:val="3A7086"/>
          <w:sz w:val="22"/>
          <w:szCs w:val="22"/>
        </w:rPr>
        <w:t>20.4 Embarked observers</w:t>
      </w:r>
    </w:p>
    <w:p>
      <w:pPr>
        <w:pStyle w:val="Normal"/>
        <w:jc w:val="both"/>
      </w:pPr>
      <w:r>
        <w:rPr>
          <w:rFonts w:ascii="Calibri" w:hAnsi="Calibri" w:eastAsia="Microsoft YaHei" w:cs="Calibri"/>
          <w:color w:val="22333B"/>
          <w:sz w:val="21"/>
          <w:szCs w:val="21"/>
        </w:rPr>
        <w:t>The Office embarks observers on transiting vessels, on Framework service craft, and at both watch floors, on a published rota. Embarkation on a commercial vessel occurs with the master's consent; the Assurance Registry treats consent as a listed-vessel practice. An embarked observer records passage conduct, service delivery, and any interference event, and files the observation to the daily log within 12 hours. Observers serve in observer status only: no command authority, no weapon system contact, no enforcement function. The architecture excludes any interference with, harassment of, or harm to observers, and an incident involving an observer classifies one category higher than the same incident without observer involvement under Article 23.</w:t>
      </w:r>
    </w:p>
    <w:p>
      <w:pPr>
        <w:pStyle w:val="Heading3"/>
      </w:pPr>
      <w:r>
        <w:rPr>
          <w:rFonts w:ascii="Calibri" w:hAnsi="Calibri" w:eastAsia="Microsoft YaHei" w:cs="Calibri"/>
          <w:b/>
          <w:color w:val="3A7086"/>
          <w:sz w:val="22"/>
          <w:szCs w:val="22"/>
        </w:rPr>
        <w:t>20.5 Data sovereignty and the two-key access rule</w:t>
      </w:r>
    </w:p>
    <w:p>
      <w:pPr>
        <w:pStyle w:val="Normal"/>
        <w:jc w:val="both"/>
      </w:pPr>
      <w:r>
        <w:rPr>
          <w:rFonts w:ascii="Calibri" w:hAnsi="Calibri" w:eastAsia="Microsoft YaHei" w:cs="Calibri"/>
          <w:color w:val="22333B"/>
          <w:sz w:val="21"/>
          <w:szCs w:val="21"/>
        </w:rPr>
        <w:t>Verification data originates inside the Governance Area and stays under the Framework's custody. The dual-copy rule of Article 13.5 applies: every record exists in Muscat and Bandar Abbas simultaneously, cryptographically timestamped, and neither copy admits unilateral alteration. Raw track data remains within the Governance Area's custody chain; derived statistics publish. No Party exports raw operational data to any external intelligence use, and the architecture routes every external data request through the Council. Access to the non-classified shared registry operates under the two-key rule: a Party's officer and a Neutral Watch officer jointly authenticate access for their respective bodies, and the system logs every access.</w:t>
      </w:r>
    </w:p>
    <w:p>
      <w:pPr>
        <w:pStyle w:val="Heading3"/>
      </w:pPr>
      <w:r>
        <w:rPr>
          <w:rFonts w:ascii="Calibri" w:hAnsi="Calibri" w:eastAsia="Microsoft YaHei" w:cs="Calibri"/>
          <w:b/>
          <w:color w:val="3A7086"/>
          <w:sz w:val="22"/>
          <w:szCs w:val="22"/>
        </w:rPr>
        <w:t>20.6 Degraded-mode operation</w:t>
      </w:r>
    </w:p>
    <w:p>
      <w:pPr>
        <w:pStyle w:val="Normal"/>
        <w:jc w:val="both"/>
      </w:pPr>
      <w:r>
        <w:rPr>
          <w:rFonts w:ascii="Calibri" w:hAnsi="Calibri" w:eastAsia="Microsoft YaHei" w:cs="Calibri"/>
          <w:color w:val="22333B"/>
          <w:sz w:val="21"/>
          <w:szCs w:val="21"/>
        </w:rPr>
        <w:t>Where communications or power fail at one site, the mirror site assumes the full watch, voice reporting carries compliance, and paper logs govern until restoration, per the non-telemetry mode of Annex D. Degraded mode degrades convenience, never rights: passage continues, acknowledgment defaults apply, and the Bulletin publishes by any working channel.</w:t>
      </w:r>
    </w:p>
    <w:p>
      <w:pPr>
        <w:pStyle w:val="Heading3"/>
      </w:pPr>
      <w:r>
        <w:rPr>
          <w:rFonts w:ascii="Calibri" w:hAnsi="Calibri" w:eastAsia="Microsoft YaHei" w:cs="Calibri"/>
          <w:b/>
          <w:color w:val="3A7086"/>
          <w:sz w:val="22"/>
          <w:szCs w:val="22"/>
        </w:rPr>
        <w:t>20.7 Enhanced monitoring of the Central International Corridor</w:t>
      </w:r>
    </w:p>
    <w:p>
      <w:pPr>
        <w:pStyle w:val="Normal"/>
        <w:jc w:val="both"/>
      </w:pPr>
      <w:r>
        <w:rPr>
          <w:rFonts w:ascii="Calibri" w:hAnsi="Calibri" w:eastAsia="Microsoft YaHei" w:cs="Calibri"/>
          <w:color w:val="22333B"/>
          <w:sz w:val="21"/>
          <w:szCs w:val="21"/>
        </w:rPr>
        <w:t>The Central International Corridor operates under enhanced monitoring: (a) Neutral Watch observers embark on at least 10 percent of transits, double the 5 percent verification baseline of the other corridors; (b) dual commercial satellite feeds cover the corridor with automatic cross-referencing daily; and (c) the Technical and Standards Committee conducts an independent quarterly audit of Central Corridor operations, published with the Ledger.</w:t>
      </w:r>
    </w:p>
    <w:p>
      <w:pPr>
        <w:pStyle w:val="Heading3"/>
      </w:pPr>
      <w:r>
        <w:rPr>
          <w:rFonts w:ascii="Calibri" w:hAnsi="Calibri" w:eastAsia="Microsoft YaHei" w:cs="Calibri"/>
          <w:b/>
          <w:color w:val="3A7086"/>
          <w:sz w:val="22"/>
          <w:szCs w:val="22"/>
        </w:rPr>
        <w:t>20.8 Third-party verification of the Central International Corridor</w:t>
      </w:r>
    </w:p>
    <w:p>
      <w:pPr>
        <w:pStyle w:val="Normal"/>
        <w:jc w:val="both"/>
      </w:pPr>
      <w:r>
        <w:rPr>
          <w:rFonts w:ascii="Calibri" w:hAnsi="Calibri" w:eastAsia="Microsoft YaHei" w:cs="Calibri"/>
          <w:color w:val="22333B"/>
          <w:sz w:val="21"/>
          <w:szCs w:val="21"/>
        </w:rPr>
        <w:t>Third-party inspectors drawn from the International Maritime Organization and International Hydrographic Organization rosters verify the operations of the Central International Corridor. Third-party inspectors report to the Neutral Watch Office and the Central Corridor Management Council simultaneously, and their reports publish with the quarterly audit of Article 20.7.</w:t>
      </w:r>
    </w:p>
    <w:p>
      <w:pPr>
        <w:pStyle w:val="Heading3"/>
      </w:pPr>
      <w:r>
        <w:rPr>
          <w:rFonts w:ascii="Calibri" w:hAnsi="Calibri" w:eastAsia="Microsoft YaHei" w:cs="Calibri"/>
          <w:b/>
          <w:color w:val="3A7086"/>
          <w:sz w:val="22"/>
          <w:szCs w:val="22"/>
        </w:rPr>
        <w:t>20.9 The Central Corridor Compliance Certificate</w:t>
      </w:r>
    </w:p>
    <w:p>
      <w:pPr>
        <w:pStyle w:val="Normal"/>
        <w:jc w:val="both"/>
      </w:pPr>
      <w:r>
        <w:rPr>
          <w:rFonts w:ascii="Calibri" w:hAnsi="Calibri" w:eastAsia="Microsoft YaHei" w:cs="Calibri"/>
          <w:color w:val="22333B"/>
          <w:sz w:val="21"/>
          <w:szCs w:val="21"/>
        </w:rPr>
        <w:t>The Neutral Watch Office issues a Central Corridor Compliance Certificate quarterly. The certificate rests on the convergence of at least three independent verification channels: (a) observer reports; (b) watch floor logs; (c) Fund records; (d) satellite imagery; and (e) third-party inspector reports. Absent a current certificate, the Central International Corridor transitions to Managed Flow pending certification, and the Bulletin publishes the transition and the restoration.</w:t>
      </w:r>
    </w:p>
    <w:p>
      <w:pPr>
        <w:pStyle w:val="Heading2"/>
      </w:pPr>
      <w:r>
        <w:rPr>
          <w:rFonts w:ascii="Calibri" w:hAnsi="Calibri" w:eastAsia="Microsoft YaHei" w:cs="Calibri"/>
          <w:b/>
          <w:color w:val="1F4E5F"/>
          <w:sz w:val="26"/>
          <w:szCs w:val="26"/>
        </w:rPr>
        <w:t>Article 21: Naval De-confliction and the Standoff Geometry</w:t>
      </w:r>
    </w:p>
    <w:p>
      <w:pPr>
        <w:pStyle w:val="Heading3"/>
      </w:pPr>
      <w:r>
        <w:rPr>
          <w:rFonts w:ascii="Calibri" w:hAnsi="Calibri" w:eastAsia="Microsoft YaHei" w:cs="Calibri"/>
          <w:b/>
          <w:color w:val="3A7086"/>
          <w:sz w:val="22"/>
          <w:szCs w:val="22"/>
        </w:rPr>
        <w:t>21.1 Purpose</w:t>
      </w:r>
    </w:p>
    <w:p>
      <w:pPr>
        <w:pStyle w:val="Normal"/>
        <w:jc w:val="both"/>
      </w:pPr>
      <w:r>
        <w:rPr>
          <w:rFonts w:ascii="Calibri" w:hAnsi="Calibri" w:eastAsia="Microsoft YaHei" w:cs="Calibri"/>
          <w:color w:val="22333B"/>
          <w:sz w:val="21"/>
          <w:szCs w:val="21"/>
        </w:rPr>
        <w:t>The Framework keeps military activity and commercial traffic apart by geometry, notification, and discipline, so that no merchant crew ever reads a warship's intentions from its maneuvers. The rules of this Article bind the forces of the Parties and of every adhering external state inside the Governance Area.</w:t>
      </w:r>
    </w:p>
    <w:p>
      <w:pPr>
        <w:pStyle w:val="Heading3"/>
      </w:pPr>
      <w:r>
        <w:rPr>
          <w:rFonts w:ascii="Calibri" w:hAnsi="Calibri" w:eastAsia="Microsoft YaHei" w:cs="Calibri"/>
          <w:b/>
          <w:color w:val="3A7086"/>
          <w:sz w:val="22"/>
          <w:szCs w:val="22"/>
        </w:rPr>
        <w:t>21.2 Standoff distances</w:t>
      </w:r>
    </w:p>
    <w:p>
      <w:pPr>
        <w:pStyle w:val="Normal"/>
        <w:jc w:val="both"/>
      </w:pPr>
      <w:r>
        <w:rPr>
          <w:rFonts w:ascii="Calibri" w:hAnsi="Calibri" w:eastAsia="Microsoft YaHei" w:cs="Calibri"/>
          <w:color w:val="22333B"/>
          <w:sz w:val="21"/>
          <w:szCs w:val="21"/>
        </w:rPr>
        <w:t>Inside the Governance Area, naval units of any state maintain: a minimum separation of 5 nautical miles from any commercial vessel in a passage lane, except escorts operating under a published escorted window; a minimum separation of 12 nautical miles between naval units of different states, except where the de-confliction channel arranges closer approach for safety of navigation; and zero loitering in the separation belts. The Center displays the standoff geometry on the watch floor picture, and the Neutral Watch Office logs every approach inside the geometry as an observation, with classification under Annex C only where the Convergence Standard establishes intent or pattern.</w:t>
      </w:r>
    </w:p>
    <w:p>
      <w:pPr>
        <w:pStyle w:val="Heading3"/>
      </w:pPr>
      <w:r>
        <w:rPr>
          <w:rFonts w:ascii="Calibri" w:hAnsi="Calibri" w:eastAsia="Microsoft YaHei" w:cs="Calibri"/>
          <w:b/>
          <w:color w:val="3A7086"/>
          <w:sz w:val="22"/>
          <w:szCs w:val="22"/>
        </w:rPr>
        <w:t>21.3 Exercise notification and Quiet Water Windows</w:t>
      </w:r>
    </w:p>
    <w:p>
      <w:pPr>
        <w:pStyle w:val="Normal"/>
        <w:jc w:val="both"/>
      </w:pPr>
      <w:r>
        <w:rPr>
          <w:rFonts w:ascii="Calibri" w:hAnsi="Calibri" w:eastAsia="Microsoft YaHei" w:cs="Calibri"/>
          <w:color w:val="22333B"/>
          <w:sz w:val="21"/>
          <w:szCs w:val="21"/>
        </w:rPr>
        <w:t>A Party conducting a live-fire exercise or a concentration of more than four naval units inside or within 20 nautical miles of the Governance Area files an exercise notice through the military de-confliction channel no later than 96 hours in advance, stating area, period, and nature. The Center publishes a navigation warning in the Bulletin. The architecture excludes live-fire activity inside the corridor lanes, the belts, and the anchorages absolutely. The daily schedule publishes Quiet Water Windows, periods in which the corridors carry no escorted groups, no exercises, and no concentrated naval movement, giving the market and the fishing community predictable calm. The initial pattern reserves 0200 to 0600 and 1400 to 1800 local time daily, and the Council adjusts the pattern on the Technical and Standards Committee's traffic study.</w:t>
      </w:r>
    </w:p>
    <w:p>
      <w:pPr>
        <w:pStyle w:val="Heading3"/>
      </w:pPr>
      <w:r>
        <w:rPr>
          <w:rFonts w:ascii="Calibri" w:hAnsi="Calibri" w:eastAsia="Microsoft YaHei" w:cs="Calibri"/>
          <w:b/>
          <w:color w:val="3A7086"/>
          <w:sz w:val="22"/>
          <w:szCs w:val="22"/>
        </w:rPr>
        <w:t>21.4 The military de-confliction channel</w:t>
      </w:r>
    </w:p>
    <w:p>
      <w:pPr>
        <w:pStyle w:val="Normal"/>
        <w:jc w:val="both"/>
      </w:pPr>
      <w:r>
        <w:rPr>
          <w:rFonts w:ascii="Calibri" w:hAnsi="Calibri" w:eastAsia="Microsoft YaHei" w:cs="Calibri"/>
          <w:color w:val="22333B"/>
          <w:sz w:val="21"/>
          <w:szCs w:val="21"/>
        </w:rPr>
        <w:t>Each Party and each adhering security liaison maintains a 24-hour military liaison desk linked to the Center's de-confliction channel and to its counterparts. The channel carries exercise notices, movement notices, incident flash traffic, and the Thirty-Minute Position Log of Article 22. The channel operates on the speak-first rule: a commander who perceives a developing encounter speaks first, on the record, before maneuvering. The channel's traffic remains confidential to its participants for 72 hours and then enters the classified annex of the incident archive, readable by the Parties and the Guarantor Panel.</w:t>
      </w:r>
    </w:p>
    <w:p>
      <w:pPr>
        <w:pStyle w:val="Heading3"/>
      </w:pPr>
      <w:r>
        <w:rPr>
          <w:rFonts w:ascii="Calibri" w:hAnsi="Calibri" w:eastAsia="Microsoft YaHei" w:cs="Calibri"/>
          <w:b/>
          <w:color w:val="3A7086"/>
          <w:sz w:val="22"/>
          <w:szCs w:val="22"/>
        </w:rPr>
        <w:t>21.5 Military transit</w:t>
      </w:r>
    </w:p>
    <w:p>
      <w:pPr>
        <w:pStyle w:val="Normal"/>
        <w:jc w:val="both"/>
      </w:pPr>
      <w:r>
        <w:rPr>
          <w:rFonts w:ascii="Calibri" w:hAnsi="Calibri" w:eastAsia="Microsoft YaHei" w:cs="Calibri"/>
          <w:color w:val="22333B"/>
          <w:sz w:val="21"/>
          <w:szCs w:val="21"/>
        </w:rPr>
        <w:t>Class G vessels transit through the Southern Assurance Corridor only, under 96-hour movement notice through the military channel, in the published transit windows, with automatic identification system transmission active. Submarines transit surfaced. The architecture excludes embarkation of inspection teams against merchant vessels from any state vessel inside the Governance Area.</w:t>
      </w:r>
    </w:p>
    <w:p>
      <w:pPr>
        <w:pStyle w:val="Heading3"/>
      </w:pPr>
      <w:r>
        <w:rPr>
          <w:rFonts w:ascii="Calibri" w:hAnsi="Calibri" w:eastAsia="Microsoft YaHei" w:cs="Calibri"/>
          <w:b/>
          <w:color w:val="3A7086"/>
          <w:sz w:val="22"/>
          <w:szCs w:val="22"/>
        </w:rPr>
        <w:t>21.6 Exclusion of force</w:t>
      </w:r>
    </w:p>
    <w:p>
      <w:pPr>
        <w:pStyle w:val="Normal"/>
        <w:jc w:val="both"/>
      </w:pPr>
      <w:r>
        <w:rPr>
          <w:rFonts w:ascii="Calibri" w:hAnsi="Calibri" w:eastAsia="Microsoft YaHei" w:cs="Calibri"/>
          <w:color w:val="22333B"/>
          <w:sz w:val="21"/>
          <w:szCs w:val="21"/>
        </w:rPr>
        <w:t>Nothing in this Framework authorizes the use of force by any Party, any external state, or any Framework organ, against any vessel, aircraft, installation, or territory, inside or outside the Governance Area. Framework assets, data, and channels never support kinetic action by any actor, which guards Red Line RL-12. The classification of any incident travels exclusively through Article 23, and force questions rest exclusively with the respective heads of government under their constitutional procedures, outside this instrument entirely.</w:t>
      </w:r>
    </w:p>
    <w:p>
      <w:pPr>
        <w:pStyle w:val="Heading2"/>
      </w:pPr>
      <w:r>
        <w:rPr>
          <w:rFonts w:ascii="Calibri" w:hAnsi="Calibri" w:eastAsia="Microsoft YaHei" w:cs="Calibri"/>
          <w:b/>
          <w:color w:val="1F4E5F"/>
          <w:sz w:val="26"/>
          <w:szCs w:val="26"/>
        </w:rPr>
        <w:t>Article 22: Incidents, Proxy Attacks, and Recovery</w:t>
      </w:r>
    </w:p>
    <w:p>
      <w:pPr>
        <w:pStyle w:val="Heading3"/>
      </w:pPr>
      <w:r>
        <w:rPr>
          <w:rFonts w:ascii="Calibri" w:hAnsi="Calibri" w:eastAsia="Microsoft YaHei" w:cs="Calibri"/>
          <w:b/>
          <w:color w:val="3A7086"/>
          <w:sz w:val="22"/>
          <w:szCs w:val="22"/>
        </w:rPr>
        <w:t>22.1 The Mishap Protocol</w:t>
      </w:r>
    </w:p>
    <w:p>
      <w:pPr>
        <w:pStyle w:val="Normal"/>
        <w:jc w:val="both"/>
      </w:pPr>
      <w:r>
        <w:rPr>
          <w:rFonts w:ascii="Calibri" w:hAnsi="Calibri" w:eastAsia="Microsoft YaHei" w:cs="Calibri"/>
          <w:color w:val="22333B"/>
          <w:sz w:val="21"/>
          <w:szCs w:val="21"/>
        </w:rPr>
        <w:t>Where a collision, casualty, interference event, or use-of-force incident occurs inside the Governance Area, the Mishap Protocol runs automatically in five steps:</w:t>
      </w:r>
    </w:p>
    <w:p>
      <w:pPr>
        <w:pStyle w:val="Normal"/>
        <w:ind w:left="480" w:hanging="240"/>
        <w:jc w:val="both"/>
      </w:pPr>
      <w:r>
        <w:rPr>
          <w:b/>
          <w:rFonts w:ascii="Calibri" w:hAnsi="Calibri" w:eastAsia="Microsoft YaHei" w:cs="Calibri"/>
          <w:color w:val="22333B"/>
          <w:sz w:val="21"/>
          <w:szCs w:val="21"/>
        </w:rPr>
        <w:t xml:space="preserve">1. </w:t>
      </w:r>
      <w:r>
        <w:rPr>
          <w:rFonts w:ascii="Calibri" w:hAnsi="Calibri" w:eastAsia="Microsoft YaHei" w:cs="Calibri"/>
          <w:color w:val="22333B"/>
          <w:sz w:val="21"/>
          <w:szCs w:val="21"/>
        </w:rPr>
        <w:t>Immediate stand-down-and-report. Every involved unit holds position and reports. The Center logs the report and broadcasts a safety notice.</w:t>
      </w:r>
    </w:p>
    <w:p>
      <w:pPr>
        <w:pStyle w:val="Normal"/>
        <w:ind w:left="480" w:hanging="240"/>
        <w:jc w:val="both"/>
      </w:pPr>
      <w:r>
        <w:rPr>
          <w:b/>
          <w:rFonts w:ascii="Calibri" w:hAnsi="Calibri" w:eastAsia="Microsoft YaHei" w:cs="Calibri"/>
          <w:color w:val="22333B"/>
          <w:sz w:val="21"/>
          <w:szCs w:val="21"/>
        </w:rPr>
        <w:t xml:space="preserve">2. </w:t>
      </w:r>
      <w:r>
        <w:rPr>
          <w:rFonts w:ascii="Calibri" w:hAnsi="Calibri" w:eastAsia="Microsoft YaHei" w:cs="Calibri"/>
          <w:color w:val="22333B"/>
          <w:sz w:val="21"/>
          <w:szCs w:val="21"/>
        </w:rPr>
        <w:t>Thirty-Minute Position Log. Every vessel and unit within 10 nautical miles logs and transmits its position, course, and speed every 30 minutes for 6 hours, through any working channel. The log preserves the common factual spine of the event.</w:t>
      </w:r>
    </w:p>
    <w:p>
      <w:pPr>
        <w:pStyle w:val="Normal"/>
        <w:ind w:left="480" w:hanging="240"/>
        <w:jc w:val="both"/>
      </w:pPr>
      <w:r>
        <w:rPr>
          <w:b/>
          <w:rFonts w:ascii="Calibri" w:hAnsi="Calibri" w:eastAsia="Microsoft YaHei" w:cs="Calibri"/>
          <w:color w:val="22333B"/>
          <w:sz w:val="21"/>
          <w:szCs w:val="21"/>
        </w:rPr>
        <w:t xml:space="preserve">3. </w:t>
      </w:r>
      <w:r>
        <w:rPr>
          <w:rFonts w:ascii="Calibri" w:hAnsi="Calibri" w:eastAsia="Microsoft YaHei" w:cs="Calibri"/>
          <w:color w:val="22333B"/>
          <w:sz w:val="21"/>
          <w:szCs w:val="21"/>
        </w:rPr>
        <w:t>Four-hour classification. Within 4 hours, the paired duty officers, with the embarked observer where present, classify the event provisionally as accident, interference, or unresolved, and the Bulletin carries the classification with the evidence state.</w:t>
      </w:r>
    </w:p>
    <w:p>
      <w:pPr>
        <w:pStyle w:val="Normal"/>
        <w:ind w:left="480" w:hanging="240"/>
        <w:jc w:val="both"/>
      </w:pPr>
      <w:r>
        <w:rPr>
          <w:b/>
          <w:rFonts w:ascii="Calibri" w:hAnsi="Calibri" w:eastAsia="Microsoft YaHei" w:cs="Calibri"/>
          <w:color w:val="22333B"/>
          <w:sz w:val="21"/>
          <w:szCs w:val="21"/>
        </w:rPr>
        <w:t xml:space="preserve">4. </w:t>
      </w:r>
      <w:r>
        <w:rPr>
          <w:rFonts w:ascii="Calibri" w:hAnsi="Calibri" w:eastAsia="Microsoft YaHei" w:cs="Calibri"/>
          <w:color w:val="22333B"/>
          <w:sz w:val="21"/>
          <w:szCs w:val="21"/>
        </w:rPr>
        <w:t>Joint assessment. The Technical and Standards Committee, with the Neutral Watch Office, completes the assessment within 14 days under the Convergence Standard, and the report publishes.</w:t>
      </w:r>
    </w:p>
    <w:p>
      <w:pPr>
        <w:pStyle w:val="Normal"/>
        <w:ind w:left="480" w:hanging="240"/>
        <w:jc w:val="both"/>
      </w:pPr>
      <w:r>
        <w:rPr>
          <w:b/>
          <w:rFonts w:ascii="Calibri" w:hAnsi="Calibri" w:eastAsia="Microsoft YaHei" w:cs="Calibri"/>
          <w:color w:val="22333B"/>
          <w:sz w:val="21"/>
          <w:szCs w:val="21"/>
        </w:rPr>
        <w:t xml:space="preserve">5. </w:t>
      </w:r>
      <w:r>
        <w:rPr>
          <w:rFonts w:ascii="Calibri" w:hAnsi="Calibri" w:eastAsia="Microsoft YaHei" w:cs="Calibri"/>
          <w:color w:val="22333B"/>
          <w:sz w:val="21"/>
          <w:szCs w:val="21"/>
        </w:rPr>
        <w:t>Restoration step. Where the event disrupted traffic, the Center publishes the restoration step and the expected return to Free Flow, and the Fund's compensation window opens where the closure qualifies under Article 17.7.</w:t>
      </w:r>
    </w:p>
    <w:p>
      <w:pPr>
        <w:pStyle w:val="Heading3"/>
      </w:pPr>
      <w:r>
        <w:rPr>
          <w:rFonts w:ascii="Calibri" w:hAnsi="Calibri" w:eastAsia="Microsoft YaHei" w:cs="Calibri"/>
          <w:b/>
          <w:color w:val="3A7086"/>
          <w:sz w:val="22"/>
          <w:szCs w:val="22"/>
        </w:rPr>
        <w:t>22.2 The rogue-actor and proxy-attack pathway</w:t>
      </w:r>
    </w:p>
    <w:p>
      <w:pPr>
        <w:pStyle w:val="Normal"/>
        <w:jc w:val="both"/>
      </w:pPr>
      <w:r>
        <w:rPr>
          <w:rFonts w:ascii="Calibri" w:hAnsi="Calibri" w:eastAsia="Microsoft YaHei" w:cs="Calibri"/>
          <w:color w:val="22333B"/>
          <w:sz w:val="21"/>
          <w:szCs w:val="21"/>
        </w:rPr>
        <w:t>The Framework is built for the week a proxy strikes. An attack on commercial traffic by an actor outside any Party's command activates the rogue-actor pathway in six steps:</w:t>
      </w:r>
    </w:p>
    <w:p>
      <w:pPr>
        <w:pStyle w:val="Normal"/>
        <w:ind w:left="480" w:hanging="240"/>
        <w:jc w:val="both"/>
      </w:pPr>
      <w:r>
        <w:rPr>
          <w:b/>
          <w:rFonts w:ascii="Calibri" w:hAnsi="Calibri" w:eastAsia="Microsoft YaHei" w:cs="Calibri"/>
          <w:color w:val="22333B"/>
          <w:sz w:val="21"/>
          <w:szCs w:val="21"/>
        </w:rPr>
        <w:t xml:space="preserve">1. </w:t>
      </w:r>
      <w:r>
        <w:rPr>
          <w:rFonts w:ascii="Calibri" w:hAnsi="Calibri" w:eastAsia="Microsoft YaHei" w:cs="Calibri"/>
          <w:color w:val="22333B"/>
          <w:sz w:val="21"/>
          <w:szCs w:val="21"/>
        </w:rPr>
        <w:t>Report. The affected Party reports through the de-confliction channel within 60 minutes with position and evidence.</w:t>
      </w:r>
    </w:p>
    <w:p>
      <w:pPr>
        <w:pStyle w:val="Normal"/>
        <w:ind w:left="480" w:hanging="240"/>
        <w:jc w:val="both"/>
      </w:pPr>
      <w:r>
        <w:rPr>
          <w:b/>
          <w:rFonts w:ascii="Calibri" w:hAnsi="Calibri" w:eastAsia="Microsoft YaHei" w:cs="Calibri"/>
          <w:color w:val="22333B"/>
          <w:sz w:val="21"/>
          <w:szCs w:val="21"/>
        </w:rPr>
        <w:t xml:space="preserve">2. </w:t>
      </w:r>
      <w:r>
        <w:rPr>
          <w:rFonts w:ascii="Calibri" w:hAnsi="Calibri" w:eastAsia="Microsoft YaHei" w:cs="Calibri"/>
          <w:color w:val="22333B"/>
          <w:sz w:val="21"/>
          <w:szCs w:val="21"/>
        </w:rPr>
        <w:t>Flash broadcast. The Center issues an immediate flash broadcast to all traffic and activates the Mishap Protocol's position log for the affected area.</w:t>
      </w:r>
    </w:p>
    <w:p>
      <w:pPr>
        <w:pStyle w:val="Normal"/>
        <w:ind w:left="480" w:hanging="240"/>
        <w:jc w:val="both"/>
      </w:pPr>
      <w:r>
        <w:rPr>
          <w:b/>
          <w:rFonts w:ascii="Calibri" w:hAnsi="Calibri" w:eastAsia="Microsoft YaHei" w:cs="Calibri"/>
          <w:color w:val="22333B"/>
          <w:sz w:val="21"/>
          <w:szCs w:val="21"/>
        </w:rPr>
        <w:t xml:space="preserve">3. </w:t>
      </w:r>
      <w:r>
        <w:rPr>
          <w:rFonts w:ascii="Calibri" w:hAnsi="Calibri" w:eastAsia="Microsoft YaHei" w:cs="Calibri"/>
          <w:color w:val="22333B"/>
          <w:sz w:val="21"/>
          <w:szCs w:val="21"/>
        </w:rPr>
        <w:t>Attribution deferral. A 48-hour attribution deferral window opens automatically. During the window, the architecture presumes good faith, assigns no fault, and freezes every classification and every consequence touching the event.</w:t>
      </w:r>
    </w:p>
    <w:p>
      <w:pPr>
        <w:pStyle w:val="Normal"/>
        <w:ind w:left="480" w:hanging="240"/>
        <w:jc w:val="both"/>
      </w:pPr>
      <w:r>
        <w:rPr>
          <w:b/>
          <w:rFonts w:ascii="Calibri" w:hAnsi="Calibri" w:eastAsia="Microsoft YaHei" w:cs="Calibri"/>
          <w:color w:val="22333B"/>
          <w:sz w:val="21"/>
          <w:szCs w:val="21"/>
        </w:rPr>
        <w:t xml:space="preserve">4. </w:t>
      </w:r>
      <w:r>
        <w:rPr>
          <w:rFonts w:ascii="Calibri" w:hAnsi="Calibri" w:eastAsia="Microsoft YaHei" w:cs="Calibri"/>
          <w:color w:val="22333B"/>
          <w:sz w:val="21"/>
          <w:szCs w:val="21"/>
        </w:rPr>
        <w:t>Joint protection. The Parties' forces cooperate in protecting traffic in the affected area under Neutral Watch observation, and the unaffected passage absorbs rerouted traffic at full standard.</w:t>
      </w:r>
    </w:p>
    <w:p>
      <w:pPr>
        <w:pStyle w:val="Normal"/>
        <w:ind w:left="480" w:hanging="240"/>
        <w:jc w:val="both"/>
      </w:pPr>
      <w:r>
        <w:rPr>
          <w:b/>
          <w:rFonts w:ascii="Calibri" w:hAnsi="Calibri" w:eastAsia="Microsoft YaHei" w:cs="Calibri"/>
          <w:color w:val="22333B"/>
          <w:sz w:val="21"/>
          <w:szCs w:val="21"/>
        </w:rPr>
        <w:t xml:space="preserve">5. </w:t>
      </w:r>
      <w:r>
        <w:rPr>
          <w:rFonts w:ascii="Calibri" w:hAnsi="Calibri" w:eastAsia="Microsoft YaHei" w:cs="Calibri"/>
          <w:color w:val="22333B"/>
          <w:sz w:val="21"/>
          <w:szCs w:val="21"/>
        </w:rPr>
        <w:t>Forensic convergence. The Neutral Watch Office completes a forensic assessment under the Convergence Standard within 7 days. Attribution rests on two independent inputs, never on assertion.</w:t>
      </w:r>
    </w:p>
    <w:p>
      <w:pPr>
        <w:pStyle w:val="Normal"/>
        <w:ind w:left="480" w:hanging="240"/>
        <w:jc w:val="both"/>
      </w:pPr>
      <w:r>
        <w:rPr>
          <w:b/>
          <w:rFonts w:ascii="Calibri" w:hAnsi="Calibri" w:eastAsia="Microsoft YaHei" w:cs="Calibri"/>
          <w:color w:val="22333B"/>
          <w:sz w:val="21"/>
          <w:szCs w:val="21"/>
        </w:rPr>
        <w:t xml:space="preserve">6. </w:t>
      </w:r>
      <w:r>
        <w:rPr>
          <w:rFonts w:ascii="Calibri" w:hAnsi="Calibri" w:eastAsia="Microsoft YaHei" w:cs="Calibri"/>
          <w:color w:val="22333B"/>
          <w:sz w:val="21"/>
          <w:szCs w:val="21"/>
        </w:rPr>
        <w:t>Classification or closure. A convergent finding travels to the compliance engine of Article 23; an unattributed attack closes as a rogue-actor event, produces no bilateral consequence of any kind, and enters the archive as a standing lesson.</w:t>
      </w:r>
    </w:p>
    <w:p>
      <w:pPr>
        <w:pStyle w:val="Normal"/>
        <w:jc w:val="both"/>
      </w:pPr>
      <w:r>
        <w:rPr>
          <w:rFonts w:ascii="Calibri" w:hAnsi="Calibri" w:eastAsia="Microsoft YaHei" w:cs="Calibri"/>
          <w:color w:val="22333B"/>
          <w:sz w:val="21"/>
          <w:szCs w:val="21"/>
        </w:rPr>
        <w:t>The architecture never lets an unattributed attack serve as a casus belli inside the Framework's machinery, and it excludes rogue actors and false-flag operations from every bilateral consequence. A Party that asserts another Party's involvement files its evidence with the Neutral Watch Office within 72 hours; an assertion unsupported at the second successive assessment enters the claim record of Article 25.</w:t>
      </w:r>
    </w:p>
    <w:p>
      <w:pPr>
        <w:pStyle w:val="Normal"/>
        <w:jc w:val="both"/>
      </w:pPr>
      <w:r>
        <w:rPr>
          <w:rFonts w:ascii="Calibri" w:hAnsi="Calibri" w:eastAsia="Microsoft YaHei" w:cs="Calibri"/>
          <w:color w:val="22333B"/>
          <w:sz w:val="21"/>
          <w:szCs w:val="21"/>
        </w:rPr>
        <w:t>False-flag rebuttable presumption: during the attribution deferral window, the Neutral Watch Office applies a rebuttable presumption that any event staged to appear as another Party's action is, absent clear evidence to the contrary, a false-flag operation. The Party alleging false-flag status bears the burden of producing two independent inputs under the Convergence Standard. Failure to meet the standard within the 7-day assessment window closes the event as unattributed and records the claiming Party's evidentiary failure in the Ledger's institutional column. The presumption shifts the burden to the accuser while preserving good faith, and it makes false-flag accusations expensive and risky.</w:t>
      </w:r>
    </w:p>
    <w:p>
      <w:pPr>
        <w:pStyle w:val="Normal"/>
        <w:jc w:val="both"/>
      </w:pPr>
      <w:r>
        <w:rPr>
          <w:rFonts w:ascii="Calibri" w:hAnsi="Calibri" w:eastAsia="Microsoft YaHei" w:cs="Calibri"/>
          <w:color w:val="22333B"/>
          <w:sz w:val="21"/>
          <w:szCs w:val="21"/>
        </w:rPr>
        <w:t>Step seven, credible deniability closure: where the Neutral Watch Office finds that a Party's claim of rogue-actor involvement lacks a good-faith evidentiary basis and constitutes an attempt to shield state-directed action behind a plausible-denial claim, that Party accepts automatic classification of the event as an Architectural Breach under Article 23, with the A-1 point schedule of Annex C tripled for the first such finding and quintupled for any second finding within 24 months. The Neutral Watch Office publishes the evidentiary basis for the denial finding with the classification. This closure ends the plausible-deniability loophole: a bad-faith denial carries a price that makes the tactic irrational.</w:t>
      </w:r>
    </w:p>
    <w:p>
      <w:pPr>
        <w:pStyle w:val="Heading3"/>
      </w:pPr>
      <w:r>
        <w:rPr>
          <w:rFonts w:ascii="Calibri" w:hAnsi="Calibri" w:eastAsia="Microsoft YaHei" w:cs="Calibri"/>
          <w:b/>
          <w:color w:val="3A7086"/>
          <w:sz w:val="22"/>
          <w:szCs w:val="22"/>
        </w:rPr>
        <w:t>22.3 Interference events</w:t>
      </w:r>
    </w:p>
    <w:p>
      <w:pPr>
        <w:pStyle w:val="Normal"/>
        <w:jc w:val="both"/>
      </w:pPr>
      <w:r>
        <w:rPr>
          <w:rFonts w:ascii="Calibri" w:hAnsi="Calibri" w:eastAsia="Microsoft YaHei" w:cs="Calibri"/>
          <w:color w:val="22333B"/>
          <w:sz w:val="21"/>
          <w:szCs w:val="21"/>
        </w:rPr>
        <w:t>An interference event covers harassment, signal jamming or spoofing, unsafe approach, or illumination by targeting systems. The signal-integrity watch of Article 11.3 records the technical evidence automatically. Repeated interference events against a pattern trigger the graduated response of Article 23 with the pattern evidence attached.</w:t>
      </w:r>
    </w:p>
    <w:p>
      <w:pPr>
        <w:pStyle w:val="Heading3"/>
      </w:pPr>
      <w:r>
        <w:rPr>
          <w:rFonts w:ascii="Calibri" w:hAnsi="Calibri" w:eastAsia="Microsoft YaHei" w:cs="Calibri"/>
          <w:b/>
          <w:color w:val="3A7086"/>
          <w:sz w:val="22"/>
          <w:szCs w:val="22"/>
        </w:rPr>
        <w:t>22.4 Search and rescue and the distress priority</w:t>
      </w:r>
    </w:p>
    <w:p>
      <w:pPr>
        <w:pStyle w:val="Normal"/>
        <w:jc w:val="both"/>
      </w:pPr>
      <w:r>
        <w:rPr>
          <w:rFonts w:ascii="Calibri" w:hAnsi="Calibri" w:eastAsia="Microsoft YaHei" w:cs="Calibri"/>
          <w:color w:val="22333B"/>
          <w:sz w:val="21"/>
          <w:szCs w:val="21"/>
        </w:rPr>
        <w:t>The Parties operate search and rescue in the Governance Area as one shared grid, coordinated by the Center, executed by the coastal states' rescue assets, and observed by the Neutral Watch Office. A distress call overrides every other consideration in this Framework. Any asset of any Party proceeds to distress assistance anywhere in the Governance Area without prior clearance, and the Center logs the movement afterward. The architecture treats life-saving as pre-authorized in all waters, by all actors, at all times, and a delay of distress response for any administrative reason classifies as an Architectural Breach. The coastal states conduct a joint search and rescue exercise each quarter, alternating leads, with the results published.</w:t>
      </w:r>
    </w:p>
    <w:p>
      <w:pPr>
        <w:pStyle w:val="Heading3"/>
      </w:pPr>
      <w:r>
        <w:rPr>
          <w:rFonts w:ascii="Calibri" w:hAnsi="Calibri" w:eastAsia="Microsoft YaHei" w:cs="Calibri"/>
          <w:b/>
          <w:color w:val="3A7086"/>
          <w:sz w:val="22"/>
          <w:szCs w:val="22"/>
        </w:rPr>
        <w:t>22.5 Environmental protection</w:t>
      </w:r>
    </w:p>
    <w:p>
      <w:pPr>
        <w:pStyle w:val="Normal"/>
        <w:jc w:val="both"/>
      </w:pPr>
      <w:r>
        <w:rPr>
          <w:rFonts w:ascii="Calibri" w:hAnsi="Calibri" w:eastAsia="Microsoft YaHei" w:cs="Calibri"/>
          <w:color w:val="22333B"/>
          <w:sz w:val="21"/>
          <w:szCs w:val="21"/>
        </w:rPr>
        <w:t>The passage rules incorporate the international pollution-prevention standards as minimums: discharge rules, ballast management, and bunkering exclusion inside the lanes. The Center's watch includes an environmental watch function that logs every observed discharge and every report of sheen or debris, and the ground-truth patrols carry pollution-observation kits. The coastal states maintain pollution response standby under the Fund's readiness line: containment and recovery capacity at each approach on 2-hour notice, dispersant stockpiles at Bandar Abbas and Khasab, and a joint response plan at Annex D. Liability for pollution damage follows the international liability and compensation instruments in force for the responsible vessel's flag and class, and every vessel above 10,000 gross tons transiting the corridors carries pollution liability coverage from a recognized provider, evidenced in the notice for the Northern Coordination Corridor and the Central International Corridor and in the Registry for the Southern Assurance Corridor.</w:t>
      </w:r>
    </w:p>
    <w:p>
      <w:pPr>
        <w:pStyle w:val="Normal"/>
        <w:jc w:val="both"/>
      </w:pPr>
      <w:r>
        <w:rPr>
          <w:rFonts w:ascii="Calibri" w:hAnsi="Calibri" w:eastAsia="Microsoft YaHei" w:cs="Calibri"/>
          <w:color w:val="22333B"/>
          <w:sz w:val="21"/>
          <w:szCs w:val="21"/>
        </w:rPr>
        <w:t>The Fund allocates a quarterly environmental compliance bonus to the corridor with the lowest recorded pollution violations, as verified by the Neutral Watch Office. The bonus equals five percent of that corridor's quarterly reimbursement, and the Ledger publishes each award with the quarterly standing computation.</w:t>
      </w:r>
    </w:p>
    <w:p>
      <w:pPr>
        <w:pStyle w:val="Normal"/>
        <w:jc w:val="both"/>
      </w:pPr>
      <w:r>
        <w:rPr>
          <w:rFonts w:ascii="Calibri" w:hAnsi="Calibri" w:eastAsia="Microsoft YaHei" w:cs="Calibri"/>
          <w:color w:val="22333B"/>
          <w:sz w:val="21"/>
          <w:szCs w:val="21"/>
        </w:rPr>
        <w:t>Critical infrastructure protection: the Parties designate the following as Critical Infrastructure under the Framework: the Daryaban Operations Center; the mirror facility in Bandar Abbas; the communications and telemetry infrastructure; the escrow and fund accounts; the navigational aids in the Governance Area; and the holding anchorages. An attack on, interference with, or disruption of any Critical Infrastructure element classifies as an Architectural Breach under Article 23, with points doubled. The register of Critical Infrastructure publishes with the Red Lines Register of Annex G. The designation protects the system's nervous system.</w:t>
      </w:r>
    </w:p>
    <w:p>
      <w:pPr>
        <w:pStyle w:val="Heading3"/>
      </w:pPr>
      <w:r>
        <w:rPr>
          <w:rFonts w:ascii="Calibri" w:hAnsi="Calibri" w:eastAsia="Microsoft YaHei" w:cs="Calibri"/>
          <w:b/>
          <w:color w:val="3A7086"/>
          <w:sz w:val="22"/>
          <w:szCs w:val="22"/>
        </w:rPr>
        <w:t>22.6 Crew protections</w:t>
      </w:r>
    </w:p>
    <w:p>
      <w:pPr>
        <w:pStyle w:val="Normal"/>
        <w:jc w:val="both"/>
      </w:pPr>
      <w:r>
        <w:rPr>
          <w:rFonts w:ascii="Calibri" w:hAnsi="Calibri" w:eastAsia="Microsoft YaHei" w:cs="Calibri"/>
          <w:color w:val="22333B"/>
          <w:sz w:val="21"/>
          <w:szCs w:val="21"/>
        </w:rPr>
        <w:t>The architecture protects the human beings on the water. No Party detains a crew member of a transiting vessel for any reason connected with the vessel's transit; medical evacuation proceeds from any point in the Governance Area on the vessel's request, with the nearest capable asset responding; consular access attaches within 24 hours of any shore transfer; and the Neutral Watch Office reports every crew-welfare event in its weekly summary. A crew-protection failure classifies under Annex C, category M-1, and a pattern of failures classifies one category higher.</w:t>
      </w:r>
    </w:p>
    <w:p>
      <w:pPr>
        <w:pStyle w:val="Heading1"/>
      </w:pPr>
      <w:r>
        <w:rPr>
          <w:rFonts w:ascii="Calibri" w:hAnsi="Calibri" w:eastAsia="Microsoft YaHei" w:cs="Calibri"/>
          <w:b/>
          <w:color w:val="1F4E5F"/>
          <w:sz w:val="30"/>
          <w:szCs w:val="30"/>
        </w:rPr>
        <w:t>Part VI: Compliance, Accountability, and Dispute Resolution</w:t>
      </w:r>
    </w:p>
    <w:p>
      <w:pPr>
        <w:pStyle w:val="Heading2"/>
      </w:pPr>
      <w:r>
        <w:rPr>
          <w:rFonts w:ascii="Calibri" w:hAnsi="Calibri" w:eastAsia="Microsoft YaHei" w:cs="Calibri"/>
          <w:b/>
          <w:color w:val="1F4E5F"/>
          <w:sz w:val="26"/>
          <w:szCs w:val="26"/>
        </w:rPr>
        <w:t>Article 23: The Compliance Engine</w:t>
      </w:r>
    </w:p>
    <w:p>
      <w:pPr>
        <w:pStyle w:val="Heading3"/>
      </w:pPr>
      <w:r>
        <w:rPr>
          <w:rFonts w:ascii="Calibri" w:hAnsi="Calibri" w:eastAsia="Microsoft YaHei" w:cs="Calibri"/>
          <w:b/>
          <w:color w:val="3A7086"/>
          <w:sz w:val="22"/>
          <w:szCs w:val="22"/>
        </w:rPr>
        <w:t>23.1 Three categories of events</w:t>
      </w:r>
    </w:p>
    <w:p>
      <w:pPr>
        <w:pStyle w:val="Normal"/>
        <w:jc w:val="both"/>
      </w:pPr>
      <w:r>
        <w:rPr>
          <w:rFonts w:ascii="Calibri" w:hAnsi="Calibri" w:eastAsia="Microsoft YaHei" w:cs="Calibri"/>
          <w:color w:val="22333B"/>
          <w:sz w:val="21"/>
          <w:szCs w:val="21"/>
        </w:rPr>
        <w:t>The Framework classifies every compliance event into one of three categories, on verified facts under the Convergence Standard:</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1900"/>
        <w:gridCol w:w="2500"/>
        <w:gridCol w:w="2400"/>
        <w:gridCol w:w="2200"/>
      </w:tblGrid>
      <w:tr>
        <w:trPr>
          <w:tblHeader w:val="1"/>
        </w:trPr>
        <w:tc>
          <w:tcPr>
            <w:tcW w:w="19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Category</w:t>
            </w:r>
          </w:p>
        </w:tc>
        <w:tc>
          <w:tcPr>
            <w:tcW w:w="25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Definition</w:t>
            </w:r>
          </w:p>
        </w:tc>
        <w:tc>
          <w:tcPr>
            <w:tcW w:w="24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Examples</w:t>
            </w:r>
          </w:p>
        </w:tc>
        <w:tc>
          <w:tcPr>
            <w:tcW w:w="22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Automatic response</w:t>
            </w:r>
          </w:p>
        </w:tc>
      </w:tr>
      <w:tr>
        <w:tc>
          <w:tcPr>
            <w:tcW w:w="1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Operational Variation</w:t>
            </w:r>
          </w:p>
        </w:tc>
        <w:tc>
          <w:tcPr>
            <w:tcW w:w="2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An isolated, non-pattern deviation from a procedural rule, cured or curable without third-party loss</w:t>
            </w:r>
          </w:p>
        </w:tc>
        <w:tc>
          <w:tcPr>
            <w:tcW w:w="24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Late notice cured before transit; a one-off spacing breach logged and acknowledged</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Notice and cure: the Center issues a written notice; the Party cures within 7 days; the event closes on cure</w:t>
            </w:r>
          </w:p>
        </w:tc>
      </w:tr>
      <w:tr>
        <w:tc>
          <w:tcPr>
            <w:tcW w:w="1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Material Disruption</w:t>
            </w:r>
          </w:p>
        </w:tc>
        <w:tc>
          <w:tcPr>
            <w:tcW w:w="2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A deviation that produces third-party loss, repeats after notice, or touches a service, safety, or financial standard</w:t>
            </w:r>
          </w:p>
        </w:tc>
        <w:tc>
          <w:tcPr>
            <w:tcW w:w="24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A pattern of late acknowledgments; double recovery under Article 17.6; obstruction of a scheduled patrol</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Graduated response of Article 23.2, steps one through three</w:t>
            </w:r>
          </w:p>
        </w:tc>
      </w:tr>
      <w:tr>
        <w:tc>
          <w:tcPr>
            <w:tcW w:w="1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Architectural Breach</w:t>
            </w:r>
          </w:p>
        </w:tc>
        <w:tc>
          <w:tcPr>
            <w:tcW w:w="2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A deviation touching a Red Line, the humanitarian absolute, distress response, or the Non-Interdiction Protocol</w:t>
            </w:r>
          </w:p>
        </w:tc>
        <w:tc>
          <w:tcPr>
            <w:tcW w:w="24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A charge collected on passage; an interdiction inside a passage; a delayed distress response</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Immediate Daryaban Watch of Article 24; Guarantor Panel convenes within 48 hours</w:t>
            </w:r>
          </w:p>
        </w:tc>
      </w:tr>
    </w:tbl>
    <w:p>
      <w:pPr>
        <w:pStyle w:val="Caption"/>
      </w:pPr>
      <w:r>
        <w:rPr>
          <w:rFonts w:ascii="Calibri" w:hAnsi="Calibri" w:eastAsia="Microsoft YaHei" w:cs="Calibri"/>
          <w:i/>
          <w:color w:val="6E8A96"/>
          <w:sz w:val="18"/>
          <w:szCs w:val="18"/>
        </w:rPr>
        <w:t>Table 23.1: The three categories of compliance events</w:t>
      </w:r>
    </w:p>
    <w:p>
      <w:pPr>
        <w:pStyle w:val="Normal"/>
        <w:jc w:val="both"/>
      </w:pPr>
      <w:r>
        <w:rPr>
          <w:rFonts w:ascii="Calibri" w:hAnsi="Calibri" w:eastAsia="Microsoft YaHei" w:cs="Calibri"/>
          <w:color w:val="22333B"/>
          <w:sz w:val="21"/>
          <w:szCs w:val="21"/>
        </w:rPr>
        <w:t>Classification rests on verified facts. The Neutral Watch Office proposes, the Technical and Standards Committee confirms facts, and the Council or the Panel classifies. A Party subject to a proposed classification sees the full evidence file and answers before classification, within 72 hours.</w:t>
      </w:r>
    </w:p>
    <w:p>
      <w:pPr>
        <w:pStyle w:val="Normal"/>
        <w:jc w:val="both"/>
      </w:pPr>
      <w:r>
        <w:rPr>
          <w:rFonts w:ascii="Calibri" w:hAnsi="Calibri" w:eastAsia="Microsoft YaHei" w:cs="Calibri"/>
          <w:color w:val="22333B"/>
          <w:sz w:val="21"/>
          <w:szCs w:val="21"/>
        </w:rPr>
        <w:t>Systemic pattern review: the Neutral Watch Office conducts a quarterly pattern review of all classifications over the preceding 12 months. Where the Office identifies a systemic pattern of deviations by any Party, meaning three or more events of the same type within 12 months, it certifies the pattern and refers it to the Guarantor Panel for pattern-based consequence: a 30-day suspension of the affected discretionary benefits, plus enhanced verification of the affected module for the following 90 days. The pattern finding publishes with the Bulletin and the Ledger. The review catches salami-slicing: small deviations that individually escape consequence yet collectively reveal bad faith.</w:t>
      </w:r>
    </w:p>
    <w:p>
      <w:pPr>
        <w:pStyle w:val="Heading3"/>
      </w:pPr>
      <w:r>
        <w:rPr>
          <w:rFonts w:ascii="Calibri" w:hAnsi="Calibri" w:eastAsia="Microsoft YaHei" w:cs="Calibri"/>
          <w:b/>
          <w:color w:val="3A7086"/>
          <w:sz w:val="22"/>
          <w:szCs w:val="22"/>
        </w:rPr>
        <w:t>23.2 The graduated response ladder</w:t>
      </w:r>
    </w:p>
    <w:p>
      <w:pPr>
        <w:pStyle w:val="Normal"/>
        <w:jc w:val="both"/>
      </w:pPr>
      <w:r>
        <w:rPr>
          <w:rFonts w:ascii="Calibri" w:hAnsi="Calibri" w:eastAsia="Microsoft YaHei" w:cs="Calibri"/>
          <w:color w:val="22333B"/>
          <w:sz w:val="21"/>
          <w:szCs w:val="21"/>
        </w:rPr>
        <w:t>Consequences rise in five defined steps, each proportionate, each reversible, none touching the humanitarian absolute:</w:t>
      </w:r>
    </w:p>
    <w:p>
      <w:pPr>
        <w:pStyle w:val="Normal"/>
        <w:ind w:left="480" w:hanging="240"/>
        <w:jc w:val="both"/>
      </w:pPr>
      <w:r>
        <w:rPr>
          <w:b/>
          <w:rFonts w:ascii="Calibri" w:hAnsi="Calibri" w:eastAsia="Microsoft YaHei" w:cs="Calibri"/>
          <w:color w:val="22333B"/>
          <w:sz w:val="21"/>
          <w:szCs w:val="21"/>
        </w:rPr>
        <w:t xml:space="preserve">1. </w:t>
      </w:r>
      <w:r>
        <w:rPr>
          <w:rFonts w:ascii="Calibri" w:hAnsi="Calibri" w:eastAsia="Microsoft YaHei" w:cs="Calibri"/>
          <w:color w:val="22333B"/>
          <w:sz w:val="21"/>
          <w:szCs w:val="21"/>
        </w:rPr>
        <w:t>Step one: formal notice and cure window of 7 days.</w:t>
      </w:r>
    </w:p>
    <w:p>
      <w:pPr>
        <w:pStyle w:val="Normal"/>
        <w:ind w:left="480" w:hanging="240"/>
        <w:jc w:val="both"/>
      </w:pPr>
      <w:r>
        <w:rPr>
          <w:b/>
          <w:rFonts w:ascii="Calibri" w:hAnsi="Calibri" w:eastAsia="Microsoft YaHei" w:cs="Calibri"/>
          <w:color w:val="22333B"/>
          <w:sz w:val="21"/>
          <w:szCs w:val="21"/>
        </w:rPr>
        <w:t xml:space="preserve">2. </w:t>
      </w:r>
      <w:r>
        <w:rPr>
          <w:rFonts w:ascii="Calibri" w:hAnsi="Calibri" w:eastAsia="Microsoft YaHei" w:cs="Calibri"/>
          <w:color w:val="22333B"/>
          <w:sz w:val="21"/>
          <w:szCs w:val="21"/>
        </w:rPr>
        <w:t>Step two: publication of the deviation in the Bulletin and the performance digest, with the evidence file attached.</w:t>
      </w:r>
    </w:p>
    <w:p>
      <w:pPr>
        <w:pStyle w:val="Normal"/>
        <w:ind w:left="480" w:hanging="240"/>
        <w:jc w:val="both"/>
      </w:pPr>
      <w:r>
        <w:rPr>
          <w:b/>
          <w:rFonts w:ascii="Calibri" w:hAnsi="Calibri" w:eastAsia="Microsoft YaHei" w:cs="Calibri"/>
          <w:color w:val="22333B"/>
          <w:sz w:val="21"/>
          <w:szCs w:val="21"/>
        </w:rPr>
        <w:t xml:space="preserve">3. </w:t>
      </w:r>
      <w:r>
        <w:rPr>
          <w:rFonts w:ascii="Calibri" w:hAnsi="Calibri" w:eastAsia="Microsoft YaHei" w:cs="Calibri"/>
          <w:color w:val="22333B"/>
          <w:sz w:val="21"/>
          <w:szCs w:val="21"/>
        </w:rPr>
        <w:t>Step three: suspension of the quality premium and of new service certifications for the responsible Party, for a stated period of 30 days.</w:t>
      </w:r>
    </w:p>
    <w:p>
      <w:pPr>
        <w:pStyle w:val="Normal"/>
        <w:ind w:left="480" w:hanging="240"/>
        <w:jc w:val="both"/>
      </w:pPr>
      <w:r>
        <w:rPr>
          <w:b/>
          <w:rFonts w:ascii="Calibri" w:hAnsi="Calibri" w:eastAsia="Microsoft YaHei" w:cs="Calibri"/>
          <w:color w:val="22333B"/>
          <w:sz w:val="21"/>
          <w:szCs w:val="21"/>
        </w:rPr>
        <w:t xml:space="preserve">4. </w:t>
      </w:r>
      <w:r>
        <w:rPr>
          <w:rFonts w:ascii="Calibri" w:hAnsi="Calibri" w:eastAsia="Microsoft YaHei" w:cs="Calibri"/>
          <w:color w:val="22333B"/>
          <w:sz w:val="21"/>
          <w:szCs w:val="21"/>
        </w:rPr>
        <w:t>Step four: step-back of standing by one level in the Reciprocity Ledger of Article 25.4, with earn-back available immediately.</w:t>
      </w:r>
    </w:p>
    <w:p>
      <w:pPr>
        <w:pStyle w:val="Normal"/>
        <w:ind w:left="480" w:hanging="240"/>
        <w:jc w:val="both"/>
      </w:pPr>
      <w:r>
        <w:rPr>
          <w:b/>
          <w:rFonts w:ascii="Calibri" w:hAnsi="Calibri" w:eastAsia="Microsoft YaHei" w:cs="Calibri"/>
          <w:color w:val="22333B"/>
          <w:sz w:val="21"/>
          <w:szCs w:val="21"/>
        </w:rPr>
        <w:t xml:space="preserve">5. </w:t>
      </w:r>
      <w:r>
        <w:rPr>
          <w:rFonts w:ascii="Calibri" w:hAnsi="Calibri" w:eastAsia="Microsoft YaHei" w:cs="Calibri"/>
          <w:color w:val="22333B"/>
          <w:sz w:val="21"/>
          <w:szCs w:val="21"/>
        </w:rPr>
        <w:t>Step five: referral to the facilitation tier of Article 26.2 with a published case file.</w:t>
      </w:r>
    </w:p>
    <w:p>
      <w:pPr>
        <w:pStyle w:val="Normal"/>
        <w:jc w:val="both"/>
      </w:pPr>
      <w:r>
        <w:rPr>
          <w:rFonts w:ascii="Calibri" w:hAnsi="Calibri" w:eastAsia="Microsoft YaHei" w:cs="Calibri"/>
          <w:color w:val="22333B"/>
          <w:sz w:val="21"/>
          <w:szCs w:val="21"/>
        </w:rPr>
        <w:t>The ladder climbs one step at a time. A step takes effect only where the prior step failed to cure. The ladder never jumps steps except for an Architectural Breach event, which starts at the Daryaban Watch.</w:t>
      </w:r>
    </w:p>
    <w:p>
      <w:pPr>
        <w:pStyle w:val="Normal"/>
        <w:ind w:left="480" w:hanging="240"/>
        <w:jc w:val="both"/>
      </w:pPr>
      <w:r>
        <w:rPr>
          <w:b/>
          <w:rFonts w:ascii="Calibri" w:hAnsi="Calibri" w:eastAsia="Microsoft YaHei" w:cs="Calibri"/>
          <w:color w:val="22333B"/>
          <w:sz w:val="21"/>
          <w:szCs w:val="21"/>
        </w:rPr>
        <w:t xml:space="preserve">1. </w:t>
      </w:r>
      <w:r>
        <w:rPr>
          <w:rFonts w:ascii="Calibri" w:hAnsi="Calibri" w:eastAsia="Microsoft YaHei" w:cs="Calibri"/>
          <w:color w:val="22333B"/>
          <w:sz w:val="21"/>
          <w:szCs w:val="21"/>
        </w:rPr>
        <w:t>Step six, pattern acceleration: where a Party accumulates three Architectural Breach or Material Disruption classifications of the same type within any 12-month period, the response ladder accelerates automatically: the cure window for the third and any subsequent event compresses to 72 hours, the suspension period doubles, and the referral to the facilitation tier proceeds without prior step-back. The Neutral Watch Office certifies the pattern, and the certification publishes within 24 hours. The acceleration prevents any actor from treating penalties as a cost of doing business.</w:t>
      </w:r>
    </w:p>
    <w:p>
      <w:pPr>
        <w:pStyle w:val="Heading3"/>
      </w:pPr>
      <w:r>
        <w:rPr>
          <w:rFonts w:ascii="Calibri" w:hAnsi="Calibri" w:eastAsia="Microsoft YaHei" w:cs="Calibri"/>
          <w:b/>
          <w:color w:val="3A7086"/>
          <w:sz w:val="22"/>
          <w:szCs w:val="22"/>
        </w:rPr>
        <w:t>23.3 Earn-back and restoration</w:t>
      </w:r>
    </w:p>
    <w:p>
      <w:pPr>
        <w:pStyle w:val="Normal"/>
        <w:jc w:val="both"/>
      </w:pPr>
      <w:r>
        <w:rPr>
          <w:rFonts w:ascii="Calibri" w:hAnsi="Calibri" w:eastAsia="Microsoft YaHei" w:cs="Calibri"/>
          <w:color w:val="22333B"/>
          <w:sz w:val="21"/>
          <w:szCs w:val="21"/>
        </w:rPr>
        <w:t>Every step carries a defined earn-back: cure plus 30 days of verified clean operation restores step three suspensions; cure plus one quarter restores a step-back of standing; cure plus certification restores every publication flag to a cured marker. Restoration is automatic on verified cure. No organ holds discretion to delay it, and the Bulletin announces every restoration with the same prominence as the deviation. Earn-back never requires an admission of guilt, a payment of penalties, a political concession beyond returning to compliance, or a re-negotiation of the underlying commitment.</w:t>
      </w:r>
    </w:p>
    <w:p>
      <w:pPr>
        <w:pStyle w:val="Heading3"/>
      </w:pPr>
      <w:r>
        <w:rPr>
          <w:rFonts w:ascii="Calibri" w:hAnsi="Calibri" w:eastAsia="Microsoft YaHei" w:cs="Calibri"/>
          <w:b/>
          <w:color w:val="3A7086"/>
          <w:sz w:val="22"/>
          <w:szCs w:val="22"/>
        </w:rPr>
        <w:t>23.4 The Performance Reserve and the humanitarian firewall</w:t>
      </w:r>
    </w:p>
    <w:p>
      <w:pPr>
        <w:pStyle w:val="Normal"/>
        <w:jc w:val="both"/>
      </w:pPr>
      <w:r>
        <w:rPr>
          <w:rFonts w:ascii="Calibri" w:hAnsi="Calibri" w:eastAsia="Microsoft YaHei" w:cs="Calibri"/>
          <w:color w:val="22333B"/>
          <w:sz w:val="21"/>
          <w:szCs w:val="21"/>
        </w:rPr>
        <w:t>The Ledger records over-compliance: services delivered above roster, early hazard declarations, patrol invitations beyond schedule, observer embarkations beyond rota. Over-compliance banks as a Performance Reserve, and a Party in a step-back draws on its Reserve to accelerate restoration. The Reserve never expires, per the Nofade Guarantee, and it converts good behavior into a tangible asset that bad weeks never erase. No step of the ladder, no classification, no dispute, and no pause touches: humanitarian transit; search and rescue; distress response; the Neutral Watch Office's funding and access; the Fund's liquidity reserve; or the publication of the Bulletin. These flows run in every state of the Framework, including a Party's suspension or withdrawal, forever.</w:t>
      </w:r>
    </w:p>
    <w:p>
      <w:pPr>
        <w:pStyle w:val="Heading3"/>
      </w:pPr>
      <w:r>
        <w:rPr>
          <w:rFonts w:ascii="Calibri" w:hAnsi="Calibri" w:eastAsia="Microsoft YaHei" w:cs="Calibri"/>
          <w:b/>
          <w:color w:val="3A7086"/>
          <w:sz w:val="22"/>
          <w:szCs w:val="22"/>
        </w:rPr>
        <w:t>23.5 The Good Faith Reset and no snapback</w:t>
      </w:r>
    </w:p>
    <w:p>
      <w:pPr>
        <w:pStyle w:val="Normal"/>
        <w:jc w:val="both"/>
      </w:pPr>
      <w:r>
        <w:rPr>
          <w:rFonts w:ascii="Calibri" w:hAnsi="Calibri" w:eastAsia="Microsoft YaHei" w:cs="Calibri"/>
          <w:color w:val="22333B"/>
          <w:sz w:val="21"/>
          <w:szCs w:val="21"/>
        </w:rPr>
        <w:t>The Framework contains no mechanism that restores a prior state of hostility, tolls, or interdiction in one move. The architecture replaces snapback with the ladder and the Watch: consequences arrive graduated, announced, and reversible, and the core constraints of Part II survive every dispute, because the core constraints are the product the Framework sells to the world. At each annual review conference, the Council, on any Party's request and absent a live Architectural Breach event, declares a Good Faith Reset: operational ledgers clear, cured markers archive, and standings reset to their banked level. The Reset forgives operationally and forgets nothing: the archive of Article 5.6 persists untouched.</w:t>
      </w:r>
    </w:p>
    <w:p>
      <w:pPr>
        <w:pStyle w:val="Heading3"/>
      </w:pPr>
      <w:r>
        <w:rPr>
          <w:rFonts w:ascii="Calibri" w:hAnsi="Calibri" w:eastAsia="Microsoft YaHei" w:cs="Calibri"/>
          <w:b/>
          <w:color w:val="3A7086"/>
          <w:sz w:val="22"/>
          <w:szCs w:val="22"/>
        </w:rPr>
        <w:t>23.6 Cross-module spillover protection</w:t>
      </w:r>
    </w:p>
    <w:p>
      <w:pPr>
        <w:pStyle w:val="Normal"/>
        <w:jc w:val="both"/>
      </w:pPr>
      <w:r>
        <w:rPr>
          <w:rFonts w:ascii="Calibri" w:hAnsi="Calibri" w:eastAsia="Microsoft YaHei" w:cs="Calibri"/>
          <w:color w:val="22333B"/>
          <w:sz w:val="21"/>
          <w:szCs w:val="21"/>
        </w:rPr>
        <w:t>The Framework operates as a modular architecture. Failure in one module does not cascade into others unless explicitly certified. Step-back reductions apply only within the module where the violation occurred: a service-record problem touches service benefits, never passage rights; a de-confliction gap touches de-confliction standing, never the Fund. Cross-module spillover requires Council certification by consensus minus one under Article 15.3 that the violation directly and materially undermines a different module. The modules are: navigation (Part II); institutions (Part III); finance (Part IV); safety and verification (Part V); and governance continuity (Part VII).</w:t>
      </w:r>
    </w:p>
    <w:p>
      <w:pPr>
        <w:pStyle w:val="Heading2"/>
      </w:pPr>
      <w:r>
        <w:rPr>
          <w:rFonts w:ascii="Calibri" w:hAnsi="Calibri" w:eastAsia="Microsoft YaHei" w:cs="Calibri"/>
          <w:b/>
          <w:color w:val="1F4E5F"/>
          <w:sz w:val="26"/>
          <w:szCs w:val="26"/>
        </w:rPr>
        <w:t>Article 24: The Daryaban Watch</w:t>
      </w:r>
    </w:p>
    <w:p>
      <w:pPr>
        <w:pStyle w:val="Heading3"/>
      </w:pPr>
      <w:r>
        <w:rPr>
          <w:rFonts w:ascii="Calibri" w:hAnsi="Calibri" w:eastAsia="Microsoft YaHei" w:cs="Calibri"/>
          <w:b/>
          <w:color w:val="3A7086"/>
          <w:sz w:val="22"/>
          <w:szCs w:val="22"/>
        </w:rPr>
        <w:t>24.1 The mechanism</w:t>
      </w:r>
    </w:p>
    <w:p>
      <w:pPr>
        <w:pStyle w:val="Normal"/>
        <w:jc w:val="both"/>
      </w:pPr>
      <w:r>
        <w:rPr>
          <w:rFonts w:ascii="Calibri" w:hAnsi="Calibri" w:eastAsia="Microsoft YaHei" w:cs="Calibri"/>
          <w:color w:val="22333B"/>
          <w:sz w:val="21"/>
          <w:szCs w:val="21"/>
        </w:rPr>
        <w:t>The Daryaban Watch is the Framework's namesake circuit-breaker: the guardian stands watch while the politics talks. Where an Architectural Breach event is classified, or a Party invokes a Red Line Consultation under Article 6.4, or the Guarantor Panel calls for one, the Watch activates immediately and runs for 72 hours, extendable once for a further 72 hours by the Panel.</w:t>
      </w:r>
    </w:p>
    <w:p>
      <w:pPr>
        <w:pStyle w:val="Heading3"/>
      </w:pPr>
      <w:r>
        <w:rPr>
          <w:rFonts w:ascii="Calibri" w:hAnsi="Calibri" w:eastAsia="Microsoft YaHei" w:cs="Calibri"/>
          <w:b/>
          <w:color w:val="3A7086"/>
          <w:sz w:val="22"/>
          <w:szCs w:val="22"/>
        </w:rPr>
        <w:t>24.2 What pauses</w:t>
      </w:r>
    </w:p>
    <w:p>
      <w:pPr>
        <w:pStyle w:val="Normal"/>
        <w:jc w:val="both"/>
      </w:pPr>
      <w:r>
        <w:rPr>
          <w:rFonts w:ascii="Calibri" w:hAnsi="Calibri" w:eastAsia="Microsoft YaHei" w:cs="Calibri"/>
          <w:color w:val="22333B"/>
          <w:sz w:val="21"/>
          <w:szCs w:val="21"/>
        </w:rPr>
        <w:t>During the Watch: the disputed mechanism freezes in its pre-event state; the ladder holds its current step; no new consequence takes effect; notifications, acknowledgments, and traffic continue under the standing rules; and the Council and the Panel meet in continuous session until resolution. The Watch creates the space for judgment to catch up with events.</w:t>
      </w:r>
    </w:p>
    <w:p>
      <w:pPr>
        <w:pStyle w:val="Heading3"/>
      </w:pPr>
      <w:r>
        <w:rPr>
          <w:rFonts w:ascii="Calibri" w:hAnsi="Calibri" w:eastAsia="Microsoft YaHei" w:cs="Calibri"/>
          <w:b/>
          <w:color w:val="3A7086"/>
          <w:sz w:val="22"/>
          <w:szCs w:val="22"/>
        </w:rPr>
        <w:t>24.3 What never pauses</w:t>
      </w:r>
    </w:p>
    <w:p>
      <w:pPr>
        <w:pStyle w:val="Normal"/>
        <w:jc w:val="both"/>
      </w:pPr>
      <w:r>
        <w:rPr>
          <w:rFonts w:ascii="Calibri" w:hAnsi="Calibri" w:eastAsia="Microsoft YaHei" w:cs="Calibri"/>
          <w:color w:val="22333B"/>
          <w:sz w:val="21"/>
          <w:szCs w:val="21"/>
        </w:rPr>
        <w:t>The Watch never touches: transit in any corridor; the Zero-Toll Rule; the Non-Interdiction Protocol; humanitarian traffic; search and rescue and distress response; the Bulletin's publication; the Neutral Watch Office's operations and funding; or the Fund's institutional first call. The water stays open while the politics talks. That is the whole point of the design: the guardian watches, and nobody drowns while the swimmers argue.</w:t>
      </w:r>
    </w:p>
    <w:p>
      <w:pPr>
        <w:pStyle w:val="Heading3"/>
      </w:pPr>
      <w:r>
        <w:rPr>
          <w:rFonts w:ascii="Calibri" w:hAnsi="Calibri" w:eastAsia="Microsoft YaHei" w:cs="Calibri"/>
          <w:b/>
          <w:color w:val="3A7086"/>
          <w:sz w:val="22"/>
          <w:szCs w:val="22"/>
        </w:rPr>
        <w:t>24.4 Exit from the Watch</w:t>
      </w:r>
    </w:p>
    <w:p>
      <w:pPr>
        <w:pStyle w:val="Normal"/>
        <w:jc w:val="both"/>
      </w:pPr>
      <w:r>
        <w:rPr>
          <w:rFonts w:ascii="Calibri" w:hAnsi="Calibri" w:eastAsia="Microsoft YaHei" w:cs="Calibri"/>
          <w:color w:val="22333B"/>
          <w:sz w:val="21"/>
          <w:szCs w:val="21"/>
        </w:rPr>
        <w:t>The Watch ends on the earliest of: a resolution recorded by the Council; a Panel determination; or expiry of the second 72-hour period, whereupon the matter moves automatically to the facilitation tier of Article 26.2 with the full record. Exit from a Watch never requires consensus: the architecture prefers motion to veto, and the record carries every position forward.</w:t>
      </w:r>
    </w:p>
    <w:p>
      <w:pPr>
        <w:pStyle w:val="Heading2"/>
      </w:pPr>
      <w:r>
        <w:rPr>
          <w:rFonts w:ascii="Calibri" w:hAnsi="Calibri" w:eastAsia="Microsoft YaHei" w:cs="Calibri"/>
          <w:b/>
          <w:color w:val="1F4E5F"/>
          <w:sz w:val="26"/>
          <w:szCs w:val="26"/>
        </w:rPr>
        <w:t>Article 25: Substantiated Claims, the Performance Bond, and the Reciprocity Ledger</w:t>
      </w:r>
    </w:p>
    <w:p>
      <w:pPr>
        <w:pStyle w:val="Heading3"/>
      </w:pPr>
      <w:r>
        <w:rPr>
          <w:rFonts w:ascii="Calibri" w:hAnsi="Calibri" w:eastAsia="Microsoft YaHei" w:cs="Calibri"/>
          <w:b/>
          <w:color w:val="3A7086"/>
          <w:sz w:val="22"/>
          <w:szCs w:val="22"/>
        </w:rPr>
        <w:t>25.1 The claim standard</w:t>
      </w:r>
    </w:p>
    <w:p>
      <w:pPr>
        <w:pStyle w:val="Normal"/>
        <w:jc w:val="both"/>
      </w:pPr>
      <w:r>
        <w:rPr>
          <w:rFonts w:ascii="Calibri" w:hAnsi="Calibri" w:eastAsia="Microsoft YaHei" w:cs="Calibri"/>
          <w:color w:val="22333B"/>
          <w:sz w:val="21"/>
          <w:szCs w:val="21"/>
        </w:rPr>
        <w:t>A Party advancing a claim of non-compliance files a substantiated claim: a written statement of the facts, the evidence, the provision engaged, and the remedy sought, filed with the Administrator and served on the responding Party. An unsubstantiated public accusation outside the claim process enters the claimant's own Ledger record as a conduct note.</w:t>
      </w:r>
    </w:p>
    <w:p>
      <w:pPr>
        <w:pStyle w:val="Heading3"/>
      </w:pPr>
      <w:r>
        <w:rPr>
          <w:rFonts w:ascii="Calibri" w:hAnsi="Calibri" w:eastAsia="Microsoft YaHei" w:cs="Calibri"/>
          <w:b/>
          <w:color w:val="3A7086"/>
          <w:sz w:val="22"/>
          <w:szCs w:val="22"/>
        </w:rPr>
        <w:t>25.2 The Performance Bond</w:t>
      </w:r>
    </w:p>
    <w:p>
      <w:pPr>
        <w:pStyle w:val="Normal"/>
        <w:jc w:val="both"/>
      </w:pPr>
      <w:r>
        <w:rPr>
          <w:rFonts w:ascii="Calibri" w:hAnsi="Calibri" w:eastAsia="Microsoft YaHei" w:cs="Calibri"/>
          <w:color w:val="22333B"/>
          <w:sz w:val="21"/>
          <w:szCs w:val="21"/>
        </w:rPr>
        <w:t>Each Littoral Party posts a performance bond of 2 percent of its endowment contribution, held by the Neutral Administrator in escrow. A substantiated claim that fails at final determination draws a charge of 10 percent of the claim amount against the claimant's bond, paid to the responding Party's service account. A charge against the bond never exceeds 25 percent of the posting Party's total bond obligation. A claim of less than 1 percent of the claiming Party's annual endowment contribution stands exempt from the bond penalty, so that the bond never becomes a weapon for frivolous, low-value accusations. A claim that succeeds charges nothing. The bond disciplines the accusation economy: evidence costs nothing, noise costs a little, and the system prices the difference.</w:t>
      </w:r>
    </w:p>
    <w:p>
      <w:pPr>
        <w:pStyle w:val="Normal"/>
        <w:jc w:val="both"/>
      </w:pPr>
      <w:r>
        <w:rPr>
          <w:rFonts w:ascii="Calibri" w:hAnsi="Calibri" w:eastAsia="Microsoft YaHei" w:cs="Calibri"/>
          <w:color w:val="22333B"/>
          <w:sz w:val="21"/>
          <w:szCs w:val="21"/>
        </w:rPr>
        <w:t>Bad-faith claim suspension: a substantiated claim that the Guarantor Panel determines, by a vote of five of its six members, was filed in bad faith with no reasonable evidentiary basis triggers an automatic 90-day suspension of the claiming Party's discretionary benefits under the Framework: rate premium eligibility, chair priority, exercise leadership slots, and first call on capacity-building programs. The suspension runs independently of the bond penalty and restores automatically at 90 days absent a confirming arbitral award. The suspension adds a reputational and operational cost to bad-faith claims beyond the financial bond penalty.</w:t>
      </w:r>
    </w:p>
    <w:p>
      <w:pPr>
        <w:pStyle w:val="Heading3"/>
      </w:pPr>
      <w:r>
        <w:rPr>
          <w:rFonts w:ascii="Calibri" w:hAnsi="Calibri" w:eastAsia="Microsoft YaHei" w:cs="Calibri"/>
          <w:b/>
          <w:color w:val="3A7086"/>
          <w:sz w:val="22"/>
          <w:szCs w:val="22"/>
        </w:rPr>
        <w:t>25.3 Determination</w:t>
      </w:r>
    </w:p>
    <w:p>
      <w:pPr>
        <w:pStyle w:val="Normal"/>
        <w:jc w:val="both"/>
      </w:pPr>
      <w:r>
        <w:rPr>
          <w:rFonts w:ascii="Calibri" w:hAnsi="Calibri" w:eastAsia="Microsoft YaHei" w:cs="Calibri"/>
          <w:color w:val="22333B"/>
          <w:sz w:val="21"/>
          <w:szCs w:val="21"/>
        </w:rPr>
        <w:t>Claims travel the dispute tiers of Article 26. Facts bind through the independent technical referee where the claim turns on technical questions. Remedies follow the ladder of Article 23, never damages beyond restitution and bond charges, because the Framework repairs performance rather than monetizing blame.</w:t>
      </w:r>
    </w:p>
    <w:p>
      <w:pPr>
        <w:pStyle w:val="Heading3"/>
      </w:pPr>
      <w:r>
        <w:rPr>
          <w:rFonts w:ascii="Calibri" w:hAnsi="Calibri" w:eastAsia="Microsoft YaHei" w:cs="Calibri"/>
          <w:b/>
          <w:color w:val="3A7086"/>
          <w:sz w:val="22"/>
          <w:szCs w:val="22"/>
        </w:rPr>
        <w:t>25.4 The Reciprocity Ledger and standing levels</w:t>
      </w:r>
    </w:p>
    <w:p>
      <w:pPr>
        <w:pStyle w:val="Normal"/>
        <w:jc w:val="both"/>
      </w:pPr>
      <w:r>
        <w:rPr>
          <w:rFonts w:ascii="Calibri" w:hAnsi="Calibri" w:eastAsia="Microsoft YaHei" w:cs="Calibri"/>
          <w:color w:val="22333B"/>
          <w:sz w:val="21"/>
          <w:szCs w:val="21"/>
        </w:rPr>
        <w:t>The Reciprocity Ledger is the Framework's memory of performance. The Administrator maintains it; the Neutral Watch Office audits it; the Bulletin summarizes it monthly. The Ledger records, for each Party: service delivery against roster; notification-desk latency; patrol and observer cooperation; audit outcomes; deviations and cures; and the Performance Reserve of Article 23.4. Each Party holds a standing on a published scale: Anchor (highest), Steady, Watch, and Step-back. Standing derives mechanically from the Ledger's trailing four quarters, per the formula of Annex C, and it affects discretionary benefits only: rate premium eligibility, chair priority, exercise leadership slots, and first call on capacity-building programs. Standing never affects rights: passage, notification acknowledgment, verification access, and the humanitarian flows remain identical at every standing. The Ledger publishes quarterly, every Party sees every Party's record, and the market sees the summary.</w:t>
      </w:r>
    </w:p>
    <w:p>
      <w:pPr>
        <w:pStyle w:val="Heading2"/>
      </w:pPr>
      <w:r>
        <w:rPr>
          <w:rFonts w:ascii="Calibri" w:hAnsi="Calibri" w:eastAsia="Microsoft YaHei" w:cs="Calibri"/>
          <w:b/>
          <w:color w:val="1F4E5F"/>
          <w:sz w:val="26"/>
          <w:szCs w:val="26"/>
        </w:rPr>
        <w:t>Article 26: Dispute Resolution</w:t>
      </w:r>
    </w:p>
    <w:p>
      <w:pPr>
        <w:pStyle w:val="Heading3"/>
      </w:pPr>
      <w:r>
        <w:rPr>
          <w:rFonts w:ascii="Calibri" w:hAnsi="Calibri" w:eastAsia="Microsoft YaHei" w:cs="Calibri"/>
          <w:b/>
          <w:color w:val="3A7086"/>
          <w:sz w:val="22"/>
          <w:szCs w:val="22"/>
        </w:rPr>
        <w:t>26.1 The tiered structure</w:t>
      </w:r>
    </w:p>
    <w:p>
      <w:pPr>
        <w:pStyle w:val="Normal"/>
        <w:jc w:val="both"/>
      </w:pPr>
      <w:r>
        <w:rPr>
          <w:rFonts w:ascii="Calibri" w:hAnsi="Calibri" w:eastAsia="Microsoft YaHei" w:cs="Calibri"/>
          <w:color w:val="22333B"/>
          <w:sz w:val="21"/>
          <w:szCs w:val="21"/>
        </w:rPr>
        <w:t>Disputes travel five tiers, in sequence, with defined clocks and defined escalation triggers at each tier:</w:t>
      </w:r>
    </w:p>
    <w:p>
      <w:pPr>
        <w:pStyle w:val="Normal"/>
        <w:ind w:left="480" w:hanging="240"/>
        <w:jc w:val="both"/>
      </w:pPr>
      <w:r>
        <w:rPr>
          <w:b/>
          <w:rFonts w:ascii="Calibri" w:hAnsi="Calibri" w:eastAsia="Microsoft YaHei" w:cs="Calibri"/>
          <w:color w:val="22333B"/>
          <w:sz w:val="21"/>
          <w:szCs w:val="21"/>
        </w:rPr>
        <w:t xml:space="preserve">1. </w:t>
      </w:r>
      <w:r>
        <w:rPr>
          <w:rFonts w:ascii="Calibri" w:hAnsi="Calibri" w:eastAsia="Microsoft YaHei" w:cs="Calibri"/>
          <w:color w:val="22333B"/>
          <w:sz w:val="21"/>
          <w:szCs w:val="21"/>
        </w:rPr>
        <w:t>Tier one, working level: the paired officers at the Center resolve operational disagreements within 72 hours, on the record. Escalation trigger: a dispute affecting fewer than five vessels or less than 24 hours of operations.</w:t>
      </w:r>
    </w:p>
    <w:p>
      <w:pPr>
        <w:pStyle w:val="Normal"/>
        <w:ind w:left="480" w:hanging="240"/>
        <w:jc w:val="both"/>
      </w:pPr>
      <w:r>
        <w:rPr>
          <w:b/>
          <w:rFonts w:ascii="Calibri" w:hAnsi="Calibri" w:eastAsia="Microsoft YaHei" w:cs="Calibri"/>
          <w:color w:val="22333B"/>
          <w:sz w:val="21"/>
          <w:szCs w:val="21"/>
        </w:rPr>
        <w:t xml:space="preserve">2. </w:t>
      </w:r>
      <w:r>
        <w:rPr>
          <w:rFonts w:ascii="Calibri" w:hAnsi="Calibri" w:eastAsia="Microsoft YaHei" w:cs="Calibri"/>
          <w:color w:val="22333B"/>
          <w:sz w:val="21"/>
          <w:szCs w:val="21"/>
        </w:rPr>
        <w:t>Tier two, Central Corridor consultation: a dispute touching the Central International Corridor convenes the Central Corridor Management Council, completed within 14 days, before the facilitation tier. Escalation trigger: a dispute affecting the Central International Corridor only.</w:t>
      </w:r>
    </w:p>
    <w:p>
      <w:pPr>
        <w:pStyle w:val="Normal"/>
        <w:ind w:left="480" w:hanging="240"/>
        <w:jc w:val="both"/>
      </w:pPr>
      <w:r>
        <w:rPr>
          <w:b/>
          <w:rFonts w:ascii="Calibri" w:hAnsi="Calibri" w:eastAsia="Microsoft YaHei" w:cs="Calibri"/>
          <w:color w:val="22333B"/>
          <w:sz w:val="21"/>
          <w:szCs w:val="21"/>
        </w:rPr>
        <w:t xml:space="preserve">3. </w:t>
      </w:r>
      <w:r>
        <w:rPr>
          <w:rFonts w:ascii="Calibri" w:hAnsi="Calibri" w:eastAsia="Microsoft YaHei" w:cs="Calibri"/>
          <w:color w:val="22333B"/>
          <w:sz w:val="21"/>
          <w:szCs w:val="21"/>
        </w:rPr>
        <w:t>Tier three, facilitation: the Mediator of Record facilitates within 21 days, with the Neutral Administrator's good offices, at Muscat or by secure bridge. Escalation trigger: a dispute affecting five to twenty vessels or one to three days of operations, or any dispute unresolved at tiers one and two.</w:t>
      </w:r>
    </w:p>
    <w:p>
      <w:pPr>
        <w:pStyle w:val="Normal"/>
        <w:ind w:left="480" w:hanging="240"/>
        <w:jc w:val="both"/>
      </w:pPr>
      <w:r>
        <w:rPr>
          <w:b/>
          <w:rFonts w:ascii="Calibri" w:hAnsi="Calibri" w:eastAsia="Microsoft YaHei" w:cs="Calibri"/>
          <w:color w:val="22333B"/>
          <w:sz w:val="21"/>
          <w:szCs w:val="21"/>
        </w:rPr>
        <w:t xml:space="preserve">4. </w:t>
      </w:r>
      <w:r>
        <w:rPr>
          <w:rFonts w:ascii="Calibri" w:hAnsi="Calibri" w:eastAsia="Microsoft YaHei" w:cs="Calibri"/>
          <w:color w:val="22333B"/>
          <w:sz w:val="21"/>
          <w:szCs w:val="21"/>
        </w:rPr>
        <w:t>Tier four, technical arbitration: technical questions bind through the independent technical referee of Article 26.3 within 30 days.</w:t>
      </w:r>
    </w:p>
    <w:p>
      <w:pPr>
        <w:pStyle w:val="Normal"/>
        <w:ind w:left="480" w:hanging="240"/>
        <w:jc w:val="both"/>
      </w:pPr>
      <w:r>
        <w:rPr>
          <w:b/>
          <w:rFonts w:ascii="Calibri" w:hAnsi="Calibri" w:eastAsia="Microsoft YaHei" w:cs="Calibri"/>
          <w:color w:val="22333B"/>
          <w:sz w:val="21"/>
          <w:szCs w:val="21"/>
        </w:rPr>
        <w:t xml:space="preserve">5. </w:t>
      </w:r>
      <w:r>
        <w:rPr>
          <w:rFonts w:ascii="Calibri" w:hAnsi="Calibri" w:eastAsia="Microsoft YaHei" w:cs="Calibri"/>
          <w:color w:val="22333B"/>
          <w:sz w:val="21"/>
          <w:szCs w:val="21"/>
        </w:rPr>
        <w:t>Tier five, arbitration: any dispute affecting more than twenty vessels or more than three days of operations, or unresolved at tiers one through four, proceeds to arbitration under the Permanent Court of Arbitration's rules, three arbitrators, seat at The Hague or Geneva, award within 120 days of constitution, binding on the Parties.</w:t>
      </w:r>
    </w:p>
    <w:p>
      <w:pPr>
        <w:pStyle w:val="Normal"/>
        <w:jc w:val="both"/>
      </w:pPr>
      <w:r>
        <w:rPr>
          <w:rFonts w:ascii="Calibri" w:hAnsi="Calibri" w:eastAsia="Microsoft YaHei" w:cs="Calibri"/>
          <w:color w:val="22333B"/>
          <w:sz w:val="21"/>
          <w:szCs w:val="21"/>
        </w:rPr>
        <w:t>Security incidents, including verified interference events under Article 22.3, escalate directly to the facilitation tier within 48 hours, bypassing tiers one and two. The Daryaban Watch activates automatically upon the classification of a security incident.</w:t>
      </w:r>
    </w:p>
    <w:p>
      <w:pPr>
        <w:pStyle w:val="Heading3"/>
      </w:pPr>
      <w:r>
        <w:rPr>
          <w:rFonts w:ascii="Calibri" w:hAnsi="Calibri" w:eastAsia="Microsoft YaHei" w:cs="Calibri"/>
          <w:b/>
          <w:color w:val="3A7086"/>
          <w:sz w:val="22"/>
          <w:szCs w:val="22"/>
        </w:rPr>
        <w:t>26.2 The facilitation tier in detail</w:t>
      </w:r>
    </w:p>
    <w:p>
      <w:pPr>
        <w:pStyle w:val="Normal"/>
        <w:jc w:val="both"/>
      </w:pPr>
      <w:r>
        <w:rPr>
          <w:rFonts w:ascii="Calibri" w:hAnsi="Calibri" w:eastAsia="Microsoft YaHei" w:cs="Calibri"/>
          <w:color w:val="22333B"/>
          <w:sz w:val="21"/>
          <w:szCs w:val="21"/>
        </w:rPr>
        <w:t>The facilitation tier carries the Framework's political weight. The Mediator of Record convenes the disputing Parties, proposes bases of settlement, and records outcomes in the registry. A facilitation that reaches settlement produces a recorded minute binding on the Parties as a Council decision. A facilitation that fails produces a case file for tier five, so that failure costs time but never produces vacuum.</w:t>
      </w:r>
    </w:p>
    <w:p>
      <w:pPr>
        <w:pStyle w:val="Heading3"/>
      </w:pPr>
      <w:r>
        <w:rPr>
          <w:rFonts w:ascii="Calibri" w:hAnsi="Calibri" w:eastAsia="Microsoft YaHei" w:cs="Calibri"/>
          <w:b/>
          <w:color w:val="3A7086"/>
          <w:sz w:val="22"/>
          <w:szCs w:val="22"/>
        </w:rPr>
        <w:t>26.3 The independent technical referee</w:t>
      </w:r>
    </w:p>
    <w:p>
      <w:pPr>
        <w:pStyle w:val="Normal"/>
        <w:jc w:val="both"/>
      </w:pPr>
      <w:r>
        <w:rPr>
          <w:rFonts w:ascii="Calibri" w:hAnsi="Calibri" w:eastAsia="Microsoft YaHei" w:cs="Calibri"/>
          <w:color w:val="22333B"/>
          <w:sz w:val="21"/>
          <w:szCs w:val="21"/>
        </w:rPr>
        <w:t>The Council appoints a panel of five independent technical referees, International Maritime Organization-nominated experts in hydrography, vessel traffic services, marine insurance, and maritime law, serving three-year terms. A technical question travels to a referee drawn by lot. The referee's fact findings bind all Parties and organs. The referee decides no policy and awards no remedy; the ladder handles remedies on the referee's facts.</w:t>
      </w:r>
    </w:p>
    <w:p>
      <w:pPr>
        <w:pStyle w:val="Heading3"/>
      </w:pPr>
      <w:r>
        <w:rPr>
          <w:rFonts w:ascii="Calibri" w:hAnsi="Calibri" w:eastAsia="Microsoft YaHei" w:cs="Calibri"/>
          <w:b/>
          <w:color w:val="3A7086"/>
          <w:sz w:val="22"/>
          <w:szCs w:val="22"/>
        </w:rPr>
        <w:t>26.4 The Escalation Cap and the silence clause</w:t>
      </w:r>
    </w:p>
    <w:p>
      <w:pPr>
        <w:pStyle w:val="Normal"/>
        <w:jc w:val="both"/>
      </w:pPr>
      <w:r>
        <w:rPr>
          <w:rFonts w:ascii="Calibri" w:hAnsi="Calibri" w:eastAsia="Microsoft YaHei" w:cs="Calibri"/>
          <w:color w:val="22333B"/>
          <w:sz w:val="21"/>
          <w:szCs w:val="21"/>
        </w:rPr>
        <w:t>While any tier runs, the status quo ante holds. The Escalation Cap binds every Party for the duration of every tier of the dispute resolution process: no Party deploys additional strike aircraft, missile systems, or naval combatants into the Gulf theater, no consequence advances on the ladder, and the Watch rules apply to any Architectural Breach dimension. The Guarantor and Facilitation Panel reviews the Escalation Cap every 30 days during an ongoing dispute and extends, modifies, or lifts it by consensus, acting jointly with the Central Corridor Management Council where the dispute touches the Central International Corridor. The Escalation Cap lifts automatically 72 hours after the final determination, and the Neutral Watch Office verifies and publishes each lift. The silence clause preserves operations through every dispute: the corridors run, the Bulletin publishes, the Fund pays verified services, and the world reads calm water even while lawyers argue.</w:t>
      </w:r>
    </w:p>
    <w:p>
      <w:pPr>
        <w:pStyle w:val="Heading3"/>
      </w:pPr>
      <w:r>
        <w:rPr>
          <w:rFonts w:ascii="Calibri" w:hAnsi="Calibri" w:eastAsia="Microsoft YaHei" w:cs="Calibri"/>
          <w:b/>
          <w:color w:val="3A7086"/>
          <w:sz w:val="22"/>
          <w:szCs w:val="22"/>
        </w:rPr>
        <w:t>26.5 Interim measures</w:t>
      </w:r>
    </w:p>
    <w:p>
      <w:pPr>
        <w:pStyle w:val="Normal"/>
        <w:jc w:val="both"/>
      </w:pPr>
      <w:r>
        <w:rPr>
          <w:rFonts w:ascii="Calibri" w:hAnsi="Calibri" w:eastAsia="Microsoft YaHei" w:cs="Calibri"/>
          <w:color w:val="22333B"/>
          <w:sz w:val="21"/>
          <w:szCs w:val="21"/>
        </w:rPr>
        <w:t>An arbitral tribunal under tier five orders interim measures where a Party shows irreparable harm, and the Parties honor such measures as binding. The tribunal's measures never suspend transit, tolls' exclusion, or humanitarian flows, per the protected core of Article 27.</w:t>
      </w:r>
    </w:p>
    <w:p>
      <w:pPr>
        <w:pStyle w:val="Heading2"/>
      </w:pPr>
      <w:r>
        <w:rPr>
          <w:rFonts w:ascii="Calibri" w:hAnsi="Calibri" w:eastAsia="Microsoft YaHei" w:cs="Calibri"/>
          <w:b/>
          <w:color w:val="1F4E5F"/>
          <w:sz w:val="26"/>
          <w:szCs w:val="26"/>
        </w:rPr>
        <w:t>Article 27: The Protection Covenant</w:t>
      </w:r>
    </w:p>
    <w:p>
      <w:pPr>
        <w:pStyle w:val="Heading3"/>
      </w:pPr>
      <w:r>
        <w:rPr>
          <w:rFonts w:ascii="Calibri" w:hAnsi="Calibri" w:eastAsia="Microsoft YaHei" w:cs="Calibri"/>
          <w:b/>
          <w:color w:val="3A7086"/>
          <w:sz w:val="22"/>
          <w:szCs w:val="22"/>
        </w:rPr>
        <w:t>27.1 The protected core</w:t>
      </w:r>
    </w:p>
    <w:p>
      <w:pPr>
        <w:pStyle w:val="Normal"/>
        <w:jc w:val="both"/>
      </w:pPr>
      <w:r>
        <w:rPr>
          <w:rFonts w:ascii="Calibri" w:hAnsi="Calibri" w:eastAsia="Microsoft YaHei" w:cs="Calibri"/>
          <w:color w:val="22333B"/>
          <w:sz w:val="21"/>
          <w:szCs w:val="21"/>
        </w:rPr>
        <w:t>Certain provisions form the protected core of this Framework: the Zero-Toll Rule; the Non-Interdiction Protocol; the humanitarian absolute and the humanitarian firewall; the Nofade Guarantee; the Daryaban Watch's protected flows; the sanctions-compliance firewall; the distress-priority rule; and the Red Lines Register. The protected core is non-derogable: no classification, ladder step, pause, suspension, dispute outcome, arbitral award, or amendment dilutes it, and an amendment touching the protected core takes effect only by consensus of all Littoral Parties plus ratification by each, per Article 29.2.</w:t>
      </w:r>
    </w:p>
    <w:p>
      <w:pPr>
        <w:pStyle w:val="Heading3"/>
      </w:pPr>
      <w:r>
        <w:rPr>
          <w:rFonts w:ascii="Calibri" w:hAnsi="Calibri" w:eastAsia="Microsoft YaHei" w:cs="Calibri"/>
          <w:b/>
          <w:color w:val="3A7086"/>
          <w:sz w:val="22"/>
          <w:szCs w:val="22"/>
        </w:rPr>
        <w:t>27.2 Non-severability of safeguards</w:t>
      </w:r>
    </w:p>
    <w:p>
      <w:pPr>
        <w:pStyle w:val="Normal"/>
        <w:jc w:val="both"/>
      </w:pPr>
      <w:r>
        <w:rPr>
          <w:rFonts w:ascii="Calibri" w:hAnsi="Calibri" w:eastAsia="Microsoft YaHei" w:cs="Calibri"/>
          <w:color w:val="22333B"/>
          <w:sz w:val="21"/>
          <w:szCs w:val="21"/>
        </w:rPr>
        <w:t>The protected core operates as one fabric. An act that strips, bypasses, or hollows out any element of the core while invoking this Framework is void from inception: it produces no legal effect, binds no Party, and triggers the Daryaban Watch automatically on any Party's notice. The Framework's safeguards exist as a set because each protects the others: a toll justified by a security claim, an interdiction justified by an audit, a blackout justified by a dispute, each kills the whole, and the Covenant treats each accordingly.</w:t>
      </w:r>
    </w:p>
    <w:p>
      <w:pPr>
        <w:pStyle w:val="Heading3"/>
      </w:pPr>
      <w:r>
        <w:rPr>
          <w:rFonts w:ascii="Calibri" w:hAnsi="Calibri" w:eastAsia="Microsoft YaHei" w:cs="Calibri"/>
          <w:b/>
          <w:color w:val="3A7086"/>
          <w:sz w:val="22"/>
          <w:szCs w:val="22"/>
        </w:rPr>
        <w:t>27.3 Declarations of intent</w:t>
      </w:r>
    </w:p>
    <w:p>
      <w:pPr>
        <w:pStyle w:val="Normal"/>
        <w:jc w:val="both"/>
      </w:pPr>
      <w:r>
        <w:rPr>
          <w:rFonts w:ascii="Calibri" w:hAnsi="Calibri" w:eastAsia="Microsoft YaHei" w:cs="Calibri"/>
          <w:color w:val="22333B"/>
          <w:sz w:val="21"/>
          <w:szCs w:val="21"/>
        </w:rPr>
        <w:t>At signature, each Party deposits a public declaration of intent stating that it enters this Framework to keep the Strait open, toll-free, safe, and multilaterally governed, and that it invokes the Framework's mechanisms for those purposes alone. The depositary publishes the declarations with the instrument. An invocation of any mechanism for a purpose demonstrably foreign to the declared purposes is void, and repeated foreign-purpose invocation engages the emergency oversight of Article 27.4.</w:t>
      </w:r>
    </w:p>
    <w:p>
      <w:pPr>
        <w:pStyle w:val="Heading3"/>
      </w:pPr>
      <w:r>
        <w:rPr>
          <w:rFonts w:ascii="Calibri" w:hAnsi="Calibri" w:eastAsia="Microsoft YaHei" w:cs="Calibri"/>
          <w:b/>
          <w:color w:val="3A7086"/>
          <w:sz w:val="22"/>
          <w:szCs w:val="22"/>
        </w:rPr>
        <w:t>27.4 Emergency oversight</w:t>
      </w:r>
    </w:p>
    <w:p>
      <w:pPr>
        <w:pStyle w:val="Normal"/>
        <w:jc w:val="both"/>
      </w:pPr>
      <w:r>
        <w:rPr>
          <w:rFonts w:ascii="Calibri" w:hAnsi="Calibri" w:eastAsia="Microsoft YaHei" w:cs="Calibri"/>
          <w:color w:val="22333B"/>
          <w:sz w:val="21"/>
          <w:szCs w:val="21"/>
        </w:rPr>
        <w:t>Where the Guarantor Panel finds, by a vote of five of its six members including the Neutral Administrator, that a participant systematically invokes the Framework's mechanisms contrary to its declared purposes, the Panel suspends that participant's invocation rights for 90 days and refers the pattern to the Independent Assurance Council and, at the participant's election, to arbitration under Article 26. During the suspension, every protection of the Framework continues to run in the suspended participant's favor: oversight restrains the misuse of machinery, never the delivery of safety. The suspension restores automatically at 90 days absent a confirming arbitral award.</w:t>
      </w:r>
    </w:p>
    <w:p>
      <w:pPr>
        <w:pStyle w:val="Heading3"/>
      </w:pPr>
      <w:r>
        <w:rPr>
          <w:rFonts w:ascii="Calibri" w:hAnsi="Calibri" w:eastAsia="Microsoft YaHei" w:cs="Calibri"/>
          <w:b/>
          <w:color w:val="3A7086"/>
          <w:sz w:val="22"/>
          <w:szCs w:val="22"/>
        </w:rPr>
        <w:t>27.5 The integrity review</w:t>
      </w:r>
    </w:p>
    <w:p>
      <w:pPr>
        <w:pStyle w:val="Normal"/>
        <w:jc w:val="both"/>
      </w:pPr>
      <w:r>
        <w:rPr>
          <w:rFonts w:ascii="Calibri" w:hAnsi="Calibri" w:eastAsia="Microsoft YaHei" w:cs="Calibri"/>
          <w:color w:val="22333B"/>
          <w:sz w:val="21"/>
          <w:szCs w:val="21"/>
        </w:rPr>
        <w:t>The Independent Assurance Council, a body of five independent experts without any government affiliation appointed under Article 14's participation architecture, conducts an annual integrity review of the protected core: it tests the year's measures, classifications, pauses, and invocations against the Covenant, and publishes its findings. The review stands as the Framework's conscience on the public record, and the Council answers each finding within 60 days.</w:t>
      </w:r>
    </w:p>
    <w:p>
      <w:pPr>
        <w:pStyle w:val="Heading3"/>
      </w:pPr>
      <w:r>
        <w:rPr>
          <w:rFonts w:ascii="Calibri" w:hAnsi="Calibri" w:eastAsia="Microsoft YaHei" w:cs="Calibri"/>
          <w:b/>
          <w:color w:val="3A7086"/>
          <w:sz w:val="22"/>
          <w:szCs w:val="22"/>
        </w:rPr>
        <w:t>27.6 The Central Corridor Security Guarantee</w:t>
      </w:r>
    </w:p>
    <w:p>
      <w:pPr>
        <w:pStyle w:val="Normal"/>
        <w:jc w:val="both"/>
      </w:pPr>
      <w:r>
        <w:rPr>
          <w:rFonts w:ascii="Calibri" w:hAnsi="Calibri" w:eastAsia="Microsoft YaHei" w:cs="Calibri"/>
          <w:color w:val="22333B"/>
          <w:sz w:val="21"/>
          <w:szCs w:val="21"/>
        </w:rPr>
        <w:t>The Central International Corridor operates under a standing security guarantee. The framework architecture excludes any use of the Central International Corridor as a staging area or transit point for offensive operations against any state. Commercial transit of vessels of every flag through the Central International Corridor operates under an absolute non-interference protocol. A violation of this guarantee classifies as an Architectural Breach under Article 23, and the Daryaban Watch activates immediately.</w:t>
      </w:r>
    </w:p>
    <w:p>
      <w:pPr>
        <w:pStyle w:val="Heading1"/>
      </w:pPr>
      <w:r>
        <w:rPr>
          <w:rFonts w:ascii="Calibri" w:hAnsi="Calibri" w:eastAsia="Microsoft YaHei" w:cs="Calibri"/>
          <w:b/>
          <w:color w:val="1F4E5F"/>
          <w:sz w:val="30"/>
          <w:szCs w:val="30"/>
        </w:rPr>
        <w:t>Part VII: Continuity, Accession, and Final Provisions</w:t>
      </w:r>
    </w:p>
    <w:p>
      <w:pPr>
        <w:pStyle w:val="Heading2"/>
      </w:pPr>
      <w:r>
        <w:rPr>
          <w:rFonts w:ascii="Calibri" w:hAnsi="Calibri" w:eastAsia="Microsoft YaHei" w:cs="Calibri"/>
          <w:b/>
          <w:color w:val="1F4E5F"/>
          <w:sz w:val="26"/>
          <w:szCs w:val="26"/>
        </w:rPr>
        <w:t>Article 28: Accession and the Multilateral Expansion Path</w:t>
      </w:r>
    </w:p>
    <w:p>
      <w:pPr>
        <w:pStyle w:val="Heading3"/>
      </w:pPr>
      <w:r>
        <w:rPr>
          <w:rFonts w:ascii="Calibri" w:hAnsi="Calibri" w:eastAsia="Microsoft YaHei" w:cs="Calibri"/>
          <w:b/>
          <w:color w:val="3A7086"/>
          <w:sz w:val="22"/>
          <w:szCs w:val="22"/>
        </w:rPr>
        <w:t>28.1 The open path</w:t>
      </w:r>
    </w:p>
    <w:p>
      <w:pPr>
        <w:pStyle w:val="Normal"/>
        <w:jc w:val="both"/>
      </w:pPr>
      <w:r>
        <w:rPr>
          <w:rFonts w:ascii="Calibri" w:hAnsi="Calibri" w:eastAsia="Microsoft YaHei" w:cs="Calibri"/>
          <w:color w:val="22333B"/>
          <w:sz w:val="21"/>
          <w:szCs w:val="21"/>
        </w:rPr>
        <w:t>The Framework opens a defined accession path to every Gulf littoral state: Saudi Arabia, Qatar, Bahrain, Kuwait, and Iraq. Accession takes effect on deposit of the accession instrument of Annex F with the depositary. An acceding state takes every obligation and every protection of this Framework from the date of deposit, without exception and without reservation touching the protected core.</w:t>
      </w:r>
    </w:p>
    <w:p>
      <w:pPr>
        <w:pStyle w:val="Heading3"/>
      </w:pPr>
      <w:r>
        <w:rPr>
          <w:rFonts w:ascii="Calibri" w:hAnsi="Calibri" w:eastAsia="Microsoft YaHei" w:cs="Calibri"/>
          <w:b/>
          <w:color w:val="3A7086"/>
          <w:sz w:val="22"/>
          <w:szCs w:val="22"/>
        </w:rPr>
        <w:t>28.2 The accession sequence</w:t>
      </w:r>
    </w:p>
    <w:p>
      <w:pPr>
        <w:pStyle w:val="Normal"/>
        <w:jc w:val="both"/>
      </w:pPr>
      <w:r>
        <w:rPr>
          <w:rFonts w:ascii="Calibri" w:hAnsi="Calibri" w:eastAsia="Microsoft YaHei" w:cs="Calibri"/>
          <w:color w:val="22333B"/>
          <w:sz w:val="21"/>
          <w:szCs w:val="21"/>
        </w:rPr>
        <w:t>The Parties intend the following political sequence, which Annex E carries as the recommended order: the Founding Parties activate the navigation and safety layer first; Qatar, Saudi Arabia, and Bahrain accede as the regional ring; observer states and institutional partners formalize their layers in parallel; security liaisons adhere through the instruments of Annex F; and Pakistan, Kuwait, and Iraq join as the expansion layer. The sequence guides politics, not law: any eligible state accedes at any time, and no accession waits on another.</w:t>
      </w:r>
    </w:p>
    <w:p>
      <w:pPr>
        <w:pStyle w:val="Heading3"/>
      </w:pPr>
      <w:r>
        <w:rPr>
          <w:rFonts w:ascii="Calibri" w:hAnsi="Calibri" w:eastAsia="Microsoft YaHei" w:cs="Calibri"/>
          <w:b/>
          <w:color w:val="3A7086"/>
          <w:sz w:val="22"/>
          <w:szCs w:val="22"/>
        </w:rPr>
        <w:t>28.3 Effect of accession</w:t>
      </w:r>
    </w:p>
    <w:p>
      <w:pPr>
        <w:pStyle w:val="Normal"/>
        <w:jc w:val="both"/>
      </w:pPr>
      <w:r>
        <w:rPr>
          <w:rFonts w:ascii="Calibri" w:hAnsi="Calibri" w:eastAsia="Microsoft YaHei" w:cs="Calibri"/>
          <w:color w:val="22333B"/>
          <w:sz w:val="21"/>
          <w:szCs w:val="21"/>
        </w:rPr>
        <w:t>On accession, the new Littoral Party takes its Council seats, its paired posts under the staffing table of Annex E, its contribution line under Annex B, and its delivery roster line under Article 19.3. Accession changes no coordinate, no rate, and no rule; amendment follows Article 29 alone.</w:t>
      </w:r>
    </w:p>
    <w:p>
      <w:pPr>
        <w:pStyle w:val="Heading3"/>
      </w:pPr>
      <w:r>
        <w:rPr>
          <w:rFonts w:ascii="Calibri" w:hAnsi="Calibri" w:eastAsia="Microsoft YaHei" w:cs="Calibri"/>
          <w:b/>
          <w:color w:val="3A7086"/>
          <w:sz w:val="22"/>
          <w:szCs w:val="22"/>
        </w:rPr>
        <w:t>28.4 The attachment module</w:t>
      </w:r>
    </w:p>
    <w:p>
      <w:pPr>
        <w:pStyle w:val="Normal"/>
        <w:jc w:val="both"/>
      </w:pPr>
      <w:r>
        <w:rPr>
          <w:rFonts w:ascii="Calibri" w:hAnsi="Calibri" w:eastAsia="Microsoft YaHei" w:cs="Calibri"/>
          <w:color w:val="22333B"/>
          <w:sz w:val="21"/>
          <w:szCs w:val="21"/>
        </w:rPr>
        <w:t>The Framework attaches to the wider MOU architecture at the election of the MOU parties, by annex, protocol, or incorporation, per Article 2.4. Annex F carries the model attachment instruments. Attachment never alters the text, the red lines, or the decision rules of this Framework.</w:t>
      </w:r>
    </w:p>
    <w:p>
      <w:pPr>
        <w:pStyle w:val="Heading3"/>
      </w:pPr>
      <w:r>
        <w:rPr>
          <w:rFonts w:ascii="Calibri" w:hAnsi="Calibri" w:eastAsia="Microsoft YaHei" w:cs="Calibri"/>
          <w:b/>
          <w:color w:val="3A7086"/>
          <w:sz w:val="22"/>
          <w:szCs w:val="22"/>
        </w:rPr>
        <w:t>28.5 Adherence by security liaisons</w:t>
      </w:r>
    </w:p>
    <w:p>
      <w:pPr>
        <w:pStyle w:val="Normal"/>
        <w:jc w:val="both"/>
      </w:pPr>
      <w:r>
        <w:rPr>
          <w:rFonts w:ascii="Calibri" w:hAnsi="Calibri" w:eastAsia="Microsoft YaHei" w:cs="Calibri"/>
          <w:color w:val="22333B"/>
          <w:sz w:val="21"/>
          <w:szCs w:val="21"/>
        </w:rPr>
        <w:t>An external state with forces in the region adheres to the Non-Interdiction Protocol and the standoff geometry of Article 21 through the adherence instrument of Annex F. Adherence binds the adhering state's forces inside the Governance Area and grants the state the de-confliction channel and the liaison desk of Article 21.4. Adherence grants no vote, no veto, and no governance role.</w:t>
      </w:r>
    </w:p>
    <w:p>
      <w:pPr>
        <w:pStyle w:val="Heading2"/>
      </w:pPr>
      <w:r>
        <w:rPr>
          <w:rFonts w:ascii="Calibri" w:hAnsi="Calibri" w:eastAsia="Microsoft YaHei" w:cs="Calibri"/>
          <w:b/>
          <w:color w:val="1F4E5F"/>
          <w:sz w:val="26"/>
          <w:szCs w:val="26"/>
        </w:rPr>
        <w:t>Article 29: Amendment and Review</w:t>
      </w:r>
    </w:p>
    <w:p>
      <w:pPr>
        <w:pStyle w:val="Heading3"/>
      </w:pPr>
      <w:r>
        <w:rPr>
          <w:rFonts w:ascii="Calibri" w:hAnsi="Calibri" w:eastAsia="Microsoft YaHei" w:cs="Calibri"/>
          <w:b/>
          <w:color w:val="3A7086"/>
          <w:sz w:val="22"/>
          <w:szCs w:val="22"/>
        </w:rPr>
        <w:t>29.1 Ordinary amendment</w:t>
      </w:r>
    </w:p>
    <w:p>
      <w:pPr>
        <w:pStyle w:val="Normal"/>
        <w:jc w:val="both"/>
      </w:pPr>
      <w:r>
        <w:rPr>
          <w:rFonts w:ascii="Calibri" w:hAnsi="Calibri" w:eastAsia="Microsoft YaHei" w:cs="Calibri"/>
          <w:color w:val="22333B"/>
          <w:sz w:val="21"/>
          <w:szCs w:val="21"/>
        </w:rPr>
        <w:t>Any Littoral Party tables a written amendment proposal at any Council session. An ordinary amendment takes effect by consensus of the Littoral Parties and publishes with 30 days of notice to the maritime community. The Nofade Guarantee governs every transition: obligations under the prior text run until the amendment's effective date, and banked performance carries across unchanged.</w:t>
      </w:r>
    </w:p>
    <w:p>
      <w:pPr>
        <w:pStyle w:val="Heading3"/>
      </w:pPr>
      <w:r>
        <w:rPr>
          <w:rFonts w:ascii="Calibri" w:hAnsi="Calibri" w:eastAsia="Microsoft YaHei" w:cs="Calibri"/>
          <w:b/>
          <w:color w:val="3A7086"/>
          <w:sz w:val="22"/>
          <w:szCs w:val="22"/>
        </w:rPr>
        <w:t>29.2 Elevated amendment</w:t>
      </w:r>
    </w:p>
    <w:p>
      <w:pPr>
        <w:pStyle w:val="Normal"/>
        <w:jc w:val="both"/>
      </w:pPr>
      <w:r>
        <w:rPr>
          <w:rFonts w:ascii="Calibri" w:hAnsi="Calibri" w:eastAsia="Microsoft YaHei" w:cs="Calibri"/>
          <w:color w:val="22333B"/>
          <w:sz w:val="21"/>
          <w:szCs w:val="21"/>
        </w:rPr>
        <w:t>An amendment touching the protected core of Article 27.1, the Red Lines Register of Annex G, or the Twin Key Rule takes effect only by consensus of all Littoral Parties plus ratification by each of them under its constitutional procedures.</w:t>
      </w:r>
    </w:p>
    <w:p>
      <w:pPr>
        <w:pStyle w:val="Heading3"/>
      </w:pPr>
      <w:r>
        <w:rPr>
          <w:rFonts w:ascii="Calibri" w:hAnsi="Calibri" w:eastAsia="Microsoft YaHei" w:cs="Calibri"/>
          <w:b/>
          <w:color w:val="3A7086"/>
          <w:sz w:val="22"/>
          <w:szCs w:val="22"/>
        </w:rPr>
        <w:t>29.3 The symmetry review</w:t>
      </w:r>
    </w:p>
    <w:p>
      <w:pPr>
        <w:pStyle w:val="Normal"/>
        <w:jc w:val="both"/>
      </w:pPr>
      <w:r>
        <w:rPr>
          <w:rFonts w:ascii="Calibri" w:hAnsi="Calibri" w:eastAsia="Microsoft YaHei" w:cs="Calibri"/>
          <w:color w:val="22333B"/>
          <w:sz w:val="21"/>
          <w:szCs w:val="21"/>
        </w:rPr>
        <w:t>The Council reviews every amendment proposal against the political acceptability rule of Article 3.1 and records the review with the amendment. An amendment that binds one Party while freeing another fails the review and returns to the proposing Party with reasons.</w:t>
      </w:r>
    </w:p>
    <w:p>
      <w:pPr>
        <w:pStyle w:val="Heading3"/>
      </w:pPr>
      <w:r>
        <w:rPr>
          <w:rFonts w:ascii="Calibri" w:hAnsi="Calibri" w:eastAsia="Microsoft YaHei" w:cs="Calibri"/>
          <w:b/>
          <w:color w:val="3A7086"/>
          <w:sz w:val="22"/>
          <w:szCs w:val="22"/>
        </w:rPr>
        <w:t>29.4 The annual review conference</w:t>
      </w:r>
    </w:p>
    <w:p>
      <w:pPr>
        <w:pStyle w:val="Normal"/>
        <w:jc w:val="both"/>
      </w:pPr>
      <w:r>
        <w:rPr>
          <w:rFonts w:ascii="Calibri" w:hAnsi="Calibri" w:eastAsia="Microsoft YaHei" w:cs="Calibri"/>
          <w:color w:val="22333B"/>
          <w:sz w:val="21"/>
          <w:szCs w:val="21"/>
        </w:rPr>
        <w:t>The Council convenes an annual review conference at Muscat, open to every participation layer. The conference receives the Neutral Watch Office's annual report, the Independent Assurance Council's integrity review, the external audit, the complexity audit of Article 4.3, and the premium index record, and it declares the Good Faith Reset of Article 23.5 where the conditions are met. The conference changes no rule; it reads the record, renews the architecture in public, and publishes its proceedings in full.</w:t>
      </w:r>
    </w:p>
    <w:p>
      <w:pPr>
        <w:pStyle w:val="Heading2"/>
      </w:pPr>
      <w:r>
        <w:rPr>
          <w:rFonts w:ascii="Calibri" w:hAnsi="Calibri" w:eastAsia="Microsoft YaHei" w:cs="Calibri"/>
          <w:b/>
          <w:color w:val="1F4E5F"/>
          <w:sz w:val="26"/>
          <w:szCs w:val="26"/>
        </w:rPr>
        <w:t>Article 30: Transition, Succession, Withdrawal, and Reconstitution</w:t>
      </w:r>
    </w:p>
    <w:p>
      <w:pPr>
        <w:pStyle w:val="Heading3"/>
      </w:pPr>
      <w:r>
        <w:rPr>
          <w:rFonts w:ascii="Calibri" w:hAnsi="Calibri" w:eastAsia="Microsoft YaHei" w:cs="Calibri"/>
          <w:b/>
          <w:color w:val="3A7086"/>
          <w:sz w:val="22"/>
          <w:szCs w:val="22"/>
        </w:rPr>
        <w:t>30.1 Phased activation</w:t>
      </w:r>
    </w:p>
    <w:p>
      <w:pPr>
        <w:pStyle w:val="Normal"/>
        <w:jc w:val="both"/>
      </w:pPr>
      <w:r>
        <w:rPr>
          <w:rFonts w:ascii="Calibri" w:hAnsi="Calibri" w:eastAsia="Microsoft YaHei" w:cs="Calibri"/>
          <w:color w:val="22333B"/>
          <w:sz w:val="21"/>
          <w:szCs w:val="21"/>
        </w:rPr>
        <w:t>The Framework activates in four phases, each with entry conditions, certification, and a public record, per the full schedule of Annex E: Phase Zero (signature to Day 14) delivers host agreements, escrow accounts, paired staffing, exercise notices, and hazard declarations; Phase One (Day 15 to Day 30) stands the watch floor up, acknowledges notifications, and begins patrols and the joint survey; Phase Two (Day 31 to Day 60) brings all three corridors to full schedule with the Fund paying verified services and the Registry live; Phase Three (Day 61 onward) consolidates survey certification, insurance normalization tracking, and the first annual review conference. Phase boundaries are administrative rhythms, not condition gates: under the Nofade Guarantee, a phase continues until the next certifies, obligations persist across boundaries unchanged, and nothing resets at a boundary.</w:t>
      </w:r>
    </w:p>
    <w:p>
      <w:pPr>
        <w:pStyle w:val="Normal"/>
        <w:jc w:val="both"/>
      </w:pPr>
      <w:r>
        <w:rPr>
          <w:rFonts w:ascii="Calibri" w:hAnsi="Calibri" w:eastAsia="Microsoft YaHei" w:cs="Calibri"/>
          <w:color w:val="22333B"/>
          <w:sz w:val="21"/>
          <w:szCs w:val="21"/>
        </w:rPr>
        <w:t>Implementation grace periods: during Phase Zero and Phase One, the Technical and Standards Committee conducts a readiness review of each Party's implementation of the Framework's obligations. Where a Party requires additional time to complete implementation of a specific obligation, the Committee grants a grace period of up to 90 days, publishes the grant with reasons, and reviews progress monthly. A grace period never touches the protected core of Article 27.1, and a Party that fails to cure within the grace period receives a Material Disruption classification. The mechanism accommodates genuine implementation challenges while accountability stays intact.</w:t>
      </w:r>
    </w:p>
    <w:p>
      <w:pPr>
        <w:pStyle w:val="Heading3"/>
      </w:pPr>
      <w:r>
        <w:rPr>
          <w:rFonts w:ascii="Calibri" w:hAnsi="Calibri" w:eastAsia="Microsoft YaHei" w:cs="Calibri"/>
          <w:b/>
          <w:color w:val="3A7086"/>
          <w:sz w:val="22"/>
          <w:szCs w:val="22"/>
        </w:rPr>
        <w:t>30.2 Succession</w:t>
      </w:r>
    </w:p>
    <w:p>
      <w:pPr>
        <w:pStyle w:val="Normal"/>
        <w:jc w:val="both"/>
      </w:pPr>
      <w:r>
        <w:rPr>
          <w:rFonts w:ascii="Calibri" w:hAnsi="Calibri" w:eastAsia="Microsoft YaHei" w:cs="Calibri"/>
          <w:color w:val="22333B"/>
          <w:sz w:val="21"/>
          <w:szCs w:val="21"/>
        </w:rPr>
        <w:t>The obligations of this Framework attach to the state, not to a government, a leader, or an administration. A change of government in any Party changes nothing in this Framework. The Framework's institutions notify each incoming administration of the full text and the standing record within 7 days of its assumption of office, and the administration inherits every commitment and every banked benefit from its first day.</w:t>
      </w:r>
    </w:p>
    <w:p>
      <w:pPr>
        <w:pStyle w:val="Heading3"/>
      </w:pPr>
      <w:r>
        <w:rPr>
          <w:rFonts w:ascii="Calibri" w:hAnsi="Calibri" w:eastAsia="Microsoft YaHei" w:cs="Calibri"/>
          <w:b/>
          <w:color w:val="3A7086"/>
          <w:sz w:val="22"/>
          <w:szCs w:val="22"/>
        </w:rPr>
        <w:t>30.3 Succession of prior structures</w:t>
      </w:r>
    </w:p>
    <w:p>
      <w:pPr>
        <w:pStyle w:val="Normal"/>
        <w:jc w:val="both"/>
      </w:pPr>
      <w:r>
        <w:rPr>
          <w:rFonts w:ascii="Calibri" w:hAnsi="Calibri" w:eastAsia="Microsoft YaHei" w:cs="Calibri"/>
          <w:color w:val="22333B"/>
          <w:sz w:val="21"/>
          <w:szCs w:val="21"/>
        </w:rPr>
        <w:t>On entry into force, the passage functions of prior national control structures fold into the Daryaban Operations Center under Article 8.5, and the bilateral working groups on Hormuz navigation governance transfer their records, their agreed routing papers, and their pending questions to the Council's first session. Nothing negotiated in the bilateral channel is lost; everything agreed there finds its multilateral home here.</w:t>
      </w:r>
    </w:p>
    <w:p>
      <w:pPr>
        <w:pStyle w:val="Normal"/>
        <w:jc w:val="both"/>
      </w:pPr>
      <w:r>
        <w:rPr>
          <w:rFonts w:ascii="Calibri" w:hAnsi="Calibri" w:eastAsia="Microsoft YaHei" w:cs="Calibri"/>
          <w:color w:val="22333B"/>
          <w:sz w:val="21"/>
          <w:szCs w:val="21"/>
        </w:rPr>
        <w:t>Bilateral channel preservation: the Parties preserve the bilateral Iran-Oman channel that produced the Hormuz governance negotiations of June and July 2026. The channel continues as a standing consultation mechanism, complementary to the Framework. The Council receives the channel's outputs, and the Framework benefits from the bilateral work. Nothing in the Framework replaces the bilateral channel; the channel endures alongside the Framework, and each strengthens the other.</w:t>
      </w:r>
    </w:p>
    <w:p>
      <w:pPr>
        <w:pStyle w:val="Heading3"/>
      </w:pPr>
      <w:r>
        <w:rPr>
          <w:rFonts w:ascii="Calibri" w:hAnsi="Calibri" w:eastAsia="Microsoft YaHei" w:cs="Calibri"/>
          <w:b/>
          <w:color w:val="3A7086"/>
          <w:sz w:val="22"/>
          <w:szCs w:val="22"/>
        </w:rPr>
        <w:t>30.4 Withdrawal</w:t>
      </w:r>
    </w:p>
    <w:p>
      <w:pPr>
        <w:pStyle w:val="Normal"/>
        <w:jc w:val="both"/>
      </w:pPr>
      <w:r>
        <w:rPr>
          <w:rFonts w:ascii="Calibri" w:hAnsi="Calibri" w:eastAsia="Microsoft YaHei" w:cs="Calibri"/>
          <w:color w:val="22333B"/>
          <w:sz w:val="21"/>
          <w:szCs w:val="21"/>
        </w:rPr>
        <w:t>Withdrawal is a deliberate sovereign act, never a drift. A Party withdraws by written notice to the depositary, and the notice takes effect 180 days after deposit. During the notice period, every obligation runs at full standard: the corridors operate, notifications flow, services pay, and the withdrawing Party's protections run unchanged. The notice ladder operates as follows: deposit of notice; convening of the Council within 14 days; a facilitation offer by the Mediator of Record; continuation of full operation to Day 180; effect at Day 180; and archiving of the withdrawing Party's record with its banked performance preserved. A Party's withdrawal touches no other Party's obligations, and the Framework continues for the remaining Parties without interruption.</w:t>
      </w:r>
    </w:p>
    <w:p>
      <w:pPr>
        <w:pStyle w:val="Heading3"/>
      </w:pPr>
      <w:r>
        <w:rPr>
          <w:rFonts w:ascii="Calibri" w:hAnsi="Calibri" w:eastAsia="Microsoft YaHei" w:cs="Calibri"/>
          <w:b/>
          <w:color w:val="3A7086"/>
          <w:sz w:val="22"/>
          <w:szCs w:val="22"/>
        </w:rPr>
        <w:t>30.5 Reconstitution</w:t>
      </w:r>
    </w:p>
    <w:p>
      <w:pPr>
        <w:pStyle w:val="Normal"/>
        <w:jc w:val="both"/>
      </w:pPr>
      <w:r>
        <w:rPr>
          <w:rFonts w:ascii="Calibri" w:hAnsi="Calibri" w:eastAsia="Microsoft YaHei" w:cs="Calibri"/>
          <w:color w:val="22333B"/>
          <w:sz w:val="21"/>
          <w:szCs w:val="21"/>
        </w:rPr>
        <w:t>A withdrawn Party re-enters at any time by deposit of a new accession instrument, and its banked performance restores in full under the Nofade Guarantee. Where every Party but one has withdrawn, the remaining Party holds the Framework in trust, the Neutral Administrator maintains the registry and the archive, and the Framework reconstitutes in full upon a second accession, with every coordinate, rate, and rule exactly as last in force.</w:t>
      </w:r>
    </w:p>
    <w:p>
      <w:pPr>
        <w:pStyle w:val="Heading3"/>
      </w:pPr>
      <w:r>
        <w:rPr>
          <w:rFonts w:ascii="Calibri" w:hAnsi="Calibri" w:eastAsia="Microsoft YaHei" w:cs="Calibri"/>
          <w:b/>
          <w:color w:val="3A7086"/>
          <w:sz w:val="22"/>
          <w:szCs w:val="22"/>
        </w:rPr>
        <w:t>30.6 The Essential Functions Protocol</w:t>
      </w:r>
    </w:p>
    <w:p>
      <w:pPr>
        <w:pStyle w:val="Normal"/>
        <w:jc w:val="both"/>
      </w:pPr>
      <w:r>
        <w:rPr>
          <w:rFonts w:ascii="Calibri" w:hAnsi="Calibri" w:eastAsia="Microsoft YaHei" w:cs="Calibri"/>
          <w:color w:val="22333B"/>
          <w:sz w:val="21"/>
          <w:szCs w:val="21"/>
        </w:rPr>
        <w:t>The following functions constitute the Essential Core of the Framework and operate under every circumstance, including suspension, withdrawal, or reconstitution: (a) the Open Water Bulletin; (b) the military de-confliction channel; (c) the humanitarian absolute and Class E transit; (d) search and rescue and distress response; (e) the Zero-Toll Rule; and (f) the Nofade Guarantee. A disruption of any Essential Function, whether by sabotage, cyberattack, or political action, triggers the Daryaban Watch automatically and routes to the Guarantor Panel within 24 hours. The Neutral Watch Office certifies restoration of Essential Functions in writing, and restoration publishes with the Bulletin. The Essential Core answers the hardest question in the design: where an actor tries to break the system, the system's core keeps breathing.</w:t>
      </w:r>
    </w:p>
    <w:p>
      <w:pPr>
        <w:pStyle w:val="Heading3"/>
      </w:pPr>
      <w:r>
        <w:rPr>
          <w:rFonts w:ascii="Calibri" w:hAnsi="Calibri" w:eastAsia="Microsoft YaHei" w:cs="Calibri"/>
          <w:b/>
          <w:color w:val="3A7086"/>
          <w:sz w:val="22"/>
          <w:szCs w:val="22"/>
        </w:rPr>
        <w:t>30.7 The Continuity of Operations Plan</w:t>
      </w:r>
    </w:p>
    <w:p>
      <w:pPr>
        <w:pStyle w:val="Normal"/>
        <w:jc w:val="both"/>
      </w:pPr>
      <w:r>
        <w:rPr>
          <w:rFonts w:ascii="Calibri" w:hAnsi="Calibri" w:eastAsia="Microsoft YaHei" w:cs="Calibri"/>
          <w:color w:val="22333B"/>
          <w:sz w:val="21"/>
          <w:szCs w:val="21"/>
        </w:rPr>
        <w:t>The Daryaban Operations Center maintains a Continuity of Operations Plan, reviewed and updated annually by the Technical and Standards Committee. The Plan covers: (a) emergency succession of leadership; (b) data backup and recovery; (c) alternative facilities; (d) essential functions; (e) crisis communications; and (f) restoration timelines. The Neutral Watch Office certifies the Plan's currency and tests it semi-annually. A Plan deficiency identified by the audit cures within 60 days; failure to cure classifies as a Material Disruption under Article 23. A plan proves its worth through testing and currency, never through its binder.</w:t>
      </w:r>
    </w:p>
    <w:p>
      <w:pPr>
        <w:pStyle w:val="Heading2"/>
      </w:pPr>
      <w:r>
        <w:rPr>
          <w:rFonts w:ascii="Calibri" w:hAnsi="Calibri" w:eastAsia="Microsoft YaHei" w:cs="Calibri"/>
          <w:b/>
          <w:color w:val="1F4E5F"/>
          <w:sz w:val="26"/>
          <w:szCs w:val="26"/>
        </w:rPr>
        <w:t>Article 31: Final Provisions</w:t>
      </w:r>
    </w:p>
    <w:p>
      <w:pPr>
        <w:pStyle w:val="Heading3"/>
      </w:pPr>
      <w:r>
        <w:rPr>
          <w:rFonts w:ascii="Calibri" w:hAnsi="Calibri" w:eastAsia="Microsoft YaHei" w:cs="Calibri"/>
          <w:b/>
          <w:color w:val="3A7086"/>
          <w:sz w:val="22"/>
          <w:szCs w:val="22"/>
        </w:rPr>
        <w:t>31.1 Entry into force</w:t>
      </w:r>
    </w:p>
    <w:p>
      <w:pPr>
        <w:pStyle w:val="Normal"/>
        <w:jc w:val="both"/>
      </w:pPr>
      <w:r>
        <w:rPr>
          <w:rFonts w:ascii="Calibri" w:hAnsi="Calibri" w:eastAsia="Microsoft YaHei" w:cs="Calibri"/>
          <w:color w:val="22333B"/>
          <w:sz w:val="21"/>
          <w:szCs w:val="21"/>
        </w:rPr>
        <w:t>This Framework enters into force upon signature by the Islamic Republic of Iran, the Sultanate of Oman, and the United Arab Emirates, and it operates provisionally from the date of the third signature, with Phase Zero commencing the following day.</w:t>
      </w:r>
    </w:p>
    <w:p>
      <w:pPr>
        <w:pStyle w:val="Heading3"/>
      </w:pPr>
      <w:r>
        <w:rPr>
          <w:rFonts w:ascii="Calibri" w:hAnsi="Calibri" w:eastAsia="Microsoft YaHei" w:cs="Calibri"/>
          <w:b/>
          <w:color w:val="3A7086"/>
          <w:sz w:val="22"/>
          <w:szCs w:val="22"/>
        </w:rPr>
        <w:t>31.2 Depositary</w:t>
      </w:r>
    </w:p>
    <w:p>
      <w:pPr>
        <w:pStyle w:val="Normal"/>
        <w:jc w:val="both"/>
      </w:pPr>
      <w:r>
        <w:rPr>
          <w:rFonts w:ascii="Calibri" w:hAnsi="Calibri" w:eastAsia="Microsoft YaHei" w:cs="Calibri"/>
          <w:color w:val="22333B"/>
          <w:sz w:val="21"/>
          <w:szCs w:val="21"/>
        </w:rPr>
        <w:t>The Sultanate of Oman, Ministry of Foreign Affairs, serves as depositary. The depositary registers signatures, accessions, adherences, declarations of intent, notices, and amendments, and it publishes each instrument within 7 days of receipt.</w:t>
      </w:r>
    </w:p>
    <w:p>
      <w:pPr>
        <w:pStyle w:val="Heading3"/>
      </w:pPr>
      <w:r>
        <w:rPr>
          <w:rFonts w:ascii="Calibri" w:hAnsi="Calibri" w:eastAsia="Microsoft YaHei" w:cs="Calibri"/>
          <w:b/>
          <w:color w:val="3A7086"/>
          <w:sz w:val="22"/>
          <w:szCs w:val="22"/>
        </w:rPr>
        <w:t>31.3 Authentic texts</w:t>
      </w:r>
    </w:p>
    <w:p>
      <w:pPr>
        <w:pStyle w:val="Normal"/>
        <w:jc w:val="both"/>
      </w:pPr>
      <w:r>
        <w:rPr>
          <w:rFonts w:ascii="Calibri" w:hAnsi="Calibri" w:eastAsia="Microsoft YaHei" w:cs="Calibri"/>
          <w:color w:val="22333B"/>
          <w:sz w:val="21"/>
          <w:szCs w:val="21"/>
        </w:rPr>
        <w:t>This Framework is executed in the Persian, Arabic, and English languages, and the three texts carry equal authority. In case of divergence, the Daryaban Council adopts the shared meaning the negotiators intended and records that meaning in the Council minutes.</w:t>
      </w:r>
    </w:p>
    <w:p>
      <w:pPr>
        <w:pStyle w:val="Heading3"/>
      </w:pPr>
      <w:r>
        <w:rPr>
          <w:rFonts w:ascii="Calibri" w:hAnsi="Calibri" w:eastAsia="Microsoft YaHei" w:cs="Calibri"/>
          <w:b/>
          <w:color w:val="3A7086"/>
          <w:sz w:val="22"/>
          <w:szCs w:val="22"/>
        </w:rPr>
        <w:t>31.4 Registration</w:t>
      </w:r>
    </w:p>
    <w:p>
      <w:pPr>
        <w:pStyle w:val="Normal"/>
        <w:jc w:val="both"/>
      </w:pPr>
      <w:r>
        <w:rPr>
          <w:rFonts w:ascii="Calibri" w:hAnsi="Calibri" w:eastAsia="Microsoft YaHei" w:cs="Calibri"/>
          <w:color w:val="22333B"/>
          <w:sz w:val="21"/>
          <w:szCs w:val="21"/>
        </w:rPr>
        <w:t>The depositary transmits the Framework to the Secretariat of the United Nations for registration and publication, and the Parties jointly notify the passage geometry to the International Maritime Organization under Article 2.5.</w:t>
      </w:r>
    </w:p>
    <w:p>
      <w:pPr>
        <w:pStyle w:val="Normal"/>
        <w:jc w:val="both"/>
      </w:pPr>
      <w:r>
        <w:rPr>
          <w:rFonts w:ascii="Calibri" w:hAnsi="Calibri" w:eastAsia="Microsoft YaHei" w:cs="Calibri"/>
          <w:color w:val="22333B"/>
          <w:sz w:val="21"/>
          <w:szCs w:val="21"/>
        </w:rPr>
        <w:t>Parliamentary notification: upon entry into force, each Party notifies its national parliament or consultative assembly of the Framework's provisions, its obligations, and its banked benefits. The notification publishes with the depositary. An annual update on the Framework's operation is transmitted to each Party's legislature within 90 days of each annual review conference. Legislative awareness sustains the Framework across political cycles.</w:t>
      </w:r>
    </w:p>
    <w:p>
      <w:pPr>
        <w:pStyle w:val="Heading3"/>
      </w:pPr>
      <w:r>
        <w:rPr>
          <w:rFonts w:ascii="Calibri" w:hAnsi="Calibri" w:eastAsia="Microsoft YaHei" w:cs="Calibri"/>
          <w:b/>
          <w:color w:val="3A7086"/>
          <w:sz w:val="22"/>
          <w:szCs w:val="22"/>
        </w:rPr>
        <w:t>31.6 Parallel sovereign tracks</w:t>
      </w:r>
    </w:p>
    <w:p>
      <w:pPr>
        <w:pStyle w:val="Normal"/>
        <w:jc w:val="both"/>
      </w:pPr>
      <w:r>
        <w:rPr>
          <w:rFonts w:ascii="Calibri" w:hAnsi="Calibri" w:eastAsia="Microsoft YaHei" w:cs="Calibri"/>
          <w:color w:val="22333B"/>
          <w:sz w:val="21"/>
          <w:szCs w:val="21"/>
        </w:rPr>
        <w:t>The Framework operates on the understanding that several Parties pursue domestic programs of political, economic, and institutional development on their own sovereign calendars. Such programs stand outside the Framework's scope: the Framework neither conditions them nor stands conditioned by them, and no organ of the Framework reviews them. The Parties record their shared understanding that maritime stability and domestic political development proceed on separate tracks, each on its own merits, each free of the other's disputes.</w:t>
      </w:r>
    </w:p>
    <w:p>
      <w:pPr>
        <w:pStyle w:val="Heading3"/>
      </w:pPr>
      <w:r>
        <w:rPr>
          <w:rFonts w:ascii="Calibri" w:hAnsi="Calibri" w:eastAsia="Microsoft YaHei" w:cs="Calibri"/>
          <w:b/>
          <w:color w:val="3A7086"/>
          <w:sz w:val="22"/>
          <w:szCs w:val="22"/>
        </w:rPr>
        <w:t>31.7 Security assurances</w:t>
      </w:r>
    </w:p>
    <w:p>
      <w:pPr>
        <w:pStyle w:val="Normal"/>
        <w:jc w:val="both"/>
      </w:pPr>
      <w:r>
        <w:rPr>
          <w:rFonts w:ascii="Calibri" w:hAnsi="Calibri" w:eastAsia="Microsoft YaHei" w:cs="Calibri"/>
          <w:color w:val="22333B"/>
          <w:sz w:val="21"/>
          <w:szCs w:val="21"/>
        </w:rPr>
        <w:t>The Parties record that this Framework operates on the shared understanding that no Party seeks to change the political system or the territorial integrity of any other Party by means of this Framework or the conduct regulated by it. The Framework is an instrument of maritime governance, not of political transformation.</w:t>
      </w:r>
    </w:p>
    <w:p>
      <w:pPr>
        <w:pStyle w:val="Heading3"/>
      </w:pPr>
      <w:r>
        <w:rPr>
          <w:rFonts w:ascii="Calibri" w:hAnsi="Calibri" w:eastAsia="Microsoft YaHei" w:cs="Calibri"/>
          <w:b/>
          <w:color w:val="3A7086"/>
          <w:sz w:val="22"/>
          <w:szCs w:val="22"/>
        </w:rPr>
        <w:t>31.8 The Implementation Manual</w:t>
      </w:r>
    </w:p>
    <w:p>
      <w:pPr>
        <w:pStyle w:val="Normal"/>
        <w:jc w:val="both"/>
      </w:pPr>
      <w:r>
        <w:rPr>
          <w:rFonts w:ascii="Calibri" w:hAnsi="Calibri" w:eastAsia="Microsoft YaHei" w:cs="Calibri"/>
          <w:color w:val="22333B"/>
          <w:sz w:val="21"/>
          <w:szCs w:val="21"/>
        </w:rPr>
        <w:t>Within 90 days of entry into force, the Daryaban Operations Center produces a single Implementation Manual covering every procedure, form, and certificate of this Framework. The Manual uses plain language, follows the Six-Step Rule of Article 4, and fits in a single binder or digital file. The Technical and Standards Committee certifies the Manual's completeness and accuracy, and every Party and participant receives a copy. The Manual updates annually with the annual review conference. A framework delivers only as well as its implementation guidance teaches.</w:t>
      </w:r>
    </w:p>
    <w:p>
      <w:pPr>
        <w:pStyle w:val="Heading3"/>
      </w:pPr>
      <w:r>
        <w:rPr>
          <w:rFonts w:ascii="Calibri" w:hAnsi="Calibri" w:eastAsia="Microsoft YaHei" w:cs="Calibri"/>
          <w:b/>
          <w:color w:val="3A7086"/>
          <w:sz w:val="22"/>
          <w:szCs w:val="22"/>
        </w:rPr>
        <w:t>31.9 Training and certification</w:t>
      </w:r>
    </w:p>
    <w:p>
      <w:pPr>
        <w:pStyle w:val="Normal"/>
        <w:jc w:val="both"/>
      </w:pPr>
      <w:r>
        <w:rPr>
          <w:rFonts w:ascii="Calibri" w:hAnsi="Calibri" w:eastAsia="Microsoft YaHei" w:cs="Calibri"/>
          <w:color w:val="22333B"/>
          <w:sz w:val="21"/>
          <w:szCs w:val="21"/>
        </w:rPr>
        <w:t>The Daryaban Operations Center conducts an annual training and certification program for all watch officers, duty officers, and notification desk personnel. The program follows International Maritime Organization model courses and includes practical exercises on the Mishap Protocol, the rogue-actor pathway, and the Daryaban Watch. The Technical and Standards Committee certifies each participant on completion, and the certification record publishes with the Ledger. A participant who fails certification undergoes retraining within 30 days. The architecture invests in the people who run it, because the finest text fails in untrained hands.</w:t>
      </w:r>
    </w:p>
    <w:p>
      <w:pPr>
        <w:pStyle w:val="Heading3"/>
      </w:pPr>
      <w:r>
        <w:rPr>
          <w:rFonts w:ascii="Calibri" w:hAnsi="Calibri" w:eastAsia="Microsoft YaHei" w:cs="Calibri"/>
          <w:b/>
          <w:color w:val="3A7086"/>
          <w:sz w:val="22"/>
          <w:szCs w:val="22"/>
        </w:rPr>
        <w:t>31.10 Technical assistance pool</w:t>
      </w:r>
    </w:p>
    <w:p>
      <w:pPr>
        <w:pStyle w:val="Normal"/>
        <w:jc w:val="both"/>
      </w:pPr>
      <w:r>
        <w:rPr>
          <w:rFonts w:ascii="Calibri" w:hAnsi="Calibri" w:eastAsia="Microsoft YaHei" w:cs="Calibri"/>
          <w:color w:val="22333B"/>
          <w:sz w:val="21"/>
          <w:szCs w:val="21"/>
        </w:rPr>
        <w:t>The Council maintains a standing technical assistance pool of experts in hydrography, vessel traffic services, marine insurance, and maritime law, drawn from the International Maritime Organization roster, the member states, and the private sector. The pool provides technical advice to any Party on request, with full confidentiality. The pool's operations fund from the Transit Services Fund's capacity-building line. Ready assistance removes the capacity barrier to implementation.</w:t>
      </w:r>
    </w:p>
    <w:p>
      <w:pPr>
        <w:pStyle w:val="Heading3"/>
      </w:pPr>
      <w:r>
        <w:rPr>
          <w:rFonts w:ascii="Calibri" w:hAnsi="Calibri" w:eastAsia="Microsoft YaHei" w:cs="Calibri"/>
          <w:b/>
          <w:color w:val="3A7086"/>
          <w:sz w:val="22"/>
          <w:szCs w:val="22"/>
        </w:rPr>
        <w:t>31.11 Diplomatic notification protocol</w:t>
      </w:r>
    </w:p>
    <w:p>
      <w:pPr>
        <w:pStyle w:val="Normal"/>
        <w:jc w:val="both"/>
      </w:pPr>
      <w:r>
        <w:rPr>
          <w:rFonts w:ascii="Calibri" w:hAnsi="Calibri" w:eastAsia="Microsoft YaHei" w:cs="Calibri"/>
          <w:color w:val="22333B"/>
          <w:sz w:val="21"/>
          <w:szCs w:val="21"/>
        </w:rPr>
        <w:t>The depositary notifies all Parties, observer states, and security liaisons of any material event under this Framework within 24 hours of receipt: accessions, adherences, amendments, withdrawals, Architectural Breach classifications, and Daryaban Watch activations. The notification travels through the diplomatic channel and posts to the Bulletin. A Party that fails to acknowledge a notification within 48 hours receives a procedural deviation classification. A system responds only as fast as its communications travel.</w:t>
      </w:r>
    </w:p>
    <w:p>
      <w:pPr>
        <w:pStyle w:val="Heading3"/>
      </w:pPr>
      <w:r>
        <w:rPr>
          <w:rFonts w:ascii="Calibri" w:hAnsi="Calibri" w:eastAsia="Microsoft YaHei" w:cs="Calibri"/>
          <w:b/>
          <w:color w:val="3A7086"/>
          <w:sz w:val="22"/>
          <w:szCs w:val="22"/>
        </w:rPr>
        <w:t>31.12 The Lessons Learned process</w:t>
      </w:r>
    </w:p>
    <w:p>
      <w:pPr>
        <w:pStyle w:val="Normal"/>
        <w:jc w:val="both"/>
      </w:pPr>
      <w:r>
        <w:rPr>
          <w:rFonts w:ascii="Calibri" w:hAnsi="Calibri" w:eastAsia="Microsoft YaHei" w:cs="Calibri"/>
          <w:color w:val="22333B"/>
          <w:sz w:val="21"/>
          <w:szCs w:val="21"/>
        </w:rPr>
        <w:t>The Daryaban Operations Center maintains a standing Lessons Learned process: every incident, mishap, procedural deviation, and dispute under this Framework undergoes review for systemic lessons. The Technical and Standards Committee convenes a quarterly Lessons Learned session, and the resulting recommendations route to the Council for adoption through the silence procedure of Article 15.4. The Lessons Learned register publishes with the Bulletin, with operational details redacted where appropriate. A framework that learns from its own failures improves with every hard week it survives.</w:t>
      </w:r>
    </w:p>
    <w:p>
      <w:pPr>
        <w:pStyle w:val="Heading3"/>
      </w:pPr>
      <w:r>
        <w:rPr>
          <w:rFonts w:ascii="Calibri" w:hAnsi="Calibri" w:eastAsia="Microsoft YaHei" w:cs="Calibri"/>
          <w:b/>
          <w:color w:val="3A7086"/>
          <w:sz w:val="22"/>
          <w:szCs w:val="22"/>
        </w:rPr>
        <w:t>31.5 The guardian's charge</w:t>
      </w:r>
    </w:p>
    <w:p>
      <w:pPr>
        <w:pStyle w:val="Normal"/>
        <w:jc w:val="both"/>
      </w:pPr>
      <w:r>
        <w:rPr>
          <w:rFonts w:ascii="Calibri" w:hAnsi="Calibri" w:eastAsia="Microsoft YaHei" w:cs="Calibri"/>
          <w:color w:val="22333B"/>
          <w:sz w:val="21"/>
          <w:szCs w:val="21"/>
        </w:rPr>
        <w:t>This Framework stands as the guardian of the sea: it watches the water so that commerce crosses it, it holds the red lines so that politics never crosses them, and it continues without expiry so that no generation ever negotiates the Strait's peace from the beginning again. The Parties sign it in that spirit, and the Nofade Guarantee keeps it in that spirit, permanently.</w:t>
      </w:r>
    </w:p>
    <w:p>
      <w:pPr>
        <w:pStyle w:val="Heading2"/>
      </w:pPr>
      <w:r>
        <w:rPr>
          <w:rFonts w:ascii="Calibri" w:hAnsi="Calibri" w:eastAsia="Microsoft YaHei" w:cs="Calibri"/>
          <w:b/>
          <w:color w:val="1F4E5F"/>
          <w:sz w:val="26"/>
          <w:szCs w:val="26"/>
        </w:rPr>
        <w:t>Signature Block</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3000"/>
        <w:gridCol w:w="3000"/>
        <w:gridCol w:w="3000"/>
      </w:tblGrid>
      <w:tr>
        <w:trPr>
          <w:tblHeader w:val="1"/>
        </w:trPr>
        <w:tc>
          <w:tcPr>
            <w:tcW w:w="30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For the Islamic Republic of Iran</w:t>
            </w:r>
          </w:p>
        </w:tc>
        <w:tc>
          <w:tcPr>
            <w:tcW w:w="30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For the Sultanate of Oman</w:t>
            </w:r>
          </w:p>
        </w:tc>
        <w:tc>
          <w:tcPr>
            <w:tcW w:w="30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For the United Arab Emirates</w:t>
            </w:r>
          </w:p>
        </w:tc>
      </w:tr>
      <w:tr>
        <w:tc>
          <w:tcPr>
            <w:tcW w:w="3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Name:</w:t>
            </w:r>
          </w:p>
        </w:tc>
        <w:tc>
          <w:tcPr>
            <w:tcW w:w="3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Name:</w:t>
            </w:r>
          </w:p>
        </w:tc>
        <w:tc>
          <w:tcPr>
            <w:tcW w:w="3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Name:</w:t>
            </w:r>
          </w:p>
        </w:tc>
      </w:tr>
      <w:tr>
        <w:tc>
          <w:tcPr>
            <w:tcW w:w="3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Title:</w:t>
            </w:r>
          </w:p>
        </w:tc>
        <w:tc>
          <w:tcPr>
            <w:tcW w:w="3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Title:</w:t>
            </w:r>
          </w:p>
        </w:tc>
        <w:tc>
          <w:tcPr>
            <w:tcW w:w="3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Title:</w:t>
            </w:r>
          </w:p>
        </w:tc>
      </w:tr>
      <w:tr>
        <w:tc>
          <w:tcPr>
            <w:tcW w:w="3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Date and place:</w:t>
            </w:r>
          </w:p>
        </w:tc>
        <w:tc>
          <w:tcPr>
            <w:tcW w:w="3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Date and place:</w:t>
            </w:r>
          </w:p>
        </w:tc>
        <w:tc>
          <w:tcPr>
            <w:tcW w:w="3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Date and place:</w:t>
            </w:r>
          </w:p>
        </w:tc>
      </w:tr>
      <w:tr>
        <w:tc>
          <w:tcPr>
            <w:tcW w:w="3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Signature:</w:t>
            </w:r>
          </w:p>
        </w:tc>
        <w:tc>
          <w:tcPr>
            <w:tcW w:w="3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Signature:</w:t>
            </w:r>
          </w:p>
        </w:tc>
        <w:tc>
          <w:tcPr>
            <w:tcW w:w="3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Signature:</w:t>
            </w:r>
          </w:p>
        </w:tc>
      </w:tr>
    </w:tbl>
    <w:p>
      <w:pPr>
        <w:pStyle w:val="Caption"/>
      </w:pPr>
      <w:r>
        <w:rPr>
          <w:rFonts w:ascii="Calibri" w:hAnsi="Calibri" w:eastAsia="Microsoft YaHei" w:cs="Calibri"/>
          <w:i/>
          <w:color w:val="6E8A96"/>
          <w:sz w:val="18"/>
          <w:szCs w:val="18"/>
        </w:rPr>
        <w:t>Witnessed by the Mediator of Record, the Neutral Administrator, and the supporting facilitators; declarations of intent deposited per Article 27.3.</w:t>
      </w:r>
    </w:p>
    <w:p>
      <w:pPr>
        <w:pStyle w:val="Heading1"/>
      </w:pPr>
      <w:r>
        <w:rPr>
          <w:rFonts w:ascii="Calibri" w:hAnsi="Calibri" w:eastAsia="Microsoft YaHei" w:cs="Calibri"/>
          <w:b/>
          <w:color w:val="1F4E5F"/>
          <w:sz w:val="30"/>
          <w:szCs w:val="30"/>
        </w:rPr>
        <w:t>Annex A: Passage Coordinates and Geometry Registry</w:t>
      </w:r>
    </w:p>
    <w:p>
      <w:pPr>
        <w:pStyle w:val="Normal"/>
        <w:jc w:val="both"/>
      </w:pPr>
      <w:r>
        <w:rPr>
          <w:rFonts w:ascii="Calibri" w:hAnsi="Calibri" w:eastAsia="Microsoft YaHei" w:cs="Calibri"/>
          <w:color w:val="22333B"/>
          <w:sz w:val="21"/>
          <w:szCs w:val="21"/>
        </w:rPr>
        <w:t>This Annex states the operative geometry of the Framework. All positions use WGS-84. The Neutral Administrator holds the master register; the Daryaban Operations Center publishes the derived chartlets; the International Hydrographic Organization receives every edition.</w:t>
      </w:r>
    </w:p>
    <w:p>
      <w:pPr>
        <w:pStyle w:val="Heading3"/>
      </w:pPr>
      <w:r>
        <w:rPr>
          <w:rFonts w:ascii="Calibri" w:hAnsi="Calibri" w:eastAsia="Microsoft YaHei" w:cs="Calibri"/>
          <w:b/>
          <w:color w:val="3A7086"/>
          <w:sz w:val="22"/>
          <w:szCs w:val="22"/>
        </w:rPr>
        <w:t>A.1 Governance Area boundary</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2000"/>
        <w:gridCol w:w="3500"/>
        <w:gridCol w:w="3500"/>
      </w:tblGrid>
      <w:tr>
        <w:trPr>
          <w:tblHeader w:val="1"/>
        </w:trPr>
        <w:tc>
          <w:tcPr>
            <w:tcW w:w="20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Vertex</w:t>
            </w:r>
          </w:p>
        </w:tc>
        <w:tc>
          <w:tcPr>
            <w:tcW w:w="35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Latitude (N)</w:t>
            </w:r>
          </w:p>
        </w:tc>
        <w:tc>
          <w:tcPr>
            <w:tcW w:w="35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Longitude (E)</w:t>
            </w:r>
          </w:p>
        </w:tc>
      </w:tr>
      <w:tr>
        <w:tc>
          <w:tcPr>
            <w:tcW w:w="2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GA-01</w:t>
            </w:r>
          </w:p>
        </w:tc>
        <w:tc>
          <w:tcPr>
            <w:tcW w:w="3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26 degrees 45.0 minutes</w:t>
            </w:r>
          </w:p>
        </w:tc>
        <w:tc>
          <w:tcPr>
            <w:tcW w:w="3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056 degrees 50.0 minutes</w:t>
            </w:r>
          </w:p>
        </w:tc>
      </w:tr>
      <w:tr>
        <w:tc>
          <w:tcPr>
            <w:tcW w:w="2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GA-02</w:t>
            </w:r>
          </w:p>
        </w:tc>
        <w:tc>
          <w:tcPr>
            <w:tcW w:w="3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26 degrees 20.0 minutes</w:t>
            </w:r>
          </w:p>
        </w:tc>
        <w:tc>
          <w:tcPr>
            <w:tcW w:w="3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056 degrees 55.0 minutes</w:t>
            </w:r>
          </w:p>
        </w:tc>
      </w:tr>
      <w:tr>
        <w:tc>
          <w:tcPr>
            <w:tcW w:w="2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GA-03</w:t>
            </w:r>
          </w:p>
        </w:tc>
        <w:tc>
          <w:tcPr>
            <w:tcW w:w="3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25 degrees 58.0 minutes</w:t>
            </w:r>
          </w:p>
        </w:tc>
        <w:tc>
          <w:tcPr>
            <w:tcW w:w="3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057 degrees 00.0 minutes</w:t>
            </w:r>
          </w:p>
        </w:tc>
      </w:tr>
      <w:tr>
        <w:tc>
          <w:tcPr>
            <w:tcW w:w="2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GA-04</w:t>
            </w:r>
          </w:p>
        </w:tc>
        <w:tc>
          <w:tcPr>
            <w:tcW w:w="3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25 degrees 56.0 minutes</w:t>
            </w:r>
          </w:p>
        </w:tc>
        <w:tc>
          <w:tcPr>
            <w:tcW w:w="3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056 degrees 30.0 minutes</w:t>
            </w:r>
          </w:p>
        </w:tc>
      </w:tr>
      <w:tr>
        <w:tc>
          <w:tcPr>
            <w:tcW w:w="2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GA-05</w:t>
            </w:r>
          </w:p>
        </w:tc>
        <w:tc>
          <w:tcPr>
            <w:tcW w:w="3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26 degrees 10.0 minutes</w:t>
            </w:r>
          </w:p>
        </w:tc>
        <w:tc>
          <w:tcPr>
            <w:tcW w:w="3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056 degrees 10.0 minutes</w:t>
            </w:r>
          </w:p>
        </w:tc>
      </w:tr>
      <w:tr>
        <w:tc>
          <w:tcPr>
            <w:tcW w:w="2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GA-06</w:t>
            </w:r>
          </w:p>
        </w:tc>
        <w:tc>
          <w:tcPr>
            <w:tcW w:w="3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26 degrees 05.0 minutes</w:t>
            </w:r>
          </w:p>
        </w:tc>
        <w:tc>
          <w:tcPr>
            <w:tcW w:w="3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055 degrees 30.0 minutes</w:t>
            </w:r>
          </w:p>
        </w:tc>
      </w:tr>
      <w:tr>
        <w:tc>
          <w:tcPr>
            <w:tcW w:w="2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GA-07</w:t>
            </w:r>
          </w:p>
        </w:tc>
        <w:tc>
          <w:tcPr>
            <w:tcW w:w="3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26 degrees 30.0 minutes</w:t>
            </w:r>
          </w:p>
        </w:tc>
        <w:tc>
          <w:tcPr>
            <w:tcW w:w="3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055 degrees 30.0 minutes</w:t>
            </w:r>
          </w:p>
        </w:tc>
      </w:tr>
      <w:tr>
        <w:tc>
          <w:tcPr>
            <w:tcW w:w="2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GA-08</w:t>
            </w:r>
          </w:p>
        </w:tc>
        <w:tc>
          <w:tcPr>
            <w:tcW w:w="3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26 degrees 55.0 minutes</w:t>
            </w:r>
          </w:p>
        </w:tc>
        <w:tc>
          <w:tcPr>
            <w:tcW w:w="3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055 degrees 45.0 minutes</w:t>
            </w:r>
          </w:p>
        </w:tc>
      </w:tr>
      <w:tr>
        <w:tc>
          <w:tcPr>
            <w:tcW w:w="2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GA-09</w:t>
            </w:r>
          </w:p>
        </w:tc>
        <w:tc>
          <w:tcPr>
            <w:tcW w:w="3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27 degrees 05.0 minutes</w:t>
            </w:r>
          </w:p>
        </w:tc>
        <w:tc>
          <w:tcPr>
            <w:tcW w:w="3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056 degrees 10.0 minutes</w:t>
            </w:r>
          </w:p>
        </w:tc>
      </w:tr>
      <w:tr>
        <w:tc>
          <w:tcPr>
            <w:tcW w:w="2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GA-10</w:t>
            </w:r>
          </w:p>
        </w:tc>
        <w:tc>
          <w:tcPr>
            <w:tcW w:w="3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27 degrees 00.0 minutes</w:t>
            </w:r>
          </w:p>
        </w:tc>
        <w:tc>
          <w:tcPr>
            <w:tcW w:w="3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056 degrees 35.0 minutes</w:t>
            </w:r>
          </w:p>
        </w:tc>
      </w:tr>
      <w:tr>
        <w:tc>
          <w:tcPr>
            <w:tcW w:w="2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GA-11</w:t>
            </w:r>
          </w:p>
        </w:tc>
        <w:tc>
          <w:tcPr>
            <w:tcW w:w="3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26 degrees 55.0 minutes</w:t>
            </w:r>
          </w:p>
        </w:tc>
        <w:tc>
          <w:tcPr>
            <w:tcW w:w="3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056 degrees 45.0 minutes</w:t>
            </w:r>
          </w:p>
        </w:tc>
      </w:tr>
      <w:tr>
        <w:tc>
          <w:tcPr>
            <w:tcW w:w="2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GA-12</w:t>
            </w:r>
          </w:p>
        </w:tc>
        <w:tc>
          <w:tcPr>
            <w:tcW w:w="3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26 degrees 45.0 minutes</w:t>
            </w:r>
          </w:p>
        </w:tc>
        <w:tc>
          <w:tcPr>
            <w:tcW w:w="3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056 degrees 50.0 minutes</w:t>
            </w:r>
          </w:p>
        </w:tc>
      </w:tr>
    </w:tbl>
    <w:p>
      <w:pPr>
        <w:pStyle w:val="Caption"/>
      </w:pPr>
      <w:r>
        <w:rPr>
          <w:rFonts w:ascii="Calibri" w:hAnsi="Calibri" w:eastAsia="Microsoft YaHei" w:cs="Calibri"/>
          <w:i/>
          <w:color w:val="6E8A96"/>
          <w:sz w:val="18"/>
          <w:szCs w:val="18"/>
        </w:rPr>
        <w:t>Table A.1: Governance Area boundary polygon, closed at GA-12</w:t>
      </w:r>
    </w:p>
    <w:p>
      <w:pPr>
        <w:pStyle w:val="Heading3"/>
      </w:pPr>
      <w:r>
        <w:rPr>
          <w:rFonts w:ascii="Calibri" w:hAnsi="Calibri" w:eastAsia="Microsoft YaHei" w:cs="Calibri"/>
          <w:b/>
          <w:color w:val="3A7086"/>
          <w:sz w:val="22"/>
          <w:szCs w:val="22"/>
        </w:rPr>
        <w:t>A.2 Southern Assurance Corridor waypoints</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1500"/>
        <w:gridCol w:w="2600"/>
        <w:gridCol w:w="2600"/>
        <w:gridCol w:w="2300"/>
      </w:tblGrid>
      <w:tr>
        <w:trPr>
          <w:tblHeader w:val="1"/>
        </w:trPr>
        <w:tc>
          <w:tcPr>
            <w:tcW w:w="15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Waypoint</w:t>
            </w:r>
          </w:p>
        </w:tc>
        <w:tc>
          <w:tcPr>
            <w:tcW w:w="26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Latitude (N)</w:t>
            </w:r>
          </w:p>
        </w:tc>
        <w:tc>
          <w:tcPr>
            <w:tcW w:w="26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Longitude (E)</w:t>
            </w:r>
          </w:p>
        </w:tc>
        <w:tc>
          <w:tcPr>
            <w:tcW w:w="23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Function</w:t>
            </w:r>
          </w:p>
        </w:tc>
      </w:tr>
      <w:tr>
        <w:tc>
          <w:tcPr>
            <w:tcW w:w="1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S-1</w:t>
            </w:r>
          </w:p>
        </w:tc>
        <w:tc>
          <w:tcPr>
            <w:tcW w:w="2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26 degrees 38.0 minutes</w:t>
            </w:r>
          </w:p>
        </w:tc>
        <w:tc>
          <w:tcPr>
            <w:tcW w:w="2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056 degrees 52.0 minutes</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Eastern entry, precautionary zone east edge</w:t>
            </w:r>
          </w:p>
        </w:tc>
      </w:tr>
      <w:tr>
        <w:tc>
          <w:tcPr>
            <w:tcW w:w="1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S-2</w:t>
            </w:r>
          </w:p>
        </w:tc>
        <w:tc>
          <w:tcPr>
            <w:tcW w:w="2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26 degrees 32.0 minutes</w:t>
            </w:r>
          </w:p>
        </w:tc>
        <w:tc>
          <w:tcPr>
            <w:tcW w:w="2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056 degrees 40.0 minutes</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Reporting point Charlie</w:t>
            </w:r>
          </w:p>
        </w:tc>
      </w:tr>
      <w:tr>
        <w:tc>
          <w:tcPr>
            <w:tcW w:w="1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S-3</w:t>
            </w:r>
          </w:p>
        </w:tc>
        <w:tc>
          <w:tcPr>
            <w:tcW w:w="2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26 degrees 28.0 minutes</w:t>
            </w:r>
          </w:p>
        </w:tc>
        <w:tc>
          <w:tcPr>
            <w:tcW w:w="2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056 degrees 20.0 minutes</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Mid-passage reporting point Delta</w:t>
            </w:r>
          </w:p>
        </w:tc>
      </w:tr>
      <w:tr>
        <w:tc>
          <w:tcPr>
            <w:tcW w:w="1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S-4</w:t>
            </w:r>
          </w:p>
        </w:tc>
        <w:tc>
          <w:tcPr>
            <w:tcW w:w="2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26 degrees 26.0 minutes</w:t>
            </w:r>
          </w:p>
        </w:tc>
        <w:tc>
          <w:tcPr>
            <w:tcW w:w="2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056 degrees 00.0 minutes</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Crossing sector Kilo south edge</w:t>
            </w:r>
          </w:p>
        </w:tc>
      </w:tr>
      <w:tr>
        <w:tc>
          <w:tcPr>
            <w:tcW w:w="1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S-5</w:t>
            </w:r>
          </w:p>
        </w:tc>
        <w:tc>
          <w:tcPr>
            <w:tcW w:w="2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26 degrees 24.5 minutes</w:t>
            </w:r>
          </w:p>
        </w:tc>
        <w:tc>
          <w:tcPr>
            <w:tcW w:w="2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055 degrees 48.0 minutes</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Reporting point Echo</w:t>
            </w:r>
          </w:p>
        </w:tc>
      </w:tr>
      <w:tr>
        <w:tc>
          <w:tcPr>
            <w:tcW w:w="1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S-6</w:t>
            </w:r>
          </w:p>
        </w:tc>
        <w:tc>
          <w:tcPr>
            <w:tcW w:w="2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26 degrees 24.0 minutes</w:t>
            </w:r>
          </w:p>
        </w:tc>
        <w:tc>
          <w:tcPr>
            <w:tcW w:w="2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055 degrees 38.0 minutes</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Western exit, precautionary zone west edge</w:t>
            </w:r>
          </w:p>
        </w:tc>
      </w:tr>
    </w:tbl>
    <w:p>
      <w:pPr>
        <w:pStyle w:val="Caption"/>
      </w:pPr>
      <w:r>
        <w:rPr>
          <w:rFonts w:ascii="Calibri" w:hAnsi="Calibri" w:eastAsia="Microsoft YaHei" w:cs="Calibri"/>
          <w:i/>
          <w:color w:val="6E8A96"/>
          <w:sz w:val="18"/>
          <w:szCs w:val="18"/>
        </w:rPr>
        <w:t>Table A.2: Southern Assurance Corridor centerline; lanes 2.0 nautical miles wide each side of centerline, 1.0 nautical mile separation zone</w:t>
      </w:r>
    </w:p>
    <w:p>
      <w:pPr>
        <w:pStyle w:val="Heading3"/>
      </w:pPr>
      <w:r>
        <w:rPr>
          <w:rFonts w:ascii="Calibri" w:hAnsi="Calibri" w:eastAsia="Microsoft YaHei" w:cs="Calibri"/>
          <w:b/>
          <w:color w:val="3A7086"/>
          <w:sz w:val="22"/>
          <w:szCs w:val="22"/>
        </w:rPr>
        <w:t>A.3 Northern Coordination Corridor waypoints</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1500"/>
        <w:gridCol w:w="2600"/>
        <w:gridCol w:w="2600"/>
        <w:gridCol w:w="2300"/>
      </w:tblGrid>
      <w:tr>
        <w:trPr>
          <w:tblHeader w:val="1"/>
        </w:trPr>
        <w:tc>
          <w:tcPr>
            <w:tcW w:w="15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Waypoint</w:t>
            </w:r>
          </w:p>
        </w:tc>
        <w:tc>
          <w:tcPr>
            <w:tcW w:w="26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Latitude (N)</w:t>
            </w:r>
          </w:p>
        </w:tc>
        <w:tc>
          <w:tcPr>
            <w:tcW w:w="26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Longitude (E)</w:t>
            </w:r>
          </w:p>
        </w:tc>
        <w:tc>
          <w:tcPr>
            <w:tcW w:w="23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Function</w:t>
            </w:r>
          </w:p>
        </w:tc>
      </w:tr>
      <w:tr>
        <w:tc>
          <w:tcPr>
            <w:tcW w:w="1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N-1</w:t>
            </w:r>
          </w:p>
        </w:tc>
        <w:tc>
          <w:tcPr>
            <w:tcW w:w="2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26 degrees 50.0 minutes</w:t>
            </w:r>
          </w:p>
        </w:tc>
        <w:tc>
          <w:tcPr>
            <w:tcW w:w="2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056 degrees 44.0 minutes</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Eastern entry</w:t>
            </w:r>
          </w:p>
        </w:tc>
      </w:tr>
      <w:tr>
        <w:tc>
          <w:tcPr>
            <w:tcW w:w="1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N-2</w:t>
            </w:r>
          </w:p>
        </w:tc>
        <w:tc>
          <w:tcPr>
            <w:tcW w:w="2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26 degrees 48.0 minutes</w:t>
            </w:r>
          </w:p>
        </w:tc>
        <w:tc>
          <w:tcPr>
            <w:tcW w:w="2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056 degrees 30.0 minutes</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Reporting point November</w:t>
            </w:r>
          </w:p>
        </w:tc>
      </w:tr>
      <w:tr>
        <w:tc>
          <w:tcPr>
            <w:tcW w:w="1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N-3</w:t>
            </w:r>
          </w:p>
        </w:tc>
        <w:tc>
          <w:tcPr>
            <w:tcW w:w="2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26 degrees 46.0 minutes</w:t>
            </w:r>
          </w:p>
        </w:tc>
        <w:tc>
          <w:tcPr>
            <w:tcW w:w="2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056 degrees 10.0 minutes</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Larak south abeam; pilot station advisory</w:t>
            </w:r>
          </w:p>
        </w:tc>
      </w:tr>
      <w:tr>
        <w:tc>
          <w:tcPr>
            <w:tcW w:w="1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N-4</w:t>
            </w:r>
          </w:p>
        </w:tc>
        <w:tc>
          <w:tcPr>
            <w:tcW w:w="2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26 degrees 44.0 minutes</w:t>
            </w:r>
          </w:p>
        </w:tc>
        <w:tc>
          <w:tcPr>
            <w:tcW w:w="2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055 degrees 55.0 minutes</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Reporting point Oscar</w:t>
            </w:r>
          </w:p>
        </w:tc>
      </w:tr>
      <w:tr>
        <w:tc>
          <w:tcPr>
            <w:tcW w:w="1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N-5</w:t>
            </w:r>
          </w:p>
        </w:tc>
        <w:tc>
          <w:tcPr>
            <w:tcW w:w="2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26 degrees 41.5 minutes</w:t>
            </w:r>
          </w:p>
        </w:tc>
        <w:tc>
          <w:tcPr>
            <w:tcW w:w="2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055 degrees 42.0 minutes</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Crossing sector Kilo north edge</w:t>
            </w:r>
          </w:p>
        </w:tc>
      </w:tr>
      <w:tr>
        <w:tc>
          <w:tcPr>
            <w:tcW w:w="15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N-6</w:t>
            </w:r>
          </w:p>
        </w:tc>
        <w:tc>
          <w:tcPr>
            <w:tcW w:w="2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26 degrees 40.0 minutes</w:t>
            </w:r>
          </w:p>
        </w:tc>
        <w:tc>
          <w:tcPr>
            <w:tcW w:w="2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055 degrees 32.0 minutes</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Western exit</w:t>
            </w:r>
          </w:p>
        </w:tc>
      </w:tr>
    </w:tbl>
    <w:p>
      <w:pPr>
        <w:pStyle w:val="Caption"/>
      </w:pPr>
      <w:r>
        <w:rPr>
          <w:rFonts w:ascii="Calibri" w:hAnsi="Calibri" w:eastAsia="Microsoft YaHei" w:cs="Calibri"/>
          <w:i/>
          <w:color w:val="6E8A96"/>
          <w:sz w:val="18"/>
          <w:szCs w:val="18"/>
        </w:rPr>
        <w:t>Table A.3: Northern Coordination Corridor centerline; lane geometry mirrors the Southern Assurance Corridor</w:t>
      </w:r>
    </w:p>
    <w:p>
      <w:pPr>
        <w:pStyle w:val="Heading3"/>
      </w:pPr>
      <w:r>
        <w:rPr>
          <w:rFonts w:ascii="Calibri" w:hAnsi="Calibri" w:eastAsia="Microsoft YaHei" w:cs="Calibri"/>
          <w:b/>
          <w:color w:val="3A7086"/>
          <w:sz w:val="22"/>
          <w:szCs w:val="22"/>
        </w:rPr>
        <w:t>A.4 Central International Corridor waypoints</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1500"/>
        <w:gridCol w:w="2600"/>
        <w:gridCol w:w="2600"/>
        <w:gridCol w:w="2300"/>
      </w:tblGrid>
      <w:tr>
        <w:trPr>
          <w:tblHeader w:val="1"/>
        </w:trPr>
        <w:tc>
          <w:tcPr>
            <w:tcW w:w="15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Waypoint</w:t>
            </w:r>
          </w:p>
        </w:tc>
        <w:tc>
          <w:tcPr>
            <w:tcW w:w="26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Latitude (N)</w:t>
            </w:r>
          </w:p>
        </w:tc>
        <w:tc>
          <w:tcPr>
            <w:tcW w:w="26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Longitude (E)</w:t>
            </w:r>
          </w:p>
        </w:tc>
        <w:tc>
          <w:tcPr>
            <w:tcW w:w="23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Function</w:t>
            </w:r>
          </w:p>
        </w:tc>
      </w:tr>
      <w:tr>
        <w:tc>
          <w:tcPr>
            <w:tcW w:w="1500" w:type="dxa"/>
            <w:tcMar>
              <w:top w:w="60" w:type="dxa"/>
              <w:left w:w="108" w:type="dxa"/>
              <w:bottom w:w="60" w:type="dxa"/>
              <w:right w:w="108" w:type="dxa"/>
            </w:tcMar>
          </w:tcPr>
          <w:p>
            <w:pPr>
              <w:pStyle w:val="Normal"/>
              <w:spacing w:before="30" w:after="30" w:line="264" w:lineRule="auto"/>
            </w:pPr>
            <w:r>
              <w:rPr>
                <w:b/>
                <w:color w:val="22333B"/>
                <w:sz w:val="19"/>
                <w:rFonts w:ascii="Calibri" w:hAnsi="Calibri" w:eastAsia="Microsoft YaHei" w:cs="Calibri"/>
                <w:szCs w:val="19"/>
              </w:rPr>
              <w:t>CC-1</w:t>
            </w:r>
          </w:p>
        </w:tc>
        <w:tc>
          <w:tcPr>
            <w:tcW w:w="2600" w:type="dxa"/>
            <w:tcMar>
              <w:top w:w="60" w:type="dxa"/>
              <w:left w:w="108" w:type="dxa"/>
              <w:bottom w:w="60" w:type="dxa"/>
              <w:right w:w="108" w:type="dxa"/>
            </w:tcMar>
          </w:tcPr>
          <w:p>
            <w:pPr>
              <w:pStyle w:val="Normal"/>
              <w:spacing w:before="30" w:after="30" w:line="264" w:lineRule="auto"/>
            </w:pPr>
            <w:r>
              <w:rPr>
                <w:b/>
                <w:color w:val="22333B"/>
                <w:sz w:val="19"/>
                <w:rFonts w:ascii="Calibri" w:hAnsi="Calibri" w:eastAsia="Microsoft YaHei" w:cs="Calibri"/>
                <w:szCs w:val="19"/>
              </w:rPr>
              <w:t>26 degrees 30.0 minutes</w:t>
            </w:r>
          </w:p>
        </w:tc>
        <w:tc>
          <w:tcPr>
            <w:tcW w:w="2600" w:type="dxa"/>
            <w:tcMar>
              <w:top w:w="60" w:type="dxa"/>
              <w:left w:w="108" w:type="dxa"/>
              <w:bottom w:w="60" w:type="dxa"/>
              <w:right w:w="108" w:type="dxa"/>
            </w:tcMar>
          </w:tcPr>
          <w:p>
            <w:pPr>
              <w:pStyle w:val="Normal"/>
              <w:spacing w:before="30" w:after="30" w:line="264" w:lineRule="auto"/>
            </w:pPr>
            <w:r>
              <w:rPr>
                <w:b/>
                <w:color w:val="22333B"/>
                <w:sz w:val="19"/>
                <w:rFonts w:ascii="Calibri" w:hAnsi="Calibri" w:eastAsia="Microsoft YaHei" w:cs="Calibri"/>
                <w:szCs w:val="19"/>
              </w:rPr>
              <w:t>056 degrees 15.0 minutes</w:t>
            </w:r>
          </w:p>
        </w:tc>
        <w:tc>
          <w:tcPr>
            <w:tcW w:w="2300" w:type="dxa"/>
            <w:tcMar>
              <w:top w:w="60" w:type="dxa"/>
              <w:left w:w="108" w:type="dxa"/>
              <w:bottom w:w="60" w:type="dxa"/>
              <w:right w:w="108" w:type="dxa"/>
            </w:tcMar>
          </w:tcPr>
          <w:p>
            <w:pPr>
              <w:pStyle w:val="Normal"/>
              <w:spacing w:before="30" w:after="30" w:line="264" w:lineRule="auto"/>
            </w:pPr>
            <w:r>
              <w:rPr>
                <w:b/>
                <w:color w:val="22333B"/>
                <w:sz w:val="19"/>
                <w:rFonts w:ascii="Calibri" w:hAnsi="Calibri" w:eastAsia="Microsoft YaHei" w:cs="Calibri"/>
                <w:szCs w:val="19"/>
              </w:rPr>
              <w:t>Western entry</w:t>
            </w:r>
          </w:p>
        </w:tc>
      </w:tr>
      <w:tr>
        <w:tc>
          <w:tcPr>
            <w:tcW w:w="1500" w:type="dxa"/>
            <w:tcMar>
              <w:top w:w="60" w:type="dxa"/>
              <w:left w:w="108" w:type="dxa"/>
              <w:bottom w:w="60" w:type="dxa"/>
              <w:right w:w="108" w:type="dxa"/>
            </w:tcMar>
          </w:tcPr>
          <w:p>
            <w:pPr>
              <w:pStyle w:val="Normal"/>
              <w:spacing w:before="30" w:after="30" w:line="264" w:lineRule="auto"/>
            </w:pPr>
            <w:r>
              <w:rPr>
                <w:b/>
                <w:color w:val="22333B"/>
                <w:sz w:val="19"/>
                <w:rFonts w:ascii="Calibri" w:hAnsi="Calibri" w:eastAsia="Microsoft YaHei" w:cs="Calibri"/>
                <w:szCs w:val="19"/>
              </w:rPr>
              <w:t>CC-2</w:t>
            </w:r>
          </w:p>
        </w:tc>
        <w:tc>
          <w:tcPr>
            <w:tcW w:w="2600" w:type="dxa"/>
            <w:tcMar>
              <w:top w:w="60" w:type="dxa"/>
              <w:left w:w="108" w:type="dxa"/>
              <w:bottom w:w="60" w:type="dxa"/>
              <w:right w:w="108" w:type="dxa"/>
            </w:tcMar>
          </w:tcPr>
          <w:p>
            <w:pPr>
              <w:pStyle w:val="Normal"/>
              <w:spacing w:before="30" w:after="30" w:line="264" w:lineRule="auto"/>
            </w:pPr>
            <w:r>
              <w:rPr>
                <w:b/>
                <w:color w:val="22333B"/>
                <w:sz w:val="19"/>
                <w:rFonts w:ascii="Calibri" w:hAnsi="Calibri" w:eastAsia="Microsoft YaHei" w:cs="Calibri"/>
                <w:szCs w:val="19"/>
              </w:rPr>
              <w:t>26 degrees 28.5 minutes</w:t>
            </w:r>
          </w:p>
        </w:tc>
        <w:tc>
          <w:tcPr>
            <w:tcW w:w="2600" w:type="dxa"/>
            <w:tcMar>
              <w:top w:w="60" w:type="dxa"/>
              <w:left w:w="108" w:type="dxa"/>
              <w:bottom w:w="60" w:type="dxa"/>
              <w:right w:w="108" w:type="dxa"/>
            </w:tcMar>
          </w:tcPr>
          <w:p>
            <w:pPr>
              <w:pStyle w:val="Normal"/>
              <w:spacing w:before="30" w:after="30" w:line="264" w:lineRule="auto"/>
            </w:pPr>
            <w:r>
              <w:rPr>
                <w:b/>
                <w:color w:val="22333B"/>
                <w:sz w:val="19"/>
                <w:rFonts w:ascii="Calibri" w:hAnsi="Calibri" w:eastAsia="Microsoft YaHei" w:cs="Calibri"/>
                <w:szCs w:val="19"/>
              </w:rPr>
              <w:t>056 degrees 35.0 minutes</w:t>
            </w:r>
          </w:p>
        </w:tc>
        <w:tc>
          <w:tcPr>
            <w:tcW w:w="2300" w:type="dxa"/>
            <w:tcMar>
              <w:top w:w="60" w:type="dxa"/>
              <w:left w:w="108" w:type="dxa"/>
              <w:bottom w:w="60" w:type="dxa"/>
              <w:right w:w="108" w:type="dxa"/>
            </w:tcMar>
          </w:tcPr>
          <w:p>
            <w:pPr>
              <w:pStyle w:val="Normal"/>
              <w:spacing w:before="30" w:after="30" w:line="264" w:lineRule="auto"/>
            </w:pPr>
            <w:r>
              <w:rPr>
                <w:b/>
                <w:color w:val="22333B"/>
                <w:sz w:val="19"/>
                <w:rFonts w:ascii="Calibri" w:hAnsi="Calibri" w:eastAsia="Microsoft YaHei" w:cs="Calibri"/>
                <w:szCs w:val="19"/>
              </w:rPr>
              <w:t>Mid-passage</w:t>
            </w:r>
          </w:p>
        </w:tc>
      </w:tr>
      <w:tr>
        <w:tc>
          <w:tcPr>
            <w:tcW w:w="1500" w:type="dxa"/>
            <w:tcMar>
              <w:top w:w="60" w:type="dxa"/>
              <w:left w:w="108" w:type="dxa"/>
              <w:bottom w:w="60" w:type="dxa"/>
              <w:right w:w="108" w:type="dxa"/>
            </w:tcMar>
          </w:tcPr>
          <w:p>
            <w:pPr>
              <w:pStyle w:val="Normal"/>
              <w:spacing w:before="30" w:after="30" w:line="264" w:lineRule="auto"/>
            </w:pPr>
            <w:r>
              <w:rPr>
                <w:b/>
                <w:color w:val="22333B"/>
                <w:sz w:val="19"/>
                <w:rFonts w:ascii="Calibri" w:hAnsi="Calibri" w:eastAsia="Microsoft YaHei" w:cs="Calibri"/>
                <w:szCs w:val="19"/>
              </w:rPr>
              <w:t>CC-3</w:t>
            </w:r>
          </w:p>
        </w:tc>
        <w:tc>
          <w:tcPr>
            <w:tcW w:w="2600" w:type="dxa"/>
            <w:tcMar>
              <w:top w:w="60" w:type="dxa"/>
              <w:left w:w="108" w:type="dxa"/>
              <w:bottom w:w="60" w:type="dxa"/>
              <w:right w:w="108" w:type="dxa"/>
            </w:tcMar>
          </w:tcPr>
          <w:p>
            <w:pPr>
              <w:pStyle w:val="Normal"/>
              <w:spacing w:before="30" w:after="30" w:line="264" w:lineRule="auto"/>
            </w:pPr>
            <w:r>
              <w:rPr>
                <w:b/>
                <w:color w:val="22333B"/>
                <w:sz w:val="19"/>
                <w:rFonts w:ascii="Calibri" w:hAnsi="Calibri" w:eastAsia="Microsoft YaHei" w:cs="Calibri"/>
                <w:szCs w:val="19"/>
              </w:rPr>
              <w:t>26 degrees 30.0 minutes</w:t>
            </w:r>
          </w:p>
        </w:tc>
        <w:tc>
          <w:tcPr>
            <w:tcW w:w="2600" w:type="dxa"/>
            <w:tcMar>
              <w:top w:w="60" w:type="dxa"/>
              <w:left w:w="108" w:type="dxa"/>
              <w:bottom w:w="60" w:type="dxa"/>
              <w:right w:w="108" w:type="dxa"/>
            </w:tcMar>
          </w:tcPr>
          <w:p>
            <w:pPr>
              <w:pStyle w:val="Normal"/>
              <w:spacing w:before="30" w:after="30" w:line="264" w:lineRule="auto"/>
            </w:pPr>
            <w:r>
              <w:rPr>
                <w:b/>
                <w:color w:val="22333B"/>
                <w:sz w:val="19"/>
                <w:rFonts w:ascii="Calibri" w:hAnsi="Calibri" w:eastAsia="Microsoft YaHei" w:cs="Calibri"/>
                <w:szCs w:val="19"/>
              </w:rPr>
              <w:t>056 degrees 55.0 minutes</w:t>
            </w:r>
          </w:p>
        </w:tc>
        <w:tc>
          <w:tcPr>
            <w:tcW w:w="2300" w:type="dxa"/>
            <w:tcMar>
              <w:top w:w="60" w:type="dxa"/>
              <w:left w:w="108" w:type="dxa"/>
              <w:bottom w:w="60" w:type="dxa"/>
              <w:right w:w="108" w:type="dxa"/>
            </w:tcMar>
          </w:tcPr>
          <w:p>
            <w:pPr>
              <w:pStyle w:val="Normal"/>
              <w:spacing w:before="30" w:after="30" w:line="264" w:lineRule="auto"/>
            </w:pPr>
            <w:r>
              <w:rPr>
                <w:b/>
                <w:color w:val="22333B"/>
                <w:sz w:val="19"/>
                <w:rFonts w:ascii="Calibri" w:hAnsi="Calibri" w:eastAsia="Microsoft YaHei" w:cs="Calibri"/>
                <w:szCs w:val="19"/>
              </w:rPr>
              <w:t>Eastern exit</w:t>
            </w:r>
          </w:p>
        </w:tc>
      </w:tr>
    </w:tbl>
    <w:p>
      <w:pPr>
        <w:pStyle w:val="Caption"/>
      </w:pPr>
      <w:r>
        <w:rPr>
          <w:rFonts w:ascii="Calibri" w:hAnsi="Calibri" w:eastAsia="Microsoft YaHei" w:cs="Calibri"/>
          <w:i/>
          <w:color w:val="6E8A96"/>
          <w:sz w:val="18"/>
          <w:szCs w:val="18"/>
        </w:rPr>
        <w:t>Table A.4: Central International Corridor centerline, centered on the adopted traffic separation lane; lanes 2.0 nautical miles wide each side of centerline, 1.0 nautical mile separation zone</w:t>
      </w:r>
    </w:p>
    <w:p>
      <w:pPr>
        <w:pStyle w:val="Heading3"/>
      </w:pPr>
      <w:r>
        <w:rPr>
          <w:rFonts w:ascii="Calibri" w:hAnsi="Calibri" w:eastAsia="Microsoft YaHei" w:cs="Calibri"/>
          <w:b/>
          <w:color w:val="3A7086"/>
          <w:sz w:val="22"/>
          <w:szCs w:val="22"/>
        </w:rPr>
        <w:t>A.5 Separation belts</w:t>
      </w:r>
    </w:p>
    <w:p>
      <w:pPr>
        <w:pStyle w:val="Normal"/>
        <w:jc w:val="both"/>
      </w:pPr>
      <w:r>
        <w:rPr>
          <w:rFonts w:ascii="Calibri" w:hAnsi="Calibri" w:eastAsia="Microsoft YaHei" w:cs="Calibri"/>
          <w:color w:val="22333B"/>
          <w:sz w:val="21"/>
          <w:szCs w:val="21"/>
        </w:rPr>
        <w:t>The Framework designates two separation belts, each of nominal width 2.0 nautical miles, dividing the corridors along the centerlines of this Annex. Belt One runs between the Northern Coordination Corridor and the Central International Corridor; Belt Two runs between the Central International Corridor and the Southern Assurance Corridor. Crossing sectors: Kilo (056 degrees 05.0 to 055 degrees 55.0 minutes East) and Lima (055 degrees 45.0 to 055 degrees 38.0 minutes East). Traffic enters a belt only to cross between corridors at the designated crossing sectors, to respond to a casualty, or to perform Framework service work. Each belt carries no anchoring, no fishing, no exercises, and no loitering armed presence of any Party.</w:t>
      </w:r>
    </w:p>
    <w:p>
      <w:pPr>
        <w:pStyle w:val="Heading3"/>
      </w:pPr>
      <w:r>
        <w:rPr>
          <w:rFonts w:ascii="Calibri" w:hAnsi="Calibri" w:eastAsia="Microsoft YaHei" w:cs="Calibri"/>
          <w:b/>
          <w:color w:val="3A7086"/>
          <w:sz w:val="22"/>
          <w:szCs w:val="22"/>
        </w:rPr>
        <w:t>A.6 Precautionary zones and holding anchorages</w:t>
      </w:r>
    </w:p>
    <w:p>
      <w:pPr>
        <w:pStyle w:val="Normal"/>
        <w:jc w:val="both"/>
      </w:pPr>
      <w:r>
        <w:rPr>
          <w:rFonts w:ascii="Calibri" w:hAnsi="Calibri" w:eastAsia="Microsoft YaHei" w:cs="Calibri"/>
          <w:color w:val="22333B"/>
          <w:sz w:val="21"/>
          <w:szCs w:val="21"/>
        </w:rPr>
        <w:t>Eastern precautionary zone: circle of 6.0 nautical miles radius centered 26 degrees 33.0 minutes North, 056 degrees 56.0 minutes East. Western precautionary zone: circle of 6.0 nautical miles radius centered 26 degrees 24.0 minutes North, 055 degrees 34.0 minutes East. Vessels maneuver with heightened caution inside the zones; the Center sequences entries during Managed Flow from the zones.</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2200"/>
        <w:gridCol w:w="3000"/>
        <w:gridCol w:w="1900"/>
        <w:gridCol w:w="1900"/>
      </w:tblGrid>
      <w:tr>
        <w:trPr>
          <w:tblHeader w:val="1"/>
        </w:trPr>
        <w:tc>
          <w:tcPr>
            <w:tcW w:w="22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Anchorage</w:t>
            </w:r>
          </w:p>
        </w:tc>
        <w:tc>
          <w:tcPr>
            <w:tcW w:w="30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Position (N, E)</w:t>
            </w:r>
          </w:p>
        </w:tc>
        <w:tc>
          <w:tcPr>
            <w:tcW w:w="19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Depth</w:t>
            </w:r>
          </w:p>
        </w:tc>
        <w:tc>
          <w:tcPr>
            <w:tcW w:w="19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Assignment</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Alpha East</w:t>
            </w:r>
          </w:p>
        </w:tc>
        <w:tc>
          <w:tcPr>
            <w:tcW w:w="3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26 degrees 36.0 minutes, 056 degrees 58.0 minutes</w:t>
            </w:r>
          </w:p>
        </w:tc>
        <w:tc>
          <w:tcPr>
            <w:tcW w:w="1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35 to 60 meters</w:t>
            </w:r>
          </w:p>
        </w:tc>
        <w:tc>
          <w:tcPr>
            <w:tcW w:w="1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Class H and casualty holding, eastern approach</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Bravo West</w:t>
            </w:r>
          </w:p>
        </w:tc>
        <w:tc>
          <w:tcPr>
            <w:tcW w:w="3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26 degrees 20.0 minutes, 055 degrees 28.0 minutes</w:t>
            </w:r>
          </w:p>
        </w:tc>
        <w:tc>
          <w:tcPr>
            <w:tcW w:w="1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30 to 55 meters</w:t>
            </w:r>
          </w:p>
        </w:tc>
        <w:tc>
          <w:tcPr>
            <w:tcW w:w="1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Class H and casualty holding, western approach</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Khasab Standby</w:t>
            </w:r>
          </w:p>
        </w:tc>
        <w:tc>
          <w:tcPr>
            <w:tcW w:w="3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26 degrees 12.0 minutes, 056 degrees 15.0 minutes</w:t>
            </w:r>
          </w:p>
        </w:tc>
        <w:tc>
          <w:tcPr>
            <w:tcW w:w="1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25 to 45 meters</w:t>
            </w:r>
          </w:p>
        </w:tc>
        <w:tc>
          <w:tcPr>
            <w:tcW w:w="1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Managed Flow sequencing, Omani side</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Hengam Standby</w:t>
            </w:r>
          </w:p>
        </w:tc>
        <w:tc>
          <w:tcPr>
            <w:tcW w:w="3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26 degrees 42.0 minutes, 055 degrees 52.0 minutes</w:t>
            </w:r>
          </w:p>
        </w:tc>
        <w:tc>
          <w:tcPr>
            <w:tcW w:w="1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25 to 40 meters</w:t>
            </w:r>
          </w:p>
        </w:tc>
        <w:tc>
          <w:tcPr>
            <w:tcW w:w="1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Managed Flow sequencing, Iranian side</w:t>
            </w:r>
          </w:p>
        </w:tc>
      </w:tr>
    </w:tbl>
    <w:p>
      <w:pPr>
        <w:pStyle w:val="Caption"/>
      </w:pPr>
      <w:r>
        <w:rPr>
          <w:rFonts w:ascii="Calibri" w:hAnsi="Calibri" w:eastAsia="Microsoft YaHei" w:cs="Calibri"/>
          <w:i/>
          <w:color w:val="6E8A96"/>
          <w:sz w:val="18"/>
          <w:szCs w:val="18"/>
        </w:rPr>
        <w:t>Table A.5: Designated anchorages</w:t>
      </w:r>
    </w:p>
    <w:p>
      <w:pPr>
        <w:pStyle w:val="Heading3"/>
      </w:pPr>
      <w:r>
        <w:rPr>
          <w:rFonts w:ascii="Calibri" w:hAnsi="Calibri" w:eastAsia="Microsoft YaHei" w:cs="Calibri"/>
          <w:b/>
          <w:color w:val="3A7086"/>
          <w:sz w:val="22"/>
          <w:szCs w:val="22"/>
        </w:rPr>
        <w:t>A.7 Crossing gates, inshore bands, and reporting points</w:t>
      </w:r>
    </w:p>
    <w:p>
      <w:pPr>
        <w:pStyle w:val="Normal"/>
        <w:jc w:val="both"/>
      </w:pPr>
      <w:r>
        <w:rPr>
          <w:rFonts w:ascii="Calibri" w:hAnsi="Calibri" w:eastAsia="Microsoft YaHei" w:cs="Calibri"/>
          <w:color w:val="22333B"/>
          <w:sz w:val="21"/>
          <w:szCs w:val="21"/>
        </w:rPr>
        <w:t>Class D crossing gates: Gate One at 26 degrees 30.0 minutes North, 056 degrees 25.0 minutes East; Gate Two at 26 degrees 27.0 minutes North, 055 degrees 50.0 minutes East. Gate windows publish in the daily schedule, nominally 0500 to 0700 and 1700 to 1900 local time, with on-demand crossing by Center direction outside windows. The inshore local craft bands extend 3.0 nautical miles from the baseline along the Iranian coast between Qeshm East and Sirik, and along the Musandam coast between Khasab and Lima. Class D craft operate inside the bands and cross the lanes only at the gates.</w:t>
      </w:r>
    </w:p>
    <w:p>
      <w:pPr>
        <w:pStyle w:val="Normal"/>
        <w:jc w:val="both"/>
      </w:pPr>
      <w:r>
        <w:rPr>
          <w:rFonts w:ascii="Calibri" w:hAnsi="Calibri" w:eastAsia="Microsoft YaHei" w:cs="Calibri"/>
          <w:color w:val="22333B"/>
          <w:sz w:val="21"/>
          <w:szCs w:val="21"/>
        </w:rPr>
        <w:t>Reporting points: the Southern Assurance Corridor carries entry call, Charlie, Delta, Echo, exit call; the Northern Coordination Corridor carries entry call, November, Oscar, exit call; the Central International Corridor carries entry call, mid-passage call at CC-2, exit call. Positions per Tables A.2, A.3, and A.4. A vessel calls the Center on the working channel at each point: name, class, position by bearing and distance from the named reference, speed, and next point. Electronic track data supplements voice reporting; it never replaces it. Where a vessel's track transmitter fails, voice reporting alone sustains the vessel's compliance record, and the Center logs the transmitter failure as an equipment note, not a violation.</w:t>
      </w:r>
    </w:p>
    <w:p>
      <w:pPr>
        <w:pStyle w:val="Heading3"/>
      </w:pPr>
      <w:r>
        <w:rPr>
          <w:rFonts w:ascii="Calibri" w:hAnsi="Calibri" w:eastAsia="Microsoft YaHei" w:cs="Calibri"/>
          <w:b/>
          <w:color w:val="3A7086"/>
          <w:sz w:val="22"/>
          <w:szCs w:val="22"/>
        </w:rPr>
        <w:t>A.8 Chart edition</w:t>
      </w:r>
    </w:p>
    <w:p>
      <w:pPr>
        <w:pStyle w:val="Normal"/>
        <w:jc w:val="both"/>
      </w:pPr>
      <w:r>
        <w:rPr>
          <w:rFonts w:ascii="Calibri" w:hAnsi="Calibri" w:eastAsia="Microsoft YaHei" w:cs="Calibri"/>
          <w:color w:val="22333B"/>
          <w:sz w:val="21"/>
          <w:szCs w:val="21"/>
        </w:rPr>
        <w:t>The reference chart derives from the International Hydrographic Organization's official coverage of the Strait, Framework overlay edition 1, July 2026. Edition control follows Article 7.4.</w:t>
      </w:r>
    </w:p>
    <w:p>
      <w:pPr>
        <w:pStyle w:val="Heading1"/>
      </w:pPr>
      <w:r>
        <w:rPr>
          <w:rFonts w:ascii="Calibri" w:hAnsi="Calibri" w:eastAsia="Microsoft YaHei" w:cs="Calibri"/>
          <w:b/>
          <w:color w:val="1F4E5F"/>
          <w:sz w:val="30"/>
          <w:szCs w:val="30"/>
        </w:rPr>
        <w:t>Annex B: Transit Services Fund Charter</w:t>
      </w:r>
    </w:p>
    <w:p>
      <w:pPr>
        <w:pStyle w:val="Heading3"/>
      </w:pPr>
      <w:r>
        <w:rPr>
          <w:rFonts w:ascii="Calibri" w:hAnsi="Calibri" w:eastAsia="Microsoft YaHei" w:cs="Calibri"/>
          <w:b/>
          <w:color w:val="3A7086"/>
          <w:sz w:val="22"/>
          <w:szCs w:val="22"/>
        </w:rPr>
        <w:t>B.1 Legal form and accounts</w:t>
      </w:r>
    </w:p>
    <w:p>
      <w:pPr>
        <w:pStyle w:val="Normal"/>
        <w:jc w:val="both"/>
      </w:pPr>
      <w:r>
        <w:rPr>
          <w:rFonts w:ascii="Calibri" w:hAnsi="Calibri" w:eastAsia="Microsoft YaHei" w:cs="Calibri"/>
          <w:color w:val="22333B"/>
          <w:sz w:val="21"/>
          <w:szCs w:val="21"/>
        </w:rPr>
        <w:t>The Fund operates as a multilateral fiduciary facility under Swiss law, administered by the Neutral Administrator. Principal account: a Swiss-confederation-supervised banking institution in Bern or Zurich. Mirror settlement account: the Central Bank of Oman correspondent arrangement in Muscat. All accounts publish their audited balances annually. The Fund comprises three corridor sub-accounts: Northern, Central, and Southern. Reimbursements from each sub-account flow to the service providers of that corridor. Iran holds the majority voice on Northern and Central sub-account decisions; Oman holds the majority voice on Southern sub-account decisions. The Neutral Administrator reports each sub-account balance monthly, and the sub-accounts reconcile quarterly under the audit of Article 18.2.</w:t>
      </w:r>
    </w:p>
    <w:p>
      <w:pPr>
        <w:pStyle w:val="Heading3"/>
      </w:pPr>
      <w:r>
        <w:rPr>
          <w:rFonts w:ascii="Calibri" w:hAnsi="Calibri" w:eastAsia="Microsoft YaHei" w:cs="Calibri"/>
          <w:b/>
          <w:color w:val="3A7086"/>
          <w:sz w:val="22"/>
          <w:szCs w:val="22"/>
        </w:rPr>
        <w:t>B.2 Initial capitalization</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3000"/>
        <w:gridCol w:w="2200"/>
        <w:gridCol w:w="2200"/>
        <w:gridCol w:w="1600"/>
      </w:tblGrid>
      <w:tr>
        <w:trPr>
          <w:tblHeader w:val="1"/>
        </w:trPr>
        <w:tc>
          <w:tcPr>
            <w:tcW w:w="30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Contributor</w:t>
            </w:r>
          </w:p>
        </w:tc>
        <w:tc>
          <w:tcPr>
            <w:tcW w:w="22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Instrument</w:t>
            </w:r>
          </w:p>
        </w:tc>
        <w:tc>
          <w:tcPr>
            <w:tcW w:w="22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Initial contribution (USD)</w:t>
            </w:r>
          </w:p>
        </w:tc>
        <w:tc>
          <w:tcPr>
            <w:tcW w:w="16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Share</w:t>
            </w:r>
          </w:p>
        </w:tc>
      </w:tr>
      <w:tr>
        <w:tc>
          <w:tcPr>
            <w:tcW w:w="3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Islamic Republic of Iran</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Endowment</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40,000,000</w:t>
            </w:r>
          </w:p>
        </w:tc>
        <w:tc>
          <w:tcPr>
            <w:tcW w:w="1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16.0 percent</w:t>
            </w:r>
          </w:p>
        </w:tc>
      </w:tr>
      <w:tr>
        <w:tc>
          <w:tcPr>
            <w:tcW w:w="3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Sultanate of Oman</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Endowment</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40,000,000</w:t>
            </w:r>
          </w:p>
        </w:tc>
        <w:tc>
          <w:tcPr>
            <w:tcW w:w="1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16.0 percent</w:t>
            </w:r>
          </w:p>
        </w:tc>
      </w:tr>
      <w:tr>
        <w:tc>
          <w:tcPr>
            <w:tcW w:w="3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United Arab Emirates</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Endowment on accession</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40,000,000</w:t>
            </w:r>
          </w:p>
        </w:tc>
        <w:tc>
          <w:tcPr>
            <w:tcW w:w="1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16.0 percent</w:t>
            </w:r>
          </w:p>
        </w:tc>
      </w:tr>
      <w:tr>
        <w:tc>
          <w:tcPr>
            <w:tcW w:w="3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User-state contributor class (endorsing stakeholder and observer states, pooled)</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Endowment</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80,000,000</w:t>
            </w:r>
          </w:p>
        </w:tc>
        <w:tc>
          <w:tcPr>
            <w:tcW w:w="1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32.0 percent</w:t>
            </w:r>
          </w:p>
        </w:tc>
      </w:tr>
      <w:tr>
        <w:tc>
          <w:tcPr>
            <w:tcW w:w="3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Industry endowment (flag administrations and operator associations, pooled)</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Endowment</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25,000,000</w:t>
            </w:r>
          </w:p>
        </w:tc>
        <w:tc>
          <w:tcPr>
            <w:tcW w:w="1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10.0 percent</w:t>
            </w:r>
          </w:p>
        </w:tc>
      </w:tr>
      <w:tr>
        <w:tc>
          <w:tcPr>
            <w:tcW w:w="3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Standing liquidity reserve</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Reserve, from endowment inflows</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15,000,000</w:t>
            </w:r>
          </w:p>
        </w:tc>
        <w:tc>
          <w:tcPr>
            <w:tcW w:w="1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6.0 percent</w:t>
            </w:r>
          </w:p>
        </w:tc>
      </w:tr>
      <w:tr>
        <w:tc>
          <w:tcPr>
            <w:tcW w:w="3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Disruption reserve carve-out</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Reserve, 15 percent of endowment</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10,000,000</w:t>
            </w:r>
          </w:p>
        </w:tc>
        <w:tc>
          <w:tcPr>
            <w:tcW w:w="1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4.0 percent</w:t>
            </w:r>
          </w:p>
        </w:tc>
      </w:tr>
      <w:tr>
        <w:tc>
          <w:tcPr>
            <w:tcW w:w="3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Total initial facility</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Sum of lines</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250,000,000</w:t>
            </w:r>
          </w:p>
        </w:tc>
        <w:tc>
          <w:tcPr>
            <w:tcW w:w="1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100 percent</w:t>
            </w:r>
          </w:p>
        </w:tc>
      </w:tr>
    </w:tbl>
    <w:p>
      <w:pPr>
        <w:pStyle w:val="Caption"/>
      </w:pPr>
      <w:r>
        <w:rPr>
          <w:rFonts w:ascii="Calibri" w:hAnsi="Calibri" w:eastAsia="Microsoft YaHei" w:cs="Calibri"/>
          <w:i/>
          <w:color w:val="6E8A96"/>
          <w:sz w:val="18"/>
          <w:szCs w:val="18"/>
        </w:rPr>
        <w:t>Table B.2: Initial capitalization schedule; accession contributions per the same schedule</w:t>
      </w:r>
    </w:p>
    <w:p>
      <w:pPr>
        <w:pStyle w:val="Normal"/>
        <w:jc w:val="both"/>
      </w:pPr>
      <w:r>
        <w:rPr>
          <w:rFonts w:ascii="Calibri" w:hAnsi="Calibri" w:eastAsia="Microsoft YaHei" w:cs="Calibri"/>
          <w:color w:val="22333B"/>
          <w:sz w:val="21"/>
          <w:szCs w:val="21"/>
        </w:rPr>
        <w:t>The schedule scales contributions to capacity, caps any single contributor below one third, and publishes every contribution. Contribution levels review at each annual conference under the default-continuity rule.</w:t>
      </w:r>
    </w:p>
    <w:p>
      <w:pPr>
        <w:pStyle w:val="Heading3"/>
      </w:pPr>
      <w:r>
        <w:rPr>
          <w:rFonts w:ascii="Calibri" w:hAnsi="Calibri" w:eastAsia="Microsoft YaHei" w:cs="Calibri"/>
          <w:b/>
          <w:color w:val="3A7086"/>
          <w:sz w:val="22"/>
          <w:szCs w:val="22"/>
        </w:rPr>
        <w:t>B.3 Payment mechanics</w:t>
      </w:r>
    </w:p>
    <w:p>
      <w:pPr>
        <w:pStyle w:val="Normal"/>
        <w:jc w:val="both"/>
      </w:pPr>
      <w:r>
        <w:rPr>
          <w:rFonts w:ascii="Calibri" w:hAnsi="Calibri" w:eastAsia="Microsoft YaHei" w:cs="Calibri"/>
          <w:color w:val="22333B"/>
          <w:sz w:val="21"/>
          <w:szCs w:val="21"/>
        </w:rPr>
        <w:t>Payments execute monthly against verified service records: the delivering state submits the service record bundle; the Administrator validates against the Charter and the rate card; the Neutral Watch cross-check sample confirms; payment executes within 10 working days. A validation failure pauses the line item only, with written reasons, and the default-continuity rule keeps every other line moving.</w:t>
      </w:r>
    </w:p>
    <w:p>
      <w:pPr>
        <w:pStyle w:val="Heading3"/>
      </w:pPr>
      <w:r>
        <w:rPr>
          <w:rFonts w:ascii="Calibri" w:hAnsi="Calibri" w:eastAsia="Microsoft YaHei" w:cs="Calibri"/>
          <w:b/>
          <w:color w:val="3A7086"/>
          <w:sz w:val="22"/>
          <w:szCs w:val="22"/>
        </w:rPr>
        <w:t>B.4 Initial rate card</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2800"/>
        <w:gridCol w:w="2100"/>
        <w:gridCol w:w="2100"/>
        <w:gridCol w:w="2000"/>
      </w:tblGrid>
      <w:tr>
        <w:trPr>
          <w:tblHeader w:val="1"/>
        </w:trPr>
        <w:tc>
          <w:tcPr>
            <w:tcW w:w="28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Service</w:t>
            </w:r>
          </w:p>
        </w:tc>
        <w:tc>
          <w:tcPr>
            <w:tcW w:w="21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Unit</w:t>
            </w:r>
          </w:p>
        </w:tc>
        <w:tc>
          <w:tcPr>
            <w:tcW w:w="21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Initial rate (USD)</w:t>
            </w:r>
          </w:p>
        </w:tc>
        <w:tc>
          <w:tcPr>
            <w:tcW w:w="20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Benchmark source</w:t>
            </w:r>
          </w:p>
        </w:tc>
      </w:tr>
      <w:tr>
        <w:tc>
          <w:tcPr>
            <w:tcW w:w="2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Vessel traffic service operation</w:t>
            </w:r>
          </w:p>
        </w:tc>
        <w:tc>
          <w:tcPr>
            <w:tcW w:w="2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Per corridor transit-day</w:t>
            </w:r>
          </w:p>
        </w:tc>
        <w:tc>
          <w:tcPr>
            <w:tcW w:w="2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180,000 per day all three corridors, apportioned</w:t>
            </w:r>
          </w:p>
        </w:tc>
        <w:tc>
          <w:tcPr>
            <w:tcW w:w="2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Regional VTS cost study, 2025 base</w:t>
            </w:r>
          </w:p>
        </w:tc>
      </w:tr>
      <w:tr>
        <w:tc>
          <w:tcPr>
            <w:tcW w:w="2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Escorted window coordination</w:t>
            </w:r>
          </w:p>
        </w:tc>
        <w:tc>
          <w:tcPr>
            <w:tcW w:w="2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Per window</w:t>
            </w:r>
          </w:p>
        </w:tc>
        <w:tc>
          <w:tcPr>
            <w:tcW w:w="2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22,000</w:t>
            </w:r>
          </w:p>
        </w:tc>
        <w:tc>
          <w:tcPr>
            <w:tcW w:w="2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Gulf escort operating cost survey</w:t>
            </w:r>
          </w:p>
        </w:tc>
      </w:tr>
      <w:tr>
        <w:tc>
          <w:tcPr>
            <w:tcW w:w="2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Pilotage advisory (Northern Coordination Corridor and Central International Corridor)</w:t>
            </w:r>
          </w:p>
        </w:tc>
        <w:tc>
          <w:tcPr>
            <w:tcW w:w="2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Per vessel movement</w:t>
            </w:r>
          </w:p>
        </w:tc>
        <w:tc>
          <w:tcPr>
            <w:tcW w:w="2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Published Bandar Abbas and Qeshm port tariff</w:t>
            </w:r>
          </w:p>
        </w:tc>
        <w:tc>
          <w:tcPr>
            <w:tcW w:w="2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Port tariffs, non-discriminatory</w:t>
            </w:r>
          </w:p>
        </w:tc>
      </w:tr>
      <w:tr>
        <w:tc>
          <w:tcPr>
            <w:tcW w:w="2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Hydrographic survey</w:t>
            </w:r>
          </w:p>
        </w:tc>
        <w:tc>
          <w:tcPr>
            <w:tcW w:w="2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Per survey-mile</w:t>
            </w:r>
          </w:p>
        </w:tc>
        <w:tc>
          <w:tcPr>
            <w:tcW w:w="2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4,500</w:t>
            </w:r>
          </w:p>
        </w:tc>
        <w:tc>
          <w:tcPr>
            <w:tcW w:w="2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IHO cost references</w:t>
            </w:r>
          </w:p>
        </w:tc>
      </w:tr>
      <w:tr>
        <w:tc>
          <w:tcPr>
            <w:tcW w:w="2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Aids to navigation maintenance</w:t>
            </w:r>
          </w:p>
        </w:tc>
        <w:tc>
          <w:tcPr>
            <w:tcW w:w="2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Per aid-year</w:t>
            </w:r>
          </w:p>
        </w:tc>
        <w:tc>
          <w:tcPr>
            <w:tcW w:w="2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85,000</w:t>
            </w:r>
          </w:p>
        </w:tc>
        <w:tc>
          <w:tcPr>
            <w:tcW w:w="2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Regional aids authority schedules</w:t>
            </w:r>
          </w:p>
        </w:tc>
      </w:tr>
      <w:tr>
        <w:tc>
          <w:tcPr>
            <w:tcW w:w="2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Search and rescue standby</w:t>
            </w:r>
          </w:p>
        </w:tc>
        <w:tc>
          <w:tcPr>
            <w:tcW w:w="2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Per asset-day</w:t>
            </w:r>
          </w:p>
        </w:tc>
        <w:tc>
          <w:tcPr>
            <w:tcW w:w="2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9,000</w:t>
            </w:r>
          </w:p>
        </w:tc>
        <w:tc>
          <w:tcPr>
            <w:tcW w:w="2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Regional rescue operating costs</w:t>
            </w:r>
          </w:p>
        </w:tc>
      </w:tr>
      <w:tr>
        <w:tc>
          <w:tcPr>
            <w:tcW w:w="2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Pollution response standby</w:t>
            </w:r>
          </w:p>
        </w:tc>
        <w:tc>
          <w:tcPr>
            <w:tcW w:w="2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Per standby-day</w:t>
            </w:r>
          </w:p>
        </w:tc>
        <w:tc>
          <w:tcPr>
            <w:tcW w:w="2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12,000</w:t>
            </w:r>
          </w:p>
        </w:tc>
        <w:tc>
          <w:tcPr>
            <w:tcW w:w="2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Regional response contractor rates</w:t>
            </w:r>
          </w:p>
        </w:tc>
      </w:tr>
      <w:tr>
        <w:tc>
          <w:tcPr>
            <w:tcW w:w="2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Tug availability</w:t>
            </w:r>
          </w:p>
        </w:tc>
        <w:tc>
          <w:tcPr>
            <w:tcW w:w="2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Per standby-day</w:t>
            </w:r>
          </w:p>
        </w:tc>
        <w:tc>
          <w:tcPr>
            <w:tcW w:w="2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7,500</w:t>
            </w:r>
          </w:p>
        </w:tc>
        <w:tc>
          <w:tcPr>
            <w:tcW w:w="20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Salvage market standby rates</w:t>
            </w:r>
          </w:p>
        </w:tc>
      </w:tr>
    </w:tbl>
    <w:p>
      <w:pPr>
        <w:pStyle w:val="Caption"/>
      </w:pPr>
      <w:r>
        <w:rPr>
          <w:rFonts w:ascii="Calibri" w:hAnsi="Calibri" w:eastAsia="Microsoft YaHei" w:cs="Calibri"/>
          <w:i/>
          <w:color w:val="6E8A96"/>
          <w:sz w:val="18"/>
          <w:szCs w:val="18"/>
        </w:rPr>
        <w:t>Table B.4: Initial rate card; annual adjustment on the Technical and Standards Committee cost study</w:t>
      </w:r>
    </w:p>
    <w:p>
      <w:pPr>
        <w:pStyle w:val="Heading3"/>
      </w:pPr>
      <w:r>
        <w:rPr>
          <w:rFonts w:ascii="Calibri" w:hAnsi="Calibri" w:eastAsia="Microsoft YaHei" w:cs="Calibri"/>
          <w:b/>
          <w:color w:val="3A7086"/>
          <w:sz w:val="22"/>
          <w:szCs w:val="22"/>
        </w:rPr>
        <w:t>B.5 Apportionment mechanics</w:t>
      </w:r>
    </w:p>
    <w:p>
      <w:pPr>
        <w:pStyle w:val="Normal"/>
        <w:jc w:val="both"/>
      </w:pPr>
      <w:r>
        <w:rPr>
          <w:rFonts w:ascii="Calibri" w:hAnsi="Calibri" w:eastAsia="Microsoft YaHei" w:cs="Calibri"/>
          <w:color w:val="22333B"/>
          <w:sz w:val="21"/>
          <w:szCs w:val="21"/>
        </w:rPr>
        <w:t>Net service cost after institutional first call apportions between endowment drawdown and access contributions inside the 40 to 60 percent band of Article 19.4. The board fixes the year's point in the first quarter on the Auditor's sustainability opinion; a stalled decision holds the prior year's point. Access contributions invoice quarterly through flag administrations or operators, at published per-service-unit rates, never per transit.</w:t>
      </w:r>
    </w:p>
    <w:p>
      <w:pPr>
        <w:pStyle w:val="Heading3"/>
      </w:pPr>
      <w:r>
        <w:rPr>
          <w:rFonts w:ascii="Calibri" w:hAnsi="Calibri" w:eastAsia="Microsoft YaHei" w:cs="Calibri"/>
          <w:b/>
          <w:color w:val="3A7086"/>
          <w:sz w:val="22"/>
          <w:szCs w:val="22"/>
        </w:rPr>
        <w:t>B.6 Compensation window schedule</w:t>
      </w:r>
    </w:p>
    <w:p>
      <w:pPr>
        <w:pStyle w:val="Normal"/>
        <w:jc w:val="both"/>
      </w:pPr>
      <w:r>
        <w:rPr>
          <w:rFonts w:ascii="Calibri" w:hAnsi="Calibri" w:eastAsia="Microsoft YaHei" w:cs="Calibri"/>
          <w:color w:val="22333B"/>
          <w:sz w:val="21"/>
          <w:szCs w:val="21"/>
        </w:rPr>
        <w:t>Qualifying closure: a Neutral Watch-certified passage closure beyond 24 hours. Compensation basis: documented demurrage, rerouting cost, and coastal revenue loss, capped per event at 40 percent of the disruption reserve, with pro-rata distribution where claims exceed the cap. Claims file within 90 days of the closure certificate; the Administrator pays verified claims within 60 days. Payment never implies fault, per Article 17.7.</w:t>
      </w:r>
    </w:p>
    <w:p>
      <w:pPr>
        <w:pStyle w:val="Heading3"/>
      </w:pPr>
      <w:r>
        <w:rPr>
          <w:rFonts w:ascii="Calibri" w:hAnsi="Calibri" w:eastAsia="Microsoft YaHei" w:cs="Calibri"/>
          <w:b/>
          <w:color w:val="3A7086"/>
          <w:sz w:val="22"/>
          <w:szCs w:val="22"/>
        </w:rPr>
        <w:t>B.7 Insurance normalization schedule</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2800"/>
        <w:gridCol w:w="3100"/>
        <w:gridCol w:w="3100"/>
      </w:tblGrid>
      <w:tr>
        <w:trPr>
          <w:tblHeader w:val="1"/>
        </w:trPr>
        <w:tc>
          <w:tcPr>
            <w:tcW w:w="28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Milestone</w:t>
            </w:r>
          </w:p>
        </w:tc>
        <w:tc>
          <w:tcPr>
            <w:tcW w:w="31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Trigger</w:t>
            </w:r>
          </w:p>
        </w:tc>
        <w:tc>
          <w:tcPr>
            <w:tcW w:w="31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Target</w:t>
            </w:r>
          </w:p>
        </w:tc>
      </w:tr>
      <w:tr>
        <w:tc>
          <w:tcPr>
            <w:tcW w:w="2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Premium cap phase</w:t>
            </w:r>
          </w:p>
        </w:tc>
        <w:tc>
          <w:tcPr>
            <w:tcW w:w="3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Sustained clean operation, 90 days</w:t>
            </w:r>
          </w:p>
        </w:tc>
        <w:tc>
          <w:tcPr>
            <w:tcW w:w="3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War-risk multiple at or below 2.0 times pre-crisis</w:t>
            </w:r>
          </w:p>
        </w:tc>
      </w:tr>
      <w:tr>
        <w:tc>
          <w:tcPr>
            <w:tcW w:w="2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Normalization phase</w:t>
            </w:r>
          </w:p>
        </w:tc>
        <w:tc>
          <w:tcPr>
            <w:tcW w:w="3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Sustained clean operation, two quarters</w:t>
            </w:r>
          </w:p>
        </w:tc>
        <w:tc>
          <w:tcPr>
            <w:tcW w:w="3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Multiple at or below 1.5 times pre-crisis</w:t>
            </w:r>
          </w:p>
        </w:tc>
      </w:tr>
      <w:tr>
        <w:tc>
          <w:tcPr>
            <w:tcW w:w="2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Restoration phase</w:t>
            </w:r>
          </w:p>
        </w:tc>
        <w:tc>
          <w:tcPr>
            <w:tcW w:w="3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Sustained clean operation, four quarters</w:t>
            </w:r>
          </w:p>
        </w:tc>
        <w:tc>
          <w:tcPr>
            <w:tcW w:w="31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Pre-crisis premium levels restored</w:t>
            </w:r>
          </w:p>
        </w:tc>
      </w:tr>
    </w:tbl>
    <w:p>
      <w:pPr>
        <w:pStyle w:val="Caption"/>
      </w:pPr>
      <w:r>
        <w:rPr>
          <w:rFonts w:ascii="Calibri" w:hAnsi="Calibri" w:eastAsia="Microsoft YaHei" w:cs="Calibri"/>
          <w:i/>
          <w:color w:val="6E8A96"/>
          <w:sz w:val="18"/>
          <w:szCs w:val="18"/>
        </w:rPr>
        <w:t>Table B.7: Premium normalization targets; the Center publishes the weekly premium index</w:t>
      </w:r>
    </w:p>
    <w:p>
      <w:pPr>
        <w:pStyle w:val="Heading1"/>
      </w:pPr>
      <w:r>
        <w:rPr>
          <w:rFonts w:ascii="Calibri" w:hAnsi="Calibri" w:eastAsia="Microsoft YaHei" w:cs="Calibri"/>
          <w:b/>
          <w:color w:val="1F4E5F"/>
          <w:sz w:val="30"/>
          <w:szCs w:val="30"/>
        </w:rPr>
        <w:t>Annex C: Point Schedule for Verified Deviations</w:t>
      </w:r>
    </w:p>
    <w:p>
      <w:pPr>
        <w:pStyle w:val="Normal"/>
        <w:jc w:val="both"/>
      </w:pPr>
      <w:r>
        <w:rPr>
          <w:rFonts w:ascii="Calibri" w:hAnsi="Calibri" w:eastAsia="Microsoft YaHei" w:cs="Calibri"/>
          <w:color w:val="22333B"/>
          <w:sz w:val="21"/>
          <w:szCs w:val="21"/>
        </w:rPr>
        <w:t>The Ledger converts verified deviations into points, and points feed the standing formula below. Points record severity, never politics, and every entry carries its evidence file reference. Points expire from the standing calculation at 12 months; the archive retains them permanently.</w:t>
      </w:r>
    </w:p>
    <w:tbl>
      <w:tblPr>
        <w:tblW w:w="5000" w:type="pct"/>
        <w:tblBorders>
          <w:top w:val="single" w:color="1F4E5F" w:sz="10" w:space="0"/>
          <w:left w:val="single" w:color="9BB8C2" w:sz="4" w:space="0"/>
          <w:bottom w:val="single" w:color="1F4E5F" w:sz="10" w:space="0"/>
          <w:right w:val="single" w:color="9BB8C2" w:sz="4" w:space="0"/>
          <w:insideH w:val="single" w:color="9BB8C2" w:sz="4" w:space="0"/>
          <w:insideV w:val="single" w:color="9BB8C2" w:sz="4" w:space="0"/>
        </w:tblBorders>
        <w:tblLayout w:type="fixed"/>
      </w:tblPr>
      <w:tblGrid>
        <w:gridCol w:w="1600"/>
        <w:gridCol w:w="3800"/>
        <w:gridCol w:w="1300"/>
        <w:gridCol w:w="2300"/>
      </w:tblGrid>
      <w:tr>
        <w:trPr>
          <w:tblHeader w:val="1"/>
        </w:trPr>
        <w:tc>
          <w:tcPr>
            <w:tcW w:w="16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Category</w:t>
            </w:r>
          </w:p>
        </w:tc>
        <w:tc>
          <w:tcPr>
            <w:tcW w:w="38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Description</w:t>
            </w:r>
          </w:p>
        </w:tc>
        <w:tc>
          <w:tcPr>
            <w:tcW w:w="13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Points</w:t>
            </w:r>
          </w:p>
        </w:tc>
        <w:tc>
          <w:tcPr>
            <w:tcW w:w="23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Notes</w:t>
            </w:r>
          </w:p>
        </w:tc>
      </w:tr>
      <w:tr>
        <w:tc>
          <w:tcPr>
            <w:tcW w:w="1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P-1</w:t>
            </w:r>
          </w:p>
        </w:tc>
        <w:tc>
          <w:tcPr>
            <w:tcW w:w="3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Procedural deviation, cured within notice window</w:t>
            </w:r>
          </w:p>
        </w:tc>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1</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Expires from standing calculation at 12 months; archive retains</w:t>
            </w:r>
          </w:p>
        </w:tc>
      </w:tr>
      <w:tr>
        <w:tc>
          <w:tcPr>
            <w:tcW w:w="1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P-2</w:t>
            </w:r>
          </w:p>
        </w:tc>
        <w:tc>
          <w:tcPr>
            <w:tcW w:w="3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Procedural deviation, uncured or repeated</w:t>
            </w:r>
          </w:p>
        </w:tc>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3</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Triggers ladder step two</w:t>
            </w:r>
          </w:p>
        </w:tc>
      </w:tr>
      <w:tr>
        <w:tc>
          <w:tcPr>
            <w:tcW w:w="1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M-1</w:t>
            </w:r>
          </w:p>
        </w:tc>
        <w:tc>
          <w:tcPr>
            <w:tcW w:w="3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Material deviation with third-party loss, cured</w:t>
            </w:r>
          </w:p>
        </w:tc>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5</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Compensation through Fund where qualifying</w:t>
            </w:r>
          </w:p>
        </w:tc>
      </w:tr>
      <w:tr>
        <w:tc>
          <w:tcPr>
            <w:tcW w:w="1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M-2</w:t>
            </w:r>
          </w:p>
        </w:tc>
        <w:tc>
          <w:tcPr>
            <w:tcW w:w="3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Obstruction of patrol, observer, or audit; crew-protection failure</w:t>
            </w:r>
          </w:p>
        </w:tc>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8</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One category higher where an observer is involved</w:t>
            </w:r>
          </w:p>
        </w:tc>
      </w:tr>
      <w:tr>
        <w:tc>
          <w:tcPr>
            <w:tcW w:w="1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S-1</w:t>
            </w:r>
          </w:p>
        </w:tc>
        <w:tc>
          <w:tcPr>
            <w:tcW w:w="3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Service record falsification</w:t>
            </w:r>
          </w:p>
        </w:tc>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10</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Plus restitution; quality premium suspension 2 quarters</w:t>
            </w:r>
          </w:p>
        </w:tc>
      </w:tr>
      <w:tr>
        <w:tc>
          <w:tcPr>
            <w:tcW w:w="1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S-2</w:t>
            </w:r>
          </w:p>
        </w:tc>
        <w:tc>
          <w:tcPr>
            <w:tcW w:w="3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Financial irregularity short of diversion</w:t>
            </w:r>
          </w:p>
        </w:tc>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10</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Plus restitution</w:t>
            </w:r>
          </w:p>
        </w:tc>
      </w:tr>
      <w:tr>
        <w:tc>
          <w:tcPr>
            <w:tcW w:w="1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G-1</w:t>
            </w:r>
          </w:p>
        </w:tc>
        <w:tc>
          <w:tcPr>
            <w:tcW w:w="3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Guarantor or Panel clock missed through a Party's obstruction</w:t>
            </w:r>
          </w:p>
        </w:tc>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4</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Per Article 15.6</w:t>
            </w:r>
          </w:p>
        </w:tc>
      </w:tr>
      <w:tr>
        <w:tc>
          <w:tcPr>
            <w:tcW w:w="1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A-1</w:t>
            </w:r>
          </w:p>
        </w:tc>
        <w:tc>
          <w:tcPr>
            <w:tcW w:w="3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Architectural Breach event</w:t>
            </w:r>
          </w:p>
        </w:tc>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20</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Activates the Daryaban Watch</w:t>
            </w:r>
          </w:p>
        </w:tc>
      </w:tr>
      <w:tr>
        <w:tc>
          <w:tcPr>
            <w:tcW w:w="1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D-1</w:t>
            </w:r>
          </w:p>
        </w:tc>
        <w:tc>
          <w:tcPr>
            <w:tcW w:w="3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Data tampering, attempted or actual</w:t>
            </w:r>
          </w:p>
        </w:tc>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15</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Any attempt to alter, delete, or falsify registry data, telemetry, or observer records; plus restitution, automatic referral to the Guarantor Panel, and a 60-day suspension of Framework data access for the responsible actor</w:t>
            </w:r>
          </w:p>
        </w:tc>
      </w:tr>
      <w:tr>
        <w:tc>
          <w:tcPr>
            <w:tcW w:w="1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D-2</w:t>
            </w:r>
          </w:p>
        </w:tc>
        <w:tc>
          <w:tcPr>
            <w:tcW w:w="3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Data tampering, pattern of three</w:t>
            </w:r>
          </w:p>
        </w:tc>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25</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Activates the Daryaban Watch immediately; automatic Architectural Breach classification; restitution plus a 90-day suspension of Framework data access</w:t>
            </w:r>
          </w:p>
        </w:tc>
      </w:tr>
      <w:tr>
        <w:tc>
          <w:tcPr>
            <w:tcW w:w="1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S-3</w:t>
            </w:r>
          </w:p>
        </w:tc>
        <w:tc>
          <w:tcPr>
            <w:tcW w:w="3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Sabotage of Framework operations</w:t>
            </w:r>
          </w:p>
        </w:tc>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25</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Any deliberate act to degrade, disable, or destroy Framework infrastructure, systems, or data; automatic Architectural Breach; immediate Daryaban Watch; suspension of benefits for 180 days; restitution; referral to the facilitation tier</w:t>
            </w:r>
          </w:p>
        </w:tc>
      </w:tr>
      <w:tr>
        <w:tc>
          <w:tcPr>
            <w:tcW w:w="1600" w:type="dxa"/>
            <w:tcMar>
              <w:top w:w="60" w:type="dxa"/>
              <w:left w:w="108" w:type="dxa"/>
              <w:bottom w:w="60" w:type="dxa"/>
              <w:right w:w="108" w:type="dxa"/>
            </w:tcMar>
          </w:tcPr>
          <w:p>
            <w:pPr>
              <w:pStyle w:val="Normal"/>
              <w:spacing w:before="30" w:after="30" w:line="264" w:lineRule="auto"/>
            </w:pPr>
            <w:r>
              <w:rPr>
                <w:b/>
                <w:color w:val="22333B"/>
                <w:sz w:val="19"/>
                <w:rFonts w:ascii="Calibri" w:hAnsi="Calibri" w:eastAsia="Microsoft YaHei" w:cs="Calibri"/>
                <w:szCs w:val="19"/>
              </w:rPr>
              <w:t>V-1</w:t>
            </w:r>
          </w:p>
        </w:tc>
        <w:tc>
          <w:tcPr>
            <w:tcW w:w="3800" w:type="dxa"/>
            <w:tcMar>
              <w:top w:w="60" w:type="dxa"/>
              <w:left w:w="108" w:type="dxa"/>
              <w:bottom w:w="60" w:type="dxa"/>
              <w:right w:w="108" w:type="dxa"/>
            </w:tcMar>
          </w:tcPr>
          <w:p>
            <w:pPr>
              <w:pStyle w:val="Normal"/>
              <w:spacing w:before="30" w:after="30" w:line="264" w:lineRule="auto"/>
            </w:pPr>
            <w:r>
              <w:rPr>
                <w:b/>
                <w:color w:val="22333B"/>
                <w:sz w:val="19"/>
                <w:rFonts w:ascii="Calibri" w:hAnsi="Calibri" w:eastAsia="Microsoft YaHei" w:cs="Calibri"/>
                <w:szCs w:val="19"/>
              </w:rPr>
              <w:t>Verification failure: denial of Neutral Watch physical access, deliberate interference with sensors or data links, or falsification of registry entries</w:t>
            </w:r>
          </w:p>
        </w:tc>
        <w:tc>
          <w:tcPr>
            <w:tcW w:w="1300" w:type="dxa"/>
            <w:tcMar>
              <w:top w:w="60" w:type="dxa"/>
              <w:left w:w="108" w:type="dxa"/>
              <w:bottom w:w="60" w:type="dxa"/>
              <w:right w:w="108" w:type="dxa"/>
            </w:tcMar>
          </w:tcPr>
          <w:p>
            <w:pPr>
              <w:pStyle w:val="Normal"/>
              <w:spacing w:before="30" w:after="30" w:line="264" w:lineRule="auto"/>
            </w:pPr>
            <w:r>
              <w:rPr>
                <w:b/>
                <w:color w:val="22333B"/>
                <w:sz w:val="19"/>
                <w:rFonts w:ascii="Calibri" w:hAnsi="Calibri" w:eastAsia="Microsoft YaHei" w:cs="Calibri"/>
                <w:szCs w:val="19"/>
              </w:rPr>
              <w:t>8</w:t>
            </w:r>
          </w:p>
        </w:tc>
        <w:tc>
          <w:tcPr>
            <w:tcW w:w="2300" w:type="dxa"/>
            <w:tcMar>
              <w:top w:w="60" w:type="dxa"/>
              <w:left w:w="108" w:type="dxa"/>
              <w:bottom w:w="60" w:type="dxa"/>
              <w:right w:w="108" w:type="dxa"/>
            </w:tcMar>
          </w:tcPr>
          <w:p>
            <w:pPr>
              <w:pStyle w:val="Normal"/>
              <w:spacing w:before="30" w:after="30" w:line="264" w:lineRule="auto"/>
            </w:pPr>
            <w:r>
              <w:rPr>
                <w:b/>
                <w:color w:val="22333B"/>
                <w:sz w:val="19"/>
                <w:rFonts w:ascii="Calibri" w:hAnsi="Calibri" w:eastAsia="Microsoft YaHei" w:cs="Calibri"/>
                <w:szCs w:val="19"/>
              </w:rPr>
              <w:t>Triggers the Daryaban Watch immediately; escalates ahead of every other deviation, because failure to verify undermines the entire Framework</w:t>
            </w:r>
          </w:p>
        </w:tc>
      </w:tr>
    </w:tbl>
    <w:p>
      <w:pPr>
        <w:pStyle w:val="Caption"/>
      </w:pPr>
      <w:r>
        <w:rPr>
          <w:rFonts w:ascii="Calibri" w:hAnsi="Calibri" w:eastAsia="Microsoft YaHei" w:cs="Calibri"/>
          <w:i/>
          <w:color w:val="6E8A96"/>
          <w:sz w:val="18"/>
          <w:szCs w:val="18"/>
        </w:rPr>
        <w:t>Table C.1: Deviation point schedule</w:t>
      </w:r>
    </w:p>
    <w:p>
      <w:pPr>
        <w:pStyle w:val="Heading3"/>
      </w:pPr>
      <w:r>
        <w:rPr>
          <w:rFonts w:ascii="Calibri" w:hAnsi="Calibri" w:eastAsia="Microsoft YaHei" w:cs="Calibri"/>
          <w:b/>
          <w:color w:val="3A7086"/>
          <w:sz w:val="22"/>
          <w:szCs w:val="22"/>
        </w:rPr>
        <w:t>C.2 Standing formula</w:t>
      </w:r>
    </w:p>
    <w:p>
      <w:pPr>
        <w:pStyle w:val="Normal"/>
        <w:jc w:val="both"/>
      </w:pPr>
      <w:r>
        <w:rPr>
          <w:rFonts w:ascii="Calibri" w:hAnsi="Calibri" w:eastAsia="Microsoft YaHei" w:cs="Calibri"/>
          <w:color w:val="22333B"/>
          <w:sz w:val="21"/>
          <w:szCs w:val="21"/>
        </w:rPr>
        <w:t>Standing derives mechanically from the trailing four quarters. A Party holds Anchor standing at 0 to 4 active points with every roster met; Steady at 5 to 11 active points; Watch at 12 to 19 active points; and Step-back at 20 or more active points or upon any uncured A-1 event. The formula computes on the first day of each quarter, publishes with the Ledger, and admits no discretionary adjustment by any organ. Restoration follows Article 23.3 alone.</w:t>
      </w:r>
    </w:p>
    <w:p>
      <w:pPr>
        <w:pStyle w:val="Heading1"/>
      </w:pPr>
      <w:r>
        <w:rPr>
          <w:rFonts w:ascii="Calibri" w:hAnsi="Calibri" w:eastAsia="Microsoft YaHei" w:cs="Calibri"/>
          <w:b/>
          <w:color w:val="1F4E5F"/>
          <w:sz w:val="30"/>
          <w:szCs w:val="30"/>
        </w:rPr>
        <w:t>Annex D: Communications, Notification Formats, and the Mariners' Handbook</w:t>
      </w:r>
    </w:p>
    <w:p>
      <w:pPr>
        <w:pStyle w:val="Heading3"/>
      </w:pPr>
      <w:r>
        <w:rPr>
          <w:rFonts w:ascii="Calibri" w:hAnsi="Calibri" w:eastAsia="Microsoft YaHei" w:cs="Calibri"/>
          <w:b/>
          <w:color w:val="3A7086"/>
          <w:sz w:val="22"/>
          <w:szCs w:val="22"/>
        </w:rPr>
        <w:t>D.1 The twelve-field transit notice (Northern Coordination Corridor and Central International Corridor)</w:t>
      </w:r>
    </w:p>
    <w:p>
      <w:pPr>
        <w:pStyle w:val="Normal"/>
        <w:jc w:val="both"/>
      </w:pPr>
      <w:r>
        <w:rPr>
          <w:rFonts w:ascii="Calibri" w:hAnsi="Calibri" w:eastAsia="Microsoft YaHei" w:cs="Calibri"/>
          <w:color w:val="22333B"/>
          <w:sz w:val="21"/>
          <w:szCs w:val="21"/>
        </w:rPr>
        <w:t>A transiting vessel of Classes A, B, C, or E files the following twelve fields with the Daryaban Operations Center between 72 and 6 hours before entering the Northern Coordination Corridor or the Central International Corridor: (1) vessel name; (2) international maritime organization number; (3) flag state; (4) vessel class under Article 10; (5) gross tonnage; (6) cargo category in general terms; (7) last port; (8) next port; (9) intended lane and entry time; (10) speed intention within the band; (11) pollution liability coverage evidence where Article 22.5 applies; (12) master contact and working channel. The acknowledgment issues automatically within 30 minutes, and silence beyond 30 minutes constitutes acknowledgment by default.</w:t>
      </w:r>
    </w:p>
    <w:p>
      <w:pPr>
        <w:pStyle w:val="Heading3"/>
      </w:pPr>
      <w:r>
        <w:rPr>
          <w:rFonts w:ascii="Calibri" w:hAnsi="Calibri" w:eastAsia="Microsoft YaHei" w:cs="Calibri"/>
          <w:b/>
          <w:color w:val="3A7086"/>
          <w:sz w:val="22"/>
          <w:szCs w:val="22"/>
        </w:rPr>
        <w:t>D.2 The voice discipline</w:t>
      </w:r>
    </w:p>
    <w:p>
      <w:pPr>
        <w:pStyle w:val="Normal"/>
        <w:jc w:val="both"/>
      </w:pPr>
      <w:r>
        <w:rPr>
          <w:rFonts w:ascii="Calibri" w:hAnsi="Calibri" w:eastAsia="Microsoft YaHei" w:cs="Calibri"/>
          <w:color w:val="22333B"/>
          <w:sz w:val="21"/>
          <w:szCs w:val="21"/>
        </w:rPr>
        <w:t>Voice reporting follows the standard maritime format: identity first, position second, intention third. The Center answers every call with the vessel's identity and a read-back of the substance. The working channels and the VHF plan publish in the Mariners' Handbook, and the military de-confliction channel operates on separate, dedicated circuits under Article 21.4.</w:t>
      </w:r>
    </w:p>
    <w:p>
      <w:pPr>
        <w:pStyle w:val="Heading3"/>
      </w:pPr>
      <w:r>
        <w:rPr>
          <w:rFonts w:ascii="Calibri" w:hAnsi="Calibri" w:eastAsia="Microsoft YaHei" w:cs="Calibri"/>
          <w:b/>
          <w:color w:val="3A7086"/>
          <w:sz w:val="22"/>
          <w:szCs w:val="22"/>
        </w:rPr>
        <w:t>D.3 The non-telemetry mode</w:t>
      </w:r>
    </w:p>
    <w:p>
      <w:pPr>
        <w:pStyle w:val="Normal"/>
        <w:jc w:val="both"/>
      </w:pPr>
      <w:r>
        <w:rPr>
          <w:rFonts w:ascii="Calibri" w:hAnsi="Calibri" w:eastAsia="Microsoft YaHei" w:cs="Calibri"/>
          <w:color w:val="22333B"/>
          <w:sz w:val="21"/>
          <w:szCs w:val="21"/>
        </w:rPr>
        <w:t>Where communications or power fail at one site, the mirror site assumes the full watch; voice reporting carries compliance; paper logs govern until restoration; and the Bulletin publishes by any working channel. Restoration reconciles the paper record into the dual-copy registry within 24 hours.</w:t>
      </w:r>
    </w:p>
    <w:p>
      <w:pPr>
        <w:pStyle w:val="Heading3"/>
      </w:pPr>
      <w:r>
        <w:rPr>
          <w:rFonts w:ascii="Calibri" w:hAnsi="Calibri" w:eastAsia="Microsoft YaHei" w:cs="Calibri"/>
          <w:b/>
          <w:color w:val="3A7086"/>
          <w:sz w:val="22"/>
          <w:szCs w:val="22"/>
        </w:rPr>
        <w:t>D.4 The standing pre-authorization for clearance</w:t>
      </w:r>
    </w:p>
    <w:p>
      <w:pPr>
        <w:pStyle w:val="Normal"/>
        <w:jc w:val="both"/>
      </w:pPr>
      <w:r>
        <w:rPr>
          <w:rFonts w:ascii="Calibri" w:hAnsi="Calibri" w:eastAsia="Microsoft YaHei" w:cs="Calibri"/>
          <w:color w:val="22333B"/>
          <w:sz w:val="21"/>
          <w:szCs w:val="21"/>
        </w:rPr>
        <w:t>Mine clearance activity by one coastal state inside the other's notification regime proceeds without case-by-case consent: the clearing state files a clearance notice stating area, period, and assets; the Center logs it and broadcasts a safety notice; and the clearance proceeds under Neutral Watch observation. The pre-authorization covers clearance and survey work only, and it never covers any other activity.</w:t>
      </w:r>
    </w:p>
    <w:p>
      <w:pPr>
        <w:pStyle w:val="Heading3"/>
      </w:pPr>
      <w:r>
        <w:rPr>
          <w:rFonts w:ascii="Calibri" w:hAnsi="Calibri" w:eastAsia="Microsoft YaHei" w:cs="Calibri"/>
          <w:b/>
          <w:color w:val="3A7086"/>
          <w:sz w:val="22"/>
          <w:szCs w:val="22"/>
        </w:rPr>
        <w:t>D.5 The one-page cards</w:t>
      </w:r>
    </w:p>
    <w:p>
      <w:pPr>
        <w:pStyle w:val="Normal"/>
        <w:jc w:val="both"/>
      </w:pPr>
      <w:r>
        <w:rPr>
          <w:rFonts w:ascii="Calibri" w:hAnsi="Calibri" w:eastAsia="Microsoft YaHei" w:cs="Calibri"/>
          <w:color w:val="22333B"/>
          <w:sz w:val="21"/>
          <w:szCs w:val="21"/>
        </w:rPr>
        <w:t>The Mariners' Handbook carries every operational procedure of this Framework as a single-page card: the transit notice card, the reporting points card, the escorted window card, the crossing gates card, the Mishap Protocol card, the rogue-actor pathway card, and the distress priority card. Each card states its steps, its clocks, and its responsible officer, and each card satisfies the Six-Step Rule of Article 4.</w:t>
      </w:r>
    </w:p>
    <w:p>
      <w:pPr>
        <w:pStyle w:val="Normal"/>
        <w:jc w:val="both"/>
      </w:pPr>
      <w:r>
        <w:rPr>
          <w:rFonts w:ascii="Calibri" w:hAnsi="Calibri" w:eastAsia="Microsoft YaHei" w:cs="Calibri"/>
          <w:color w:val="22333B"/>
          <w:sz w:val="21"/>
          <w:szCs w:val="21"/>
        </w:rPr>
        <w:t>The Handbook also carries the Dispute Resolution Card: the four dispute tiers, their clocks, the Escalation Cap, and the silence clause on a single page, serving as the quick-reference guide for any Party weighing a dispute referral. The card follows the Six-Step Rule like every other.</w:t>
      </w:r>
    </w:p>
    <w:p>
      <w:pPr>
        <w:pStyle w:val="Heading1"/>
      </w:pPr>
      <w:r>
        <w:rPr>
          <w:rFonts w:ascii="Calibri" w:hAnsi="Calibri" w:eastAsia="Microsoft YaHei" w:cs="Calibri"/>
          <w:b/>
          <w:color w:val="1F4E5F"/>
          <w:sz w:val="30"/>
          <w:szCs w:val="30"/>
        </w:rPr>
        <w:t>Annex E: Implementation Timeline, Activation Checklists, and Staffing Table</w:t>
      </w:r>
    </w:p>
    <w:p>
      <w:pPr>
        <w:pStyle w:val="Heading3"/>
      </w:pPr>
      <w:r>
        <w:rPr>
          <w:rFonts w:ascii="Calibri" w:hAnsi="Calibri" w:eastAsia="Microsoft YaHei" w:cs="Calibri"/>
          <w:b/>
          <w:color w:val="3A7086"/>
          <w:sz w:val="22"/>
          <w:szCs w:val="22"/>
        </w:rPr>
        <w:t>E.1 The activation phases</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2200"/>
        <w:gridCol w:w="1900"/>
        <w:gridCol w:w="3200"/>
        <w:gridCol w:w="1700"/>
      </w:tblGrid>
      <w:tr>
        <w:trPr>
          <w:tblHeader/>
        </w:trPr>
        <w:tc>
          <w:tcPr>
            <w:tcW w:w="2200" w:type="dxa"/>
            <w:shd w:val="clear" w:fill="E8F0F2"/>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Phase</w:t>
            </w:r>
          </w:p>
        </w:tc>
        <w:tc>
          <w:tcPr>
            <w:tcW w:w="1900" w:type="dxa"/>
            <w:shd w:val="clear" w:fill="E8F0F2"/>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Window</w:t>
            </w:r>
          </w:p>
        </w:tc>
        <w:tc>
          <w:tcPr>
            <w:tcW w:w="3200" w:type="dxa"/>
            <w:shd w:val="clear" w:fill="E8F0F2"/>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Core deliverables</w:t>
            </w:r>
          </w:p>
        </w:tc>
        <w:tc>
          <w:tcPr>
            <w:tcW w:w="1700" w:type="dxa"/>
            <w:shd w:val="clear" w:fill="E8F0F2"/>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Certification</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Phase Zero: Preparation</w:t>
            </w:r>
          </w:p>
        </w:tc>
        <w:tc>
          <w:tcPr>
            <w:tcW w:w="1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Signature to Day 14</w:t>
            </w:r>
          </w:p>
        </w:tc>
        <w:tc>
          <w:tcPr>
            <w:tcW w:w="3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Host agreements signed; escrow accounts opened; paired staffing named; exercise notices filed; hazard declarations exchanged</w:t>
            </w:r>
          </w:p>
        </w:tc>
        <w:tc>
          <w:tcPr>
            <w:tcW w:w="17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Mediator of Record confirms readiness to the Council</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Phase One: Standing Start</w:t>
            </w:r>
          </w:p>
        </w:tc>
        <w:tc>
          <w:tcPr>
            <w:tcW w:w="1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Day 15 to Day 30</w:t>
            </w:r>
          </w:p>
        </w:tc>
        <w:tc>
          <w:tcPr>
            <w:tcW w:w="3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Center watch floor live; notification desk acknowledging; Bulletin publishing; patrols begun; joint survey under way</w:t>
            </w:r>
          </w:p>
        </w:tc>
        <w:tc>
          <w:tcPr>
            <w:tcW w:w="17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Neutral Watch Office operational certificate</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Phase Two: Full Service</w:t>
            </w:r>
          </w:p>
        </w:tc>
        <w:tc>
          <w:tcPr>
            <w:tcW w:w="1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Day 31 to Day 60</w:t>
            </w:r>
          </w:p>
        </w:tc>
        <w:tc>
          <w:tcPr>
            <w:tcW w:w="3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Both passages at full schedule; Fund paying verified services; Registry live; Data Service public tier live</w:t>
            </w:r>
          </w:p>
        </w:tc>
        <w:tc>
          <w:tcPr>
            <w:tcW w:w="17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Council certificate on Technical and Standards Committee report</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Phase Three: Consolidation</w:t>
            </w:r>
          </w:p>
        </w:tc>
        <w:tc>
          <w:tcPr>
            <w:tcW w:w="1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Day 61 onward</w:t>
            </w:r>
          </w:p>
        </w:tc>
        <w:tc>
          <w:tcPr>
            <w:tcW w:w="3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Survey certification complete; insurance normalization tracking; first annual review conference scheduled; accession track open</w:t>
            </w:r>
          </w:p>
        </w:tc>
        <w:tc>
          <w:tcPr>
            <w:tcW w:w="17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Annual review conference declaration</w:t>
            </w:r>
          </w:p>
        </w:tc>
      </w:tr>
    </w:tbl>
    <w:p>
      <w:pPr>
        <w:pStyle w:val="Caption"/>
      </w:pPr>
      <w:r>
        <w:rPr>
          <w:rFonts w:ascii="Calibri" w:hAnsi="Calibri" w:eastAsia="Microsoft YaHei" w:cs="Calibri"/>
          <w:i/>
          <w:color w:val="1F4E5F"/>
          <w:sz w:val="30"/>
          <w:b/>
          <w:szCs w:val="30"/>
        </w:rPr>
        <w:t>Table E.1: Activation phases; boundaries are administrative rhythms under the Nofade Guarantee, never condition gates</w:t>
      </w:r>
    </w:p>
    <w:p>
      <w:pPr>
        <w:pStyle w:val="Heading3"/>
      </w:pPr>
      <w:r>
        <w:rPr>
          <w:rFonts w:ascii="Calibri" w:hAnsi="Calibri" w:eastAsia="Microsoft YaHei" w:cs="Calibri"/>
          <w:b/>
          <w:color w:val="3A7086"/>
          <w:sz w:val="22"/>
          <w:szCs w:val="22"/>
        </w:rPr>
        <w:t>E.2 Day One checklist</w:t>
      </w:r>
    </w:p>
    <w:p>
      <w:pPr>
        <w:pStyle w:val="Normal"/>
        <w:jc w:val="both"/>
      </w:pPr>
      <w:r>
        <w:rPr>
          <w:rFonts w:ascii="Calibri" w:hAnsi="Calibri" w:eastAsia="Microsoft YaHei" w:cs="Calibri"/>
          <w:color w:val="22333B"/>
          <w:sz w:val="21"/>
          <w:szCs w:val="21"/>
        </w:rPr>
        <w:t>On the day of entry into force, in six moves: (1) the depositary registers the third signature and notifies all participants; (2) the Center issues the Day One mine-hazard declaration of Article 9.2; (3) the joint openness declaration of Article 11.4 issues within 7 days; (4) the notification desk opens and acknowledges its first notices; (5) the Bulletin publishes its first edition; and (6) the escrow accounts of Annex B receive the founding endowment lines.</w:t>
      </w:r>
    </w:p>
    <w:p>
      <w:pPr>
        <w:pStyle w:val="Heading3"/>
      </w:pPr>
      <w:r>
        <w:rPr>
          <w:rFonts w:ascii="Calibri" w:hAnsi="Calibri" w:eastAsia="Microsoft YaHei" w:cs="Calibri"/>
          <w:b/>
          <w:color w:val="3A7086"/>
          <w:sz w:val="22"/>
          <w:szCs w:val="22"/>
        </w:rPr>
        <w:t>E.3 Early harvest</w:t>
      </w:r>
    </w:p>
    <w:p>
      <w:pPr>
        <w:pStyle w:val="Normal"/>
        <w:jc w:val="both"/>
      </w:pPr>
      <w:r>
        <w:rPr>
          <w:rFonts w:ascii="Calibri" w:hAnsi="Calibri" w:eastAsia="Microsoft YaHei" w:cs="Calibri"/>
          <w:color w:val="22333B"/>
          <w:sz w:val="21"/>
          <w:szCs w:val="21"/>
        </w:rPr>
        <w:t>The Parties deliver visible results early: the joint openness declaration within 7 days; the first escorted windows within 14 days; the first ground-truth patrols within 21 days; the first certified survey zone within 30 days; and the first monthly Fund statement within 45 days. Each early result publishes in the Bulletin with the same prominence as any disruption.</w:t>
      </w:r>
    </w:p>
    <w:p>
      <w:pPr>
        <w:pStyle w:val="Heading3"/>
      </w:pPr>
      <w:r>
        <w:rPr>
          <w:rFonts w:ascii="Calibri" w:hAnsi="Calibri" w:eastAsia="Microsoft YaHei" w:cs="Calibri"/>
          <w:b/>
          <w:color w:val="3A7086"/>
          <w:sz w:val="22"/>
          <w:szCs w:val="22"/>
        </w:rPr>
        <w:t>E.4 Staffing table parity band</w:t>
      </w:r>
    </w:p>
    <w:p>
      <w:pPr>
        <w:pStyle w:val="Normal"/>
        <w:jc w:val="both"/>
      </w:pPr>
      <w:r>
        <w:rPr>
          <w:rFonts w:ascii="Calibri" w:hAnsi="Calibri" w:eastAsia="Microsoft YaHei" w:cs="Calibri"/>
          <w:color w:val="22333B"/>
          <w:sz w:val="21"/>
          <w:szCs w:val="21"/>
        </w:rPr>
        <w:t>At founding, the Center's paired posts seat Iranian and Omani nationals per Article 13.2. Each acceding Littoral Party adds two paired posts within 90 days of accession, and total staff numbers across the Littoral Parties remain within a parity band of plus or minus 15 percent of the mean at every quarterly audit. The Technical and Standards Committee publishes the staffing table with each quarterly report.</w:t>
      </w:r>
    </w:p>
    <w:p>
      <w:pPr>
        <w:pStyle w:val="Normal"/>
        <w:jc w:val="both"/>
      </w:pPr>
      <w:r>
        <w:rPr>
          <w:rFonts w:ascii="Calibri" w:hAnsi="Calibri" w:eastAsia="Microsoft YaHei" w:cs="Calibri"/>
          <w:color w:val="22333B"/>
          <w:sz w:val="21"/>
          <w:szCs w:val="21"/>
        </w:rPr>
        <w:t>E.5 The review conference checklist. The annual review conference checklist includes: the Neutral Watch Office annual report; the Independent Assurance Council integrity review; the external audit; the complexity audit; the premium index record; the Good Faith Reset declaration; and the Implementation Manual update. Each item carries a designated presenter and a defined discussion time. The checklist publishes 90 days before the conference, and the conference record publishes within 30 days of conclusion. The checklist keeps every accountability thread on the table, every year.</w:t>
      </w:r>
    </w:p>
    <w:p>
      <w:pPr>
        <w:pStyle w:val="Heading1"/>
      </w:pPr>
      <w:r>
        <w:rPr>
          <w:rFonts w:ascii="Calibri" w:hAnsi="Calibri" w:eastAsia="Microsoft YaHei" w:cs="Calibri"/>
          <w:b/>
          <w:color w:val="6E8A96"/>
          <w:sz w:val="18"/>
          <w:i/>
          <w:szCs w:val="18"/>
        </w:rPr>
        <w:t>Annex F: Accession, Adherence, Attachment, and Participation Instruments</w:t>
      </w:r>
    </w:p>
    <w:p>
      <w:pPr>
        <w:pStyle w:val="Heading3"/>
      </w:pPr>
      <w:r>
        <w:rPr>
          <w:rFonts w:ascii="Calibri" w:hAnsi="Calibri" w:eastAsia="Microsoft YaHei" w:cs="Calibri"/>
          <w:b/>
          <w:color w:val="3A7086"/>
          <w:sz w:val="22"/>
          <w:szCs w:val="22"/>
        </w:rPr>
        <w:t>F.1 Model accession instrument</w:t>
      </w:r>
    </w:p>
    <w:p>
      <w:pPr>
        <w:pStyle w:val="Normal"/>
        <w:jc w:val="both"/>
      </w:pPr>
      <w:r>
        <w:rPr>
          <w:rFonts w:ascii="Calibri" w:hAnsi="Calibri" w:eastAsia="Microsoft YaHei" w:cs="Calibri"/>
          <w:color w:val="22333B"/>
          <w:sz w:val="21"/>
          <w:szCs w:val="21"/>
        </w:rPr>
        <w:t>The acceding state declares: that it accedes to the Daryaban Framework in full; that it accepts every obligation and every protection of the Framework from the date of deposit, without reservation touching the protected core of Article 27.1; that it takes its Council seats, its contribution line, and its delivery roster line on deposit; and that it deposits its declaration of intent under Article 27.3 simultaneously. The instrument takes effect on deposit with the depositary.</w:t>
      </w:r>
    </w:p>
    <w:p>
      <w:pPr>
        <w:pStyle w:val="Heading3"/>
      </w:pPr>
      <w:r>
        <w:rPr>
          <w:rFonts w:ascii="Calibri" w:hAnsi="Calibri" w:eastAsia="Microsoft YaHei" w:cs="Calibri"/>
          <w:b/>
          <w:color w:val="3A7086"/>
          <w:sz w:val="22"/>
          <w:szCs w:val="22"/>
        </w:rPr>
        <w:t>F.2 Model adherence instrument for security liaisons</w:t>
      </w:r>
    </w:p>
    <w:p>
      <w:pPr>
        <w:pStyle w:val="Normal"/>
        <w:jc w:val="both"/>
      </w:pPr>
      <w:r>
        <w:rPr>
          <w:rFonts w:ascii="Calibri" w:hAnsi="Calibri" w:eastAsia="Microsoft YaHei" w:cs="Calibri"/>
          <w:color w:val="22333B"/>
          <w:sz w:val="21"/>
          <w:szCs w:val="21"/>
        </w:rPr>
        <w:t>The adhering state declares: that its forces in the Governance Area adhere to the Non-Interdiction Protocol and the standoff geometry of Article 21; that it maintains a 24-hour military liaison desk linked to the de-confliction channel; that it files exercise notices and movement notices under Article 21.3 and Article 21.5; and that it claims no vote, no veto, and no governance role under the Framework. The instrument takes effect on deposit with the depositary.</w:t>
      </w:r>
    </w:p>
    <w:p>
      <w:pPr>
        <w:pStyle w:val="Heading3"/>
      </w:pPr>
      <w:r>
        <w:rPr>
          <w:rFonts w:ascii="Calibri" w:hAnsi="Calibri" w:eastAsia="Microsoft YaHei" w:cs="Calibri"/>
          <w:b/>
          <w:color w:val="3A7086"/>
          <w:sz w:val="22"/>
          <w:szCs w:val="22"/>
        </w:rPr>
        <w:t>F.3 Model attachment instruments for the MOU architecture</w:t>
      </w:r>
    </w:p>
    <w:p>
      <w:pPr>
        <w:pStyle w:val="Normal"/>
        <w:jc w:val="both"/>
      </w:pPr>
      <w:r>
        <w:rPr>
          <w:rFonts w:ascii="Calibri" w:hAnsi="Calibri" w:eastAsia="Microsoft YaHei" w:cs="Calibri"/>
          <w:color w:val="22333B"/>
          <w:sz w:val="21"/>
          <w:szCs w:val="21"/>
        </w:rPr>
        <w:t>The Parties offer three attachment forms to the MOU parties, in descending order of weight: an annex method, in which the MOU parties adopt this Framework as a maritime governance annex binding on the states that join it; a protocol method, in which the MOU parties conclude a separate protocol referencing this Framework; and an incorporation-by-reference method, in which the MOU parties take note of this Framework and cooperate in its implementation. Attachment adds political linkage and adds no obligation beyond the text of this Framework, per Article 2.4.</w:t>
      </w:r>
    </w:p>
    <w:p>
      <w:pPr>
        <w:pStyle w:val="Heading3"/>
      </w:pPr>
      <w:r>
        <w:rPr>
          <w:rFonts w:ascii="Calibri" w:hAnsi="Calibri" w:eastAsia="Microsoft YaHei" w:cs="Calibri"/>
          <w:b/>
          <w:color w:val="3A7086"/>
          <w:sz w:val="22"/>
          <w:szCs w:val="22"/>
        </w:rPr>
        <w:t>F.4 Standing invitations</w:t>
      </w:r>
    </w:p>
    <w:p>
      <w:pPr>
        <w:pStyle w:val="Normal"/>
        <w:jc w:val="both"/>
      </w:pPr>
      <w:r>
        <w:rPr>
          <w:rFonts w:ascii="Calibri" w:hAnsi="Calibri" w:eastAsia="Microsoft YaHei" w:cs="Calibri"/>
          <w:color w:val="22333B"/>
          <w:sz w:val="21"/>
          <w:szCs w:val="21"/>
        </w:rPr>
        <w:t>Standing observer invitations extend to the European Union, India, China, Japan, the Republic of Korea, and the United Kingdom; standing institutional partner invitations extend to the International Maritime Organization, the International Hydrographic Organization, and the United Nations Mine Action Service; standing security liaison invitations extend to the United States, the United Kingdom, and France; and standing Stakeholder Panel invitations extend to the flag administrations, shipowner and operator associations, protection and indemnity clubs, and port authorities of Article 14.4. Each invitation remains open until accepted or declined in writing, per the Nofade Guarantee.</w:t>
      </w:r>
    </w:p>
    <w:p>
      <w:pPr>
        <w:pStyle w:val="Heading1"/>
      </w:pPr>
      <w:r>
        <w:rPr>
          <w:rFonts w:ascii="Calibri" w:hAnsi="Calibri" w:eastAsia="Microsoft YaHei" w:cs="Calibri"/>
          <w:b/>
          <w:color w:val="6E8A96"/>
          <w:sz w:val="18"/>
          <w:i/>
          <w:szCs w:val="18"/>
        </w:rPr>
        <w:t>Annex G: The Red Lines Register (Full Operative Text)</w:t>
      </w:r>
    </w:p>
    <w:p>
      <w:pPr>
        <w:pStyle w:val="Normal"/>
        <w:jc w:val="both"/>
      </w:pPr>
      <w:r>
        <w:rPr>
          <w:rFonts w:ascii="Calibri" w:hAnsi="Calibri" w:eastAsia="Microsoft YaHei" w:cs="Calibri"/>
          <w:color w:val="22333B"/>
          <w:sz w:val="21"/>
          <w:szCs w:val="21"/>
        </w:rPr>
        <w:t>This Annex states each red line in neutral terms, names the interest it protects, and identifies the architectural safeguard that holds the line without daily political effort. The Register binds the framework; a public statement outside the Register carries no operative weight. Amendment of this Annex follows Article 29.2 alone.</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900"/>
        <w:gridCol w:w="3600"/>
        <w:gridCol w:w="2200"/>
        <w:gridCol w:w="2300"/>
      </w:tblGrid>
      <w:tr>
        <w:trPr>
          <w:tblHeader/>
        </w:trPr>
        <w:tc>
          <w:tcPr>
            <w:tcW w:w="900" w:type="dxa"/>
            <w:shd w:val="clear" w:fill="E8F0F2"/>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Ref</w:t>
            </w:r>
          </w:p>
        </w:tc>
        <w:tc>
          <w:tcPr>
            <w:tcW w:w="3600" w:type="dxa"/>
            <w:shd w:val="clear" w:fill="E8F0F2"/>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Line (operative text)</w:t>
            </w:r>
          </w:p>
        </w:tc>
        <w:tc>
          <w:tcPr>
            <w:tcW w:w="2200" w:type="dxa"/>
            <w:shd w:val="clear" w:fill="E8F0F2"/>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Protected interest</w:t>
            </w:r>
          </w:p>
        </w:tc>
        <w:tc>
          <w:tcPr>
            <w:tcW w:w="2300" w:type="dxa"/>
            <w:shd w:val="clear" w:fill="E8F0F2"/>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Architectural safeguard</w:t>
            </w:r>
          </w:p>
        </w:tc>
      </w:tr>
      <w:tr>
        <w:tc>
          <w:tcPr>
            <w:tcW w:w="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RL-1</w:t>
            </w:r>
          </w:p>
        </w:tc>
        <w:tc>
          <w:tcPr>
            <w:tcW w:w="3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 charge of any kind attaches to the act of transit</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User states; market confidence; Oman's stated position</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Zero-Toll Rule, Article 16; Nofade Guarantee, Article 5.5</w:t>
            </w:r>
          </w:p>
        </w:tc>
      </w:tr>
      <w:tr>
        <w:tc>
          <w:tcPr>
            <w:tcW w:w="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RL-2</w:t>
            </w:r>
          </w:p>
        </w:tc>
        <w:tc>
          <w:tcPr>
            <w:tcW w:w="3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Southern Assurance Passage transits unconditionally, without any notification layer</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Free navigation; pre-crisis pattern restored</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Article 8.2; no approval step by any actor</w:t>
            </w:r>
          </w:p>
        </w:tc>
      </w:tr>
      <w:tr>
        <w:tc>
          <w:tcPr>
            <w:tcW w:w="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RL-3</w:t>
            </w:r>
          </w:p>
        </w:tc>
        <w:tc>
          <w:tcPr>
            <w:tcW w:w="3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northern littoral holds a recognized, formal, continuous management role</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Iran's sovereign role and security picture</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Article 8.3 notification regime; co-equal seats everywhere</w:t>
            </w:r>
          </w:p>
        </w:tc>
      </w:tr>
      <w:tr>
        <w:tc>
          <w:tcPr>
            <w:tcW w:w="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RL-4</w:t>
            </w:r>
          </w:p>
        </w:tc>
        <w:tc>
          <w:tcPr>
            <w:tcW w:w="3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 permission regime operates anywhere in this Framework</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Transit passage preserved; no gatekeeping</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Notification-only rule, Article 8.3; acknowledgment by default</w:t>
            </w:r>
          </w:p>
        </w:tc>
      </w:tr>
      <w:tr>
        <w:tc>
          <w:tcPr>
            <w:tcW w:w="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RL-5</w:t>
            </w:r>
          </w:p>
        </w:tc>
        <w:tc>
          <w:tcPr>
            <w:tcW w:w="3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 boarding, diversion, seizure, or inspection occurs inside a passage</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Crew safety; commercial certainty</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Non-Interdiction Protocol, Article 11.2; Anchor-and-Verify at anchorage only, Article 10.4</w:t>
            </w:r>
          </w:p>
        </w:tc>
      </w:tr>
      <w:tr>
        <w:tc>
          <w:tcPr>
            <w:tcW w:w="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RL-6</w:t>
            </w:r>
          </w:p>
        </w:tc>
        <w:tc>
          <w:tcPr>
            <w:tcW w:w="3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Framework's operational bodies remain civilian</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Iran's assurance against security capture; user-state confidence in neutrality</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Civilian Character Clause, Article 13.6</w:t>
            </w:r>
          </w:p>
        </w:tc>
      </w:tr>
      <w:tr>
        <w:tc>
          <w:tcPr>
            <w:tcW w:w="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RL-7</w:t>
            </w:r>
          </w:p>
        </w:tc>
        <w:tc>
          <w:tcPr>
            <w:tcW w:w="3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 shipper or operator pays any Party directly for anything</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Sanctions safety for every participant</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Sanctions-Compliance Firewall, Article 18.4</w:t>
            </w:r>
          </w:p>
        </w:tc>
      </w:tr>
      <w:tr>
        <w:tc>
          <w:tcPr>
            <w:tcW w:w="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RL-8</w:t>
            </w:r>
          </w:p>
        </w:tc>
        <w:tc>
          <w:tcPr>
            <w:tcW w:w="3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Each Party's sovereignty over its own waters stands intact</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All coastal states' constitutional position</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Articles 1.3 and 2.6; the no-prejudice rule</w:t>
            </w:r>
          </w:p>
        </w:tc>
      </w:tr>
      <w:tr>
        <w:tc>
          <w:tcPr>
            <w:tcW w:w="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RL-9</w:t>
            </w:r>
          </w:p>
        </w:tc>
        <w:tc>
          <w:tcPr>
            <w:tcW w:w="3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 commitment expires silently</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Durability against political cycles</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Nofade Guarantee, Article 5</w:t>
            </w:r>
          </w:p>
        </w:tc>
      </w:tr>
      <w:tr>
        <w:tc>
          <w:tcPr>
            <w:tcW w:w="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RL-10</w:t>
            </w:r>
          </w:p>
        </w:tc>
        <w:tc>
          <w:tcPr>
            <w:tcW w:w="3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Humanitarian traffic moves in every flow state</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Civilian life; humanitarian norms</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Humanitarian absolute, Articles 3 and 23.4</w:t>
            </w:r>
          </w:p>
        </w:tc>
      </w:tr>
      <w:tr>
        <w:tc>
          <w:tcPr>
            <w:tcW w:w="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RL-11</w:t>
            </w:r>
          </w:p>
        </w:tc>
        <w:tc>
          <w:tcPr>
            <w:tcW w:w="3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 finding of fact rests on a single input</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Every Party's protection from error and manipulation</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Convergence Standard, Article 20.2</w:t>
            </w:r>
          </w:p>
        </w:tc>
      </w:tr>
      <w:tr>
        <w:tc>
          <w:tcPr>
            <w:tcW w:w="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RL-12</w:t>
            </w:r>
          </w:p>
        </w:tc>
        <w:tc>
          <w:tcPr>
            <w:tcW w:w="3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Framework assets never support kinetic action by any actor</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Iran's and the region's assurance against intelligence misuse</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Article 21.6; data custody, Article 20.5</w:t>
            </w:r>
          </w:p>
        </w:tc>
      </w:tr>
      <w:tr>
        <w:tc>
          <w:tcPr>
            <w:tcW w:w="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RL-13</w:t>
            </w:r>
          </w:p>
        </w:tc>
        <w:tc>
          <w:tcPr>
            <w:tcW w:w="3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 single coastal state governs the Strait alone</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Multilateral legitimacy; UAE and accession-state confidence</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Council composition and voting, Articles 12 and 15</w:t>
            </w:r>
          </w:p>
        </w:tc>
      </w:tr>
      <w:tr>
        <w:tc>
          <w:tcPr>
            <w:tcW w:w="9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RL-14</w:t>
            </w:r>
          </w:p>
        </w:tc>
        <w:tc>
          <w:tcPr>
            <w:tcW w:w="36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 external state commands any element of this Framework</w:t>
            </w:r>
          </w:p>
        </w:tc>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Regional ownership; Iran's assurance against foreign control</w:t>
            </w:r>
          </w:p>
        </w:tc>
        <w:tc>
          <w:tcPr>
            <w:tcW w:w="2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Article 14.5; the bounded Endorsing Stakeholder role of Article 14.2</w:t>
            </w:r>
          </w:p>
        </w:tc>
      </w:tr>
    </w:tbl>
    <w:p>
      <w:pPr>
        <w:pStyle w:val="Caption"/>
      </w:pPr>
      <w:r>
        <w:rPr>
          <w:rFonts w:ascii="Calibri" w:hAnsi="Calibri" w:eastAsia="Microsoft YaHei" w:cs="Calibri"/>
          <w:i/>
          <w:color w:val="1F4E5F"/>
          <w:sz w:val="30"/>
          <w:b/>
          <w:szCs w:val="30"/>
        </w:rPr>
        <w:t>Table G.1: The Red Lines Register in full operative text</w:t>
      </w:r>
    </w:p>
    <w:p>
      <w:pPr>
        <w:pStyle w:val="Heading1"/>
      </w:pPr>
      <w:r>
        <w:rPr>
          <w:rFonts w:ascii="Calibri" w:hAnsi="Calibri" w:eastAsia="Microsoft YaHei" w:cs="Calibri"/>
          <w:b/>
          <w:color w:val="6E8A96"/>
          <w:sz w:val="18"/>
          <w:i/>
          <w:szCs w:val="18"/>
        </w:rPr>
        <w:t>Annex H: The Verification Schedule</w:t>
      </w:r>
    </w:p>
    <w:p>
      <w:pPr>
        <w:pStyle w:val="Normal"/>
        <w:jc w:val="both"/>
      </w:pPr>
      <w:r>
        <w:rPr>
          <w:rFonts w:ascii="Calibri" w:hAnsi="Calibri" w:eastAsia="Microsoft YaHei" w:cs="Calibri"/>
          <w:color w:val="22333B"/>
          <w:sz w:val="21"/>
          <w:szCs w:val="21"/>
        </w:rPr>
        <w:t>This Annex states each verification mechanism of the Framework, its frequency, its responsible body, and its publication channel, consolidating the verification duties of Articles 13, 20, 22, 23, and 26 into one schedule. The Technical and Standards Committee reviews the schedule annually, and the Daryaban Council amends it under Article 29.</w:t>
      </w:r>
    </w:p>
    <w:tbl>
      <w:tblPr>
        <w:tblW w:w="5000" w:type="pct"/>
        <w:tblBorders>
          <w:top w:val="single" w:color="1F4E5F" w:sz="12"/>
          <w:left w:val="single" w:color="1F4E5F" w:sz="12"/>
          <w:bottom w:val="single" w:color="1F4E5F" w:sz="12"/>
          <w:right w:val="single" w:color="1F4E5F" w:sz="12"/>
        </w:tblBorders>
      </w:tblPr>
      <w:tblGrid>
        <w:gridCol w:w="9000"/>
        <w:gridCol w:w="9000"/>
        <w:gridCol w:w="9000"/>
        <w:gridCol w:w="9000"/>
      </w:tblGrid>
      <w:tr>
        <w:trPr>
          <w:tblHeader w:val="1"/>
        </w:trPr>
        <w:tc>
          <w:tcPr>
            <w:tcW w:w="9000" w:type="dxa"/>
            <w:shd w:val="clear" w:fill="E8F0F2" w:color="auto"/>
            <w:tcMar>
              <w:top w:w="160" w:type="dxa"/>
              <w:left w:w="220" w:type="dxa"/>
              <w:bottom w:w="160" w:type="dxa"/>
              <w:right w:w="220" w:type="dxa"/>
            </w:tcMar>
          </w:tcPr>
          <w:p>
            <w:pPr>
              <w:pStyle w:val="Normal"/>
              <w:spacing w:before="30" w:after="30" w:line="264" w:lineRule="auto"/>
            </w:pPr>
            <w:r>
              <w:rPr>
                <w:b/>
                <w:color w:val="1F4E5F"/>
                <w:sz w:val="19"/>
                <w:rFonts w:ascii="Calibri" w:hAnsi="Calibri" w:eastAsia="Microsoft YaHei" w:cs="Calibri"/>
                <w:szCs w:val="19"/>
              </w:rPr>
              <w:t>Mechanism</w:t>
            </w:r>
          </w:p>
        </w:tc>
        <w:tc>
          <w:tcPr>
            <w:tcW w:w="9000" w:type="dxa"/>
            <w:shd w:val="clear" w:fill="E8F0F2" w:color="auto"/>
            <w:tcMar>
              <w:top w:w="160" w:type="dxa"/>
              <w:left w:w="220" w:type="dxa"/>
              <w:bottom w:w="160" w:type="dxa"/>
              <w:right w:w="220" w:type="dxa"/>
            </w:tcMar>
          </w:tcPr>
          <w:p>
            <w:pPr>
              <w:pStyle w:val="Normal"/>
              <w:spacing w:before="30" w:after="30" w:line="264" w:lineRule="auto"/>
            </w:pPr>
            <w:r>
              <w:rPr>
                <w:b/>
                <w:color w:val="1F4E5F"/>
                <w:sz w:val="19"/>
                <w:rFonts w:ascii="Calibri" w:hAnsi="Calibri" w:eastAsia="Microsoft YaHei" w:cs="Calibri"/>
                <w:szCs w:val="19"/>
              </w:rPr>
              <w:t>Frequency</w:t>
            </w:r>
          </w:p>
        </w:tc>
        <w:tc>
          <w:tcPr>
            <w:tcW w:w="9000" w:type="dxa"/>
            <w:shd w:val="clear" w:fill="E8F0F2" w:color="auto"/>
            <w:tcMar>
              <w:top w:w="160" w:type="dxa"/>
              <w:left w:w="220" w:type="dxa"/>
              <w:bottom w:w="160" w:type="dxa"/>
              <w:right w:w="220" w:type="dxa"/>
            </w:tcMar>
          </w:tcPr>
          <w:p>
            <w:pPr>
              <w:pStyle w:val="Normal"/>
              <w:spacing w:before="30" w:after="30" w:line="264" w:lineRule="auto"/>
            </w:pPr>
            <w:r>
              <w:rPr>
                <w:b/>
                <w:color w:val="1F4E5F"/>
                <w:sz w:val="19"/>
                <w:rFonts w:ascii="Calibri" w:hAnsi="Calibri" w:eastAsia="Microsoft YaHei" w:cs="Calibri"/>
                <w:szCs w:val="19"/>
              </w:rPr>
              <w:t>Responsible body</w:t>
            </w:r>
          </w:p>
        </w:tc>
        <w:tc>
          <w:tcPr>
            <w:tcW w:w="9000" w:type="dxa"/>
            <w:shd w:val="clear" w:fill="E8F0F2" w:color="auto"/>
            <w:tcMar>
              <w:top w:w="160" w:type="dxa"/>
              <w:left w:w="220" w:type="dxa"/>
              <w:bottom w:w="160" w:type="dxa"/>
              <w:right w:w="220" w:type="dxa"/>
            </w:tcMar>
          </w:tcPr>
          <w:p>
            <w:pPr>
              <w:pStyle w:val="Normal"/>
              <w:spacing w:before="30" w:after="30" w:line="264" w:lineRule="auto"/>
            </w:pPr>
            <w:r>
              <w:rPr>
                <w:b/>
                <w:color w:val="1F4E5F"/>
                <w:sz w:val="19"/>
                <w:rFonts w:ascii="Calibri" w:hAnsi="Calibri" w:eastAsia="Microsoft YaHei" w:cs="Calibri"/>
                <w:szCs w:val="19"/>
              </w:rPr>
              <w:t>Publication</w:t>
            </w:r>
          </w:p>
        </w:tc>
      </w:tr>
      <w:tr>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Watch floor log audit</w:t>
            </w:r>
          </w:p>
        </w:tc>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Daily</w:t>
            </w:r>
          </w:p>
        </w:tc>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Daryaban Operations Center</w:t>
            </w:r>
          </w:p>
        </w:tc>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Open Water Bulletin</w:t>
            </w:r>
          </w:p>
        </w:tc>
      </w:tr>
      <w:tr>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Notification desk audit</w:t>
            </w:r>
          </w:p>
        </w:tc>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Monthly</w:t>
            </w:r>
          </w:p>
        </w:tc>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Neutral Watch Office</w:t>
            </w:r>
          </w:p>
        </w:tc>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Reciprocity Ledger</w:t>
            </w:r>
          </w:p>
        </w:tc>
      </w:tr>
      <w:tr>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Ground-truth patrols</w:t>
            </w:r>
          </w:p>
        </w:tc>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Weekly, each corridor</w:t>
            </w:r>
          </w:p>
        </w:tc>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Daryaban Operations Center</w:t>
            </w:r>
          </w:p>
        </w:tc>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Open Water Bulletin</w:t>
            </w:r>
          </w:p>
        </w:tc>
      </w:tr>
      <w:tr>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Fund reconciliation</w:t>
            </w:r>
          </w:p>
        </w:tc>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Quarterly</w:t>
            </w:r>
          </w:p>
        </w:tc>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Neutral Administrator</w:t>
            </w:r>
          </w:p>
        </w:tc>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Published accounts</w:t>
            </w:r>
          </w:p>
        </w:tc>
      </w:tr>
      <w:tr>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Compliance standing computation</w:t>
            </w:r>
          </w:p>
        </w:tc>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Quarterly</w:t>
            </w:r>
          </w:p>
        </w:tc>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Neutral Watch Office</w:t>
            </w:r>
          </w:p>
        </w:tc>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Reciprocity Ledger</w:t>
            </w:r>
          </w:p>
        </w:tc>
      </w:tr>
      <w:tr>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Integrity watch probes</w:t>
            </w:r>
          </w:p>
        </w:tc>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Weekly</w:t>
            </w:r>
          </w:p>
        </w:tc>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Daryaban Operations Center integrity watch</w:t>
            </w:r>
          </w:p>
        </w:tc>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Internal record</w:t>
            </w:r>
          </w:p>
        </w:tc>
      </w:tr>
      <w:tr>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Environmental sampling</w:t>
            </w:r>
          </w:p>
        </w:tc>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Quarterly</w:t>
            </w:r>
          </w:p>
        </w:tc>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Daryaban Operations Center</w:t>
            </w:r>
          </w:p>
        </w:tc>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Environmental report</w:t>
            </w:r>
          </w:p>
        </w:tc>
      </w:tr>
      <w:tr>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Cyber penetration test</w:t>
            </w:r>
          </w:p>
        </w:tc>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Annual</w:t>
            </w:r>
          </w:p>
        </w:tc>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Technical and Standards Committee</w:t>
            </w:r>
          </w:p>
        </w:tc>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Audit report</w:t>
            </w:r>
          </w:p>
        </w:tc>
      </w:tr>
      <w:tr>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Central Corridor status review</w:t>
            </w:r>
          </w:p>
        </w:tc>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Monthly</w:t>
            </w:r>
          </w:p>
        </w:tc>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Central Corridor Management Council</w:t>
            </w:r>
          </w:p>
        </w:tc>
        <w:tc>
          <w:tcPr>
            <w:tcW w:w="9000" w:type="dxa"/>
            <w:shd w:val="clear" w:fill="F2F7F8" w:color="auto"/>
            <w:tcMar>
              <w:top w:w="160" w:type="dxa"/>
              <w:left w:w="220" w:type="dxa"/>
              <w:bottom w:w="160" w:type="dxa"/>
              <w:right w:w="220" w:type="dxa"/>
            </w:tcMar>
          </w:tcPr>
          <w:p>
            <w:pPr>
              <w:pStyle w:val="Normal"/>
              <w:spacing w:before="30" w:after="30" w:line="264" w:lineRule="auto"/>
            </w:pPr>
            <w:r>
              <w:rPr>
                <w:b/>
                <w:color w:val="22333B"/>
                <w:sz w:val="19"/>
                <w:rFonts w:ascii="Calibri" w:hAnsi="Calibri" w:eastAsia="Microsoft YaHei" w:cs="Calibri"/>
                <w:szCs w:val="19"/>
              </w:rPr>
              <w:t>Special bulletin</w:t>
            </w:r>
          </w:p>
        </w:tc>
      </w:tr>
    </w:tbl>
    <w:p>
      <w:pPr>
        <w:pStyle w:val="Caption"/>
      </w:pPr>
      <w:r>
        <w:rPr>
          <w:rFonts w:ascii="Calibri" w:hAnsi="Calibri" w:eastAsia="Microsoft YaHei" w:cs="Calibri"/>
          <w:i/>
          <w:color w:val="1F4E5F"/>
          <w:sz w:val="30"/>
          <w:b/>
          <w:szCs w:val="30"/>
        </w:rPr>
        <w:t>Table H.1: The Verification Schedule</w:t>
      </w:r>
    </w:p>
    <w:p>
      <w:pPr>
        <w:pStyle w:val="Heading1"/>
      </w:pPr>
      <w:r>
        <w:rPr>
          <w:rFonts w:ascii="Calibri" w:hAnsi="Calibri" w:eastAsia="Microsoft YaHei" w:cs="Calibri"/>
          <w:b/>
          <w:color w:val="6E8A96"/>
          <w:sz w:val="18"/>
          <w:i/>
          <w:szCs w:val="18"/>
        </w:rPr>
        <w:t>Provenance and Source Frameworks</w:t>
      </w:r>
    </w:p>
    <w:p>
      <w:pPr>
        <w:pStyle w:val="Normal"/>
        <w:jc w:val="both"/>
      </w:pPr>
      <w:r>
        <w:rPr>
          <w:rFonts w:ascii="Calibri" w:hAnsi="Calibri" w:eastAsia="Microsoft YaHei" w:cs="Calibri"/>
          <w:color w:val="22333B"/>
          <w:sz w:val="21"/>
          <w:szCs w:val="21"/>
        </w:rPr>
        <w:t>This Framework consolidates the strongest verified mechanics of the Modular Regional Stability Frameworks repository into a single coherent instrument. The three-corridor geometry, the zero-toll financial architecture, and the institutional design draw on the Strait governance instruments of July 2026; the graduated compliance engine, earn-back architecture, and performance bond draw on the proportional consequence and verification methods of the repository; the proxy-attack attribution discipline draws on the false-flag and rogue-actor protocols of the repository; and every line adheres to the Immutable Present-Tense Matrix with the Nofade Guarantee first among equals. The repository works stand in the public domain under the CC0 dedication of their author and custodian, and this Framework preserves their humanitarian safeguards, stabilizing mechanisms, and de-escalatory architecture intact, per the dedication's guiding principles. A hardening pass integrates forty additional protections against bad actors, sabotage, and political friction, and four implementation-enabling instruments, each placed at the point in the architecture where it carries the greatest effect.</w:t>
      </w:r>
    </w:p>
    <w:sectPr>
      <w:headerReference w:type="default" r:id="Rbe3ca91fb116442e"/>
      <w:footerReference w:type="default" r:id="R89749e5e31114190"/>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6E8A96"/>
        <w:sz w:val="17"/>
      </w:rPr>
      <w:fldChar w:fldCharType="begin"/>
    </w:r>
    <w:r>
      <w:rPr>
        <w:color w:val="6E8A96"/>
        <w:sz w:val="17"/>
      </w:rPr>
      <w:instrText xml:space="preserve"> PAGE </w:instrText>
    </w:r>
    <w:r>
      <w:rPr>
        <w:color w:val="6E8A96"/>
        <w:sz w:val="17"/>
      </w:rPr>
      <w:fldChar w:fldCharType="separate"/>
    </w:r>
    <w:r>
      <w:rPr>
        <w:color w:val="6E8A96"/>
        <w:sz w:val="17"/>
      </w:rPr>
      <w:t>1</w:t>
    </w:r>
    <w:r>
      <w:rPr>
        <w:color w:val="6E8A96"/>
        <w:sz w:val="17"/>
      </w:rPr>
      <w:fldChar w:fldCharType="end"/>
    </w:r>
    <w:r>
      <w:rPr>
        <w:color w:val="6E8A96"/>
        <w:sz w:val="17"/>
      </w:rPr>
      <w:t xml:space="preserve">  /  </w:t>
    </w:r>
    <w:r>
      <w:rPr>
        <w:color w:val="6E8A96"/>
        <w:sz w:val="17"/>
      </w:rPr>
      <w:fldChar w:fldCharType="begin"/>
    </w:r>
    <w:r>
      <w:rPr>
        <w:color w:val="6E8A96"/>
        <w:sz w:val="17"/>
      </w:rPr>
      <w:instrText xml:space="preserve"> NUMPAGES </w:instrText>
    </w:r>
    <w:r>
      <w:rPr>
        <w:color w:val="6E8A96"/>
        <w:sz w:val="17"/>
      </w:rPr>
      <w:fldChar w:fldCharType="separate"/>
    </w:r>
    <w:r>
      <w:rPr>
        <w:color w:val="6E8A96"/>
        <w:sz w:val="17"/>
      </w:rPr>
      <w:t>1</w:t>
    </w:r>
    <w:r>
      <w:rPr>
        <w:color w:val="6E8A96"/>
        <w:sz w:val="17"/>
      </w:rPr>
      <w:fldChar w:fldCharType="end"/>
    </w:r>
  </w:p>
</w:ftr>
</file>

<file path=word/header1.xml><?xml version="1.0" encoding="utf-8"?>
<w:hdr xmlns:w="http://schemas.openxmlformats.org/wordprocessingml/2006/main">
  <w:p>
    <w:pPr>
      <w:pStyle w:val="Normal"/>
      <w:jc w:val="right"/>
    </w:pPr>
    <w:r>
      <w:rPr>
        <w:color w:val="6E8A96"/>
        <w:sz w:val="17"/>
        <w:rFonts w:ascii="Calibri" w:hAnsi="Calibri" w:eastAsia="Microsoft YaHei" w:cs="Calibri"/>
        <w:szCs w:val="17"/>
      </w:rPr>
      <w:t xml:space="preserve">The Daryaban Framework  |  Version 1.2  |  July 2026</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288" w:lineRule="auto"/>
    </w:pPr>
    <w:rPr>
      <w:rFonts w:ascii="Calibri" w:hAnsi="Calibri" w:eastAsia="Microsoft YaHei"/>
      <w:color w:val="22333B"/>
      <w:sz w:val="21"/>
    </w:rPr>
  </w:style>
  <w:style w:type="paragraph" w:styleId="Heading1">
    <w:name w:val="heading 1"/>
    <w:basedOn w:val="Normal"/>
    <w:pPr>
      <w:keepNext/>
      <w:keepLines/>
      <w:pageBreakBefore/>
      <w:spacing w:before="0" w:after="280"/>
      <w:outlineLvl w:val="0"/>
    </w:pPr>
    <w:rPr>
      <w:rFonts w:ascii="Calibri" w:hAnsi="Calibri" w:eastAsia="Microsoft YaHei"/>
      <w:b/>
      <w:color w:val="1F4E5F"/>
      <w:sz w:val="30"/>
    </w:rPr>
  </w:style>
  <w:style w:type="paragraph" w:styleId="Heading2">
    <w:name w:val="heading 2"/>
    <w:basedOn w:val="Normal"/>
    <w:pPr>
      <w:keepNext/>
      <w:keepLines/>
      <w:spacing w:before="360" w:after="180"/>
      <w:outlineLvl w:val="1"/>
    </w:pPr>
    <w:rPr>
      <w:rFonts w:ascii="Calibri" w:hAnsi="Calibri" w:eastAsia="Microsoft YaHei"/>
      <w:b/>
      <w:color w:val="1F4E5F"/>
      <w:sz w:val="26"/>
    </w:rPr>
  </w:style>
  <w:style w:type="paragraph" w:styleId="Heading3">
    <w:name w:val="heading 3"/>
    <w:basedOn w:val="Normal"/>
    <w:pPr>
      <w:keepNext/>
      <w:keepLines/>
      <w:spacing w:before="260" w:after="120"/>
      <w:outlineLvl w:val="2"/>
    </w:pPr>
    <w:rPr>
      <w:rFonts w:ascii="Calibri" w:hAnsi="Calibri" w:eastAsia="Microsoft YaHei"/>
      <w:b/>
      <w:color w:val="3A7086"/>
      <w:sz w:val="22"/>
    </w:rPr>
  </w:style>
  <w:style w:type="paragraph" w:styleId="Caption">
    <w:name w:val="Caption"/>
    <w:basedOn w:val="Normal"/>
    <w:pPr>
      <w:spacing w:before="60" w:after="300"/>
      <w:jc w:val="center"/>
    </w:pPr>
    <w:rPr>
      <w:i/>
      <w:color w:val="6E8A96"/>
      <w:sz w:val="18"/>
    </w:rPr>
  </w:style>
  <w:style w:type="paragraph" w:styleId="TOC1">
    <w:name w:val="toc 1"/>
    <w:basedOn w:val="Normal"/>
    <w:pPr>
      <w:tabs>
        <w:tab w:val="right" w:leader="dot" w:pos="9350"/>
      </w:tabs>
      <w:spacing w:before="160" w:after="40"/>
      <w:ind w:left="0"/>
    </w:pPr>
    <w:rPr>
      <w:b/>
      <w:color w:val="22333B"/>
      <w:sz w:val="20"/>
    </w:rPr>
  </w:style>
  <w:style w:type="paragraph" w:styleId="TOC2">
    <w:name w:val="toc 2"/>
    <w:basedOn w:val="Normal"/>
    <w:pPr>
      <w:tabs>
        <w:tab w:val="right" w:leader="dot" w:pos="9350"/>
      </w:tabs>
      <w:spacing w:before="40" w:after="40"/>
      <w:ind w:left="280"/>
    </w:pPr>
    <w:rPr>
      <w:color w:val="3A7086"/>
      <w:sz w:val="20"/>
    </w:rPr>
  </w:style>
  <w:style w:type="paragraph" w:styleId="TOC3">
    <w:name w:val="toc 3"/>
    <w:basedOn w:val="Normal"/>
    <w:pPr>
      <w:tabs>
        <w:tab w:val="right" w:leader="dot" w:pos="9350"/>
      </w:tabs>
      <w:spacing w:before="20" w:after="40"/>
      <w:ind w:left="560"/>
    </w:pPr>
    <w:rPr>
      <w:color w:val="3A7086"/>
      <w:sz w:val="20"/>
    </w:rPr>
  </w:style>
</w:styles>
</file>

<file path=word/_rels/document.xml.rels><?xml version='1.0' encoding='UTF-8'?>
<Relationships xmlns="http://schemas.openxmlformats.org/package/2006/relationships"><Relationship Id="R6a50fea53fea4fda" Type="http://schemas.openxmlformats.org/officeDocument/2006/relationships/settings" Target="settings.xml" /><Relationship Id="R7b55851a83cc48d5" Type="http://schemas.openxmlformats.org/officeDocument/2006/relationships/styles" Target="styles.xml" /><Relationship Id="R89749e5e31114190" Type="http://schemas.openxmlformats.org/officeDocument/2006/relationships/footer" Target="footer1.xml" /><Relationship Id="Rbe3ca91fb116442e" Type="http://schemas.openxmlformats.org/officeDocument/2006/relationships/header" Target="header1.xml" /></Relationships>
</file>