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header5.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header4.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custom-properties" Target="docProps/custom.xml" /><Relationship Id="rId4"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
        <w:rPr/>
        <w:jc w:val="center"/>
        <w:keepNext w:val="1"/>
        <w:spacing w:before="360" w:after="40"/>
      </w:pPr>
      <w:r>
        <w:rPr>
          <w:rFonts w:eastAsia="Calibri" w:cs="Calibri" w:ascii="Calibri" w:hAnsi="Calibri"/>
          <w:b/>
          <w:color w:val="1F4E5F"/>
          <w:sz w:val="18"/>
          <w:szCs w:val="24"/>
          <w:lang w:val="en-CA" w:eastAsia="en-CA" w:bidi="ar-SA"/>
          <w:caps/>
          <w:spacing w:val="24"/>
        </w:rPr>
        <w:t>GTANF-2026-v3.0 · Negotiation Draft</w:t>
      </w:r>
    </w:p>
    <w:p>
      <w:pPr>
        <w:pStyle w:val="Normal"/>
        <w:rPr/>
        <w:jc w:val="center"/>
        <w:spacing w:line="20" w:before="20" w:after="20" w:lineRule="exact"/>
        <w:ind w:left="2900" w:right="2900"/>
        <w:shd w:val="clear" w:fill="1F4E5F"/>
      </w:pPr>
      <w:r>
        <w:rPr>
          <w:rFonts w:ascii="Calibri" w:hAnsi="Calibri" w:eastAsia="Calibri" w:cs="Calibri"/>
          <w:color w:val="1F4E5F"/>
          <w:sz w:val="2"/>
          <w:szCs w:val="24"/>
          <w:lang w:val="en-CA" w:eastAsia="en-CA" w:bidi="ar-SA"/>
        </w:rPr>
        <w:t xml:space="preserve"> </w:t>
      </w:r>
    </w:p>
    <w:p>
      <w:pPr>
        <w:pStyle w:val="Normal"/>
        <w:rPr/>
        <w:jc w:val="center"/>
        <w:keepNext w:val="1"/>
        <w:spacing w:line="280" w:before="1500" w:after="0" w:lineRule="auto"/>
      </w:pPr>
      <w:r>
        <w:rPr>
          <w:rFonts w:eastAsia="Cambria" w:cs="Cambria" w:ascii="Cambria" w:hAnsi="Cambria"/>
          <w:b/>
          <w:i w:val="0"/>
          <w:color w:val="173F4F"/>
          <w:sz w:val="52"/>
          <w:szCs w:val="24"/>
          <w:lang w:val="en-CA" w:eastAsia="en-CA" w:bidi="ar-SA"/>
        </w:rPr>
        <w:t>THE GULF TRANSIT</w:t>
      </w:r>
    </w:p>
    <w:p>
      <w:pPr>
        <w:pStyle w:val="Normal"/>
        <w:rPr/>
        <w:jc w:val="center"/>
        <w:keepNext w:val="1"/>
        <w:spacing w:line="280" w:before="0" w:after="0" w:lineRule="auto"/>
      </w:pPr>
      <w:r>
        <w:rPr>
          <w:rFonts w:eastAsia="Cambria" w:cs="Cambria" w:ascii="Cambria" w:hAnsi="Cambria"/>
          <w:b/>
          <w:i w:val="0"/>
          <w:color w:val="173F4F"/>
          <w:sz w:val="52"/>
          <w:szCs w:val="24"/>
          <w:lang w:val="en-CA" w:eastAsia="en-CA" w:bidi="ar-SA"/>
        </w:rPr>
        <w:t>ASSURANCE NETWORK</w:t>
      </w:r>
    </w:p>
    <w:p>
      <w:pPr>
        <w:pStyle w:val="Normal"/>
        <w:rPr/>
        <w:jc w:val="center"/>
        <w:spacing w:line="280" w:before="0" w:after="260" w:lineRule="auto"/>
      </w:pPr>
      <w:r>
        <w:rPr>
          <w:rFonts w:eastAsia="Cambria" w:cs="Cambria" w:ascii="Cambria" w:hAnsi="Cambria"/>
          <w:b/>
          <w:i w:val="0"/>
          <w:color w:val="173F4F"/>
          <w:sz w:val="52"/>
          <w:szCs w:val="24"/>
          <w:lang w:val="en-CA" w:eastAsia="en-CA" w:bidi="ar-SA"/>
        </w:rPr>
        <w:t>FRAMEWORK</w:t>
      </w:r>
    </w:p>
    <w:p>
      <w:pPr>
        <w:pStyle w:val="Normal"/>
        <w:rPr/>
        <w:jc w:val="center"/>
        <w:keepNext w:val="1"/>
        <w:spacing w:before="0" w:after="140"/>
      </w:pPr>
      <w:r>
        <w:rPr>
          <w:rFonts w:eastAsia="Cambria" w:cs="Cambria" w:ascii="Cambria" w:hAnsi="Cambria"/>
          <w:color w:val="33586A"/>
          <w:sz w:val="28"/>
          <w:szCs w:val="24"/>
          <w:lang w:val="en-CA" w:eastAsia="en-CA" w:bidi="ar-SA"/>
        </w:rPr>
        <w:t>A Multilateral Governance System for the Strait of Hormuz</w:t>
      </w:r>
    </w:p>
    <w:p>
      <w:pPr>
        <w:pStyle w:val="Normal"/>
        <w:rPr/>
        <w:jc w:val="center"/>
        <w:spacing w:line="250" w:before="0" w:after="0" w:lineRule="auto"/>
        <w:ind w:left="900" w:right="900"/>
      </w:pPr>
      <w:r>
        <w:rPr>
          <w:rFonts w:eastAsia="Calibri" w:cs="Calibri" w:ascii="Calibri" w:hAnsi="Calibri"/>
          <w:color w:val="4A5A62"/>
          <w:sz w:val="21"/>
          <w:szCs w:val="24"/>
          <w:lang w:val="en-CA" w:eastAsia="en-CA" w:bidi="ar-SA"/>
        </w:rPr>
        <w:t>Concluded among the Islamic Republic of Iran, the Sultanate of Oman, the United Arab Emirates, and the State of Qatar, in consultation with major user states and the International Maritime Organization</w:t>
      </w:r>
    </w:p>
    <w:p>
      <w:pPr>
        <w:pStyle w:val="Normal"/>
        <w:rPr/>
        <w:jc w:val="center"/>
        <w:keepNext w:val="1"/>
        <w:spacing w:before="520" w:after="80"/>
      </w:pPr>
      <w:r>
        <w:rPr>
          <w:rFonts w:eastAsia="Calibri" w:cs="Calibri" w:ascii="Calibri" w:hAnsi="Calibri"/>
          <w:b/>
          <w:color w:val="1F4E5F"/>
          <w:sz w:val="20"/>
          <w:szCs w:val="24"/>
          <w:lang w:val="en-CA" w:eastAsia="en-CA" w:bidi="ar-SA"/>
        </w:rPr>
        <w:t xml:space="preserve">Version 3.0  |  29 July 2026</w:t>
      </w:r>
    </w:p>
    <w:p>
      <w:pPr>
        <w:pStyle w:val="Normal"/>
        <w:rPr/>
        <w:jc w:val="center"/>
        <w:spacing w:before="0" w:after="60"/>
      </w:pPr>
      <w:r>
        <w:rPr>
          <w:rFonts w:eastAsia="Calibri" w:cs="Calibri" w:ascii="Calibri" w:hAnsi="Calibri"/>
          <w:color w:val="2F3B42"/>
          <w:sz w:val="20"/>
          <w:szCs w:val="24"/>
          <w:lang w:val="en-CA" w:eastAsia="en-CA" w:bidi="ar-SA"/>
        </w:rPr>
        <w:t>Status: Negotiation Draft, Subject to Revision</w:t>
      </w:r>
    </w:p>
    <w:p>
      <w:pPr>
        <w:pStyle w:val="Normal"/>
        <w:rPr/>
        <w:jc w:val="center"/>
        <w:spacing w:before="0" w:after="220"/>
      </w:pPr>
      <w:r>
        <w:rPr>
          <w:rFonts w:eastAsia="Calibri" w:cs="Calibri" w:ascii="Calibri" w:hAnsi="Calibri"/>
          <w:color w:val="2F3B42"/>
          <w:sz w:val="20"/>
          <w:szCs w:val="24"/>
          <w:lang w:val="en-CA" w:eastAsia="en-CA" w:bidi="ar-SA"/>
        </w:rPr>
        <w:t>Negotiation Reference: GTANF-2026-v3.0</w:t>
      </w:r>
    </w:p>
    <w:p>
      <w:pPr>
        <w:pStyle w:val="Normal"/>
        <w:rPr/>
        <w:jc w:val="center"/>
        <w:spacing w:before="0" w:after="70"/>
      </w:pPr>
      <w:r>
        <w:rPr>
          <w:rFonts w:eastAsia="Calibri" w:cs="Calibri" w:ascii="Calibri" w:hAnsi="Calibri"/>
          <w:b/>
          <w:color w:val="1F4E5F"/>
          <w:sz w:val="20"/>
          <w:szCs w:val="24"/>
          <w:lang w:val="en-CA" w:eastAsia="en-CA" w:bidi="ar-SA"/>
        </w:rPr>
        <w:t xml:space="preserve">Facilitation: </w:t>
      </w:r>
      <w:r>
        <w:rPr>
          <w:rFonts w:eastAsia="Calibri" w:cs="Calibri" w:ascii="Calibri" w:hAnsi="Calibri"/>
          <w:b w:val="0"/>
          <w:color w:val="2F3B42"/>
          <w:sz w:val="20"/>
          <w:szCs w:val="24"/>
          <w:lang w:val="en-CA" w:eastAsia="en-CA" w:bidi="ar-SA"/>
        </w:rPr>
        <w:t>Swiss Confederation · Islamic Republic of Pakistan</w:t>
      </w:r>
    </w:p>
    <w:p>
      <w:pPr>
        <w:pStyle w:val="Normal"/>
        <w:rPr/>
        <w:jc w:val="center"/>
        <w:spacing w:before="0" w:after="70"/>
      </w:pPr>
      <w:r>
        <w:rPr>
          <w:rFonts w:eastAsia="Calibri" w:cs="Calibri" w:ascii="Calibri" w:hAnsi="Calibri"/>
          <w:b/>
          <w:color w:val="1F4E5F"/>
          <w:sz w:val="20"/>
          <w:szCs w:val="24"/>
          <w:lang w:val="en-CA" w:eastAsia="en-CA" w:bidi="ar-SA"/>
        </w:rPr>
        <w:t xml:space="preserve">Technical Interface: </w:t>
      </w:r>
      <w:r>
        <w:rPr>
          <w:rFonts w:eastAsia="Calibri" w:cs="Calibri" w:ascii="Calibri" w:hAnsi="Calibri"/>
          <w:b w:val="0"/>
          <w:color w:val="2F3B42"/>
          <w:sz w:val="20"/>
          <w:szCs w:val="24"/>
          <w:lang w:val="en-CA" w:eastAsia="en-CA" w:bidi="ar-SA"/>
        </w:rPr>
        <w:t>International Maritime Organization</w:t>
      </w:r>
    </w:p>
    <w:p>
      <w:pPr>
        <w:jc w:val="center"/>
        <w:spacing w:line="240" w:before="0" w:after="0" w:lineRule="auto"/>
        <w:ind w:left="700" w:right="700"/>
        <w:pStyle w:val="Normal"/>
        <w:rPr/>
        <w:sectPr>
          <w:headerReference w:type="even" r:id="rId2"/>
          <w:headerReference w:type="default" r:id="rId3"/>
          <w:footerReference w:type="even" r:id="rId4"/>
          <w:footerReference w:type="default" r:id="rId5"/>
          <w:type w:val="nextPage"/>
          <w:pgSz w:w="11906" w:h="16838"/>
          <w:pgMar w:left="1440" w:right="1440" w:gutter="0" w:header="720" w:top="1440" w:footer="720" w:bottom="1440"/>
          <w:pgNumType w:fmt="decimal"/>
          <w:formProt w:val="false"/>
          <w:textDirection w:val="lrTb"/>
          <w:docGrid w:type="default" w:linePitch="100" w:charSpace="0"/>
        </w:sectPr>
      </w:pPr>
      <w:r>
        <w:rPr>
          <w:rFonts w:eastAsia="Calibri" w:cs="Calibri" w:ascii="Calibri" w:hAnsi="Calibri"/>
          <w:b/>
          <w:color w:val="1F4E5F"/>
          <w:sz w:val="20"/>
          <w:szCs w:val="24"/>
          <w:lang w:val="en-CA" w:eastAsia="en-CA" w:bidi="ar-SA"/>
        </w:rPr>
        <w:t xml:space="preserve">Seat: </w:t>
      </w:r>
      <w:r>
        <w:rPr>
          <w:rFonts w:eastAsia="Calibri" w:cs="Calibri" w:ascii="Calibri" w:hAnsi="Calibri"/>
          <w:b w:val="0"/>
          <w:color w:val="2F3B42"/>
          <w:sz w:val="20"/>
          <w:szCs w:val="24"/>
          <w:lang w:val="en-CA" w:eastAsia="en-CA" w:bidi="ar-SA"/>
        </w:rPr>
        <w:t>Meridian Coordination Center, Muscat · Mirror Office, Bandar Abbas</w:t>
      </w:r>
    </w:p>
    <w:p>
      <w:pPr>
        <w:pStyle w:val="Normal"/>
        <w:rPr/>
      </w:pPr>
      <w:r>
        <w:rPr>
          <w:rFonts w:eastAsia="Cambria" w:cs="Cambria" w:ascii="Cambria" w:hAnsi="Cambria"/>
          <w:b/>
          <w:i/>
          <w:color w:val="2F3B42"/>
          <w:sz w:val="26"/>
          <w:szCs w:val="24"/>
          <w:lang w:val="en-CA" w:eastAsia="en-CA" w:bidi="ar-SA"/>
        </w:rPr>
        <w:t>Table of 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webHidden/>
              <w:rStyle w:val="IndexLink"/>
            </w:rPr>
            <w:instrText xml:space="preserve"> TOC \z \o "1-3" \u \h</w:instrText>
          </w:r>
          <w:r>
            <w:rPr>
              <w:webHidden/>
              <w:rStyle w:val="IndexLink"/>
            </w:rPr>
            <w:fldChar w:fldCharType="separate"/>
          </w:r>
          <w:hyperlink w:anchor="__RefHeading___Toc8935_4022417266">
            <w:r>
              <w:rPr>
                <w:webHidden/>
                <w:rStyle w:val="IndexLink"/>
              </w:rPr>
              <w:t>Document Status and Instrument Record</w:t>
              <w:tab/>
              <w:t>6</w:t>
            </w:r>
          </w:hyperlink>
        </w:p>
        <w:p>
          <w:pPr>
            <w:pStyle w:val="TOC1"/>
            <w:tabs>
              <w:tab w:val="clear" w:pos="9026"/>
              <w:tab w:val="right" w:pos="9025" w:leader="dot"/>
            </w:tabs>
            <w:rPr/>
          </w:pPr>
          <w:hyperlink w:anchor="__RefHeading___Toc8937_4022417266">
            <w:r>
              <w:rPr>
                <w:webHidden/>
                <w:rStyle w:val="IndexLink"/>
              </w:rPr>
              <w:t>Cover Note of the Facilitating States</w:t>
              <w:tab/>
              <w:t>7</w:t>
            </w:r>
          </w:hyperlink>
        </w:p>
        <w:p>
          <w:pPr>
            <w:pStyle w:val="TOC1"/>
            <w:tabs>
              <w:tab w:val="clear" w:pos="9026"/>
              <w:tab w:val="right" w:pos="9025" w:leader="dot"/>
            </w:tabs>
            <w:rPr/>
          </w:pPr>
          <w:hyperlink w:anchor="__RefHeading___Toc8939_4022417266">
            <w:r>
              <w:rPr>
                <w:webHidden/>
                <w:rStyle w:val="IndexLink"/>
              </w:rPr>
              <w:t>Preface: Drafting Convention and Method</w:t>
              <w:tab/>
              <w:t>8</w:t>
            </w:r>
          </w:hyperlink>
        </w:p>
        <w:p>
          <w:pPr>
            <w:pStyle w:val="TOC1"/>
            <w:tabs>
              <w:tab w:val="clear" w:pos="9026"/>
              <w:tab w:val="right" w:pos="9025" w:leader="dot"/>
            </w:tabs>
            <w:rPr/>
          </w:pPr>
          <w:hyperlink w:anchor="__RefHeading___Toc8941_4022417266">
            <w:r>
              <w:rPr>
                <w:webHidden/>
                <w:rStyle w:val="IndexLink"/>
              </w:rPr>
              <w:t>Preamble: The Shared Stewardship of the Strait of Hormuz</w:t>
              <w:tab/>
              <w:t>9</w:t>
            </w:r>
          </w:hyperlink>
        </w:p>
        <w:p>
          <w:pPr>
            <w:pStyle w:val="TOC1"/>
            <w:tabs>
              <w:tab w:val="clear" w:pos="9026"/>
              <w:tab w:val="right" w:pos="9025" w:leader="dot"/>
            </w:tabs>
            <w:rPr/>
          </w:pPr>
          <w:hyperlink w:anchor="__RefHeading___Toc8943_4022417266">
            <w:r>
              <w:rPr>
                <w:webHidden/>
                <w:rStyle w:val="IndexLink"/>
              </w:rPr>
              <w:t>How to Read This Document</w:t>
              <w:tab/>
              <w:t>10</w:t>
            </w:r>
          </w:hyperlink>
        </w:p>
        <w:p>
          <w:pPr>
            <w:pStyle w:val="TOC1"/>
            <w:tabs>
              <w:tab w:val="clear" w:pos="9026"/>
              <w:tab w:val="right" w:pos="9025" w:leader="dot"/>
            </w:tabs>
            <w:rPr/>
          </w:pPr>
          <w:hyperlink w:anchor="__RefHeading___Toc8945_4022417266">
            <w:r>
              <w:rPr>
                <w:webHidden/>
                <w:rStyle w:val="IndexLink"/>
              </w:rPr>
              <w:t>Part I: Foundations</w:t>
              <w:tab/>
              <w:t>11</w:t>
            </w:r>
          </w:hyperlink>
        </w:p>
        <w:p>
          <w:pPr>
            <w:pStyle w:val="TOC2"/>
            <w:tabs>
              <w:tab w:val="clear" w:pos="9026"/>
              <w:tab w:val="right" w:pos="9025" w:leader="dot"/>
            </w:tabs>
            <w:rPr/>
          </w:pPr>
          <w:hyperlink w:anchor="__RefHeading___Toc8947_4022417266">
            <w:r>
              <w:rPr>
                <w:webHidden/>
                <w:rStyle w:val="IndexLink"/>
              </w:rPr>
              <w:t>Article 1: Establishment, Purpose, and Scope</w:t>
              <w:tab/>
              <w:t>11</w:t>
            </w:r>
          </w:hyperlink>
        </w:p>
        <w:p>
          <w:pPr>
            <w:pStyle w:val="TOC3"/>
            <w:tabs>
              <w:tab w:val="clear" w:pos="9026"/>
              <w:tab w:val="right" w:pos="9025" w:leader="dot"/>
            </w:tabs>
            <w:rPr/>
          </w:pPr>
          <w:hyperlink w:anchor="__RefHeading___Toc8949_4022417266">
            <w:r>
              <w:rPr>
                <w:webHidden/>
                <w:rStyle w:val="IndexLink"/>
              </w:rPr>
              <w:t>1.1 Establishment</w:t>
              <w:tab/>
              <w:t>11</w:t>
            </w:r>
          </w:hyperlink>
        </w:p>
        <w:p>
          <w:pPr>
            <w:pStyle w:val="TOC3"/>
            <w:tabs>
              <w:tab w:val="clear" w:pos="9026"/>
              <w:tab w:val="right" w:pos="9025" w:leader="dot"/>
            </w:tabs>
            <w:rPr/>
          </w:pPr>
          <w:hyperlink w:anchor="__RefHeading___Toc8951_4022417266">
            <w:r>
              <w:rPr>
                <w:webHidden/>
                <w:rStyle w:val="IndexLink"/>
              </w:rPr>
              <w:t>1.2 Purpose</w:t>
              <w:tab/>
              <w:t>11</w:t>
            </w:r>
          </w:hyperlink>
        </w:p>
        <w:p>
          <w:pPr>
            <w:pStyle w:val="TOC3"/>
            <w:tabs>
              <w:tab w:val="clear" w:pos="9026"/>
              <w:tab w:val="right" w:pos="9025" w:leader="dot"/>
            </w:tabs>
            <w:rPr/>
          </w:pPr>
          <w:hyperlink w:anchor="__RefHeading___Toc8953_4022417266">
            <w:r>
              <w:rPr>
                <w:webHidden/>
                <w:rStyle w:val="IndexLink"/>
              </w:rPr>
              <w:t>1.3 Geographic Scope</w:t>
              <w:tab/>
              <w:t>11</w:t>
            </w:r>
          </w:hyperlink>
        </w:p>
        <w:p>
          <w:pPr>
            <w:pStyle w:val="TOC3"/>
            <w:tabs>
              <w:tab w:val="clear" w:pos="9026"/>
              <w:tab w:val="right" w:pos="9025" w:leader="dot"/>
            </w:tabs>
            <w:rPr/>
          </w:pPr>
          <w:hyperlink w:anchor="__RefHeading___Toc8955_4022417266">
            <w:r>
              <w:rPr>
                <w:webHidden/>
                <w:rStyle w:val="IndexLink"/>
              </w:rPr>
              <w:t>1.4 Functional Scope</w:t>
              <w:tab/>
              <w:t>11</w:t>
            </w:r>
          </w:hyperlink>
        </w:p>
        <w:p>
          <w:pPr>
            <w:pStyle w:val="TOC3"/>
            <w:tabs>
              <w:tab w:val="clear" w:pos="9026"/>
              <w:tab w:val="right" w:pos="9025" w:leader="dot"/>
            </w:tabs>
            <w:rPr/>
          </w:pPr>
          <w:hyperlink w:anchor="__RefHeading___Toc8957_4022417266">
            <w:r>
              <w:rPr>
                <w:webHidden/>
                <w:rStyle w:val="IndexLink"/>
              </w:rPr>
              <w:t>1.5 What This Framework Does and Does Not Do</w:t>
              <w:tab/>
              <w:t>12</w:t>
            </w:r>
          </w:hyperlink>
        </w:p>
        <w:p>
          <w:pPr>
            <w:pStyle w:val="TOC3"/>
            <w:tabs>
              <w:tab w:val="clear" w:pos="9026"/>
              <w:tab w:val="right" w:pos="9025" w:leader="dot"/>
            </w:tabs>
            <w:rPr/>
          </w:pPr>
          <w:hyperlink w:anchor="__RefHeading___Toc8959_4022417266">
            <w:r>
              <w:rPr>
                <w:webHidden/>
                <w:rStyle w:val="IndexLink"/>
              </w:rPr>
              <w:t>1.6 Relationship to Existing Instruments</w:t>
              <w:tab/>
              <w:t>12</w:t>
            </w:r>
          </w:hyperlink>
        </w:p>
        <w:p>
          <w:pPr>
            <w:pStyle w:val="TOC2"/>
            <w:tabs>
              <w:tab w:val="clear" w:pos="9026"/>
              <w:tab w:val="right" w:pos="9025" w:leader="dot"/>
            </w:tabs>
            <w:rPr/>
          </w:pPr>
          <w:hyperlink w:anchor="__RefHeading___Toc8961_4022417266">
            <w:r>
              <w:rPr>
                <w:webHidden/>
                <w:rStyle w:val="IndexLink"/>
              </w:rPr>
              <w:t>Article 2: Legal Foundations</w:t>
              <w:tab/>
              <w:t>12</w:t>
            </w:r>
          </w:hyperlink>
        </w:p>
        <w:p>
          <w:pPr>
            <w:pStyle w:val="TOC3"/>
            <w:tabs>
              <w:tab w:val="clear" w:pos="9026"/>
              <w:tab w:val="right" w:pos="9025" w:leader="dot"/>
            </w:tabs>
            <w:rPr/>
          </w:pPr>
          <w:hyperlink w:anchor="__RefHeading___Toc8963_4022417266">
            <w:r>
              <w:rPr>
                <w:webHidden/>
                <w:rStyle w:val="IndexLink"/>
              </w:rPr>
              <w:t>2.1 Sovereign Equality of Participant States</w:t>
              <w:tab/>
              <w:t>12</w:t>
            </w:r>
          </w:hyperlink>
        </w:p>
        <w:p>
          <w:pPr>
            <w:pStyle w:val="TOC3"/>
            <w:tabs>
              <w:tab w:val="clear" w:pos="9026"/>
              <w:tab w:val="right" w:pos="9025" w:leader="dot"/>
            </w:tabs>
            <w:rPr/>
          </w:pPr>
          <w:hyperlink w:anchor="__RefHeading___Toc8965_4022417266">
            <w:r>
              <w:rPr>
                <w:webHidden/>
                <w:rStyle w:val="IndexLink"/>
              </w:rPr>
              <w:t>2.2 The Two Legal Anchors</w:t>
              <w:tab/>
              <w:t>12</w:t>
            </w:r>
          </w:hyperlink>
        </w:p>
        <w:p>
          <w:pPr>
            <w:pStyle w:val="TOC3"/>
            <w:tabs>
              <w:tab w:val="clear" w:pos="9026"/>
              <w:tab w:val="right" w:pos="9025" w:leader="dot"/>
            </w:tabs>
            <w:rPr/>
          </w:pPr>
          <w:hyperlink w:anchor="__RefHeading___Toc8967_4022417266">
            <w:r>
              <w:rPr>
                <w:webHidden/>
                <w:rStyle w:val="IndexLink"/>
              </w:rPr>
              <w:t>2.3 Interface with the Law of the Sea</w:t>
              <w:tab/>
              <w:t>13</w:t>
            </w:r>
          </w:hyperlink>
        </w:p>
        <w:p>
          <w:pPr>
            <w:pStyle w:val="TOC3"/>
            <w:tabs>
              <w:tab w:val="clear" w:pos="9026"/>
              <w:tab w:val="right" w:pos="9025" w:leader="dot"/>
            </w:tabs>
            <w:rPr/>
          </w:pPr>
          <w:hyperlink w:anchor="__RefHeading___Toc8969_4022417266">
            <w:r>
              <w:rPr>
                <w:webHidden/>
                <w:rStyle w:val="IndexLink"/>
              </w:rPr>
              <w:t>2.4 No Prejudice</w:t>
              <w:tab/>
              <w:t>13</w:t>
            </w:r>
          </w:hyperlink>
        </w:p>
        <w:p>
          <w:pPr>
            <w:pStyle w:val="TOC2"/>
            <w:tabs>
              <w:tab w:val="clear" w:pos="9026"/>
              <w:tab w:val="right" w:pos="9025" w:leader="dot"/>
            </w:tabs>
            <w:rPr/>
          </w:pPr>
          <w:hyperlink w:anchor="__RefHeading___Toc8971_4022417266">
            <w:r>
              <w:rPr>
                <w:webHidden/>
                <w:rStyle w:val="IndexLink"/>
              </w:rPr>
              <w:t>Article 3: Core Operating Principles</w:t>
              <w:tab/>
              <w:t>13</w:t>
            </w:r>
          </w:hyperlink>
        </w:p>
        <w:p>
          <w:pPr>
            <w:pStyle w:val="TOC3"/>
            <w:tabs>
              <w:tab w:val="clear" w:pos="9026"/>
              <w:tab w:val="right" w:pos="9025" w:leader="dot"/>
            </w:tabs>
            <w:rPr/>
          </w:pPr>
          <w:hyperlink w:anchor="__RefHeading___Toc8973_4022417266">
            <w:r>
              <w:rPr>
                <w:webHidden/>
                <w:rStyle w:val="IndexLink"/>
              </w:rPr>
              <w:t>3.1 Shared Action</w:t>
              <w:tab/>
              <w:t>13</w:t>
            </w:r>
          </w:hyperlink>
        </w:p>
        <w:p>
          <w:pPr>
            <w:pStyle w:val="TOC3"/>
            <w:tabs>
              <w:tab w:val="clear" w:pos="9026"/>
              <w:tab w:val="right" w:pos="9025" w:leader="dot"/>
            </w:tabs>
            <w:rPr/>
          </w:pPr>
          <w:hyperlink w:anchor="__RefHeading___Toc8975_4022417266">
            <w:r>
              <w:rPr>
                <w:webHidden/>
                <w:rStyle w:val="IndexLink"/>
              </w:rPr>
              <w:t>3.2 Mutual Architecture</w:t>
              <w:tab/>
              <w:t>13</w:t>
            </w:r>
          </w:hyperlink>
        </w:p>
        <w:p>
          <w:pPr>
            <w:pStyle w:val="TOC3"/>
            <w:tabs>
              <w:tab w:val="clear" w:pos="9026"/>
              <w:tab w:val="right" w:pos="9025" w:leader="dot"/>
            </w:tabs>
            <w:rPr/>
          </w:pPr>
          <w:hyperlink w:anchor="__RefHeading___Toc8977_4022417266">
            <w:r>
              <w:rPr>
                <w:webHidden/>
                <w:rStyle w:val="IndexLink"/>
              </w:rPr>
              <w:t>3.3 No-Fade Continuity</w:t>
              <w:tab/>
              <w:t>13</w:t>
            </w:r>
          </w:hyperlink>
        </w:p>
        <w:p>
          <w:pPr>
            <w:pStyle w:val="TOC3"/>
            <w:tabs>
              <w:tab w:val="clear" w:pos="9026"/>
              <w:tab w:val="right" w:pos="9025" w:leader="dot"/>
            </w:tabs>
            <w:rPr/>
          </w:pPr>
          <w:hyperlink w:anchor="__RefHeading___Toc8979_4022417266">
            <w:r>
              <w:rPr>
                <w:webHidden/>
                <w:rStyle w:val="IndexLink"/>
              </w:rPr>
              <w:t>3.4 Proportionality Over Parity</w:t>
              <w:tab/>
              <w:t>13</w:t>
            </w:r>
          </w:hyperlink>
        </w:p>
        <w:p>
          <w:pPr>
            <w:pStyle w:val="TOC3"/>
            <w:tabs>
              <w:tab w:val="clear" w:pos="9026"/>
              <w:tab w:val="right" w:pos="9025" w:leader="dot"/>
            </w:tabs>
            <w:rPr/>
          </w:pPr>
          <w:hyperlink w:anchor="__RefHeading___Toc8981_4022417266">
            <w:r>
              <w:rPr>
                <w:webHidden/>
                <w:rStyle w:val="IndexLink"/>
              </w:rPr>
              <w:t>3.5 Transparency Over Trust</w:t>
              <w:tab/>
              <w:t>14</w:t>
            </w:r>
          </w:hyperlink>
        </w:p>
        <w:p>
          <w:pPr>
            <w:pStyle w:val="TOC3"/>
            <w:tabs>
              <w:tab w:val="clear" w:pos="9026"/>
              <w:tab w:val="right" w:pos="9025" w:leader="dot"/>
            </w:tabs>
            <w:rPr/>
          </w:pPr>
          <w:hyperlink w:anchor="__RefHeading___Toc8983_4022417266">
            <w:r>
              <w:rPr>
                <w:webHidden/>
                <w:rStyle w:val="IndexLink"/>
              </w:rPr>
              <w:t>3.6 Cost Discipline</w:t>
              <w:tab/>
              <w:t>14</w:t>
            </w:r>
          </w:hyperlink>
        </w:p>
        <w:p>
          <w:pPr>
            <w:pStyle w:val="TOC3"/>
            <w:tabs>
              <w:tab w:val="clear" w:pos="9026"/>
              <w:tab w:val="right" w:pos="9025" w:leader="dot"/>
            </w:tabs>
            <w:rPr/>
          </w:pPr>
          <w:hyperlink w:anchor="__RefHeading___Toc8985_4022417266">
            <w:r>
              <w:rPr>
                <w:webHidden/>
                <w:rStyle w:val="IndexLink"/>
              </w:rPr>
              <w:t>3.7 Civilian Character</w:t>
              <w:tab/>
              <w:t>14</w:t>
            </w:r>
          </w:hyperlink>
        </w:p>
        <w:p>
          <w:pPr>
            <w:pStyle w:val="TOC3"/>
            <w:tabs>
              <w:tab w:val="clear" w:pos="9026"/>
              <w:tab w:val="right" w:pos="9025" w:leader="dot"/>
            </w:tabs>
            <w:rPr/>
          </w:pPr>
          <w:hyperlink w:anchor="__RefHeading___Toc8987_4022417266">
            <w:r>
              <w:rPr>
                <w:webHidden/>
                <w:rStyle w:val="IndexLink"/>
              </w:rPr>
              <w:t>3.8 Human-Anchored Verification</w:t>
              <w:tab/>
              <w:t>14</w:t>
            </w:r>
          </w:hyperlink>
        </w:p>
        <w:p>
          <w:pPr>
            <w:pStyle w:val="TOC2"/>
            <w:tabs>
              <w:tab w:val="clear" w:pos="9026"/>
              <w:tab w:val="right" w:pos="9025" w:leader="dot"/>
            </w:tabs>
            <w:rPr/>
          </w:pPr>
          <w:hyperlink w:anchor="__RefHeading___Toc8989_4022417266">
            <w:r>
              <w:rPr>
                <w:webHidden/>
                <w:rStyle w:val="IndexLink"/>
              </w:rPr>
              <w:t>Article 4: Definitions and Interpretation</w:t>
              <w:tab/>
              <w:t>14</w:t>
            </w:r>
          </w:hyperlink>
        </w:p>
        <w:p>
          <w:pPr>
            <w:pStyle w:val="TOC3"/>
            <w:tabs>
              <w:tab w:val="clear" w:pos="9026"/>
              <w:tab w:val="right" w:pos="9025" w:leader="dot"/>
            </w:tabs>
            <w:rPr/>
          </w:pPr>
          <w:hyperlink w:anchor="__RefHeading___Toc8991_4022417266">
            <w:r>
              <w:rPr>
                <w:webHidden/>
                <w:rStyle w:val="IndexLink"/>
              </w:rPr>
              <w:t>4.1 Definitions</w:t>
              <w:tab/>
              <w:t>14</w:t>
            </w:r>
          </w:hyperlink>
        </w:p>
        <w:p>
          <w:pPr>
            <w:pStyle w:val="TOC3"/>
            <w:tabs>
              <w:tab w:val="clear" w:pos="9026"/>
              <w:tab w:val="right" w:pos="9025" w:leader="dot"/>
            </w:tabs>
            <w:rPr/>
          </w:pPr>
          <w:hyperlink w:anchor="__RefHeading___Toc8993_4022417266">
            <w:r>
              <w:rPr>
                <w:webHidden/>
                <w:rStyle w:val="IndexLink"/>
              </w:rPr>
              <w:t>4.2 Interpretation</w:t>
              <w:tab/>
              <w:t>17</w:t>
            </w:r>
          </w:hyperlink>
        </w:p>
        <w:p>
          <w:pPr>
            <w:pStyle w:val="TOC2"/>
            <w:tabs>
              <w:tab w:val="clear" w:pos="9026"/>
              <w:tab w:val="right" w:pos="9025" w:leader="dot"/>
            </w:tabs>
            <w:rPr/>
          </w:pPr>
          <w:hyperlink w:anchor="__RefHeading___Toc8995_4022417266">
            <w:r>
              <w:rPr>
                <w:webHidden/>
                <w:rStyle w:val="IndexLink"/>
              </w:rPr>
              <w:t>Article 5: The Core Principles Register</w:t>
              <w:tab/>
              <w:t>17</w:t>
            </w:r>
          </w:hyperlink>
        </w:p>
        <w:p>
          <w:pPr>
            <w:pStyle w:val="TOC3"/>
            <w:tabs>
              <w:tab w:val="clear" w:pos="9026"/>
              <w:tab w:val="right" w:pos="9025" w:leader="dot"/>
            </w:tabs>
            <w:rPr/>
          </w:pPr>
          <w:hyperlink w:anchor="__RefHeading___Toc8997_4022417266">
            <w:r>
              <w:rPr>
                <w:webHidden/>
                <w:rStyle w:val="IndexLink"/>
              </w:rPr>
              <w:t>5.1 Purpose and Method</w:t>
              <w:tab/>
              <w:t>17</w:t>
            </w:r>
          </w:hyperlink>
        </w:p>
        <w:p>
          <w:pPr>
            <w:pStyle w:val="TOC3"/>
            <w:tabs>
              <w:tab w:val="clear" w:pos="9026"/>
              <w:tab w:val="right" w:pos="9025" w:leader="dot"/>
            </w:tabs>
            <w:rPr/>
          </w:pPr>
          <w:hyperlink w:anchor="__RefHeading___Toc8999_4022417266">
            <w:r>
              <w:rPr>
                <w:webHidden/>
                <w:rStyle w:val="IndexLink"/>
              </w:rPr>
              <w:t>5.2 The Register</w:t>
              <w:tab/>
              <w:t>18</w:t>
            </w:r>
          </w:hyperlink>
        </w:p>
        <w:p>
          <w:pPr>
            <w:pStyle w:val="TOC3"/>
            <w:tabs>
              <w:tab w:val="clear" w:pos="9026"/>
              <w:tab w:val="right" w:pos="9025" w:leader="dot"/>
            </w:tabs>
            <w:rPr/>
          </w:pPr>
          <w:hyperlink w:anchor="__RefHeading___Toc9001_4022417266">
            <w:r>
              <w:rPr>
                <w:webHidden/>
                <w:rStyle w:val="IndexLink"/>
              </w:rPr>
              <w:t>5.3 The Perimeter Test</w:t>
              <w:tab/>
              <w:t>19</w:t>
            </w:r>
          </w:hyperlink>
        </w:p>
        <w:p>
          <w:pPr>
            <w:pStyle w:val="TOC3"/>
            <w:tabs>
              <w:tab w:val="clear" w:pos="9026"/>
              <w:tab w:val="right" w:pos="9025" w:leader="dot"/>
            </w:tabs>
            <w:rPr/>
          </w:pPr>
          <w:hyperlink w:anchor="__RefHeading___Toc9003_4022417266">
            <w:r>
              <w:rPr>
                <w:webHidden/>
                <w:rStyle w:val="IndexLink"/>
              </w:rPr>
              <w:t>5.4 No Trading of Core Principles</w:t>
              <w:tab/>
              <w:t>19</w:t>
            </w:r>
          </w:hyperlink>
        </w:p>
        <w:p>
          <w:pPr>
            <w:pStyle w:val="TOC1"/>
            <w:tabs>
              <w:tab w:val="clear" w:pos="9026"/>
              <w:tab w:val="right" w:pos="9025" w:leader="dot"/>
            </w:tabs>
            <w:rPr/>
          </w:pPr>
          <w:hyperlink w:anchor="__RefHeading___Toc9005_4022417266">
            <w:r>
              <w:rPr>
                <w:webHidden/>
                <w:rStyle w:val="IndexLink"/>
              </w:rPr>
              <w:t>Part II: The Triple-Corridor Transit System</w:t>
              <w:tab/>
              <w:t>20</w:t>
            </w:r>
          </w:hyperlink>
        </w:p>
        <w:p>
          <w:pPr>
            <w:pStyle w:val="TOC2"/>
            <w:tabs>
              <w:tab w:val="clear" w:pos="9026"/>
              <w:tab w:val="right" w:pos="9025" w:leader="dot"/>
            </w:tabs>
            <w:rPr/>
          </w:pPr>
          <w:hyperlink w:anchor="__RefHeading___Toc9007_4022417266">
            <w:r>
              <w:rPr>
                <w:webHidden/>
                <w:rStyle w:val="IndexLink"/>
              </w:rPr>
              <w:t>Article 6: The System at a Glance</w:t>
              <w:tab/>
              <w:t>20</w:t>
            </w:r>
          </w:hyperlink>
        </w:p>
        <w:p>
          <w:pPr>
            <w:pStyle w:val="TOC3"/>
            <w:tabs>
              <w:tab w:val="clear" w:pos="9026"/>
              <w:tab w:val="right" w:pos="9025" w:leader="dot"/>
            </w:tabs>
            <w:rPr/>
          </w:pPr>
          <w:hyperlink w:anchor="__RefHeading___Toc9009_4022417266">
            <w:r>
              <w:rPr>
                <w:webHidden/>
                <w:rStyle w:val="IndexLink"/>
              </w:rPr>
              <w:t>6.1 Design Logic</w:t>
              <w:tab/>
              <w:t>20</w:t>
            </w:r>
          </w:hyperlink>
        </w:p>
        <w:p>
          <w:pPr>
            <w:pStyle w:val="TOC3"/>
            <w:tabs>
              <w:tab w:val="clear" w:pos="9026"/>
              <w:tab w:val="right" w:pos="9025" w:leader="dot"/>
            </w:tabs>
            <w:rPr/>
          </w:pPr>
          <w:hyperlink w:anchor="__RefHeading___Toc9011_4022417266">
            <w:r>
              <w:rPr>
                <w:webHidden/>
                <w:rStyle w:val="IndexLink"/>
              </w:rPr>
              <w:t>6.2 The Three Passages</w:t>
              <w:tab/>
              <w:t>20</w:t>
            </w:r>
          </w:hyperlink>
        </w:p>
        <w:p>
          <w:pPr>
            <w:pStyle w:val="TOC3"/>
            <w:tabs>
              <w:tab w:val="clear" w:pos="9026"/>
              <w:tab w:val="right" w:pos="9025" w:leader="dot"/>
            </w:tabs>
            <w:rPr/>
          </w:pPr>
          <w:hyperlink w:anchor="__RefHeading___Toc9013_4022417266">
            <w:r>
              <w:rPr>
                <w:webHidden/>
                <w:rStyle w:val="IndexLink"/>
              </w:rPr>
              <w:t>6.3 The Two Separation Belts</w:t>
              <w:tab/>
              <w:t>20</w:t>
            </w:r>
          </w:hyperlink>
        </w:p>
        <w:p>
          <w:pPr>
            <w:pStyle w:val="TOC3"/>
            <w:tabs>
              <w:tab w:val="clear" w:pos="9026"/>
              <w:tab w:val="right" w:pos="9025" w:leader="dot"/>
            </w:tabs>
            <w:rPr/>
          </w:pPr>
          <w:hyperlink w:anchor="__RefHeading___Toc9015_4022417266">
            <w:r>
              <w:rPr>
                <w:webHidden/>
                <w:rStyle w:val="IndexLink"/>
              </w:rPr>
              <w:t>6.4 Flow States</w:t>
              <w:tab/>
              <w:t>21</w:t>
            </w:r>
          </w:hyperlink>
        </w:p>
        <w:p>
          <w:pPr>
            <w:pStyle w:val="TOC3"/>
            <w:tabs>
              <w:tab w:val="clear" w:pos="9026"/>
              <w:tab w:val="right" w:pos="9025" w:leader="dot"/>
            </w:tabs>
            <w:rPr/>
          </w:pPr>
          <w:hyperlink w:anchor="__RefHeading___Toc9017_4022417266">
            <w:r>
              <w:rPr>
                <w:webHidden/>
                <w:rStyle w:val="IndexLink"/>
              </w:rPr>
              <w:t>6.5 The Open Water Bulletin</w:t>
              <w:tab/>
              <w:t>21</w:t>
            </w:r>
          </w:hyperlink>
        </w:p>
        <w:p>
          <w:pPr>
            <w:pStyle w:val="TOC2"/>
            <w:tabs>
              <w:tab w:val="clear" w:pos="9026"/>
              <w:tab w:val="right" w:pos="9025" w:leader="dot"/>
            </w:tabs>
            <w:rPr/>
          </w:pPr>
          <w:hyperlink w:anchor="__RefHeading___Toc9019_4022417266">
            <w:r>
              <w:rPr>
                <w:webHidden/>
                <w:rStyle w:val="IndexLink"/>
              </w:rPr>
              <w:t>Article 7: The Southern Assurance Passage</w:t>
              <w:tab/>
              <w:t>21</w:t>
            </w:r>
          </w:hyperlink>
        </w:p>
        <w:p>
          <w:pPr>
            <w:pStyle w:val="TOC3"/>
            <w:tabs>
              <w:tab w:val="clear" w:pos="9026"/>
              <w:tab w:val="right" w:pos="9025" w:leader="dot"/>
            </w:tabs>
            <w:rPr/>
          </w:pPr>
          <w:hyperlink w:anchor="__RefHeading___Toc9021_4022417266">
            <w:r>
              <w:rPr>
                <w:webHidden/>
                <w:rStyle w:val="IndexLink"/>
              </w:rPr>
              <w:t>7.1 Position and Geometry</w:t>
              <w:tab/>
              <w:t>21</w:t>
            </w:r>
          </w:hyperlink>
        </w:p>
        <w:p>
          <w:pPr>
            <w:pStyle w:val="TOC3"/>
            <w:tabs>
              <w:tab w:val="clear" w:pos="9026"/>
              <w:tab w:val="right" w:pos="9025" w:leader="dot"/>
            </w:tabs>
            <w:rPr/>
          </w:pPr>
          <w:hyperlink w:anchor="__RefHeading___Toc9023_4022417266">
            <w:r>
              <w:rPr>
                <w:webHidden/>
                <w:rStyle w:val="IndexLink"/>
              </w:rPr>
              <w:t>7.2 The Governing Rule: Unconditional Transit</w:t>
              <w:tab/>
              <w:t>22</w:t>
            </w:r>
          </w:hyperlink>
        </w:p>
        <w:p>
          <w:pPr>
            <w:pStyle w:val="TOC3"/>
            <w:tabs>
              <w:tab w:val="clear" w:pos="9026"/>
              <w:tab w:val="right" w:pos="9025" w:leader="dot"/>
            </w:tabs>
            <w:rPr/>
          </w:pPr>
          <w:hyperlink w:anchor="__RefHeading___Toc9025_4022417266">
            <w:r>
              <w:rPr>
                <w:webHidden/>
                <w:rStyle w:val="IndexLink"/>
              </w:rPr>
              <w:t>7.3 Management Arrangement</w:t>
              <w:tab/>
              <w:t>22</w:t>
            </w:r>
          </w:hyperlink>
        </w:p>
        <w:p>
          <w:pPr>
            <w:pStyle w:val="TOC3"/>
            <w:tabs>
              <w:tab w:val="clear" w:pos="9026"/>
              <w:tab w:val="right" w:pos="9025" w:leader="dot"/>
            </w:tabs>
            <w:rPr/>
          </w:pPr>
          <w:hyperlink w:anchor="__RefHeading___Toc9027_4022417266">
            <w:r>
              <w:rPr>
                <w:webHidden/>
                <w:rStyle w:val="IndexLink"/>
              </w:rPr>
              <w:t>7.4 Services in the Southern Assurance Passage</w:t>
              <w:tab/>
              <w:t>22</w:t>
            </w:r>
          </w:hyperlink>
        </w:p>
        <w:p>
          <w:pPr>
            <w:pStyle w:val="TOC3"/>
            <w:tabs>
              <w:tab w:val="clear" w:pos="9026"/>
              <w:tab w:val="right" w:pos="9025" w:leader="dot"/>
            </w:tabs>
            <w:rPr/>
          </w:pPr>
          <w:hyperlink w:anchor="__RefHeading___Toc9029_4022417266">
            <w:r>
              <w:rPr>
                <w:webHidden/>
                <w:rStyle w:val="IndexLink"/>
              </w:rPr>
              <w:t>7.5 Lane Discipline</w:t>
              <w:tab/>
              <w:t>22</w:t>
            </w:r>
          </w:hyperlink>
        </w:p>
        <w:p>
          <w:pPr>
            <w:pStyle w:val="TOC2"/>
            <w:tabs>
              <w:tab w:val="clear" w:pos="9026"/>
              <w:tab w:val="right" w:pos="9025" w:leader="dot"/>
            </w:tabs>
            <w:rPr/>
          </w:pPr>
          <w:hyperlink w:anchor="__RefHeading___Toc9031_4022417266">
            <w:r>
              <w:rPr>
                <w:webHidden/>
                <w:rStyle w:val="IndexLink"/>
              </w:rPr>
              <w:t>Article 8: The Northern Coordination Passage</w:t>
              <w:tab/>
              <w:t>22</w:t>
            </w:r>
          </w:hyperlink>
        </w:p>
        <w:p>
          <w:pPr>
            <w:pStyle w:val="TOC3"/>
            <w:tabs>
              <w:tab w:val="clear" w:pos="9026"/>
              <w:tab w:val="right" w:pos="9025" w:leader="dot"/>
            </w:tabs>
            <w:rPr/>
          </w:pPr>
          <w:hyperlink w:anchor="__RefHeading___Toc9033_4022417266">
            <w:r>
              <w:rPr>
                <w:webHidden/>
                <w:rStyle w:val="IndexLink"/>
              </w:rPr>
              <w:t>8.1 Position and Geometry</w:t>
              <w:tab/>
              <w:t>22</w:t>
            </w:r>
          </w:hyperlink>
        </w:p>
        <w:p>
          <w:pPr>
            <w:pStyle w:val="TOC3"/>
            <w:tabs>
              <w:tab w:val="clear" w:pos="9026"/>
              <w:tab w:val="right" w:pos="9025" w:leader="dot"/>
            </w:tabs>
            <w:rPr/>
          </w:pPr>
          <w:hyperlink w:anchor="__RefHeading___Toc9035_4022417266">
            <w:r>
              <w:rPr>
                <w:webHidden/>
                <w:rStyle w:val="IndexLink"/>
              </w:rPr>
              <w:t>8.2 The Governing Rule: Registration, Not Permission</w:t>
              <w:tab/>
              <w:t>23</w:t>
            </w:r>
          </w:hyperlink>
        </w:p>
        <w:p>
          <w:pPr>
            <w:pStyle w:val="TOC3"/>
            <w:tabs>
              <w:tab w:val="clear" w:pos="9026"/>
              <w:tab w:val="right" w:pos="9025" w:leader="dot"/>
            </w:tabs>
            <w:rPr/>
          </w:pPr>
          <w:hyperlink w:anchor="__RefHeading___Toc9037_4022417266">
            <w:r>
              <w:rPr>
                <w:webHidden/>
                <w:rStyle w:val="IndexLink"/>
              </w:rPr>
              <w:t>8.3 The Multilateral Transit Code</w:t>
              <w:tab/>
              <w:t>23</w:t>
            </w:r>
          </w:hyperlink>
        </w:p>
        <w:p>
          <w:pPr>
            <w:pStyle w:val="TOC3"/>
            <w:tabs>
              <w:tab w:val="clear" w:pos="9026"/>
              <w:tab w:val="right" w:pos="9025" w:leader="dot"/>
            </w:tabs>
            <w:rPr/>
          </w:pPr>
          <w:hyperlink w:anchor="__RefHeading___Toc9039_4022417266">
            <w:r>
              <w:rPr>
                <w:webHidden/>
                <w:rStyle w:val="IndexLink"/>
              </w:rPr>
              <w:t>8.4 Management Arrangement</w:t>
              <w:tab/>
              <w:t>23</w:t>
            </w:r>
          </w:hyperlink>
        </w:p>
        <w:p>
          <w:pPr>
            <w:pStyle w:val="TOC3"/>
            <w:tabs>
              <w:tab w:val="clear" w:pos="9026"/>
              <w:tab w:val="right" w:pos="9025" w:leader="dot"/>
            </w:tabs>
            <w:rPr/>
          </w:pPr>
          <w:hyperlink w:anchor="__RefHeading___Toc9041_4022417266">
            <w:r>
              <w:rPr>
                <w:webHidden/>
                <w:rStyle w:val="IndexLink"/>
              </w:rPr>
              <w:t>8.5 Services in the Northern Coordination Passage</w:t>
              <w:tab/>
              <w:t>24</w:t>
            </w:r>
          </w:hyperlink>
        </w:p>
        <w:p>
          <w:pPr>
            <w:pStyle w:val="TOC3"/>
            <w:tabs>
              <w:tab w:val="clear" w:pos="9026"/>
              <w:tab w:val="right" w:pos="9025" w:leader="dot"/>
            </w:tabs>
            <w:rPr/>
          </w:pPr>
          <w:hyperlink w:anchor="__RefHeading___Toc9043_4022417266">
            <w:r>
              <w:rPr>
                <w:webHidden/>
                <w:rStyle w:val="IndexLink"/>
              </w:rPr>
              <w:t>8.6 Lane Discipline</w:t>
              <w:tab/>
              <w:t>24</w:t>
            </w:r>
          </w:hyperlink>
        </w:p>
        <w:p>
          <w:pPr>
            <w:pStyle w:val="TOC2"/>
            <w:tabs>
              <w:tab w:val="clear" w:pos="9026"/>
              <w:tab w:val="right" w:pos="9025" w:leader="dot"/>
            </w:tabs>
            <w:rPr/>
          </w:pPr>
          <w:hyperlink w:anchor="__RefHeading___Toc9045_4022417266">
            <w:r>
              <w:rPr>
                <w:webHidden/>
                <w:rStyle w:val="IndexLink"/>
              </w:rPr>
              <w:t>Article 9: The Central International Passage</w:t>
              <w:tab/>
              <w:t>24</w:t>
            </w:r>
          </w:hyperlink>
        </w:p>
        <w:p>
          <w:pPr>
            <w:pStyle w:val="TOC3"/>
            <w:tabs>
              <w:tab w:val="clear" w:pos="9026"/>
              <w:tab w:val="right" w:pos="9025" w:leader="dot"/>
            </w:tabs>
            <w:rPr/>
          </w:pPr>
          <w:hyperlink w:anchor="__RefHeading___Toc9047_4022417266">
            <w:r>
              <w:rPr>
                <w:webHidden/>
                <w:rStyle w:val="IndexLink"/>
              </w:rPr>
              <w:t>9.1 Position and Geometry</w:t>
              <w:tab/>
              <w:t>24</w:t>
            </w:r>
          </w:hyperlink>
        </w:p>
        <w:p>
          <w:pPr>
            <w:pStyle w:val="TOC3"/>
            <w:tabs>
              <w:tab w:val="clear" w:pos="9026"/>
              <w:tab w:val="right" w:pos="9025" w:leader="dot"/>
            </w:tabs>
            <w:rPr/>
          </w:pPr>
          <w:hyperlink w:anchor="__RefHeading___Toc9049_4022417266">
            <w:r>
              <w:rPr>
                <w:webHidden/>
                <w:rStyle w:val="IndexLink"/>
              </w:rPr>
              <w:t>9.2 The Governing Rule: Notification, Not Permission</w:t>
              <w:tab/>
              <w:t>24</w:t>
            </w:r>
          </w:hyperlink>
        </w:p>
        <w:p>
          <w:pPr>
            <w:pStyle w:val="TOC3"/>
            <w:tabs>
              <w:tab w:val="clear" w:pos="9026"/>
              <w:tab w:val="right" w:pos="9025" w:leader="dot"/>
            </w:tabs>
            <w:rPr/>
          </w:pPr>
          <w:hyperlink w:anchor="__RefHeading___Toc9051_4022417266">
            <w:r>
              <w:rPr>
                <w:webHidden/>
                <w:rStyle w:val="IndexLink"/>
              </w:rPr>
              <w:t>9.3 Dual Administration</w:t>
              <w:tab/>
              <w:t>24</w:t>
            </w:r>
          </w:hyperlink>
        </w:p>
        <w:p>
          <w:pPr>
            <w:pStyle w:val="TOC3"/>
            <w:tabs>
              <w:tab w:val="clear" w:pos="9026"/>
              <w:tab w:val="right" w:pos="9025" w:leader="dot"/>
            </w:tabs>
            <w:rPr/>
          </w:pPr>
          <w:hyperlink w:anchor="__RefHeading___Toc9053_4022417266">
            <w:r>
              <w:rPr>
                <w:webHidden/>
                <w:rStyle w:val="IndexLink"/>
              </w:rPr>
              <w:t>9.4 Services in the Central International Passage</w:t>
              <w:tab/>
              <w:t>25</w:t>
            </w:r>
          </w:hyperlink>
        </w:p>
        <w:p>
          <w:pPr>
            <w:pStyle w:val="TOC3"/>
            <w:tabs>
              <w:tab w:val="clear" w:pos="9026"/>
              <w:tab w:val="right" w:pos="9025" w:leader="dot"/>
            </w:tabs>
            <w:rPr/>
          </w:pPr>
          <w:hyperlink w:anchor="__RefHeading___Toc9055_4022417266">
            <w:r>
              <w:rPr>
                <w:webHidden/>
                <w:rStyle w:val="IndexLink"/>
              </w:rPr>
              <w:t>9.5 Lane Discipline</w:t>
              <w:tab/>
              <w:t>25</w:t>
            </w:r>
          </w:hyperlink>
        </w:p>
        <w:p>
          <w:pPr>
            <w:pStyle w:val="TOC3"/>
            <w:tabs>
              <w:tab w:val="clear" w:pos="9026"/>
              <w:tab w:val="right" w:pos="9025" w:leader="dot"/>
            </w:tabs>
            <w:rPr/>
          </w:pPr>
          <w:hyperlink w:anchor="__RefHeading___Toc9057_4022417266">
            <w:r>
              <w:rPr>
                <w:webHidden/>
                <w:rStyle w:val="IndexLink"/>
              </w:rPr>
              <w:t>9.6 Phased Governance Review</w:t>
              <w:tab/>
              <w:t>25</w:t>
            </w:r>
          </w:hyperlink>
        </w:p>
        <w:p>
          <w:pPr>
            <w:pStyle w:val="TOC2"/>
            <w:tabs>
              <w:tab w:val="clear" w:pos="9026"/>
              <w:tab w:val="right" w:pos="9025" w:leader="dot"/>
            </w:tabs>
            <w:rPr/>
          </w:pPr>
          <w:hyperlink w:anchor="__RefHeading___Toc9059_4022417266">
            <w:r>
              <w:rPr>
                <w:webHidden/>
                <w:rStyle w:val="IndexLink"/>
              </w:rPr>
              <w:t>Article 10: Geometry, Coordinates, and Separation</w:t>
              <w:tab/>
              <w:t>25</w:t>
            </w:r>
          </w:hyperlink>
        </w:p>
        <w:p>
          <w:pPr>
            <w:pStyle w:val="TOC3"/>
            <w:tabs>
              <w:tab w:val="clear" w:pos="9026"/>
              <w:tab w:val="right" w:pos="9025" w:leader="dot"/>
            </w:tabs>
            <w:rPr/>
          </w:pPr>
          <w:hyperlink w:anchor="__RefHeading___Toc9061_4022417266">
            <w:r>
              <w:rPr>
                <w:webHidden/>
                <w:rStyle w:val="IndexLink"/>
              </w:rPr>
              <w:t>10.1 Geodetic Reference</w:t>
              <w:tab/>
              <w:t>25</w:t>
            </w:r>
          </w:hyperlink>
        </w:p>
        <w:p>
          <w:pPr>
            <w:pStyle w:val="TOC3"/>
            <w:tabs>
              <w:tab w:val="clear" w:pos="9026"/>
              <w:tab w:val="right" w:pos="9025" w:leader="dot"/>
            </w:tabs>
            <w:rPr/>
          </w:pPr>
          <w:hyperlink w:anchor="__RefHeading___Toc9063_4022417266">
            <w:r>
              <w:rPr>
                <w:webHidden/>
                <w:rStyle w:val="IndexLink"/>
              </w:rPr>
              <w:t>10.2 The Two Separation Belts</w:t>
              <w:tab/>
              <w:t>25</w:t>
            </w:r>
          </w:hyperlink>
        </w:p>
        <w:p>
          <w:pPr>
            <w:pStyle w:val="TOC3"/>
            <w:tabs>
              <w:tab w:val="clear" w:pos="9026"/>
              <w:tab w:val="right" w:pos="9025" w:leader="dot"/>
            </w:tabs>
            <w:rPr/>
          </w:pPr>
          <w:hyperlink w:anchor="__RefHeading___Toc9065_4022417266">
            <w:r>
              <w:rPr>
                <w:webHidden/>
                <w:rStyle w:val="IndexLink"/>
              </w:rPr>
              <w:t>10.3 The Precautionary Zones</w:t>
              <w:tab/>
              <w:t>26</w:t>
            </w:r>
          </w:hyperlink>
        </w:p>
        <w:p>
          <w:pPr>
            <w:pStyle w:val="TOC3"/>
            <w:tabs>
              <w:tab w:val="clear" w:pos="9026"/>
              <w:tab w:val="right" w:pos="9025" w:leader="dot"/>
            </w:tabs>
            <w:rPr/>
          </w:pPr>
          <w:hyperlink w:anchor="__RefHeading___Toc9067_4022417266">
            <w:r>
              <w:rPr>
                <w:webHidden/>
                <w:rStyle w:val="IndexLink"/>
              </w:rPr>
              <w:t>10.4 Holding Anchorages and Rendezvous Points</w:t>
              <w:tab/>
              <w:t>26</w:t>
            </w:r>
          </w:hyperlink>
        </w:p>
        <w:p>
          <w:pPr>
            <w:pStyle w:val="TOC3"/>
            <w:tabs>
              <w:tab w:val="clear" w:pos="9026"/>
              <w:tab w:val="right" w:pos="9025" w:leader="dot"/>
            </w:tabs>
            <w:rPr/>
          </w:pPr>
          <w:hyperlink w:anchor="__RefHeading___Toc9069_4022417266">
            <w:r>
              <w:rPr>
                <w:webHidden/>
                <w:rStyle w:val="IndexLink"/>
              </w:rPr>
              <w:t>10.5 The Inshore Local Craft Bands</w:t>
              <w:tab/>
              <w:t>26</w:t>
            </w:r>
          </w:hyperlink>
        </w:p>
        <w:p>
          <w:pPr>
            <w:pStyle w:val="TOC3"/>
            <w:tabs>
              <w:tab w:val="clear" w:pos="9026"/>
              <w:tab w:val="right" w:pos="9025" w:leader="dot"/>
            </w:tabs>
            <w:rPr/>
          </w:pPr>
          <w:hyperlink w:anchor="__RefHeading___Toc9071_4022417266">
            <w:r>
              <w:rPr>
                <w:webHidden/>
                <w:rStyle w:val="IndexLink"/>
              </w:rPr>
              <w:t>10.6 Survey and Charting</w:t>
              <w:tab/>
              <w:t>26</w:t>
            </w:r>
          </w:hyperlink>
        </w:p>
        <w:p>
          <w:pPr>
            <w:pStyle w:val="TOC2"/>
            <w:tabs>
              <w:tab w:val="clear" w:pos="9026"/>
              <w:tab w:val="right" w:pos="9025" w:leader="dot"/>
            </w:tabs>
            <w:rPr/>
          </w:pPr>
          <w:hyperlink w:anchor="__RefHeading___Toc9073_4022417266">
            <w:r>
              <w:rPr>
                <w:webHidden/>
                <w:rStyle w:val="IndexLink"/>
              </w:rPr>
              <w:t>Article 11: Vessel Classification and Differentiated Treatment</w:t>
              <w:tab/>
              <w:t>26</w:t>
            </w:r>
          </w:hyperlink>
        </w:p>
        <w:p>
          <w:pPr>
            <w:pStyle w:val="TOC3"/>
            <w:tabs>
              <w:tab w:val="clear" w:pos="9026"/>
              <w:tab w:val="right" w:pos="9025" w:leader="dot"/>
            </w:tabs>
            <w:rPr/>
          </w:pPr>
          <w:hyperlink w:anchor="__RefHeading___Toc9075_4022417266">
            <w:r>
              <w:rPr>
                <w:webHidden/>
                <w:rStyle w:val="IndexLink"/>
              </w:rPr>
              <w:t>11.1 Classification Method</w:t>
              <w:tab/>
              <w:t>26</w:t>
            </w:r>
          </w:hyperlink>
        </w:p>
        <w:p>
          <w:pPr>
            <w:pStyle w:val="TOC3"/>
            <w:tabs>
              <w:tab w:val="clear" w:pos="9026"/>
              <w:tab w:val="right" w:pos="9025" w:leader="dot"/>
            </w:tabs>
            <w:rPr/>
          </w:pPr>
          <w:hyperlink w:anchor="__RefHeading___Toc9077_4022417266">
            <w:r>
              <w:rPr>
                <w:webHidden/>
                <w:rStyle w:val="IndexLink"/>
              </w:rPr>
              <w:t>11.2 The Nine Classes</w:t>
              <w:tab/>
              <w:t>26</w:t>
            </w:r>
          </w:hyperlink>
        </w:p>
        <w:p>
          <w:pPr>
            <w:pStyle w:val="TOC3"/>
            <w:tabs>
              <w:tab w:val="clear" w:pos="9026"/>
              <w:tab w:val="right" w:pos="9025" w:leader="dot"/>
            </w:tabs>
            <w:rPr/>
          </w:pPr>
          <w:hyperlink w:anchor="__RefHeading___Toc9079_4022417266">
            <w:r>
              <w:rPr>
                <w:webHidden/>
                <w:rStyle w:val="IndexLink"/>
              </w:rPr>
              <w:t>11.3 Treatment Differentiators</w:t>
              <w:tab/>
              <w:t>27</w:t>
            </w:r>
          </w:hyperlink>
        </w:p>
        <w:p>
          <w:pPr>
            <w:pStyle w:val="TOC3"/>
            <w:tabs>
              <w:tab w:val="clear" w:pos="9026"/>
              <w:tab w:val="right" w:pos="9025" w:leader="dot"/>
            </w:tabs>
            <w:rPr/>
          </w:pPr>
          <w:hyperlink w:anchor="__RefHeading___Toc9081_4022417266">
            <w:r>
              <w:rPr>
                <w:webHidden/>
                <w:rStyle w:val="IndexLink"/>
              </w:rPr>
              <w:t>11.4 Reclassification and Mixed-Purpose Voyages</w:t>
              <w:tab/>
              <w:t>27</w:t>
            </w:r>
          </w:hyperlink>
        </w:p>
        <w:p>
          <w:pPr>
            <w:pStyle w:val="TOC2"/>
            <w:tabs>
              <w:tab w:val="clear" w:pos="9026"/>
              <w:tab w:val="right" w:pos="9025" w:leader="dot"/>
            </w:tabs>
            <w:rPr/>
          </w:pPr>
          <w:hyperlink w:anchor="__RefHeading___Toc9083_4022417266">
            <w:r>
              <w:rPr>
                <w:webHidden/>
                <w:rStyle w:val="IndexLink"/>
              </w:rPr>
              <w:t>Article 12: Safe Passage Guarantees and the Non-Interdiction Protocol</w:t>
              <w:tab/>
              <w:t>28</w:t>
            </w:r>
          </w:hyperlink>
        </w:p>
        <w:p>
          <w:pPr>
            <w:pStyle w:val="TOC3"/>
            <w:tabs>
              <w:tab w:val="clear" w:pos="9026"/>
              <w:tab w:val="right" w:pos="9025" w:leader="dot"/>
            </w:tabs>
            <w:rPr/>
          </w:pPr>
          <w:hyperlink w:anchor="__RefHeading___Toc9085_4022417266">
            <w:r>
              <w:rPr>
                <w:webHidden/>
                <w:rStyle w:val="IndexLink"/>
              </w:rPr>
              <w:t>12.1 The Guarantee</w:t>
              <w:tab/>
              <w:t>28</w:t>
            </w:r>
          </w:hyperlink>
        </w:p>
        <w:p>
          <w:pPr>
            <w:pStyle w:val="TOC3"/>
            <w:tabs>
              <w:tab w:val="clear" w:pos="9026"/>
              <w:tab w:val="right" w:pos="9025" w:leader="dot"/>
            </w:tabs>
            <w:rPr/>
          </w:pPr>
          <w:hyperlink w:anchor="__RefHeading___Toc9087_4022417266">
            <w:r>
              <w:rPr>
                <w:webHidden/>
                <w:rStyle w:val="IndexLink"/>
              </w:rPr>
              <w:t>12.2 The Non-Interdiction Protocol</w:t>
              <w:tab/>
              <w:t>28</w:t>
            </w:r>
          </w:hyperlink>
        </w:p>
        <w:p>
          <w:pPr>
            <w:pStyle w:val="TOC3"/>
            <w:tabs>
              <w:tab w:val="clear" w:pos="9026"/>
              <w:tab w:val="right" w:pos="9025" w:leader="dot"/>
            </w:tabs>
            <w:rPr/>
          </w:pPr>
          <w:hyperlink w:anchor="__RefHeading___Toc9089_4022417266">
            <w:r>
              <w:rPr>
                <w:webHidden/>
                <w:rStyle w:val="IndexLink"/>
              </w:rPr>
              <w:t>12.3 Excluded Measures</w:t>
              <w:tab/>
              <w:t>28</w:t>
            </w:r>
          </w:hyperlink>
        </w:p>
        <w:p>
          <w:pPr>
            <w:pStyle w:val="TOC3"/>
            <w:tabs>
              <w:tab w:val="clear" w:pos="9026"/>
              <w:tab w:val="right" w:pos="9025" w:leader="dot"/>
            </w:tabs>
            <w:rPr/>
          </w:pPr>
          <w:hyperlink w:anchor="__RefHeading___Toc9091_4022417266">
            <w:r>
              <w:rPr>
                <w:webHidden/>
                <w:rStyle w:val="IndexLink"/>
              </w:rPr>
              <w:t>12.4 The Protected Hold Exception</w:t>
              <w:tab/>
              <w:t>28</w:t>
            </w:r>
          </w:hyperlink>
        </w:p>
        <w:p>
          <w:pPr>
            <w:pStyle w:val="TOC3"/>
            <w:tabs>
              <w:tab w:val="clear" w:pos="9026"/>
              <w:tab w:val="right" w:pos="9025" w:leader="dot"/>
            </w:tabs>
            <w:rPr/>
          </w:pPr>
          <w:hyperlink w:anchor="__RefHeading___Toc9093_4022417266">
            <w:r>
              <w:rPr>
                <w:webHidden/>
                <w:rStyle w:val="IndexLink"/>
              </w:rPr>
              <w:t>12.5 Recourse</w:t>
              <w:tab/>
              <w:t>29</w:t>
            </w:r>
          </w:hyperlink>
        </w:p>
        <w:p>
          <w:pPr>
            <w:pStyle w:val="TOC3"/>
            <w:tabs>
              <w:tab w:val="clear" w:pos="9026"/>
              <w:tab w:val="right" w:pos="9025" w:leader="dot"/>
            </w:tabs>
            <w:rPr/>
          </w:pPr>
          <w:hyperlink w:anchor="__RefHeading___Toc9095_4022417266">
            <w:r>
              <w:rPr>
                <w:webHidden/>
                <w:rStyle w:val="IndexLink"/>
              </w:rPr>
              <w:t>12.6 Mine Clearance and Hazard Removal</w:t>
              <w:tab/>
              <w:t>29</w:t>
            </w:r>
          </w:hyperlink>
        </w:p>
        <w:p>
          <w:pPr>
            <w:pStyle w:val="TOC2"/>
            <w:tabs>
              <w:tab w:val="clear" w:pos="9026"/>
              <w:tab w:val="right" w:pos="9025" w:leader="dot"/>
            </w:tabs>
            <w:rPr/>
          </w:pPr>
          <w:hyperlink w:anchor="__RefHeading___Toc9097_4022417266">
            <w:r>
              <w:rPr>
                <w:webHidden/>
                <w:rStyle w:val="IndexLink"/>
              </w:rPr>
              <w:t>Article 13: Speed, Spacing, and Traffic Management</w:t>
              <w:tab/>
              <w:t>29</w:t>
            </w:r>
          </w:hyperlink>
        </w:p>
        <w:p>
          <w:pPr>
            <w:pStyle w:val="TOC3"/>
            <w:tabs>
              <w:tab w:val="clear" w:pos="9026"/>
              <w:tab w:val="right" w:pos="9025" w:leader="dot"/>
            </w:tabs>
            <w:rPr/>
          </w:pPr>
          <w:hyperlink w:anchor="__RefHeading___Toc9099_4022417266">
            <w:r>
              <w:rPr>
                <w:webHidden/>
                <w:rStyle w:val="IndexLink"/>
              </w:rPr>
              <w:t>13.1 Speed Bands</w:t>
              <w:tab/>
              <w:t>29</w:t>
            </w:r>
          </w:hyperlink>
        </w:p>
        <w:p>
          <w:pPr>
            <w:pStyle w:val="TOC3"/>
            <w:tabs>
              <w:tab w:val="clear" w:pos="9026"/>
              <w:tab w:val="right" w:pos="9025" w:leader="dot"/>
            </w:tabs>
            <w:rPr/>
          </w:pPr>
          <w:hyperlink w:anchor="__RefHeading___Toc9101_4022417266">
            <w:r>
              <w:rPr>
                <w:webHidden/>
                <w:rStyle w:val="IndexLink"/>
              </w:rPr>
              <w:t>13.2 Spacing and Convoy Windows</w:t>
              <w:tab/>
              <w:t>29</w:t>
            </w:r>
          </w:hyperlink>
        </w:p>
        <w:p>
          <w:pPr>
            <w:pStyle w:val="TOC3"/>
            <w:tabs>
              <w:tab w:val="clear" w:pos="9026"/>
              <w:tab w:val="right" w:pos="9025" w:leader="dot"/>
            </w:tabs>
            <w:rPr/>
          </w:pPr>
          <w:hyperlink w:anchor="__RefHeading___Toc9103_4022417266">
            <w:r>
              <w:rPr>
                <w:webHidden/>
                <w:rStyle w:val="IndexLink"/>
              </w:rPr>
              <w:t>13.3 Reporting Points</w:t>
              <w:tab/>
              <w:t>29</w:t>
            </w:r>
          </w:hyperlink>
        </w:p>
        <w:p>
          <w:pPr>
            <w:pStyle w:val="TOC3"/>
            <w:tabs>
              <w:tab w:val="clear" w:pos="9026"/>
              <w:tab w:val="right" w:pos="9025" w:leader="dot"/>
            </w:tabs>
            <w:rPr/>
          </w:pPr>
          <w:hyperlink w:anchor="__RefHeading___Toc9105_4022417266">
            <w:r>
              <w:rPr>
                <w:webHidden/>
                <w:rStyle w:val="IndexLink"/>
              </w:rPr>
              <w:t>13.4 Crossing and Meeting Rules</w:t>
              <w:tab/>
              <w:t>30</w:t>
            </w:r>
          </w:hyperlink>
        </w:p>
        <w:p>
          <w:pPr>
            <w:pStyle w:val="TOC3"/>
            <w:tabs>
              <w:tab w:val="clear" w:pos="9026"/>
              <w:tab w:val="right" w:pos="9025" w:leader="dot"/>
            </w:tabs>
            <w:rPr/>
          </w:pPr>
          <w:hyperlink w:anchor="__RefHeading___Toc9107_4022417266">
            <w:r>
              <w:rPr>
                <w:webHidden/>
                <w:rStyle w:val="IndexLink"/>
              </w:rPr>
              <w:t>13.5 Night and Low-Visibility Rules</w:t>
              <w:tab/>
              <w:t>30</w:t>
            </w:r>
          </w:hyperlink>
        </w:p>
        <w:p>
          <w:pPr>
            <w:pStyle w:val="TOC3"/>
            <w:tabs>
              <w:tab w:val="clear" w:pos="9026"/>
              <w:tab w:val="right" w:pos="9025" w:leader="dot"/>
            </w:tabs>
            <w:rPr/>
          </w:pPr>
          <w:hyperlink w:anchor="__RefHeading___Toc9109_4022417266">
            <w:r>
              <w:rPr>
                <w:webHidden/>
                <w:rStyle w:val="IndexLink"/>
              </w:rPr>
              <w:t>13.6 The Working Channels and the Voice Discipline</w:t>
              <w:tab/>
              <w:t>30</w:t>
            </w:r>
          </w:hyperlink>
        </w:p>
        <w:p>
          <w:pPr>
            <w:pStyle w:val="TOC1"/>
            <w:tabs>
              <w:tab w:val="clear" w:pos="9026"/>
              <w:tab w:val="right" w:pos="9025" w:leader="dot"/>
            </w:tabs>
            <w:rPr/>
          </w:pPr>
          <w:hyperlink w:anchor="__RefHeading___Toc9111_4022417266">
            <w:r>
              <w:rPr>
                <w:webHidden/>
                <w:rStyle w:val="IndexLink"/>
              </w:rPr>
              <w:t>Part III: Institutional Architecture</w:t>
              <w:tab/>
              <w:t>31</w:t>
            </w:r>
          </w:hyperlink>
        </w:p>
        <w:p>
          <w:pPr>
            <w:pStyle w:val="TOC2"/>
            <w:tabs>
              <w:tab w:val="clear" w:pos="9026"/>
              <w:tab w:val="right" w:pos="9025" w:leader="dot"/>
            </w:tabs>
            <w:rPr/>
          </w:pPr>
          <w:hyperlink w:anchor="__RefHeading___Toc9113_4022417266">
            <w:r>
              <w:rPr>
                <w:webHidden/>
                <w:rStyle w:val="IndexLink"/>
              </w:rPr>
              <w:t>Article 14: The Network at a Glance</w:t>
              <w:tab/>
              <w:t>31</w:t>
            </w:r>
          </w:hyperlink>
        </w:p>
        <w:p>
          <w:pPr>
            <w:pStyle w:val="TOC3"/>
            <w:tabs>
              <w:tab w:val="clear" w:pos="9026"/>
              <w:tab w:val="right" w:pos="9025" w:leader="dot"/>
            </w:tabs>
            <w:rPr/>
          </w:pPr>
          <w:hyperlink w:anchor="__RefHeading___Toc9115_4022417266">
            <w:r>
              <w:rPr>
                <w:webHidden/>
                <w:rStyle w:val="IndexLink"/>
              </w:rPr>
              <w:t>14.1 The Five Bodies</w:t>
              <w:tab/>
              <w:t>31</w:t>
            </w:r>
          </w:hyperlink>
        </w:p>
        <w:p>
          <w:pPr>
            <w:pStyle w:val="TOC3"/>
            <w:tabs>
              <w:tab w:val="clear" w:pos="9026"/>
              <w:tab w:val="right" w:pos="9025" w:leader="dot"/>
            </w:tabs>
            <w:rPr/>
          </w:pPr>
          <w:hyperlink w:anchor="__RefHeading___Toc9117_4022417266">
            <w:r>
              <w:rPr>
                <w:webHidden/>
                <w:rStyle w:val="IndexLink"/>
              </w:rPr>
              <w:t>14.2 Design Logic</w:t>
              <w:tab/>
              <w:t>31</w:t>
            </w:r>
          </w:hyperlink>
        </w:p>
        <w:p>
          <w:pPr>
            <w:pStyle w:val="TOC2"/>
            <w:tabs>
              <w:tab w:val="clear" w:pos="9026"/>
              <w:tab w:val="right" w:pos="9025" w:leader="dot"/>
            </w:tabs>
            <w:rPr/>
          </w:pPr>
          <w:hyperlink w:anchor="__RefHeading___Toc9119_4022417266">
            <w:r>
              <w:rPr>
                <w:webHidden/>
                <w:rStyle w:val="IndexLink"/>
              </w:rPr>
              <w:t>Article 15: The Composite Council</w:t>
              <w:tab/>
              <w:t>32</w:t>
            </w:r>
          </w:hyperlink>
        </w:p>
        <w:p>
          <w:pPr>
            <w:pStyle w:val="TOC3"/>
            <w:tabs>
              <w:tab w:val="clear" w:pos="9026"/>
              <w:tab w:val="right" w:pos="9025" w:leader="dot"/>
            </w:tabs>
            <w:rPr/>
          </w:pPr>
          <w:hyperlink w:anchor="__RefHeading___Toc9121_4022417266">
            <w:r>
              <w:rPr>
                <w:webHidden/>
                <w:rStyle w:val="IndexLink"/>
              </w:rPr>
              <w:t>15.1 Composition</w:t>
              <w:tab/>
              <w:t>32</w:t>
            </w:r>
          </w:hyperlink>
        </w:p>
        <w:p>
          <w:pPr>
            <w:pStyle w:val="TOC3"/>
            <w:tabs>
              <w:tab w:val="clear" w:pos="9026"/>
              <w:tab w:val="right" w:pos="9025" w:leader="dot"/>
            </w:tabs>
            <w:rPr/>
          </w:pPr>
          <w:hyperlink w:anchor="__RefHeading___Toc9123_4022417266">
            <w:r>
              <w:rPr>
                <w:webHidden/>
                <w:rStyle w:val="IndexLink"/>
              </w:rPr>
              <w:t>15.2 The Qualified Majority Rule</w:t>
              <w:tab/>
              <w:t>32</w:t>
            </w:r>
          </w:hyperlink>
        </w:p>
        <w:p>
          <w:pPr>
            <w:pStyle w:val="TOC3"/>
            <w:tabs>
              <w:tab w:val="clear" w:pos="9026"/>
              <w:tab w:val="right" w:pos="9025" w:leader="dot"/>
            </w:tabs>
            <w:rPr/>
          </w:pPr>
          <w:hyperlink w:anchor="__RefHeading___Toc9125_4022417266">
            <w:r>
              <w:rPr>
                <w:webHidden/>
                <w:rStyle w:val="IndexLink"/>
              </w:rPr>
              <w:t>15.3 Functions</w:t>
              <w:tab/>
              <w:t>32</w:t>
            </w:r>
          </w:hyperlink>
        </w:p>
        <w:p>
          <w:pPr>
            <w:pStyle w:val="TOC3"/>
            <w:tabs>
              <w:tab w:val="clear" w:pos="9026"/>
              <w:tab w:val="right" w:pos="9025" w:leader="dot"/>
            </w:tabs>
            <w:rPr/>
          </w:pPr>
          <w:hyperlink w:anchor="__RefHeading___Toc9127_4022417266">
            <w:r>
              <w:rPr>
                <w:webHidden/>
                <w:rStyle w:val="IndexLink"/>
              </w:rPr>
              <w:t>15.4 Meetings and Cadence</w:t>
              <w:tab/>
              <w:t>32</w:t>
            </w:r>
          </w:hyperlink>
        </w:p>
        <w:p>
          <w:pPr>
            <w:pStyle w:val="TOC3"/>
            <w:tabs>
              <w:tab w:val="clear" w:pos="9026"/>
              <w:tab w:val="right" w:pos="9025" w:leader="dot"/>
            </w:tabs>
            <w:rPr/>
          </w:pPr>
          <w:hyperlink w:anchor="__RefHeading___Toc9129_4022417266">
            <w:r>
              <w:rPr>
                <w:webHidden/>
                <w:rStyle w:val="IndexLink"/>
              </w:rPr>
              <w:t>15.5 The Rotating Chair</w:t>
              <w:tab/>
              <w:t>33</w:t>
            </w:r>
          </w:hyperlink>
        </w:p>
        <w:p>
          <w:pPr>
            <w:pStyle w:val="TOC3"/>
            <w:tabs>
              <w:tab w:val="clear" w:pos="9026"/>
              <w:tab w:val="right" w:pos="9025" w:leader="dot"/>
            </w:tabs>
            <w:rPr/>
          </w:pPr>
          <w:hyperlink w:anchor="__RefHeading___Toc9131_4022417266">
            <w:r>
              <w:rPr>
                <w:webHidden/>
                <w:rStyle w:val="IndexLink"/>
              </w:rPr>
              <w:t>15.6 The Central Corridor Management Board</w:t>
              <w:tab/>
              <w:t>33</w:t>
            </w:r>
          </w:hyperlink>
        </w:p>
        <w:p>
          <w:pPr>
            <w:pStyle w:val="TOC2"/>
            <w:tabs>
              <w:tab w:val="clear" w:pos="9026"/>
              <w:tab w:val="right" w:pos="9025" w:leader="dot"/>
            </w:tabs>
            <w:rPr/>
          </w:pPr>
          <w:hyperlink w:anchor="__RefHeading___Toc9133_4022417266">
            <w:r>
              <w:rPr>
                <w:webHidden/>
                <w:rStyle w:val="IndexLink"/>
              </w:rPr>
              <w:t>Article 16: The Meridian Coordination Center</w:t>
              <w:tab/>
              <w:t>33</w:t>
            </w:r>
          </w:hyperlink>
        </w:p>
        <w:p>
          <w:pPr>
            <w:pStyle w:val="TOC3"/>
            <w:tabs>
              <w:tab w:val="clear" w:pos="9026"/>
              <w:tab w:val="right" w:pos="9025" w:leader="dot"/>
            </w:tabs>
            <w:rPr/>
          </w:pPr>
          <w:hyperlink w:anchor="__RefHeading___Toc9135_4022417266">
            <w:r>
              <w:rPr>
                <w:webHidden/>
                <w:rStyle w:val="IndexLink"/>
              </w:rPr>
              <w:t>16.1 Seat and Mirror Office</w:t>
              <w:tab/>
              <w:t>33</w:t>
            </w:r>
          </w:hyperlink>
        </w:p>
        <w:p>
          <w:pPr>
            <w:pStyle w:val="TOC3"/>
            <w:tabs>
              <w:tab w:val="clear" w:pos="9026"/>
              <w:tab w:val="right" w:pos="9025" w:leader="dot"/>
            </w:tabs>
            <w:rPr/>
          </w:pPr>
          <w:hyperlink w:anchor="__RefHeading___Toc9137_4022417266">
            <w:r>
              <w:rPr>
                <w:webHidden/>
                <w:rStyle w:val="IndexLink"/>
              </w:rPr>
              <w:t>16.2 Internationally Representative Staffing</w:t>
              <w:tab/>
              <w:t>33</w:t>
            </w:r>
          </w:hyperlink>
        </w:p>
        <w:p>
          <w:pPr>
            <w:pStyle w:val="TOC3"/>
            <w:tabs>
              <w:tab w:val="clear" w:pos="9026"/>
              <w:tab w:val="right" w:pos="9025" w:leader="dot"/>
            </w:tabs>
            <w:rPr/>
          </w:pPr>
          <w:hyperlink w:anchor="__RefHeading___Toc9139_4022417266">
            <w:r>
              <w:rPr>
                <w:webHidden/>
                <w:rStyle w:val="IndexLink"/>
              </w:rPr>
              <w:t>16.3 The Watch Floor</w:t>
              <w:tab/>
              <w:t>33</w:t>
            </w:r>
          </w:hyperlink>
        </w:p>
        <w:p>
          <w:pPr>
            <w:pStyle w:val="TOC3"/>
            <w:tabs>
              <w:tab w:val="clear" w:pos="9026"/>
              <w:tab w:val="right" w:pos="9025" w:leader="dot"/>
            </w:tabs>
            <w:rPr/>
          </w:pPr>
          <w:hyperlink w:anchor="__RefHeading___Toc9141_4022417266">
            <w:r>
              <w:rPr>
                <w:webHidden/>
                <w:rStyle w:val="IndexLink"/>
              </w:rPr>
              <w:t>16.4 Functions</w:t>
              <w:tab/>
              <w:t>34</w:t>
            </w:r>
          </w:hyperlink>
        </w:p>
        <w:p>
          <w:pPr>
            <w:pStyle w:val="TOC3"/>
            <w:tabs>
              <w:tab w:val="clear" w:pos="9026"/>
              <w:tab w:val="right" w:pos="9025" w:leader="dot"/>
            </w:tabs>
            <w:rPr/>
          </w:pPr>
          <w:hyperlink w:anchor="__RefHeading___Toc9143_4022417266">
            <w:r>
              <w:rPr>
                <w:webHidden/>
                <w:rStyle w:val="IndexLink"/>
              </w:rPr>
              <w:t>16.5 The Civilian Character Clause</w:t>
              <w:tab/>
              <w:t>34</w:t>
            </w:r>
          </w:hyperlink>
        </w:p>
        <w:p>
          <w:pPr>
            <w:pStyle w:val="TOC2"/>
            <w:tabs>
              <w:tab w:val="clear" w:pos="9026"/>
              <w:tab w:val="right" w:pos="9025" w:leader="dot"/>
            </w:tabs>
            <w:rPr/>
          </w:pPr>
          <w:hyperlink w:anchor="__RefHeading___Toc9145_4022417266">
            <w:r>
              <w:rPr>
                <w:webHidden/>
                <w:rStyle w:val="IndexLink"/>
              </w:rPr>
              <w:t>Article 17: The Neutral Keel Office</w:t>
              <w:tab/>
              <w:t>34</w:t>
            </w:r>
          </w:hyperlink>
        </w:p>
        <w:p>
          <w:pPr>
            <w:pStyle w:val="TOC3"/>
            <w:tabs>
              <w:tab w:val="clear" w:pos="9026"/>
              <w:tab w:val="right" w:pos="9025" w:leader="dot"/>
            </w:tabs>
            <w:rPr/>
          </w:pPr>
          <w:hyperlink w:anchor="__RefHeading___Toc9147_4022417266">
            <w:r>
              <w:rPr>
                <w:webHidden/>
                <w:rStyle w:val="IndexLink"/>
              </w:rPr>
              <w:t>17.1 Mandate</w:t>
              <w:tab/>
              <w:t>34</w:t>
            </w:r>
          </w:hyperlink>
        </w:p>
        <w:p>
          <w:pPr>
            <w:pStyle w:val="TOC3"/>
            <w:tabs>
              <w:tab w:val="clear" w:pos="9026"/>
              <w:tab w:val="right" w:pos="9025" w:leader="dot"/>
            </w:tabs>
            <w:rPr/>
          </w:pPr>
          <w:hyperlink w:anchor="__RefHeading___Toc9149_4022417266">
            <w:r>
              <w:rPr>
                <w:webHidden/>
                <w:rStyle w:val="IndexLink"/>
              </w:rPr>
              <w:t>17.2 Composition</w:t>
              <w:tab/>
              <w:t>34</w:t>
            </w:r>
          </w:hyperlink>
        </w:p>
        <w:p>
          <w:pPr>
            <w:pStyle w:val="TOC3"/>
            <w:tabs>
              <w:tab w:val="clear" w:pos="9026"/>
              <w:tab w:val="right" w:pos="9025" w:leader="dot"/>
            </w:tabs>
            <w:rPr/>
          </w:pPr>
          <w:hyperlink w:anchor="__RefHeading___Toc9151_4022417266">
            <w:r>
              <w:rPr>
                <w:webHidden/>
                <w:rStyle w:val="IndexLink"/>
              </w:rPr>
              <w:t>17.3 Embarked Observers</w:t>
              <w:tab/>
              <w:t>34</w:t>
            </w:r>
          </w:hyperlink>
        </w:p>
        <w:p>
          <w:pPr>
            <w:pStyle w:val="TOC3"/>
            <w:tabs>
              <w:tab w:val="clear" w:pos="9026"/>
              <w:tab w:val="right" w:pos="9025" w:leader="dot"/>
            </w:tabs>
            <w:rPr/>
          </w:pPr>
          <w:hyperlink w:anchor="__RefHeading___Toc9153_4022417266">
            <w:r>
              <w:rPr>
                <w:webHidden/>
                <w:rStyle w:val="IndexLink"/>
              </w:rPr>
              <w:t>17.4 Reporting</w:t>
              <w:tab/>
              <w:t>35</w:t>
            </w:r>
          </w:hyperlink>
        </w:p>
        <w:p>
          <w:pPr>
            <w:pStyle w:val="TOC3"/>
            <w:tabs>
              <w:tab w:val="clear" w:pos="9026"/>
              <w:tab w:val="right" w:pos="9025" w:leader="dot"/>
            </w:tabs>
            <w:rPr/>
          </w:pPr>
          <w:hyperlink w:anchor="__RefHeading___Toc9155_4022417266">
            <w:r>
              <w:rPr>
                <w:webHidden/>
                <w:rStyle w:val="IndexLink"/>
              </w:rPr>
              <w:t>17.5 Independence Safeguards</w:t>
              <w:tab/>
              <w:t>35</w:t>
            </w:r>
          </w:hyperlink>
        </w:p>
        <w:p>
          <w:pPr>
            <w:pStyle w:val="TOC2"/>
            <w:tabs>
              <w:tab w:val="clear" w:pos="9026"/>
              <w:tab w:val="right" w:pos="9025" w:leader="dot"/>
            </w:tabs>
            <w:rPr/>
          </w:pPr>
          <w:hyperlink w:anchor="__RefHeading___Toc9157_4022417266">
            <w:r>
              <w:rPr>
                <w:webHidden/>
                <w:rStyle w:val="IndexLink"/>
              </w:rPr>
              <w:t>Article 18: Decision Rules and the Modular Protocol Annexes</w:t>
              <w:tab/>
              <w:t>35</w:t>
            </w:r>
          </w:hyperlink>
        </w:p>
        <w:p>
          <w:pPr>
            <w:pStyle w:val="TOC3"/>
            <w:tabs>
              <w:tab w:val="clear" w:pos="9026"/>
              <w:tab w:val="right" w:pos="9025" w:leader="dot"/>
            </w:tabs>
            <w:rPr/>
          </w:pPr>
          <w:hyperlink w:anchor="__RefHeading___Toc9159_4022417266">
            <w:r>
              <w:rPr>
                <w:webHidden/>
                <w:rStyle w:val="IndexLink"/>
              </w:rPr>
              <w:t>18.1 Consensus and Collective Decision</w:t>
              <w:tab/>
              <w:t>35</w:t>
            </w:r>
          </w:hyperlink>
        </w:p>
        <w:p>
          <w:pPr>
            <w:pStyle w:val="TOC3"/>
            <w:tabs>
              <w:tab w:val="clear" w:pos="9026"/>
              <w:tab w:val="right" w:pos="9025" w:leader="dot"/>
            </w:tabs>
            <w:rPr/>
          </w:pPr>
          <w:hyperlink w:anchor="__RefHeading___Toc9161_4022417266">
            <w:r>
              <w:rPr>
                <w:webHidden/>
                <w:rStyle w:val="IndexLink"/>
              </w:rPr>
              <w:t>18.2 The Modular Protocol Annexes</w:t>
              <w:tab/>
              <w:t>35</w:t>
            </w:r>
          </w:hyperlink>
        </w:p>
        <w:p>
          <w:pPr>
            <w:pStyle w:val="TOC3"/>
            <w:tabs>
              <w:tab w:val="clear" w:pos="9026"/>
              <w:tab w:val="right" w:pos="9025" w:leader="dot"/>
            </w:tabs>
            <w:rPr/>
          </w:pPr>
          <w:hyperlink w:anchor="__RefHeading___Toc9163_4022417266">
            <w:r>
              <w:rPr>
                <w:webHidden/>
                <w:rStyle w:val="IndexLink"/>
              </w:rPr>
              <w:t>18.3 The Anti-Cascade Firewall</w:t>
              <w:tab/>
              <w:t>35</w:t>
            </w:r>
          </w:hyperlink>
        </w:p>
        <w:p>
          <w:pPr>
            <w:pStyle w:val="TOC3"/>
            <w:tabs>
              <w:tab w:val="clear" w:pos="9026"/>
              <w:tab w:val="right" w:pos="9025" w:leader="dot"/>
            </w:tabs>
            <w:rPr/>
          </w:pPr>
          <w:hyperlink w:anchor="__RefHeading___Toc9165_4022417266">
            <w:r>
              <w:rPr>
                <w:webHidden/>
                <w:rStyle w:val="IndexLink"/>
              </w:rPr>
              <w:t>18.4 The Dignified Deactivation Protocol</w:t>
              <w:tab/>
              <w:t>35</w:t>
            </w:r>
          </w:hyperlink>
        </w:p>
        <w:p>
          <w:pPr>
            <w:pStyle w:val="TOC2"/>
            <w:tabs>
              <w:tab w:val="clear" w:pos="9026"/>
              <w:tab w:val="right" w:pos="9025" w:leader="dot"/>
            </w:tabs>
            <w:rPr/>
          </w:pPr>
          <w:hyperlink w:anchor="__RefHeading___Toc9167_4022417266">
            <w:r>
              <w:rPr>
                <w:webHidden/>
                <w:rStyle w:val="IndexLink"/>
              </w:rPr>
              <w:t>Article 19: Observers and Stakeholder Participation</w:t>
              <w:tab/>
              <w:t>36</w:t>
            </w:r>
          </w:hyperlink>
        </w:p>
        <w:p>
          <w:pPr>
            <w:pStyle w:val="TOC3"/>
            <w:tabs>
              <w:tab w:val="clear" w:pos="9026"/>
              <w:tab w:val="right" w:pos="9025" w:leader="dot"/>
            </w:tabs>
            <w:rPr/>
          </w:pPr>
          <w:hyperlink w:anchor="__RefHeading___Toc9169_4022417266">
            <w:r>
              <w:rPr>
                <w:webHidden/>
                <w:rStyle w:val="IndexLink"/>
              </w:rPr>
              <w:t>19.1 The International Maritime Organization Interface</w:t>
              <w:tab/>
              <w:t>36</w:t>
            </w:r>
          </w:hyperlink>
        </w:p>
        <w:p>
          <w:pPr>
            <w:pStyle w:val="TOC3"/>
            <w:tabs>
              <w:tab w:val="clear" w:pos="9026"/>
              <w:tab w:val="right" w:pos="9025" w:leader="dot"/>
            </w:tabs>
            <w:rPr/>
          </w:pPr>
          <w:hyperlink w:anchor="__RefHeading___Toc9171_4022417266">
            <w:r>
              <w:rPr>
                <w:webHidden/>
                <w:rStyle w:val="IndexLink"/>
              </w:rPr>
              <w:t>19.2 The Stakeholder Panel</w:t>
              <w:tab/>
              <w:t>36</w:t>
            </w:r>
          </w:hyperlink>
        </w:p>
        <w:p>
          <w:pPr>
            <w:pStyle w:val="TOC3"/>
            <w:tabs>
              <w:tab w:val="clear" w:pos="9026"/>
              <w:tab w:val="right" w:pos="9025" w:leader="dot"/>
            </w:tabs>
            <w:rPr/>
          </w:pPr>
          <w:hyperlink w:anchor="__RefHeading___Toc9173_4022417266">
            <w:r>
              <w:rPr>
                <w:webHidden/>
                <w:rStyle w:val="IndexLink"/>
              </w:rPr>
              <w:t>19.3 No External Command</w:t>
              <w:tab/>
              <w:t>36</w:t>
            </w:r>
          </w:hyperlink>
        </w:p>
        <w:p>
          <w:pPr>
            <w:pStyle w:val="TOC1"/>
            <w:tabs>
              <w:tab w:val="clear" w:pos="9026"/>
              <w:tab w:val="right" w:pos="9025" w:leader="dot"/>
            </w:tabs>
            <w:rPr/>
          </w:pPr>
          <w:hyperlink w:anchor="__RefHeading___Toc9175_4022417266">
            <w:r>
              <w:rPr>
                <w:webHidden/>
                <w:rStyle w:val="IndexLink"/>
              </w:rPr>
              <w:t>Part IV: Financial Architecture: The Settlement of the Toll Question</w:t>
              <w:tab/>
              <w:t>37</w:t>
            </w:r>
          </w:hyperlink>
        </w:p>
        <w:p>
          <w:pPr>
            <w:pStyle w:val="TOC2"/>
            <w:tabs>
              <w:tab w:val="clear" w:pos="9026"/>
              <w:tab w:val="right" w:pos="9025" w:leader="dot"/>
            </w:tabs>
            <w:rPr/>
          </w:pPr>
          <w:hyperlink w:anchor="__RefHeading___Toc9177_4022417266">
            <w:r>
              <w:rPr>
                <w:webHidden/>
                <w:rStyle w:val="IndexLink"/>
              </w:rPr>
              <w:t>Article 20: The Settlement at a Glance</w:t>
              <w:tab/>
              <w:t>37</w:t>
            </w:r>
          </w:hyperlink>
        </w:p>
        <w:p>
          <w:pPr>
            <w:pStyle w:val="TOC3"/>
            <w:tabs>
              <w:tab w:val="clear" w:pos="9026"/>
              <w:tab w:val="right" w:pos="9025" w:leader="dot"/>
            </w:tabs>
            <w:rPr/>
          </w:pPr>
          <w:hyperlink w:anchor="__RefHeading___Toc9179_4022417266">
            <w:r>
              <w:rPr>
                <w:webHidden/>
                <w:rStyle w:val="IndexLink"/>
              </w:rPr>
              <w:t>20.1 Design Logic</w:t>
              <w:tab/>
              <w:t>37</w:t>
            </w:r>
          </w:hyperlink>
        </w:p>
        <w:p>
          <w:pPr>
            <w:pStyle w:val="TOC3"/>
            <w:tabs>
              <w:tab w:val="clear" w:pos="9026"/>
              <w:tab w:val="right" w:pos="9025" w:leader="dot"/>
            </w:tabs>
            <w:rPr/>
          </w:pPr>
          <w:hyperlink w:anchor="__RefHeading___Toc9181_4022417266">
            <w:r>
              <w:rPr>
                <w:webHidden/>
                <w:rStyle w:val="IndexLink"/>
              </w:rPr>
              <w:t>20.2 The Six Channels</w:t>
              <w:tab/>
              <w:t>37</w:t>
            </w:r>
          </w:hyperlink>
        </w:p>
        <w:p>
          <w:pPr>
            <w:pStyle w:val="TOC2"/>
            <w:tabs>
              <w:tab w:val="clear" w:pos="9026"/>
              <w:tab w:val="right" w:pos="9025" w:leader="dot"/>
            </w:tabs>
            <w:rPr/>
          </w:pPr>
          <w:hyperlink w:anchor="__RefHeading___Toc9183_4022417266">
            <w:r>
              <w:rPr>
                <w:webHidden/>
                <w:rStyle w:val="IndexLink"/>
              </w:rPr>
              <w:t>Article 21: The Zero-Toll Rule</w:t>
              <w:tab/>
              <w:t>38</w:t>
            </w:r>
          </w:hyperlink>
        </w:p>
        <w:p>
          <w:pPr>
            <w:pStyle w:val="TOC3"/>
            <w:tabs>
              <w:tab w:val="clear" w:pos="9026"/>
              <w:tab w:val="right" w:pos="9025" w:leader="dot"/>
            </w:tabs>
            <w:rPr/>
          </w:pPr>
          <w:hyperlink w:anchor="__RefHeading___Toc9185_4022417266">
            <w:r>
              <w:rPr>
                <w:webHidden/>
                <w:rStyle w:val="IndexLink"/>
              </w:rPr>
              <w:t>21.1 The Rule</w:t>
              <w:tab/>
              <w:t>38</w:t>
            </w:r>
          </w:hyperlink>
        </w:p>
        <w:p>
          <w:pPr>
            <w:pStyle w:val="TOC3"/>
            <w:tabs>
              <w:tab w:val="clear" w:pos="9026"/>
              <w:tab w:val="right" w:pos="9025" w:leader="dot"/>
            </w:tabs>
            <w:rPr/>
          </w:pPr>
          <w:hyperlink w:anchor="__RefHeading___Toc9187_4022417266">
            <w:r>
              <w:rPr>
                <w:webHidden/>
                <w:rStyle w:val="IndexLink"/>
              </w:rPr>
              <w:t>21.2 The Three Distinctions</w:t>
              <w:tab/>
              <w:t>39</w:t>
            </w:r>
          </w:hyperlink>
        </w:p>
        <w:p>
          <w:pPr>
            <w:pStyle w:val="TOC3"/>
            <w:tabs>
              <w:tab w:val="clear" w:pos="9026"/>
              <w:tab w:val="right" w:pos="9025" w:leader="dot"/>
            </w:tabs>
            <w:rPr/>
          </w:pPr>
          <w:hyperlink w:anchor="__RefHeading___Toc9189_4022417266">
            <w:r>
              <w:rPr>
                <w:webHidden/>
                <w:rStyle w:val="IndexLink"/>
              </w:rPr>
              <w:t>21.3 The Prohibited Instruments List</w:t>
              <w:tab/>
              <w:t>39</w:t>
            </w:r>
          </w:hyperlink>
        </w:p>
        <w:p>
          <w:pPr>
            <w:pStyle w:val="TOC2"/>
            <w:tabs>
              <w:tab w:val="clear" w:pos="9026"/>
              <w:tab w:val="right" w:pos="9025" w:leader="dot"/>
            </w:tabs>
            <w:rPr/>
          </w:pPr>
          <w:hyperlink w:anchor="__RefHeading___Toc9191_4022417266">
            <w:r>
              <w:rPr>
                <w:webHidden/>
                <w:rStyle w:val="IndexLink"/>
              </w:rPr>
              <w:t>Article 22: The Hormuz Maritime Stewardship Fund</w:t>
              <w:tab/>
              <w:t>39</w:t>
            </w:r>
          </w:hyperlink>
        </w:p>
        <w:p>
          <w:pPr>
            <w:pStyle w:val="TOC3"/>
            <w:tabs>
              <w:tab w:val="clear" w:pos="9026"/>
              <w:tab w:val="right" w:pos="9025" w:leader="dot"/>
            </w:tabs>
            <w:rPr/>
          </w:pPr>
          <w:hyperlink w:anchor="__RefHeading___Toc9193_4022417266">
            <w:r>
              <w:rPr>
                <w:webHidden/>
                <w:rStyle w:val="IndexLink"/>
              </w:rPr>
              <w:t>22.1 Establishment and Legal Personality</w:t>
              <w:tab/>
              <w:t>39</w:t>
            </w:r>
          </w:hyperlink>
        </w:p>
        <w:p>
          <w:pPr>
            <w:pStyle w:val="TOC3"/>
            <w:tabs>
              <w:tab w:val="clear" w:pos="9026"/>
              <w:tab w:val="right" w:pos="9025" w:leader="dot"/>
            </w:tabs>
            <w:rPr/>
          </w:pPr>
          <w:hyperlink w:anchor="__RefHeading___Toc9195_4022417266">
            <w:r>
              <w:rPr>
                <w:webHidden/>
                <w:rStyle w:val="IndexLink"/>
              </w:rPr>
              <w:t>22.2 The Fiduciary Administrator</w:t>
              <w:tab/>
              <w:t>39</w:t>
            </w:r>
          </w:hyperlink>
        </w:p>
        <w:p>
          <w:pPr>
            <w:pStyle w:val="TOC3"/>
            <w:tabs>
              <w:tab w:val="clear" w:pos="9026"/>
              <w:tab w:val="right" w:pos="9025" w:leader="dot"/>
            </w:tabs>
            <w:rPr/>
          </w:pPr>
          <w:hyperlink w:anchor="__RefHeading___Toc9197_4022417266">
            <w:r>
              <w:rPr>
                <w:webHidden/>
                <w:rStyle w:val="IndexLink"/>
              </w:rPr>
              <w:t>22.3 The Fund Board</w:t>
              <w:tab/>
              <w:t>39</w:t>
            </w:r>
          </w:hyperlink>
        </w:p>
        <w:p>
          <w:pPr>
            <w:pStyle w:val="TOC3"/>
            <w:tabs>
              <w:tab w:val="clear" w:pos="9026"/>
              <w:tab w:val="right" w:pos="9025" w:leader="dot"/>
            </w:tabs>
            <w:rPr/>
          </w:pPr>
          <w:hyperlink w:anchor="__RefHeading___Toc9199_4022417266">
            <w:r>
              <w:rPr>
                <w:webHidden/>
                <w:rStyle w:val="IndexLink"/>
              </w:rPr>
              <w:t>22.4 The Verified Services Catalog</w:t>
              <w:tab/>
              <w:t>40</w:t>
            </w:r>
          </w:hyperlink>
        </w:p>
        <w:p>
          <w:pPr>
            <w:pStyle w:val="TOC3"/>
            <w:tabs>
              <w:tab w:val="clear" w:pos="9026"/>
              <w:tab w:val="right" w:pos="9025" w:leader="dot"/>
            </w:tabs>
            <w:rPr/>
          </w:pPr>
          <w:hyperlink w:anchor="__RefHeading___Toc9201_4022417266">
            <w:r>
              <w:rPr>
                <w:webHidden/>
                <w:rStyle w:val="IndexLink"/>
              </w:rPr>
              <w:t>22.5 Invoicing and Reimbursement</w:t>
              <w:tab/>
              <w:t>40</w:t>
            </w:r>
          </w:hyperlink>
        </w:p>
        <w:p>
          <w:pPr>
            <w:pStyle w:val="TOC3"/>
            <w:tabs>
              <w:tab w:val="clear" w:pos="9026"/>
              <w:tab w:val="right" w:pos="9025" w:leader="dot"/>
            </w:tabs>
            <w:rPr/>
          </w:pPr>
          <w:hyperlink w:anchor="__RefHeading___Toc9203_4022417266">
            <w:r>
              <w:rPr>
                <w:webHidden/>
                <w:rStyle w:val="IndexLink"/>
              </w:rPr>
              <w:t>22.6 The Quarterly Audit</w:t>
              <w:tab/>
              <w:t>40</w:t>
            </w:r>
          </w:hyperlink>
        </w:p>
        <w:p>
          <w:pPr>
            <w:pStyle w:val="TOC2"/>
            <w:tabs>
              <w:tab w:val="clear" w:pos="9026"/>
              <w:tab w:val="right" w:pos="9025" w:leader="dot"/>
            </w:tabs>
            <w:rPr/>
          </w:pPr>
          <w:hyperlink w:anchor="__RefHeading___Toc9205_4022417266">
            <w:r>
              <w:rPr>
                <w:webHidden/>
                <w:rStyle w:val="IndexLink"/>
              </w:rPr>
              <w:t>Article 23: The Assurance Registry</w:t>
              <w:tab/>
              <w:t>40</w:t>
            </w:r>
          </w:hyperlink>
        </w:p>
        <w:p>
          <w:pPr>
            <w:pStyle w:val="TOC3"/>
            <w:tabs>
              <w:tab w:val="clear" w:pos="9026"/>
              <w:tab w:val="right" w:pos="9025" w:leader="dot"/>
            </w:tabs>
            <w:rPr/>
          </w:pPr>
          <w:hyperlink w:anchor="__RefHeading___Toc9207_4022417266">
            <w:r>
              <w:rPr>
                <w:webHidden/>
                <w:rStyle w:val="IndexLink"/>
              </w:rPr>
              <w:t>23.1 Voluntary Listing, Market Consequences</w:t>
              <w:tab/>
              <w:t>40</w:t>
            </w:r>
          </w:hyperlink>
        </w:p>
        <w:p>
          <w:pPr>
            <w:pStyle w:val="TOC3"/>
            <w:tabs>
              <w:tab w:val="clear" w:pos="9026"/>
              <w:tab w:val="right" w:pos="9025" w:leader="dot"/>
            </w:tabs>
            <w:rPr/>
          </w:pPr>
          <w:hyperlink w:anchor="__RefHeading___Toc9209_4022417266">
            <w:r>
              <w:rPr>
                <w:webHidden/>
                <w:rStyle w:val="IndexLink"/>
              </w:rPr>
              <w:t>23.2 Contribution Schedule</w:t>
              <w:tab/>
              <w:t>41</w:t>
            </w:r>
          </w:hyperlink>
        </w:p>
        <w:p>
          <w:pPr>
            <w:pStyle w:val="TOC3"/>
            <w:tabs>
              <w:tab w:val="clear" w:pos="9026"/>
              <w:tab w:val="right" w:pos="9025" w:leader="dot"/>
            </w:tabs>
            <w:rPr/>
          </w:pPr>
          <w:hyperlink w:anchor="__RefHeading___Toc9211_4022417266">
            <w:r>
              <w:rPr>
                <w:webHidden/>
                <w:rStyle w:val="IndexLink"/>
              </w:rPr>
              <w:t>23.3 Registry Benefits</w:t>
              <w:tab/>
              <w:t>41</w:t>
            </w:r>
          </w:hyperlink>
        </w:p>
        <w:p>
          <w:pPr>
            <w:pStyle w:val="TOC3"/>
            <w:tabs>
              <w:tab w:val="clear" w:pos="9026"/>
              <w:tab w:val="right" w:pos="9025" w:leader="dot"/>
            </w:tabs>
            <w:rPr/>
          </w:pPr>
          <w:hyperlink w:anchor="__RefHeading___Toc9213_4022417266">
            <w:r>
              <w:rPr>
                <w:webHidden/>
                <w:rStyle w:val="IndexLink"/>
              </w:rPr>
              <w:t>23.4 Non-Listed Vessels</w:t>
              <w:tab/>
              <w:t>41</w:t>
            </w:r>
          </w:hyperlink>
        </w:p>
        <w:p>
          <w:pPr>
            <w:pStyle w:val="TOC3"/>
            <w:tabs>
              <w:tab w:val="clear" w:pos="9026"/>
              <w:tab w:val="right" w:pos="9025" w:leader="dot"/>
            </w:tabs>
            <w:rPr/>
          </w:pPr>
          <w:hyperlink w:anchor="__RefHeading___Toc9215_4022417266">
            <w:r>
              <w:rPr>
                <w:webHidden/>
                <w:rStyle w:val="IndexLink"/>
              </w:rPr>
              <w:t>23.5 Voluntary Service Contributions</w:t>
              <w:tab/>
              <w:t>41</w:t>
            </w:r>
          </w:hyperlink>
        </w:p>
        <w:p>
          <w:pPr>
            <w:pStyle w:val="TOC2"/>
            <w:tabs>
              <w:tab w:val="clear" w:pos="9026"/>
              <w:tab w:val="right" w:pos="9025" w:leader="dot"/>
            </w:tabs>
            <w:rPr/>
          </w:pPr>
          <w:hyperlink w:anchor="__RefHeading___Toc9217_4022417266">
            <w:r>
              <w:rPr>
                <w:webHidden/>
                <w:rStyle w:val="IndexLink"/>
              </w:rPr>
              <w:t>Article 24: The Route Assurance Data Service</w:t>
              <w:tab/>
              <w:t>42</w:t>
            </w:r>
          </w:hyperlink>
        </w:p>
        <w:p>
          <w:pPr>
            <w:pStyle w:val="TOC3"/>
            <w:tabs>
              <w:tab w:val="clear" w:pos="9026"/>
              <w:tab w:val="right" w:pos="9025" w:leader="dot"/>
            </w:tabs>
            <w:rPr/>
          </w:pPr>
          <w:hyperlink w:anchor="__RefHeading___Toc9219_4022417266">
            <w:r>
              <w:rPr>
                <w:webHidden/>
                <w:rStyle w:val="IndexLink"/>
              </w:rPr>
              <w:t>24.1 The Product</w:t>
              <w:tab/>
              <w:t>42</w:t>
            </w:r>
          </w:hyperlink>
        </w:p>
        <w:p>
          <w:pPr>
            <w:pStyle w:val="TOC3"/>
            <w:tabs>
              <w:tab w:val="clear" w:pos="9026"/>
              <w:tab w:val="right" w:pos="9025" w:leader="dot"/>
            </w:tabs>
            <w:rPr/>
          </w:pPr>
          <w:hyperlink w:anchor="__RefHeading___Toc9221_4022417266">
            <w:r>
              <w:rPr>
                <w:webHidden/>
                <w:rStyle w:val="IndexLink"/>
              </w:rPr>
              <w:t>24.2 Pricing</w:t>
              <w:tab/>
              <w:t>42</w:t>
            </w:r>
          </w:hyperlink>
        </w:p>
        <w:p>
          <w:pPr>
            <w:pStyle w:val="TOC3"/>
            <w:tabs>
              <w:tab w:val="clear" w:pos="9026"/>
              <w:tab w:val="right" w:pos="9025" w:leader="dot"/>
            </w:tabs>
            <w:rPr/>
          </w:pPr>
          <w:hyperlink w:anchor="__RefHeading___Toc9223_4022417266">
            <w:r>
              <w:rPr>
                <w:webHidden/>
                <w:rStyle w:val="IndexLink"/>
              </w:rPr>
              <w:t>24.3 The Premium Dividend</w:t>
              <w:tab/>
              <w:t>42</w:t>
            </w:r>
          </w:hyperlink>
        </w:p>
        <w:p>
          <w:pPr>
            <w:pStyle w:val="TOC2"/>
            <w:tabs>
              <w:tab w:val="clear" w:pos="9026"/>
              <w:tab w:val="right" w:pos="9025" w:leader="dot"/>
            </w:tabs>
            <w:rPr/>
          </w:pPr>
          <w:hyperlink w:anchor="__RefHeading___Toc9225_4022417266">
            <w:r>
              <w:rPr>
                <w:webHidden/>
                <w:rStyle w:val="IndexLink"/>
              </w:rPr>
              <w:t>Article 25: Supplementary Channels</w:t>
              <w:tab/>
              <w:t>42</w:t>
            </w:r>
          </w:hyperlink>
        </w:p>
        <w:p>
          <w:pPr>
            <w:pStyle w:val="TOC3"/>
            <w:tabs>
              <w:tab w:val="clear" w:pos="9026"/>
              <w:tab w:val="right" w:pos="9025" w:leader="dot"/>
            </w:tabs>
            <w:rPr/>
          </w:pPr>
          <w:hyperlink w:anchor="__RefHeading___Toc9227_4022417266">
            <w:r>
              <w:rPr>
                <w:webHidden/>
                <w:rStyle w:val="IndexLink"/>
              </w:rPr>
              <w:t>25.1 Transit User, Flag, and Industry Contributions</w:t>
              <w:tab/>
              <w:t>42</w:t>
            </w:r>
          </w:hyperlink>
        </w:p>
        <w:p>
          <w:pPr>
            <w:pStyle w:val="TOC3"/>
            <w:tabs>
              <w:tab w:val="clear" w:pos="9026"/>
              <w:tab w:val="right" w:pos="9025" w:leader="dot"/>
            </w:tabs>
            <w:rPr/>
          </w:pPr>
          <w:hyperlink w:anchor="__RefHeading___Toc9229_4022417266">
            <w:r>
              <w:rPr>
                <w:webHidden/>
                <w:rStyle w:val="IndexLink"/>
              </w:rPr>
              <w:t>25.2 The Port Processing Add-On</w:t>
              <w:tab/>
              <w:t>42</w:t>
            </w:r>
          </w:hyperlink>
        </w:p>
        <w:p>
          <w:pPr>
            <w:pStyle w:val="TOC3"/>
            <w:tabs>
              <w:tab w:val="clear" w:pos="9026"/>
              <w:tab w:val="right" w:pos="9025" w:leader="dot"/>
            </w:tabs>
            <w:rPr/>
          </w:pPr>
          <w:hyperlink w:anchor="__RefHeading___Toc9231_4022417266">
            <w:r>
              <w:rPr>
                <w:webHidden/>
                <w:rStyle w:val="IndexLink"/>
              </w:rPr>
              <w:t>25.3 The Infrastructure Interface</w:t>
              <w:tab/>
              <w:t>43</w:t>
            </w:r>
          </w:hyperlink>
        </w:p>
        <w:p>
          <w:pPr>
            <w:pStyle w:val="TOC2"/>
            <w:tabs>
              <w:tab w:val="clear" w:pos="9026"/>
              <w:tab w:val="right" w:pos="9025" w:leader="dot"/>
            </w:tabs>
            <w:rPr/>
          </w:pPr>
          <w:hyperlink w:anchor="__RefHeading___Toc9233_4022417266">
            <w:r>
              <w:rPr>
                <w:webHidden/>
                <w:rStyle w:val="IndexLink"/>
              </w:rPr>
              <w:t>Article 26: Budget, Audit, and the Global Compliance Firewall</w:t>
              <w:tab/>
              <w:t>43</w:t>
            </w:r>
          </w:hyperlink>
        </w:p>
        <w:p>
          <w:pPr>
            <w:pStyle w:val="TOC3"/>
            <w:tabs>
              <w:tab w:val="clear" w:pos="9026"/>
              <w:tab w:val="right" w:pos="9025" w:leader="dot"/>
            </w:tabs>
            <w:rPr/>
          </w:pPr>
          <w:hyperlink w:anchor="__RefHeading___Toc9235_4022417266">
            <w:r>
              <w:rPr>
                <w:webHidden/>
                <w:rStyle w:val="IndexLink"/>
              </w:rPr>
              <w:t>26.1 The Annual Envelope</w:t>
              <w:tab/>
              <w:t>43</w:t>
            </w:r>
          </w:hyperlink>
        </w:p>
        <w:p>
          <w:pPr>
            <w:pStyle w:val="TOC3"/>
            <w:tabs>
              <w:tab w:val="clear" w:pos="9026"/>
              <w:tab w:val="right" w:pos="9025" w:leader="dot"/>
            </w:tabs>
            <w:rPr/>
          </w:pPr>
          <w:hyperlink w:anchor="__RefHeading___Toc9237_4022417266">
            <w:r>
              <w:rPr>
                <w:webHidden/>
                <w:rStyle w:val="IndexLink"/>
              </w:rPr>
              <w:t>26.2 Cost Discipline Rules</w:t>
              <w:tab/>
              <w:t>43</w:t>
            </w:r>
          </w:hyperlink>
        </w:p>
        <w:p>
          <w:pPr>
            <w:pStyle w:val="TOC3"/>
            <w:tabs>
              <w:tab w:val="clear" w:pos="9026"/>
              <w:tab w:val="right" w:pos="9025" w:leader="dot"/>
            </w:tabs>
            <w:rPr/>
          </w:pPr>
          <w:hyperlink w:anchor="__RefHeading___Toc9239_4022417266">
            <w:r>
              <w:rPr>
                <w:webHidden/>
                <w:rStyle w:val="IndexLink"/>
              </w:rPr>
              <w:t>26.3 The Global Compliance Firewall</w:t>
              <w:tab/>
              <w:t>43</w:t>
            </w:r>
          </w:hyperlink>
        </w:p>
        <w:p>
          <w:pPr>
            <w:pStyle w:val="TOC3"/>
            <w:tabs>
              <w:tab w:val="clear" w:pos="9026"/>
              <w:tab w:val="right" w:pos="9025" w:leader="dot"/>
            </w:tabs>
            <w:rPr/>
          </w:pPr>
          <w:hyperlink w:anchor="__RefHeading___Toc9241_4022417266">
            <w:r>
              <w:rPr>
                <w:webHidden/>
                <w:rStyle w:val="IndexLink"/>
              </w:rPr>
              <w:t>26.4 Transparency</w:t>
              <w:tab/>
              <w:t>44</w:t>
            </w:r>
          </w:hyperlink>
        </w:p>
        <w:p>
          <w:pPr>
            <w:pStyle w:val="TOC1"/>
            <w:tabs>
              <w:tab w:val="clear" w:pos="9026"/>
              <w:tab w:val="right" w:pos="9025" w:leader="dot"/>
            </w:tabs>
            <w:rPr/>
          </w:pPr>
          <w:hyperlink w:anchor="__RefHeading___Toc9243_4022417266">
            <w:r>
              <w:rPr>
                <w:webHidden/>
                <w:rStyle w:val="IndexLink"/>
              </w:rPr>
              <w:t>Part V: Safety, Security, and Environmental Protection</w:t>
              <w:tab/>
              <w:t>45</w:t>
            </w:r>
          </w:hyperlink>
        </w:p>
        <w:p>
          <w:pPr>
            <w:pStyle w:val="TOC2"/>
            <w:tabs>
              <w:tab w:val="clear" w:pos="9026"/>
              <w:tab w:val="right" w:pos="9025" w:leader="dot"/>
            </w:tabs>
            <w:rPr/>
          </w:pPr>
          <w:hyperlink w:anchor="__RefHeading___Toc9245_4022417266">
            <w:r>
              <w:rPr>
                <w:webHidden/>
                <w:rStyle w:val="IndexLink"/>
              </w:rPr>
              <w:t>Article 27: Verification Philosophy: The Human Anchor Method</w:t>
              <w:tab/>
              <w:t>45</w:t>
            </w:r>
          </w:hyperlink>
        </w:p>
        <w:p>
          <w:pPr>
            <w:pStyle w:val="TOC3"/>
            <w:tabs>
              <w:tab w:val="clear" w:pos="9026"/>
              <w:tab w:val="right" w:pos="9025" w:leader="dot"/>
            </w:tabs>
            <w:rPr/>
          </w:pPr>
          <w:hyperlink w:anchor="__RefHeading___Toc9247_4022417266">
            <w:r>
              <w:rPr>
                <w:webHidden/>
                <w:rStyle w:val="IndexLink"/>
              </w:rPr>
              <w:t>27.1 Layered Inputs</w:t>
              <w:tab/>
              <w:t>45</w:t>
            </w:r>
          </w:hyperlink>
        </w:p>
        <w:p>
          <w:pPr>
            <w:pStyle w:val="TOC3"/>
            <w:tabs>
              <w:tab w:val="clear" w:pos="9026"/>
              <w:tab w:val="right" w:pos="9025" w:leader="dot"/>
            </w:tabs>
            <w:rPr/>
          </w:pPr>
          <w:hyperlink w:anchor="__RefHeading___Toc9249_4022417266">
            <w:r>
              <w:rPr>
                <w:webHidden/>
                <w:rStyle w:val="IndexLink"/>
              </w:rPr>
              <w:t>27.2 The Convergence Standard</w:t>
              <w:tab/>
              <w:t>45</w:t>
            </w:r>
          </w:hyperlink>
        </w:p>
        <w:p>
          <w:pPr>
            <w:pStyle w:val="TOC3"/>
            <w:tabs>
              <w:tab w:val="clear" w:pos="9026"/>
              <w:tab w:val="right" w:pos="9025" w:leader="dot"/>
            </w:tabs>
            <w:rPr/>
          </w:pPr>
          <w:hyperlink w:anchor="__RefHeading___Toc9251_4022417266">
            <w:r>
              <w:rPr>
                <w:webHidden/>
                <w:rStyle w:val="IndexLink"/>
              </w:rPr>
              <w:t>27.3 Human-in-the-Loop</w:t>
              <w:tab/>
              <w:t>45</w:t>
            </w:r>
          </w:hyperlink>
        </w:p>
        <w:p>
          <w:pPr>
            <w:pStyle w:val="TOC3"/>
            <w:tabs>
              <w:tab w:val="clear" w:pos="9026"/>
              <w:tab w:val="right" w:pos="9025" w:leader="dot"/>
            </w:tabs>
            <w:rPr/>
          </w:pPr>
          <w:hyperlink w:anchor="__RefHeading___Toc9253_4022417266">
            <w:r>
              <w:rPr>
                <w:webHidden/>
                <w:rStyle w:val="IndexLink"/>
              </w:rPr>
              <w:t>27.4 Data Sovereignty</w:t>
              <w:tab/>
              <w:t>46</w:t>
            </w:r>
          </w:hyperlink>
        </w:p>
        <w:p>
          <w:pPr>
            <w:pStyle w:val="TOC2"/>
            <w:tabs>
              <w:tab w:val="clear" w:pos="9026"/>
              <w:tab w:val="right" w:pos="9025" w:leader="dot"/>
            </w:tabs>
            <w:rPr/>
          </w:pPr>
          <w:hyperlink w:anchor="__RefHeading___Toc9255_4022417266">
            <w:r>
              <w:rPr>
                <w:webHidden/>
                <w:rStyle w:val="IndexLink"/>
              </w:rPr>
              <w:t>Article 28: Maritime Security and De-Confliction</w:t>
              <w:tab/>
              <w:t>46</w:t>
            </w:r>
          </w:hyperlink>
        </w:p>
        <w:p>
          <w:pPr>
            <w:pStyle w:val="TOC3"/>
            <w:tabs>
              <w:tab w:val="clear" w:pos="9026"/>
              <w:tab w:val="right" w:pos="9025" w:leader="dot"/>
            </w:tabs>
            <w:rPr/>
          </w:pPr>
          <w:hyperlink w:anchor="__RefHeading___Toc9257_4022417266">
            <w:r>
              <w:rPr>
                <w:webHidden/>
                <w:rStyle w:val="IndexLink"/>
              </w:rPr>
              <w:t>28.1 The Quiet Water Windows</w:t>
              <w:tab/>
              <w:t>46</w:t>
            </w:r>
          </w:hyperlink>
        </w:p>
        <w:p>
          <w:pPr>
            <w:pStyle w:val="TOC3"/>
            <w:tabs>
              <w:tab w:val="clear" w:pos="9026"/>
              <w:tab w:val="right" w:pos="9025" w:leader="dot"/>
            </w:tabs>
            <w:rPr/>
          </w:pPr>
          <w:hyperlink w:anchor="__RefHeading___Toc9259_4022417266">
            <w:r>
              <w:rPr>
                <w:webHidden/>
                <w:rStyle w:val="IndexLink"/>
              </w:rPr>
              <w:t>28.2 Exercise Notification</w:t>
              <w:tab/>
              <w:t>46</w:t>
            </w:r>
          </w:hyperlink>
        </w:p>
        <w:p>
          <w:pPr>
            <w:pStyle w:val="TOC3"/>
            <w:tabs>
              <w:tab w:val="clear" w:pos="9026"/>
              <w:tab w:val="right" w:pos="9025" w:leader="dot"/>
            </w:tabs>
            <w:rPr/>
          </w:pPr>
          <w:hyperlink w:anchor="__RefHeading___Toc9261_4022417266">
            <w:r>
              <w:rPr>
                <w:webHidden/>
                <w:rStyle w:val="IndexLink"/>
              </w:rPr>
              <w:t>28.3 The Incident Hotline</w:t>
              <w:tab/>
              <w:t>46</w:t>
            </w:r>
          </w:hyperlink>
        </w:p>
        <w:p>
          <w:pPr>
            <w:pStyle w:val="TOC3"/>
            <w:tabs>
              <w:tab w:val="clear" w:pos="9026"/>
              <w:tab w:val="right" w:pos="9025" w:leader="dot"/>
            </w:tabs>
            <w:rPr/>
          </w:pPr>
          <w:hyperlink w:anchor="__RefHeading___Toc9263_4022417266">
            <w:r>
              <w:rPr>
                <w:webHidden/>
                <w:rStyle w:val="IndexLink"/>
              </w:rPr>
              <w:t>28.4 The Mishap Protocol</w:t>
              <w:tab/>
              <w:t>46</w:t>
            </w:r>
          </w:hyperlink>
        </w:p>
        <w:p>
          <w:pPr>
            <w:pStyle w:val="TOC3"/>
            <w:tabs>
              <w:tab w:val="clear" w:pos="9026"/>
              <w:tab w:val="right" w:pos="9025" w:leader="dot"/>
            </w:tabs>
            <w:rPr/>
          </w:pPr>
          <w:hyperlink w:anchor="__RefHeading___Toc9265_4022417266">
            <w:r>
              <w:rPr>
                <w:webHidden/>
                <w:rStyle w:val="IndexLink"/>
              </w:rPr>
              <w:t>28.5 The Rogue Actor and False-Flag Pathway</w:t>
              <w:tab/>
              <w:t>47</w:t>
            </w:r>
          </w:hyperlink>
        </w:p>
        <w:p>
          <w:pPr>
            <w:pStyle w:val="TOC2"/>
            <w:tabs>
              <w:tab w:val="clear" w:pos="9026"/>
              <w:tab w:val="right" w:pos="9025" w:leader="dot"/>
            </w:tabs>
            <w:rPr/>
          </w:pPr>
          <w:hyperlink w:anchor="__RefHeading___Toc9267_4022417266">
            <w:r>
              <w:rPr>
                <w:webHidden/>
                <w:rStyle w:val="IndexLink"/>
              </w:rPr>
              <w:t>Article 29: Search and Rescue</w:t>
              <w:tab/>
              <w:t>47</w:t>
            </w:r>
          </w:hyperlink>
        </w:p>
        <w:p>
          <w:pPr>
            <w:pStyle w:val="TOC3"/>
            <w:tabs>
              <w:tab w:val="clear" w:pos="9026"/>
              <w:tab w:val="right" w:pos="9025" w:leader="dot"/>
            </w:tabs>
            <w:rPr/>
          </w:pPr>
          <w:hyperlink w:anchor="__RefHeading___Toc9269_4022417266">
            <w:r>
              <w:rPr>
                <w:webHidden/>
                <w:rStyle w:val="IndexLink"/>
              </w:rPr>
              <w:t>29.1 The Shared Grid</w:t>
              <w:tab/>
              <w:t>47</w:t>
            </w:r>
          </w:hyperlink>
        </w:p>
        <w:p>
          <w:pPr>
            <w:pStyle w:val="TOC3"/>
            <w:tabs>
              <w:tab w:val="clear" w:pos="9026"/>
              <w:tab w:val="right" w:pos="9025" w:leader="dot"/>
            </w:tabs>
            <w:rPr/>
          </w:pPr>
          <w:hyperlink w:anchor="__RefHeading___Toc9271_4022417266">
            <w:r>
              <w:rPr>
                <w:webHidden/>
                <w:rStyle w:val="IndexLink"/>
              </w:rPr>
              <w:t>29.2 The SAR Rota</w:t>
              <w:tab/>
              <w:t>47</w:t>
            </w:r>
          </w:hyperlink>
        </w:p>
        <w:p>
          <w:pPr>
            <w:pStyle w:val="TOC3"/>
            <w:tabs>
              <w:tab w:val="clear" w:pos="9026"/>
              <w:tab w:val="right" w:pos="9025" w:leader="dot"/>
            </w:tabs>
            <w:rPr/>
          </w:pPr>
          <w:hyperlink w:anchor="__RefHeading___Toc9273_4022417266">
            <w:r>
              <w:rPr>
                <w:webHidden/>
                <w:rStyle w:val="IndexLink"/>
              </w:rPr>
              <w:t>29.3 Humanitarian Priority</w:t>
              <w:tab/>
              <w:t>47</w:t>
            </w:r>
          </w:hyperlink>
        </w:p>
        <w:p>
          <w:pPr>
            <w:pStyle w:val="TOC2"/>
            <w:tabs>
              <w:tab w:val="clear" w:pos="9026"/>
              <w:tab w:val="right" w:pos="9025" w:leader="dot"/>
            </w:tabs>
            <w:rPr/>
          </w:pPr>
          <w:hyperlink w:anchor="__RefHeading___Toc9275_4022417266">
            <w:r>
              <w:rPr>
                <w:webHidden/>
                <w:rStyle w:val="IndexLink"/>
              </w:rPr>
              <w:t>Article 30: Environmental Protection</w:t>
              <w:tab/>
              <w:t>48</w:t>
            </w:r>
          </w:hyperlink>
        </w:p>
        <w:p>
          <w:pPr>
            <w:pStyle w:val="TOC3"/>
            <w:tabs>
              <w:tab w:val="clear" w:pos="9026"/>
              <w:tab w:val="right" w:pos="9025" w:leader="dot"/>
            </w:tabs>
            <w:rPr/>
          </w:pPr>
          <w:hyperlink w:anchor="__RefHeading___Toc9277_4022417266">
            <w:r>
              <w:rPr>
                <w:webHidden/>
                <w:rStyle w:val="IndexLink"/>
              </w:rPr>
              <w:t>30.1 The Pollution Response Readiness Service</w:t>
              <w:tab/>
              <w:t>48</w:t>
            </w:r>
          </w:hyperlink>
        </w:p>
        <w:p>
          <w:pPr>
            <w:pStyle w:val="TOC3"/>
            <w:tabs>
              <w:tab w:val="clear" w:pos="9026"/>
              <w:tab w:val="right" w:pos="9025" w:leader="dot"/>
            </w:tabs>
            <w:rPr/>
          </w:pPr>
          <w:hyperlink w:anchor="__RefHeading___Toc9279_4022417266">
            <w:r>
              <w:rPr>
                <w:webHidden/>
                <w:rStyle w:val="IndexLink"/>
              </w:rPr>
              <w:t>30.2 The Environmental Liability Coverage Rule</w:t>
              <w:tab/>
              <w:t>48</w:t>
            </w:r>
          </w:hyperlink>
        </w:p>
        <w:p>
          <w:pPr>
            <w:pStyle w:val="TOC3"/>
            <w:tabs>
              <w:tab w:val="clear" w:pos="9026"/>
              <w:tab w:val="right" w:pos="9025" w:leader="dot"/>
            </w:tabs>
            <w:rPr/>
          </w:pPr>
          <w:hyperlink w:anchor="__RefHeading___Toc9281_4022417266">
            <w:r>
              <w:rPr>
                <w:webHidden/>
                <w:rStyle w:val="IndexLink"/>
              </w:rPr>
              <w:t>30.3 Sensitive Areas</w:t>
              <w:tab/>
              <w:t>48</w:t>
            </w:r>
          </w:hyperlink>
        </w:p>
        <w:p>
          <w:pPr>
            <w:pStyle w:val="TOC2"/>
            <w:tabs>
              <w:tab w:val="clear" w:pos="9026"/>
              <w:tab w:val="right" w:pos="9025" w:leader="dot"/>
            </w:tabs>
            <w:rPr/>
          </w:pPr>
          <w:hyperlink w:anchor="__RefHeading___Toc9283_4022417266">
            <w:r>
              <w:rPr>
                <w:webHidden/>
                <w:rStyle w:val="IndexLink"/>
              </w:rPr>
              <w:t>Article 31: Incident Classification and Reporting</w:t>
              <w:tab/>
              <w:t>48</w:t>
            </w:r>
          </w:hyperlink>
        </w:p>
        <w:p>
          <w:pPr>
            <w:pStyle w:val="TOC3"/>
            <w:tabs>
              <w:tab w:val="clear" w:pos="9026"/>
              <w:tab w:val="right" w:pos="9025" w:leader="dot"/>
            </w:tabs>
            <w:rPr/>
          </w:pPr>
          <w:hyperlink w:anchor="__RefHeading___Toc9285_4022417266">
            <w:r>
              <w:rPr>
                <w:webHidden/>
                <w:rStyle w:val="IndexLink"/>
              </w:rPr>
              <w:t>31.1 The Classification Ladder</w:t>
              <w:tab/>
              <w:t>48</w:t>
            </w:r>
          </w:hyperlink>
        </w:p>
        <w:p>
          <w:pPr>
            <w:pStyle w:val="TOC3"/>
            <w:tabs>
              <w:tab w:val="clear" w:pos="9026"/>
              <w:tab w:val="right" w:pos="9025" w:leader="dot"/>
            </w:tabs>
            <w:rPr/>
          </w:pPr>
          <w:hyperlink w:anchor="__RefHeading___Toc9287_4022417266">
            <w:r>
              <w:rPr>
                <w:webHidden/>
                <w:rStyle w:val="IndexLink"/>
              </w:rPr>
              <w:t>31.2 Reporting Obligations</w:t>
              <w:tab/>
              <w:t>48</w:t>
            </w:r>
          </w:hyperlink>
        </w:p>
        <w:p>
          <w:pPr>
            <w:pStyle w:val="TOC3"/>
            <w:tabs>
              <w:tab w:val="clear" w:pos="9026"/>
              <w:tab w:val="right" w:pos="9025" w:leader="dot"/>
            </w:tabs>
            <w:rPr/>
          </w:pPr>
          <w:hyperlink w:anchor="__RefHeading___Toc9289_4022417266">
            <w:r>
              <w:rPr>
                <w:webHidden/>
                <w:rStyle w:val="IndexLink"/>
              </w:rPr>
              <w:t>31.3 The Statistics Feed</w:t>
              <w:tab/>
              <w:t>48</w:t>
            </w:r>
          </w:hyperlink>
        </w:p>
        <w:p>
          <w:pPr>
            <w:pStyle w:val="TOC3"/>
            <w:tabs>
              <w:tab w:val="clear" w:pos="9026"/>
              <w:tab w:val="right" w:pos="9025" w:leader="dot"/>
            </w:tabs>
            <w:rPr/>
          </w:pPr>
          <w:hyperlink w:anchor="__RefHeading___Toc9291_4022417266">
            <w:r>
              <w:rPr>
                <w:webHidden/>
                <w:rStyle w:val="IndexLink"/>
              </w:rPr>
              <w:t>31.4 The Incident Archive and the Lessons Cycle</w:t>
              <w:tab/>
              <w:t>49</w:t>
            </w:r>
          </w:hyperlink>
        </w:p>
        <w:p>
          <w:pPr>
            <w:pStyle w:val="TOC1"/>
            <w:tabs>
              <w:tab w:val="clear" w:pos="9026"/>
              <w:tab w:val="right" w:pos="9025" w:leader="dot"/>
            </w:tabs>
            <w:rPr/>
          </w:pPr>
          <w:hyperlink w:anchor="__RefHeading___Toc9293_4022417266">
            <w:r>
              <w:rPr>
                <w:webHidden/>
                <w:rStyle w:val="IndexLink"/>
              </w:rPr>
              <w:t>Part VI: Compliance and Dispute Resolution</w:t>
              <w:tab/>
              <w:t>50</w:t>
            </w:r>
          </w:hyperlink>
        </w:p>
        <w:p>
          <w:pPr>
            <w:pStyle w:val="TOC2"/>
            <w:tabs>
              <w:tab w:val="clear" w:pos="9026"/>
              <w:tab w:val="right" w:pos="9025" w:leader="dot"/>
            </w:tabs>
            <w:rPr/>
          </w:pPr>
          <w:hyperlink w:anchor="__RefHeading___Toc9295_4022417266">
            <w:r>
              <w:rPr>
                <w:webHidden/>
                <w:rStyle w:val="IndexLink"/>
              </w:rPr>
              <w:t>Article 32: The Compliance Engine</w:t>
              <w:tab/>
              <w:t>50</w:t>
            </w:r>
          </w:hyperlink>
        </w:p>
        <w:p>
          <w:pPr>
            <w:pStyle w:val="TOC3"/>
            <w:tabs>
              <w:tab w:val="clear" w:pos="9026"/>
              <w:tab w:val="right" w:pos="9025" w:leader="dot"/>
            </w:tabs>
            <w:rPr/>
          </w:pPr>
          <w:hyperlink w:anchor="__RefHeading___Toc9297_4022417266">
            <w:r>
              <w:rPr>
                <w:webHidden/>
                <w:rStyle w:val="IndexLink"/>
              </w:rPr>
              <w:t>32.1 The Four-Category Classification</w:t>
              <w:tab/>
              <w:t>50</w:t>
            </w:r>
          </w:hyperlink>
        </w:p>
        <w:p>
          <w:pPr>
            <w:pStyle w:val="TOC3"/>
            <w:tabs>
              <w:tab w:val="clear" w:pos="9026"/>
              <w:tab w:val="right" w:pos="9025" w:leader="dot"/>
            </w:tabs>
            <w:rPr/>
          </w:pPr>
          <w:hyperlink w:anchor="__RefHeading___Toc9299_4022417266">
            <w:r>
              <w:rPr>
                <w:webHidden/>
                <w:rStyle w:val="IndexLink"/>
              </w:rPr>
              <w:t>32.2 The Graduated Response Ladder</w:t>
              <w:tab/>
              <w:t>50</w:t>
            </w:r>
          </w:hyperlink>
        </w:p>
        <w:p>
          <w:pPr>
            <w:pStyle w:val="TOC3"/>
            <w:tabs>
              <w:tab w:val="clear" w:pos="9026"/>
              <w:tab w:val="right" w:pos="9025" w:leader="dot"/>
            </w:tabs>
            <w:rPr/>
          </w:pPr>
          <w:hyperlink w:anchor="__RefHeading___Toc9301_4022417266">
            <w:r>
              <w:rPr>
                <w:webHidden/>
                <w:rStyle w:val="IndexLink"/>
              </w:rPr>
              <w:t>32.3 The Performance Reserve</w:t>
              <w:tab/>
              <w:t>51</w:t>
            </w:r>
          </w:hyperlink>
        </w:p>
        <w:p>
          <w:pPr>
            <w:pStyle w:val="TOC3"/>
            <w:tabs>
              <w:tab w:val="clear" w:pos="9026"/>
              <w:tab w:val="right" w:pos="9025" w:leader="dot"/>
            </w:tabs>
            <w:rPr/>
          </w:pPr>
          <w:hyperlink w:anchor="__RefHeading___Toc9303_4022417266">
            <w:r>
              <w:rPr>
                <w:webHidden/>
                <w:rStyle w:val="IndexLink"/>
              </w:rPr>
              <w:t>32.4 The Humanitarian Firewall</w:t>
              <w:tab/>
              <w:t>51</w:t>
            </w:r>
          </w:hyperlink>
        </w:p>
        <w:p>
          <w:pPr>
            <w:pStyle w:val="TOC3"/>
            <w:tabs>
              <w:tab w:val="clear" w:pos="9026"/>
              <w:tab w:val="right" w:pos="9025" w:leader="dot"/>
            </w:tabs>
            <w:rPr/>
          </w:pPr>
          <w:hyperlink w:anchor="__RefHeading___Toc9305_4022417266">
            <w:r>
              <w:rPr>
                <w:webHidden/>
                <w:rStyle w:val="IndexLink"/>
              </w:rPr>
              <w:t>32.5 No Automatic Snapback</w:t>
              <w:tab/>
              <w:t>51</w:t>
            </w:r>
          </w:hyperlink>
        </w:p>
        <w:p>
          <w:pPr>
            <w:pStyle w:val="TOC3"/>
            <w:tabs>
              <w:tab w:val="clear" w:pos="9026"/>
              <w:tab w:val="right" w:pos="9025" w:leader="dot"/>
            </w:tabs>
            <w:rPr/>
          </w:pPr>
          <w:hyperlink w:anchor="__RefHeading___Toc9307_4022417266">
            <w:r>
              <w:rPr>
                <w:webHidden/>
                <w:rStyle w:val="IndexLink"/>
              </w:rPr>
              <w:t>32.6 The Good Faith Reset</w:t>
              <w:tab/>
              <w:t>51</w:t>
            </w:r>
          </w:hyperlink>
        </w:p>
        <w:p>
          <w:pPr>
            <w:pStyle w:val="TOC3"/>
            <w:tabs>
              <w:tab w:val="clear" w:pos="9026"/>
              <w:tab w:val="right" w:pos="9025" w:leader="dot"/>
            </w:tabs>
            <w:rPr/>
          </w:pPr>
          <w:hyperlink w:anchor="__RefHeading___Toc9309_4022417266">
            <w:r>
              <w:rPr>
                <w:webHidden/>
                <w:rStyle w:val="IndexLink"/>
              </w:rPr>
              <w:t>32.7 The Still Water Clause</w:t>
              <w:tab/>
              <w:t>51</w:t>
            </w:r>
          </w:hyperlink>
        </w:p>
        <w:p>
          <w:pPr>
            <w:pStyle w:val="TOC2"/>
            <w:tabs>
              <w:tab w:val="clear" w:pos="9026"/>
              <w:tab w:val="right" w:pos="9025" w:leader="dot"/>
            </w:tabs>
            <w:rPr/>
          </w:pPr>
          <w:hyperlink w:anchor="__RefHeading___Toc9311_4022417266">
            <w:r>
              <w:rPr>
                <w:webHidden/>
                <w:rStyle w:val="IndexLink"/>
              </w:rPr>
              <w:t>Article 33: Dispute Resolution</w:t>
              <w:tab/>
              <w:t>52</w:t>
            </w:r>
          </w:hyperlink>
        </w:p>
        <w:p>
          <w:pPr>
            <w:pStyle w:val="TOC3"/>
            <w:tabs>
              <w:tab w:val="clear" w:pos="9026"/>
              <w:tab w:val="right" w:pos="9025" w:leader="dot"/>
            </w:tabs>
            <w:rPr/>
          </w:pPr>
          <w:hyperlink w:anchor="__RefHeading___Toc9313_4022417266">
            <w:r>
              <w:rPr>
                <w:webHidden/>
                <w:rStyle w:val="IndexLink"/>
              </w:rPr>
              <w:t>33.1 The Ladder</w:t>
              <w:tab/>
              <w:t>52</w:t>
            </w:r>
          </w:hyperlink>
        </w:p>
        <w:p>
          <w:pPr>
            <w:pStyle w:val="TOC3"/>
            <w:tabs>
              <w:tab w:val="clear" w:pos="9026"/>
              <w:tab w:val="right" w:pos="9025" w:leader="dot"/>
            </w:tabs>
            <w:rPr/>
          </w:pPr>
          <w:hyperlink w:anchor="__RefHeading___Toc9315_4022417266">
            <w:r>
              <w:rPr>
                <w:webHidden/>
                <w:rStyle w:val="IndexLink"/>
              </w:rPr>
              <w:t>33.2 The Technical Arbitration Panel</w:t>
              <w:tab/>
              <w:t>52</w:t>
            </w:r>
          </w:hyperlink>
        </w:p>
        <w:p>
          <w:pPr>
            <w:pStyle w:val="TOC3"/>
            <w:tabs>
              <w:tab w:val="clear" w:pos="9026"/>
              <w:tab w:val="right" w:pos="9025" w:leader="dot"/>
            </w:tabs>
            <w:rPr/>
          </w:pPr>
          <w:hyperlink w:anchor="__RefHeading___Toc9317_4022417266">
            <w:r>
              <w:rPr>
                <w:webHidden/>
                <w:rStyle w:val="IndexLink"/>
              </w:rPr>
              <w:t>33.3 Time Limits and Interim Operation</w:t>
              <w:tab/>
              <w:t>52</w:t>
            </w:r>
          </w:hyperlink>
        </w:p>
        <w:p>
          <w:pPr>
            <w:pStyle w:val="TOC3"/>
            <w:tabs>
              <w:tab w:val="clear" w:pos="9026"/>
              <w:tab w:val="right" w:pos="9025" w:leader="dot"/>
            </w:tabs>
            <w:rPr/>
          </w:pPr>
          <w:hyperlink w:anchor="__RefHeading___Toc9319_4022417266">
            <w:r>
              <w:rPr>
                <w:webHidden/>
                <w:rStyle w:val="IndexLink"/>
              </w:rPr>
              <w:t>33.4 Decoupling from Force</w:t>
              <w:tab/>
              <w:t>52</w:t>
            </w:r>
          </w:hyperlink>
        </w:p>
        <w:p>
          <w:pPr>
            <w:pStyle w:val="TOC1"/>
            <w:tabs>
              <w:tab w:val="clear" w:pos="9026"/>
              <w:tab w:val="right" w:pos="9025" w:leader="dot"/>
            </w:tabs>
            <w:rPr/>
          </w:pPr>
          <w:hyperlink w:anchor="__RefHeading___Toc9321_4022417266">
            <w:r>
              <w:rPr>
                <w:webHidden/>
                <w:rStyle w:val="IndexLink"/>
              </w:rPr>
              <w:t>Part VII: Continuity, Amendment, and Transition</w:t>
              <w:tab/>
              <w:t>53</w:t>
            </w:r>
          </w:hyperlink>
        </w:p>
        <w:p>
          <w:pPr>
            <w:pStyle w:val="TOC2"/>
            <w:tabs>
              <w:tab w:val="clear" w:pos="9026"/>
              <w:tab w:val="right" w:pos="9025" w:leader="dot"/>
            </w:tabs>
            <w:rPr/>
          </w:pPr>
          <w:hyperlink w:anchor="__RefHeading___Toc9323_4022417266">
            <w:r>
              <w:rPr>
                <w:webHidden/>
                <w:rStyle w:val="IndexLink"/>
              </w:rPr>
              <w:t>Article 34: No-Fade Continuity and the Rolling Horizon</w:t>
              <w:tab/>
              <w:t>53</w:t>
            </w:r>
          </w:hyperlink>
        </w:p>
        <w:p>
          <w:pPr>
            <w:pStyle w:val="TOC3"/>
            <w:tabs>
              <w:tab w:val="clear" w:pos="9026"/>
              <w:tab w:val="right" w:pos="9025" w:leader="dot"/>
            </w:tabs>
            <w:rPr/>
          </w:pPr>
          <w:hyperlink w:anchor="__RefHeading___Toc9325_4022417266">
            <w:r>
              <w:rPr>
                <w:webHidden/>
                <w:rStyle w:val="IndexLink"/>
              </w:rPr>
              <w:t>34.1 The Rule</w:t>
              <w:tab/>
              <w:t>53</w:t>
            </w:r>
          </w:hyperlink>
        </w:p>
        <w:p>
          <w:pPr>
            <w:pStyle w:val="TOC3"/>
            <w:tabs>
              <w:tab w:val="clear" w:pos="9026"/>
              <w:tab w:val="right" w:pos="9025" w:leader="dot"/>
            </w:tabs>
            <w:rPr/>
          </w:pPr>
          <w:hyperlink w:anchor="__RefHeading___Toc9327_4022417266">
            <w:r>
              <w:rPr>
                <w:webHidden/>
                <w:rStyle w:val="IndexLink"/>
              </w:rPr>
              <w:t>34.2 The Rolling Horizon</w:t>
              <w:tab/>
              <w:t>53</w:t>
            </w:r>
          </w:hyperlink>
        </w:p>
        <w:p>
          <w:pPr>
            <w:pStyle w:val="TOC3"/>
            <w:tabs>
              <w:tab w:val="clear" w:pos="9026"/>
              <w:tab w:val="right" w:pos="9025" w:leader="dot"/>
            </w:tabs>
            <w:rPr/>
          </w:pPr>
          <w:hyperlink w:anchor="__RefHeading___Toc9329_4022417266">
            <w:r>
              <w:rPr>
                <w:webHidden/>
                <w:rStyle w:val="IndexLink"/>
              </w:rPr>
              <w:t>34.3 Banked Performance Survival</w:t>
              <w:tab/>
              <w:t>53</w:t>
            </w:r>
          </w:hyperlink>
        </w:p>
        <w:p>
          <w:pPr>
            <w:pStyle w:val="TOC2"/>
            <w:tabs>
              <w:tab w:val="clear" w:pos="9026"/>
              <w:tab w:val="right" w:pos="9025" w:leader="dot"/>
            </w:tabs>
            <w:rPr/>
          </w:pPr>
          <w:hyperlink w:anchor="__RefHeading___Toc9331_4022417266">
            <w:r>
              <w:rPr>
                <w:webHidden/>
                <w:rStyle w:val="IndexLink"/>
              </w:rPr>
              <w:t>Article 35: Phased Activation</w:t>
              <w:tab/>
              <w:t>53</w:t>
            </w:r>
          </w:hyperlink>
        </w:p>
        <w:p>
          <w:pPr>
            <w:pStyle w:val="TOC3"/>
            <w:tabs>
              <w:tab w:val="clear" w:pos="9026"/>
              <w:tab w:val="right" w:pos="9025" w:leader="dot"/>
            </w:tabs>
            <w:rPr/>
          </w:pPr>
          <w:hyperlink w:anchor="__RefHeading___Toc9333_4022417266">
            <w:r>
              <w:rPr>
                <w:webHidden/>
                <w:rStyle w:val="IndexLink"/>
              </w:rPr>
              <w:t>35.1 The Five Phases</w:t>
              <w:tab/>
              <w:t>53</w:t>
            </w:r>
          </w:hyperlink>
        </w:p>
        <w:p>
          <w:pPr>
            <w:pStyle w:val="TOC3"/>
            <w:tabs>
              <w:tab w:val="clear" w:pos="9026"/>
              <w:tab w:val="right" w:pos="9025" w:leader="dot"/>
            </w:tabs>
            <w:rPr/>
          </w:pPr>
          <w:hyperlink w:anchor="__RefHeading___Toc9335_4022417266">
            <w:r>
              <w:rPr>
                <w:webHidden/>
                <w:rStyle w:val="IndexLink"/>
              </w:rPr>
              <w:t>35.2 Phase Gates</w:t>
              <w:tab/>
              <w:t>54</w:t>
            </w:r>
          </w:hyperlink>
        </w:p>
        <w:p>
          <w:pPr>
            <w:pStyle w:val="TOC2"/>
            <w:tabs>
              <w:tab w:val="clear" w:pos="9026"/>
              <w:tab w:val="right" w:pos="9025" w:leader="dot"/>
            </w:tabs>
            <w:rPr/>
          </w:pPr>
          <w:hyperlink w:anchor="__RefHeading___Toc9337_4022417266">
            <w:r>
              <w:rPr>
                <w:webHidden/>
                <w:rStyle w:val="IndexLink"/>
              </w:rPr>
              <w:t>Article 36: Amendment, Review, and Accession</w:t>
              <w:tab/>
              <w:t>54</w:t>
            </w:r>
          </w:hyperlink>
        </w:p>
        <w:p>
          <w:pPr>
            <w:pStyle w:val="TOC3"/>
            <w:tabs>
              <w:tab w:val="clear" w:pos="9026"/>
              <w:tab w:val="right" w:pos="9025" w:leader="dot"/>
            </w:tabs>
            <w:rPr/>
          </w:pPr>
          <w:hyperlink w:anchor="__RefHeading___Toc9339_4022417266">
            <w:r>
              <w:rPr>
                <w:webHidden/>
                <w:rStyle w:val="IndexLink"/>
              </w:rPr>
              <w:t>36.1 The Open Water Review Conference</w:t>
              <w:tab/>
              <w:t>54</w:t>
            </w:r>
          </w:hyperlink>
        </w:p>
        <w:p>
          <w:pPr>
            <w:pStyle w:val="TOC3"/>
            <w:tabs>
              <w:tab w:val="clear" w:pos="9026"/>
              <w:tab w:val="right" w:pos="9025" w:leader="dot"/>
            </w:tabs>
            <w:rPr/>
          </w:pPr>
          <w:hyperlink w:anchor="__RefHeading___Toc9341_4022417266">
            <w:r>
              <w:rPr>
                <w:webHidden/>
                <w:rStyle w:val="IndexLink"/>
              </w:rPr>
              <w:t>36.2 Amendment Rules</w:t>
              <w:tab/>
              <w:t>55</w:t>
            </w:r>
          </w:hyperlink>
        </w:p>
        <w:p>
          <w:pPr>
            <w:pStyle w:val="TOC3"/>
            <w:tabs>
              <w:tab w:val="clear" w:pos="9026"/>
              <w:tab w:val="right" w:pos="9025" w:leader="dot"/>
            </w:tabs>
            <w:rPr/>
          </w:pPr>
          <w:hyperlink w:anchor="__RefHeading___Toc9343_4022417266">
            <w:r>
              <w:rPr>
                <w:webHidden/>
                <w:rStyle w:val="IndexLink"/>
              </w:rPr>
              <w:t>36.3 Categories of Participation and Rights</w:t>
              <w:tab/>
              <w:t>55</w:t>
            </w:r>
          </w:hyperlink>
        </w:p>
        <w:p>
          <w:pPr>
            <w:pStyle w:val="TOC3"/>
            <w:tabs>
              <w:tab w:val="clear" w:pos="9026"/>
              <w:tab w:val="right" w:pos="9025" w:leader="dot"/>
            </w:tabs>
            <w:rPr/>
          </w:pPr>
          <w:hyperlink w:anchor="__RefHeading___Toc9345_4022417266">
            <w:r>
              <w:rPr>
                <w:webHidden/>
                <w:rStyle w:val="IndexLink"/>
              </w:rPr>
              <w:t>36.3.1.5 Category V: User States (Advisory Participants)</w:t>
              <w:tab/>
              <w:t>57</w:t>
            </w:r>
          </w:hyperlink>
        </w:p>
        <w:p>
          <w:pPr>
            <w:pStyle w:val="TOC2"/>
            <w:tabs>
              <w:tab w:val="clear" w:pos="9026"/>
              <w:tab w:val="right" w:pos="9025" w:leader="dot"/>
            </w:tabs>
            <w:rPr/>
          </w:pPr>
          <w:hyperlink w:anchor="__RefHeading___Toc9347_4022417266">
            <w:r>
              <w:rPr>
                <w:webHidden/>
                <w:rStyle w:val="IndexLink"/>
              </w:rPr>
              <w:t>Article 37: Transition, Succession, and General Provisions</w:t>
              <w:tab/>
              <w:t>58</w:t>
            </w:r>
          </w:hyperlink>
        </w:p>
        <w:p>
          <w:pPr>
            <w:pStyle w:val="TOC3"/>
            <w:tabs>
              <w:tab w:val="clear" w:pos="9026"/>
              <w:tab w:val="right" w:pos="9025" w:leader="dot"/>
            </w:tabs>
            <w:rPr/>
          </w:pPr>
          <w:hyperlink w:anchor="__RefHeading___Toc9349_4022417266">
            <w:r>
              <w:rPr>
                <w:webHidden/>
                <w:rStyle w:val="IndexLink"/>
              </w:rPr>
              <w:t>37.1 Succession of the Joint Work</w:t>
              <w:tab/>
              <w:t>58</w:t>
            </w:r>
          </w:hyperlink>
        </w:p>
        <w:p>
          <w:pPr>
            <w:pStyle w:val="TOC3"/>
            <w:tabs>
              <w:tab w:val="clear" w:pos="9026"/>
              <w:tab w:val="right" w:pos="9025" w:leader="dot"/>
            </w:tabs>
            <w:rPr/>
          </w:pPr>
          <w:hyperlink w:anchor="__RefHeading___Toc9351_4022417266">
            <w:r>
              <w:rPr>
                <w:webHidden/>
                <w:rStyle w:val="IndexLink"/>
              </w:rPr>
              <w:t>37.2 Transformation of the Prior Northern Apparatus</w:t>
              <w:tab/>
              <w:t>59</w:t>
            </w:r>
          </w:hyperlink>
        </w:p>
        <w:p>
          <w:pPr>
            <w:pStyle w:val="TOC3"/>
            <w:tabs>
              <w:tab w:val="clear" w:pos="9026"/>
              <w:tab w:val="right" w:pos="9025" w:leader="dot"/>
            </w:tabs>
            <w:rPr/>
          </w:pPr>
          <w:hyperlink w:anchor="__RefHeading___Toc9353_4022417266">
            <w:r>
              <w:rPr>
                <w:webHidden/>
                <w:rStyle w:val="IndexLink"/>
              </w:rPr>
              <w:t>37.3 Depositary, Languages, and Authentic Texts</w:t>
              <w:tab/>
              <w:t>59</w:t>
            </w:r>
          </w:hyperlink>
        </w:p>
        <w:p>
          <w:pPr>
            <w:pStyle w:val="TOC1"/>
            <w:tabs>
              <w:tab w:val="clear" w:pos="9026"/>
              <w:tab w:val="right" w:pos="9025" w:leader="dot"/>
            </w:tabs>
            <w:rPr/>
          </w:pPr>
          <w:hyperlink w:anchor="__RefHeading___Toc9355_4022417266">
            <w:r>
              <w:rPr>
                <w:webHidden/>
                <w:rStyle w:val="IndexLink"/>
              </w:rPr>
              <w:t>Annex A: Passage Coordinates and Geodetic Definitions</w:t>
              <w:tab/>
              <w:t>59</w:t>
            </w:r>
          </w:hyperlink>
        </w:p>
        <w:p>
          <w:pPr>
            <w:pStyle w:val="TOC2"/>
            <w:tabs>
              <w:tab w:val="clear" w:pos="9026"/>
              <w:tab w:val="right" w:pos="9025" w:leader="dot"/>
            </w:tabs>
            <w:rPr/>
          </w:pPr>
          <w:hyperlink w:anchor="__RefHeading___Toc9357_4022417266">
            <w:r>
              <w:rPr>
                <w:webHidden/>
                <w:rStyle w:val="IndexLink"/>
              </w:rPr>
              <w:t>A.1 Operating Area Boundary</w:t>
              <w:tab/>
              <w:t>59</w:t>
            </w:r>
          </w:hyperlink>
        </w:p>
        <w:p>
          <w:pPr>
            <w:pStyle w:val="TOC2"/>
            <w:tabs>
              <w:tab w:val="clear" w:pos="9026"/>
              <w:tab w:val="right" w:pos="9025" w:leader="dot"/>
            </w:tabs>
            <w:rPr/>
          </w:pPr>
          <w:hyperlink w:anchor="__RefHeading___Toc9359_4022417266">
            <w:r>
              <w:rPr>
                <w:webHidden/>
                <w:rStyle w:val="IndexLink"/>
              </w:rPr>
              <w:t>A.2 Southern Assurance Passage Boundaries</w:t>
              <w:tab/>
              <w:t>60</w:t>
            </w:r>
          </w:hyperlink>
        </w:p>
        <w:p>
          <w:pPr>
            <w:pStyle w:val="TOC2"/>
            <w:tabs>
              <w:tab w:val="clear" w:pos="9026"/>
              <w:tab w:val="right" w:pos="9025" w:leader="dot"/>
            </w:tabs>
            <w:rPr/>
          </w:pPr>
          <w:hyperlink w:anchor="__RefHeading___Toc9361_4022417266">
            <w:r>
              <w:rPr>
                <w:webHidden/>
                <w:rStyle w:val="IndexLink"/>
              </w:rPr>
              <w:t>A.3 Northern Coordination Passage Boundaries</w:t>
              <w:tab/>
              <w:t>60</w:t>
            </w:r>
          </w:hyperlink>
        </w:p>
        <w:p>
          <w:pPr>
            <w:pStyle w:val="TOC2"/>
            <w:tabs>
              <w:tab w:val="clear" w:pos="9026"/>
              <w:tab w:val="right" w:pos="9025" w:leader="dot"/>
            </w:tabs>
            <w:rPr/>
          </w:pPr>
          <w:hyperlink w:anchor="__RefHeading___Toc9363_4022417266">
            <w:r>
              <w:rPr>
                <w:webHidden/>
                <w:rStyle w:val="IndexLink"/>
              </w:rPr>
              <w:t>A.4 The Separation Belts and the Central International Passage</w:t>
              <w:tab/>
              <w:t>61</w:t>
            </w:r>
          </w:hyperlink>
        </w:p>
        <w:p>
          <w:pPr>
            <w:pStyle w:val="TOC2"/>
            <w:tabs>
              <w:tab w:val="clear" w:pos="9026"/>
              <w:tab w:val="right" w:pos="9025" w:leader="dot"/>
            </w:tabs>
            <w:rPr/>
          </w:pPr>
          <w:hyperlink w:anchor="__RefHeading___Toc9365_4022417266">
            <w:r>
              <w:rPr>
                <w:webHidden/>
                <w:rStyle w:val="IndexLink"/>
              </w:rPr>
              <w:t>A.5 Precautionary Zones</w:t>
              <w:tab/>
              <w:t>61</w:t>
            </w:r>
          </w:hyperlink>
        </w:p>
        <w:p>
          <w:pPr>
            <w:pStyle w:val="TOC2"/>
            <w:tabs>
              <w:tab w:val="clear" w:pos="9026"/>
              <w:tab w:val="right" w:pos="9025" w:leader="dot"/>
            </w:tabs>
            <w:rPr/>
          </w:pPr>
          <w:hyperlink w:anchor="__RefHeading___Toc9367_4022417266">
            <w:r>
              <w:rPr>
                <w:webHidden/>
                <w:rStyle w:val="IndexLink"/>
              </w:rPr>
              <w:t>A.6 Holding Anchorages</w:t>
              <w:tab/>
              <w:t>62</w:t>
            </w:r>
          </w:hyperlink>
        </w:p>
        <w:p>
          <w:pPr>
            <w:pStyle w:val="TOC2"/>
            <w:tabs>
              <w:tab w:val="clear" w:pos="9026"/>
              <w:tab w:val="right" w:pos="9025" w:leader="dot"/>
            </w:tabs>
            <w:rPr/>
          </w:pPr>
          <w:hyperlink w:anchor="__RefHeading___Toc9369_4022417266">
            <w:r>
              <w:rPr>
                <w:webHidden/>
                <w:rStyle w:val="IndexLink"/>
              </w:rPr>
              <w:t>A.7 Crossing Sectors and Class F Gates</w:t>
              <w:tab/>
              <w:t>62</w:t>
            </w:r>
          </w:hyperlink>
        </w:p>
        <w:p>
          <w:pPr>
            <w:pStyle w:val="TOC2"/>
            <w:tabs>
              <w:tab w:val="clear" w:pos="9026"/>
              <w:tab w:val="right" w:pos="9025" w:leader="dot"/>
            </w:tabs>
            <w:rPr/>
          </w:pPr>
          <w:hyperlink w:anchor="__RefHeading___Toc9371_4022417266">
            <w:r>
              <w:rPr>
                <w:webHidden/>
                <w:rStyle w:val="IndexLink"/>
              </w:rPr>
              <w:t>A.8 Rendezvous Points</w:t>
              <w:tab/>
              <w:t>62</w:t>
            </w:r>
          </w:hyperlink>
        </w:p>
        <w:p>
          <w:pPr>
            <w:pStyle w:val="TOC2"/>
            <w:tabs>
              <w:tab w:val="clear" w:pos="9026"/>
              <w:tab w:val="right" w:pos="9025" w:leader="dot"/>
            </w:tabs>
            <w:rPr/>
          </w:pPr>
          <w:hyperlink w:anchor="__RefHeading___Toc9373_4022417266">
            <w:r>
              <w:rPr>
                <w:webHidden/>
                <w:rStyle w:val="IndexLink"/>
              </w:rPr>
              <w:t>A.9 Voice Reporting Points</w:t>
              <w:tab/>
              <w:t>63</w:t>
            </w:r>
          </w:hyperlink>
        </w:p>
        <w:p>
          <w:pPr>
            <w:pStyle w:val="TOC2"/>
            <w:tabs>
              <w:tab w:val="clear" w:pos="9026"/>
              <w:tab w:val="right" w:pos="9025" w:leader="dot"/>
            </w:tabs>
            <w:rPr/>
          </w:pPr>
          <w:hyperlink w:anchor="__RefHeading___Toc9375_4022417266">
            <w:r>
              <w:rPr>
                <w:webHidden/>
                <w:rStyle w:val="IndexLink"/>
              </w:rPr>
              <w:t>A.10 Particularly Sensitive Areas</w:t>
              <w:tab/>
              <w:t>63</w:t>
            </w:r>
          </w:hyperlink>
        </w:p>
        <w:p>
          <w:pPr>
            <w:pStyle w:val="TOC1"/>
            <w:tabs>
              <w:tab w:val="clear" w:pos="9026"/>
              <w:tab w:val="right" w:pos="9025" w:leader="dot"/>
            </w:tabs>
            <w:rPr/>
          </w:pPr>
          <w:hyperlink w:anchor="__RefHeading___Toc9377_4022417266">
            <w:r>
              <w:rPr>
                <w:webHidden/>
                <w:rStyle w:val="IndexLink"/>
              </w:rPr>
              <w:t>Annex B: Vessel Classification and Treatment Matrix</w:t>
              <w:tab/>
              <w:t>63</w:t>
            </w:r>
          </w:hyperlink>
        </w:p>
        <w:p>
          <w:pPr>
            <w:pStyle w:val="TOC2"/>
            <w:tabs>
              <w:tab w:val="clear" w:pos="9026"/>
              <w:tab w:val="right" w:pos="9025" w:leader="dot"/>
            </w:tabs>
            <w:rPr/>
          </w:pPr>
          <w:hyperlink w:anchor="__RefHeading___Toc9379_4022417266">
            <w:r>
              <w:rPr>
                <w:webHidden/>
                <w:rStyle w:val="IndexLink"/>
              </w:rPr>
              <w:t>B.1 The Matrix</w:t>
              <w:tab/>
              <w:t>63</w:t>
            </w:r>
          </w:hyperlink>
        </w:p>
        <w:p>
          <w:pPr>
            <w:pStyle w:val="TOC3"/>
            <w:tabs>
              <w:tab w:val="clear" w:pos="9026"/>
              <w:tab w:val="right" w:pos="9025" w:leader="dot"/>
            </w:tabs>
            <w:rPr/>
          </w:pPr>
          <w:hyperlink w:anchor="__RefHeading___Toc9381_4022417266">
            <w:r>
              <w:rPr>
                <w:webHidden/>
                <w:rStyle w:val="IndexLink"/>
              </w:rPr>
              <w:t>B.2 Lane Assignment</w:t>
              <w:tab/>
              <w:t>65</w:t>
            </w:r>
          </w:hyperlink>
        </w:p>
        <w:p>
          <w:pPr>
            <w:pStyle w:val="TOC2"/>
            <w:tabs>
              <w:tab w:val="clear" w:pos="9026"/>
              <w:tab w:val="right" w:pos="9025" w:leader="dot"/>
            </w:tabs>
            <w:rPr/>
          </w:pPr>
          <w:hyperlink w:anchor="__RefHeading___Toc9383_4022417266">
            <w:r>
              <w:rPr>
                <w:webHidden/>
                <w:rStyle w:val="IndexLink"/>
              </w:rPr>
              <w:t>B.4 Class S and Class M Protocol Details</w:t>
              <w:tab/>
              <w:t>66</w:t>
            </w:r>
          </w:hyperlink>
        </w:p>
        <w:p>
          <w:pPr>
            <w:pStyle w:val="TOC1"/>
            <w:tabs>
              <w:tab w:val="clear" w:pos="9026"/>
              <w:tab w:val="right" w:pos="9025" w:leader="dot"/>
            </w:tabs>
            <w:rPr/>
          </w:pPr>
          <w:hyperlink w:anchor="__RefHeading___Toc9385_4022417266">
            <w:r>
              <w:rPr>
                <w:webHidden/>
                <w:rStyle w:val="IndexLink"/>
              </w:rPr>
              <w:t>Annex C: The Verified Services Catalog and Rate Schedule</w:t>
              <w:tab/>
              <w:t>66</w:t>
            </w:r>
          </w:hyperlink>
        </w:p>
        <w:p>
          <w:pPr>
            <w:pStyle w:val="TOC2"/>
            <w:tabs>
              <w:tab w:val="clear" w:pos="9026"/>
              <w:tab w:val="right" w:pos="9025" w:leader="dot"/>
            </w:tabs>
            <w:rPr/>
          </w:pPr>
          <w:hyperlink w:anchor="__RefHeading___Toc9387_4022417266">
            <w:r>
              <w:rPr>
                <w:webHidden/>
                <w:rStyle w:val="IndexLink"/>
              </w:rPr>
              <w:t>C.1 Catalog Structure</w:t>
              <w:tab/>
              <w:t>66</w:t>
            </w:r>
          </w:hyperlink>
        </w:p>
        <w:p>
          <w:pPr>
            <w:pStyle w:val="TOC2"/>
            <w:tabs>
              <w:tab w:val="clear" w:pos="9026"/>
              <w:tab w:val="right" w:pos="9025" w:leader="dot"/>
            </w:tabs>
            <w:rPr/>
          </w:pPr>
          <w:hyperlink w:anchor="__RefHeading___Toc9389_4022417266">
            <w:r>
              <w:rPr>
                <w:webHidden/>
                <w:rStyle w:val="IndexLink"/>
              </w:rPr>
              <w:t>C.2 Service Families and Rates (Table C-1)</w:t>
              <w:tab/>
              <w:t>66</w:t>
            </w:r>
          </w:hyperlink>
        </w:p>
        <w:p>
          <w:pPr>
            <w:pStyle w:val="TOC2"/>
            <w:tabs>
              <w:tab w:val="clear" w:pos="9026"/>
              <w:tab w:val="right" w:pos="9025" w:leader="dot"/>
            </w:tabs>
            <w:rPr/>
          </w:pPr>
          <w:hyperlink w:anchor="__RefHeading___Toc9391_4022417266">
            <w:r>
              <w:rPr>
                <w:webHidden/>
                <w:rStyle w:val="IndexLink"/>
              </w:rPr>
              <w:t>C.3 Evidence Rules</w:t>
              <w:tab/>
              <w:t>67</w:t>
            </w:r>
          </w:hyperlink>
        </w:p>
        <w:p>
          <w:pPr>
            <w:pStyle w:val="TOC2"/>
            <w:tabs>
              <w:tab w:val="clear" w:pos="9026"/>
              <w:tab w:val="right" w:pos="9025" w:leader="dot"/>
            </w:tabs>
            <w:rPr/>
          </w:pPr>
          <w:hyperlink w:anchor="__RefHeading___Toc9393_4022417266">
            <w:r>
              <w:rPr>
                <w:webHidden/>
                <w:rStyle w:val="IndexLink"/>
              </w:rPr>
              <w:t>C.4 Deduction Schedule (Table C-2)</w:t>
              <w:tab/>
              <w:t>67</w:t>
            </w:r>
          </w:hyperlink>
        </w:p>
        <w:p>
          <w:pPr>
            <w:pStyle w:val="TOC2"/>
            <w:tabs>
              <w:tab w:val="clear" w:pos="9026"/>
              <w:tab w:val="right" w:pos="9025" w:leader="dot"/>
            </w:tabs>
            <w:rPr/>
          </w:pPr>
          <w:hyperlink w:anchor="__RefHeading___Toc9395_4022417266">
            <w:r>
              <w:rPr>
                <w:webHidden/>
                <w:rStyle w:val="IndexLink"/>
              </w:rPr>
              <w:t>C.5 Registry Contribution Schedule (Table C-9)</w:t>
              <w:tab/>
              <w:t>67</w:t>
            </w:r>
          </w:hyperlink>
        </w:p>
        <w:p>
          <w:pPr>
            <w:pStyle w:val="TOC2"/>
            <w:tabs>
              <w:tab w:val="clear" w:pos="9026"/>
              <w:tab w:val="right" w:pos="9025" w:leader="dot"/>
            </w:tabs>
            <w:rPr/>
          </w:pPr>
          <w:hyperlink w:anchor="__RefHeading___Toc9397_4022417266">
            <w:r>
              <w:rPr>
                <w:webHidden/>
                <w:rStyle w:val="IndexLink"/>
              </w:rPr>
              <w:t>C.6 Data Service Subscription Bands (Table C-10)</w:t>
              <w:tab/>
              <w:t>68</w:t>
            </w:r>
          </w:hyperlink>
        </w:p>
        <w:p>
          <w:pPr>
            <w:pStyle w:val="TOC2"/>
            <w:tabs>
              <w:tab w:val="clear" w:pos="9026"/>
              <w:tab w:val="right" w:pos="9025" w:leader="dot"/>
            </w:tabs>
            <w:rPr/>
          </w:pPr>
          <w:hyperlink w:anchor="__RefHeading___Toc9399_4022417266">
            <w:r>
              <w:rPr>
                <w:webHidden/>
                <w:rStyle w:val="IndexLink"/>
              </w:rPr>
              <w:t>C.8 Port Processing Add-On (Table C-12)</w:t>
              <w:tab/>
              <w:t>68</w:t>
            </w:r>
          </w:hyperlink>
        </w:p>
        <w:p>
          <w:pPr>
            <w:pStyle w:val="TOC3"/>
            <w:tabs>
              <w:tab w:val="clear" w:pos="9026"/>
              <w:tab w:val="right" w:pos="9025" w:leader="dot"/>
            </w:tabs>
            <w:rPr/>
          </w:pPr>
          <w:hyperlink w:anchor="__RefHeading___Toc9401_4022417266">
            <w:r>
              <w:rPr>
                <w:webHidden/>
                <w:rStyle w:val="IndexLink"/>
              </w:rPr>
              <w:t>C.9 Strategic Partner Contribution Scale (Table C-13)</w:t>
              <w:tab/>
              <w:t>69</w:t>
            </w:r>
          </w:hyperlink>
        </w:p>
        <w:p>
          <w:pPr>
            <w:pStyle w:val="TOC3"/>
            <w:tabs>
              <w:tab w:val="clear" w:pos="9026"/>
              <w:tab w:val="right" w:pos="9025" w:leader="dot"/>
            </w:tabs>
            <w:rPr/>
          </w:pPr>
          <w:hyperlink w:anchor="__RefHeading___Toc9403_4022417266">
            <w:r>
              <w:rPr>
                <w:webHidden/>
                <w:rStyle w:val="IndexLink"/>
              </w:rPr>
              <w:t>C.10 Observer State Contribution Scale (Table C-14)</w:t>
              <w:tab/>
              <w:t>69</w:t>
            </w:r>
          </w:hyperlink>
        </w:p>
        <w:p>
          <w:pPr>
            <w:pStyle w:val="TOC3"/>
            <w:tabs>
              <w:tab w:val="clear" w:pos="9026"/>
              <w:tab w:val="right" w:pos="9025" w:leader="dot"/>
            </w:tabs>
            <w:rPr/>
          </w:pPr>
          <w:hyperlink w:anchor="__RefHeading___Toc9405_4022417266">
            <w:r>
              <w:rPr>
                <w:webHidden/>
                <w:rStyle w:val="IndexLink"/>
              </w:rPr>
              <w:t>C.11 Voluntary Service Contributions</w:t>
              <w:tab/>
              <w:t>69</w:t>
            </w:r>
          </w:hyperlink>
        </w:p>
        <w:p>
          <w:pPr>
            <w:pStyle w:val="TOC2"/>
            <w:tabs>
              <w:tab w:val="clear" w:pos="9026"/>
              <w:tab w:val="right" w:pos="9025" w:leader="dot"/>
            </w:tabs>
            <w:rPr/>
          </w:pPr>
          <w:hyperlink w:anchor="__RefHeading___Toc9407_4022417266">
            <w:r>
              <w:rPr>
                <w:webHidden/>
                <w:rStyle w:val="IndexLink"/>
              </w:rPr>
              <w:t>D.1 The Twelve Fields</w:t>
              <w:tab/>
              <w:t>70</w:t>
            </w:r>
          </w:hyperlink>
        </w:p>
        <w:p>
          <w:pPr>
            <w:pStyle w:val="TOC2"/>
            <w:tabs>
              <w:tab w:val="clear" w:pos="9026"/>
              <w:tab w:val="right" w:pos="9025" w:leader="dot"/>
            </w:tabs>
            <w:rPr/>
          </w:pPr>
          <w:hyperlink w:anchor="__RefHeading___Toc9409_4022417266">
            <w:r>
              <w:rPr>
                <w:webHidden/>
                <w:rStyle w:val="IndexLink"/>
              </w:rPr>
              <w:t>D.2 Filing Channels</w:t>
              <w:tab/>
              <w:t>70</w:t>
            </w:r>
          </w:hyperlink>
        </w:p>
        <w:p>
          <w:pPr>
            <w:pStyle w:val="TOC2"/>
            <w:tabs>
              <w:tab w:val="clear" w:pos="9026"/>
              <w:tab w:val="right" w:pos="9025" w:leader="dot"/>
            </w:tabs>
            <w:rPr/>
          </w:pPr>
          <w:hyperlink w:anchor="__RefHeading___Toc9411_4022417266">
            <w:r>
              <w:rPr>
                <w:webHidden/>
                <w:rStyle w:val="IndexLink"/>
              </w:rPr>
              <w:t>D.3 The Multilateral Transit Code Format</w:t>
              <w:tab/>
              <w:t>70</w:t>
            </w:r>
          </w:hyperlink>
        </w:p>
        <w:p>
          <w:pPr>
            <w:pStyle w:val="TOC2"/>
            <w:tabs>
              <w:tab w:val="clear" w:pos="9026"/>
              <w:tab w:val="right" w:pos="9025" w:leader="dot"/>
            </w:tabs>
            <w:rPr/>
          </w:pPr>
          <w:hyperlink w:anchor="__RefHeading___Toc9413_4022417266">
            <w:r>
              <w:rPr>
                <w:webHidden/>
                <w:rStyle w:val="IndexLink"/>
              </w:rPr>
              <w:t>D.4 Class H Fast-Track Form</w:t>
              <w:tab/>
              <w:t>71</w:t>
            </w:r>
          </w:hyperlink>
        </w:p>
        <w:p>
          <w:pPr>
            <w:pStyle w:val="TOC2"/>
            <w:tabs>
              <w:tab w:val="clear" w:pos="9026"/>
              <w:tab w:val="right" w:pos="9025" w:leader="dot"/>
            </w:tabs>
            <w:rPr/>
          </w:pPr>
          <w:hyperlink w:anchor="__RefHeading___Toc9415_4022417266">
            <w:r>
              <w:rPr>
                <w:webHidden/>
                <w:rStyle w:val="IndexLink"/>
              </w:rPr>
              <w:t>D.5 Class S Channel Message</w:t>
              <w:tab/>
              <w:t>71</w:t>
            </w:r>
          </w:hyperlink>
        </w:p>
        <w:p>
          <w:pPr>
            <w:pStyle w:val="TOC2"/>
            <w:tabs>
              <w:tab w:val="clear" w:pos="9026"/>
              <w:tab w:val="right" w:pos="9025" w:leader="dot"/>
            </w:tabs>
            <w:rPr/>
          </w:pPr>
          <w:hyperlink w:anchor="__RefHeading___Toc9417_4022417266">
            <w:r>
              <w:rPr>
                <w:webHidden/>
                <w:rStyle w:val="IndexLink"/>
              </w:rPr>
              <w:t>D.6 Corrections and Updates</w:t>
              <w:tab/>
              <w:t>71</w:t>
            </w:r>
          </w:hyperlink>
        </w:p>
        <w:p>
          <w:pPr>
            <w:pStyle w:val="TOC2"/>
            <w:tabs>
              <w:tab w:val="clear" w:pos="9026"/>
              <w:tab w:val="right" w:pos="9025" w:leader="dot"/>
            </w:tabs>
            <w:rPr/>
          </w:pPr>
          <w:hyperlink w:anchor="__RefHeading___Toc9419_4022417266">
            <w:r>
              <w:rPr>
                <w:webHidden/>
                <w:rStyle w:val="IndexLink"/>
              </w:rPr>
              <w:t>D.7 Listed-Vessel Practices</w:t>
              <w:tab/>
              <w:t>71</w:t>
            </w:r>
          </w:hyperlink>
        </w:p>
        <w:p>
          <w:pPr>
            <w:pStyle w:val="TOC1"/>
            <w:tabs>
              <w:tab w:val="clear" w:pos="9026"/>
              <w:tab w:val="right" w:pos="9025" w:leader="dot"/>
            </w:tabs>
            <w:rPr/>
          </w:pPr>
          <w:hyperlink w:anchor="__RefHeading___Toc9421_4022417266">
            <w:r>
              <w:rPr>
                <w:webHidden/>
                <w:rStyle w:val="IndexLink"/>
              </w:rPr>
              <w:t>Annex E: Incident Classification and Response Timelines</w:t>
              <w:tab/>
              <w:t>71</w:t>
            </w:r>
          </w:hyperlink>
        </w:p>
        <w:p>
          <w:pPr>
            <w:pStyle w:val="TOC2"/>
            <w:tabs>
              <w:tab w:val="clear" w:pos="9026"/>
              <w:tab w:val="right" w:pos="9025" w:leader="dot"/>
            </w:tabs>
            <w:rPr/>
          </w:pPr>
          <w:hyperlink w:anchor="__RefHeading___Toc9423_4022417266">
            <w:r>
              <w:rPr>
                <w:webHidden/>
                <w:rStyle w:val="IndexLink"/>
              </w:rPr>
              <w:t>E.1 The Ladder</w:t>
              <w:tab/>
              <w:t>71</w:t>
            </w:r>
          </w:hyperlink>
        </w:p>
        <w:p>
          <w:pPr>
            <w:pStyle w:val="TOC2"/>
            <w:tabs>
              <w:tab w:val="clear" w:pos="9026"/>
              <w:tab w:val="right" w:pos="9025" w:leader="dot"/>
            </w:tabs>
            <w:rPr/>
          </w:pPr>
          <w:hyperlink w:anchor="__RefHeading___Toc9425_4022417266">
            <w:r>
              <w:rPr>
                <w:webHidden/>
                <w:rStyle w:val="IndexLink"/>
              </w:rPr>
              <w:t>E.2 Neutral Incident Language</w:t>
              <w:tab/>
              <w:t>72</w:t>
            </w:r>
          </w:hyperlink>
        </w:p>
        <w:p>
          <w:pPr>
            <w:pStyle w:val="TOC2"/>
            <w:tabs>
              <w:tab w:val="clear" w:pos="9026"/>
              <w:tab w:val="right" w:pos="9025" w:leader="dot"/>
            </w:tabs>
            <w:rPr/>
          </w:pPr>
          <w:hyperlink w:anchor="__RefHeading___Toc9427_4022417266">
            <w:r>
              <w:rPr>
                <w:webHidden/>
                <w:rStyle w:val="IndexLink"/>
              </w:rPr>
              <w:t>E.3 Response Timelines</w:t>
              <w:tab/>
              <w:t>72</w:t>
            </w:r>
          </w:hyperlink>
        </w:p>
        <w:p>
          <w:pPr>
            <w:pStyle w:val="TOC2"/>
            <w:tabs>
              <w:tab w:val="clear" w:pos="9026"/>
              <w:tab w:val="right" w:pos="9025" w:leader="dot"/>
            </w:tabs>
            <w:rPr/>
          </w:pPr>
          <w:hyperlink w:anchor="__RefHeading___Toc9429_4022417266">
            <w:r>
              <w:rPr>
                <w:webHidden/>
                <w:rStyle w:val="IndexLink"/>
              </w:rPr>
              <w:t>E.4 The Sealed Incident File</w:t>
              <w:tab/>
              <w:t>72</w:t>
            </w:r>
          </w:hyperlink>
        </w:p>
        <w:p>
          <w:pPr>
            <w:pStyle w:val="TOC2"/>
            <w:tabs>
              <w:tab w:val="clear" w:pos="9026"/>
              <w:tab w:val="right" w:pos="9025" w:leader="dot"/>
            </w:tabs>
            <w:rPr/>
          </w:pPr>
          <w:hyperlink w:anchor="__RefHeading___Toc9431_4022417266">
            <w:r>
              <w:rPr>
                <w:webHidden/>
                <w:rStyle w:val="IndexLink"/>
              </w:rPr>
              <w:t>E.5 Repeat Event Analysis</w:t>
              <w:tab/>
              <w:t>72</w:t>
            </w:r>
          </w:hyperlink>
        </w:p>
        <w:p>
          <w:pPr>
            <w:pStyle w:val="TOC2"/>
            <w:tabs>
              <w:tab w:val="clear" w:pos="9026"/>
              <w:tab w:val="right" w:pos="9025" w:leader="dot"/>
            </w:tabs>
            <w:rPr/>
          </w:pPr>
          <w:hyperlink w:anchor="__RefHeading___Toc9433_4022417266">
            <w:r>
              <w:rPr>
                <w:webHidden/>
                <w:rStyle w:val="IndexLink"/>
              </w:rPr>
              <w:t>E.6 False-Report Consequence</w:t>
              <w:tab/>
              <w:t>72</w:t>
            </w:r>
          </w:hyperlink>
        </w:p>
        <w:p>
          <w:pPr>
            <w:pStyle w:val="TOC3"/>
            <w:tabs>
              <w:tab w:val="clear" w:pos="9026"/>
              <w:tab w:val="right" w:pos="9025" w:leader="dot"/>
            </w:tabs>
            <w:rPr/>
          </w:pPr>
          <w:hyperlink w:anchor="__RefHeading___Toc9435_4022417266">
            <w:r>
              <w:rPr>
                <w:webHidden/>
                <w:rStyle w:val="IndexLink"/>
              </w:rPr>
              <w:t>E.7 The Central Passage Incident Category</w:t>
              <w:tab/>
              <w:t>72</w:t>
            </w:r>
          </w:hyperlink>
        </w:p>
        <w:p>
          <w:pPr>
            <w:pStyle w:val="TOC1"/>
            <w:tabs>
              <w:tab w:val="clear" w:pos="9026"/>
              <w:tab w:val="right" w:pos="9025" w:leader="dot"/>
            </w:tabs>
            <w:rPr/>
          </w:pPr>
          <w:hyperlink w:anchor="__RefHeading___Toc9437_4022417266">
            <w:r>
              <w:rPr>
                <w:webHidden/>
                <w:rStyle w:val="IndexLink"/>
              </w:rPr>
              <w:t>Annex F: The Core Principles Register (Full Operative Text)</w:t>
              <w:tab/>
              <w:t>73</w:t>
            </w:r>
          </w:hyperlink>
        </w:p>
        <w:p>
          <w:pPr>
            <w:pStyle w:val="TOC2"/>
            <w:tabs>
              <w:tab w:val="clear" w:pos="9026"/>
              <w:tab w:val="right" w:pos="9025" w:leader="dot"/>
            </w:tabs>
            <w:rPr/>
          </w:pPr>
          <w:hyperlink w:anchor="__RefHeading___Toc9439_4022417266">
            <w:r>
              <w:rPr>
                <w:webHidden/>
                <w:rStyle w:val="IndexLink"/>
              </w:rPr>
              <w:t>F.1 Reading the Register</w:t>
              <w:tab/>
              <w:t>73</w:t>
            </w:r>
          </w:hyperlink>
        </w:p>
        <w:p>
          <w:pPr>
            <w:pStyle w:val="TOC2"/>
            <w:tabs>
              <w:tab w:val="clear" w:pos="9026"/>
              <w:tab w:val="right" w:pos="9025" w:leader="dot"/>
            </w:tabs>
            <w:rPr/>
          </w:pPr>
          <w:hyperlink w:anchor="__RefHeading___Toc9441_4022417266">
            <w:r>
              <w:rPr>
                <w:webHidden/>
                <w:rStyle w:val="IndexLink"/>
              </w:rPr>
              <w:t>F.2 The Entries</w:t>
              <w:tab/>
              <w:t>73</w:t>
            </w:r>
          </w:hyperlink>
        </w:p>
        <w:p>
          <w:pPr>
            <w:pStyle w:val="TOC2"/>
            <w:tabs>
              <w:tab w:val="clear" w:pos="9026"/>
              <w:tab w:val="right" w:pos="9025" w:leader="dot"/>
            </w:tabs>
            <w:rPr/>
          </w:pPr>
          <w:hyperlink w:anchor="__RefHeading___Toc9443_4022417266">
            <w:r>
              <w:rPr>
                <w:webHidden/>
                <w:rStyle w:val="IndexLink"/>
              </w:rPr>
              <w:t>F.3 Register Maintenance</w:t>
              <w:tab/>
              <w:t>74</w:t>
            </w:r>
          </w:hyperlink>
        </w:p>
        <w:p>
          <w:pPr>
            <w:pStyle w:val="TOC1"/>
            <w:tabs>
              <w:tab w:val="clear" w:pos="9026"/>
              <w:tab w:val="right" w:pos="9025" w:leader="dot"/>
            </w:tabs>
            <w:rPr/>
          </w:pPr>
          <w:hyperlink w:anchor="__RefHeading___Toc9445_4022417266">
            <w:r>
              <w:rPr>
                <w:webHidden/>
                <w:rStyle w:val="IndexLink"/>
              </w:rPr>
              <w:t>Annex G: Worked Financial Examples</w:t>
              <w:tab/>
              <w:t>74</w:t>
            </w:r>
          </w:hyperlink>
        </w:p>
        <w:p>
          <w:pPr>
            <w:pStyle w:val="TOC2"/>
            <w:tabs>
              <w:tab w:val="clear" w:pos="9026"/>
              <w:tab w:val="right" w:pos="9025" w:leader="dot"/>
            </w:tabs>
            <w:rPr/>
          </w:pPr>
          <w:hyperlink w:anchor="__RefHeading___Toc9447_4022417266">
            <w:r>
              <w:rPr>
                <w:webHidden/>
                <w:rStyle w:val="IndexLink"/>
              </w:rPr>
              <w:t>G.1 Purpose</w:t>
              <w:tab/>
              <w:t>74</w:t>
            </w:r>
          </w:hyperlink>
        </w:p>
        <w:p>
          <w:pPr>
            <w:pStyle w:val="TOC2"/>
            <w:tabs>
              <w:tab w:val="clear" w:pos="9026"/>
              <w:tab w:val="right" w:pos="9025" w:leader="dot"/>
            </w:tabs>
            <w:rPr/>
          </w:pPr>
          <w:hyperlink w:anchor="__RefHeading___Toc9449_4022417266">
            <w:r>
              <w:rPr>
                <w:webHidden/>
                <w:rStyle w:val="IndexLink"/>
              </w:rPr>
              <w:t>G.2 Vessel-Level Examples</w:t>
              <w:tab/>
              <w:t>74</w:t>
            </w:r>
          </w:hyperlink>
        </w:p>
        <w:p>
          <w:pPr>
            <w:pStyle w:val="TOC2"/>
            <w:tabs>
              <w:tab w:val="clear" w:pos="9026"/>
              <w:tab w:val="right" w:pos="9025" w:leader="dot"/>
            </w:tabs>
            <w:rPr/>
          </w:pPr>
          <w:hyperlink w:anchor="__RefHeading___Toc9451_4022417266">
            <w:r>
              <w:rPr>
                <w:webHidden/>
                <w:rStyle w:val="IndexLink"/>
              </w:rPr>
              <w:t>G.3 The Premium Arithmetic</w:t>
              <w:tab/>
              <w:t>74</w:t>
            </w:r>
          </w:hyperlink>
        </w:p>
        <w:p>
          <w:pPr>
            <w:pStyle w:val="TOC2"/>
            <w:tabs>
              <w:tab w:val="clear" w:pos="9026"/>
              <w:tab w:val="right" w:pos="9025" w:leader="dot"/>
            </w:tabs>
            <w:rPr/>
          </w:pPr>
          <w:hyperlink w:anchor="__RefHeading___Toc9453_4022417266">
            <w:r>
              <w:rPr>
                <w:webHidden/>
                <w:rStyle w:val="IndexLink"/>
              </w:rPr>
              <w:t>G.4 Fund-Level Example: First Full Year</w:t>
              <w:tab/>
              <w:t>75</w:t>
            </w:r>
          </w:hyperlink>
        </w:p>
        <w:p>
          <w:pPr>
            <w:pStyle w:val="TOC2"/>
            <w:tabs>
              <w:tab w:val="clear" w:pos="9026"/>
              <w:tab w:val="right" w:pos="9025" w:leader="dot"/>
            </w:tabs>
            <w:rPr/>
          </w:pPr>
          <w:hyperlink w:anchor="__RefHeading___Toc9455_4022417266">
            <w:r>
              <w:rPr>
                <w:webHidden/>
                <w:rStyle w:val="IndexLink"/>
              </w:rPr>
              <w:t>G.5 What Participants Take Home</w:t>
              <w:tab/>
              <w:t>75</w:t>
            </w:r>
          </w:hyperlink>
        </w:p>
        <w:p>
          <w:pPr>
            <w:pStyle w:val="TOC1"/>
            <w:tabs>
              <w:tab w:val="clear" w:pos="9026"/>
              <w:tab w:val="right" w:pos="9025" w:leader="dot"/>
            </w:tabs>
            <w:rPr/>
          </w:pPr>
          <w:hyperlink w:anchor="__RefHeading___Toc9457_4022417266">
            <w:r>
              <w:rPr>
                <w:webHidden/>
                <w:rStyle w:val="IndexLink"/>
              </w:rPr>
              <w:t>Annex H: Model Forms</w:t>
              <w:tab/>
              <w:t>76</w:t>
            </w:r>
          </w:hyperlink>
        </w:p>
        <w:p>
          <w:pPr>
            <w:pStyle w:val="TOC2"/>
            <w:tabs>
              <w:tab w:val="clear" w:pos="9026"/>
              <w:tab w:val="right" w:pos="9025" w:leader="dot"/>
            </w:tabs>
            <w:rPr/>
          </w:pPr>
          <w:hyperlink w:anchor="__RefHeading___Toc9459_4022417266">
            <w:r>
              <w:rPr>
                <w:webHidden/>
                <w:rStyle w:val="IndexLink"/>
              </w:rPr>
              <w:t>H.1 Form R-1: Transit Registration</w:t>
              <w:tab/>
              <w:t>76</w:t>
            </w:r>
          </w:hyperlink>
        </w:p>
        <w:p>
          <w:pPr>
            <w:pStyle w:val="TOC2"/>
            <w:tabs>
              <w:tab w:val="clear" w:pos="9026"/>
              <w:tab w:val="right" w:pos="9025" w:leader="dot"/>
            </w:tabs>
            <w:rPr/>
          </w:pPr>
          <w:hyperlink w:anchor="__RefHeading___Toc9461_4022417266">
            <w:r>
              <w:rPr>
                <w:webHidden/>
                <w:rStyle w:val="IndexLink"/>
              </w:rPr>
              <w:t>H.2 Form I-1: Service Invoice Cover Sheet</w:t>
              <w:tab/>
              <w:t>76</w:t>
            </w:r>
          </w:hyperlink>
        </w:p>
        <w:p>
          <w:pPr>
            <w:pStyle w:val="TOC2"/>
            <w:tabs>
              <w:tab w:val="clear" w:pos="9026"/>
              <w:tab w:val="right" w:pos="9025" w:leader="dot"/>
            </w:tabs>
            <w:rPr/>
          </w:pPr>
          <w:hyperlink w:anchor="__RefHeading___Toc9463_4022417266">
            <w:r>
              <w:rPr>
                <w:webHidden/>
                <w:rStyle w:val="IndexLink"/>
              </w:rPr>
              <w:t>H.3 Form O-1: Observer Embarkation and Report</w:t>
              <w:tab/>
              <w:t>77</w:t>
            </w:r>
          </w:hyperlink>
        </w:p>
        <w:p>
          <w:pPr>
            <w:pStyle w:val="TOC1"/>
            <w:tabs>
              <w:tab w:val="clear" w:pos="9026"/>
              <w:tab w:val="right" w:pos="9025" w:leader="dot"/>
            </w:tabs>
            <w:rPr/>
          </w:pPr>
          <w:hyperlink w:anchor="__RefHeading___Toc9465_4022417266">
            <w:r>
              <w:rPr>
                <w:webHidden/>
                <w:rStyle w:val="IndexLink"/>
              </w:rPr>
              <w:t>Annex I: Governance Calendar and Standing Tables</w:t>
              <w:tab/>
              <w:t>77</w:t>
            </w:r>
          </w:hyperlink>
        </w:p>
        <w:p>
          <w:pPr>
            <w:pStyle w:val="TOC2"/>
            <w:tabs>
              <w:tab w:val="clear" w:pos="9026"/>
              <w:tab w:val="right" w:pos="9025" w:leader="dot"/>
            </w:tabs>
            <w:rPr/>
          </w:pPr>
          <w:hyperlink w:anchor="__RefHeading___Toc9467_4022417266">
            <w:r>
              <w:rPr>
                <w:webHidden/>
                <w:rStyle w:val="IndexLink"/>
              </w:rPr>
              <w:t>I.1 Annual Calendar</w:t>
              <w:tab/>
              <w:t>77</w:t>
            </w:r>
          </w:hyperlink>
        </w:p>
        <w:p>
          <w:pPr>
            <w:pStyle w:val="TOC2"/>
            <w:tabs>
              <w:tab w:val="clear" w:pos="9026"/>
              <w:tab w:val="right" w:pos="9025" w:leader="dot"/>
            </w:tabs>
            <w:rPr/>
          </w:pPr>
          <w:hyperlink w:anchor="__RefHeading___Toc9469_4022417266">
            <w:r>
              <w:rPr>
                <w:webHidden/>
                <w:rStyle w:val="IndexLink"/>
              </w:rPr>
              <w:t>I.2 Council Sessions</w:t>
              <w:tab/>
              <w:t>78</w:t>
            </w:r>
          </w:hyperlink>
        </w:p>
        <w:p>
          <w:pPr>
            <w:pStyle w:val="TOC2"/>
            <w:tabs>
              <w:tab w:val="clear" w:pos="9026"/>
              <w:tab w:val="right" w:pos="9025" w:leader="dot"/>
            </w:tabs>
            <w:rPr/>
          </w:pPr>
          <w:hyperlink w:anchor="__RefHeading___Toc9471_4022417266">
            <w:r>
              <w:rPr>
                <w:webHidden/>
                <w:rStyle w:val="IndexLink"/>
              </w:rPr>
              <w:t>I.3 Review Cycles</w:t>
              <w:tab/>
              <w:t>78</w:t>
            </w:r>
          </w:hyperlink>
        </w:p>
        <w:p>
          <w:pPr>
            <w:pStyle w:val="TOC2"/>
            <w:tabs>
              <w:tab w:val="clear" w:pos="9026"/>
              <w:tab w:val="right" w:pos="9025" w:leader="dot"/>
            </w:tabs>
            <w:rPr/>
          </w:pPr>
          <w:hyperlink w:anchor="__RefHeading___Toc9473_4022417266">
            <w:r>
              <w:rPr>
                <w:webHidden/>
                <w:rStyle w:val="IndexLink"/>
              </w:rPr>
              <w:t>I.4 Center Establishment (58 Posts)</w:t>
              <w:tab/>
              <w:t>78</w:t>
            </w:r>
          </w:hyperlink>
        </w:p>
        <w:p>
          <w:pPr>
            <w:pStyle w:val="TOC2"/>
            <w:tabs>
              <w:tab w:val="clear" w:pos="9026"/>
              <w:tab w:val="right" w:pos="9025" w:leader="dot"/>
            </w:tabs>
            <w:rPr/>
          </w:pPr>
          <w:hyperlink w:anchor="__RefHeading___Toc9475_4022417266">
            <w:r>
              <w:rPr>
                <w:webHidden/>
                <w:rStyle w:val="IndexLink"/>
              </w:rPr>
              <w:t>I.5 Performance Reserve Rates</w:t>
              <w:tab/>
              <w:t>79</w:t>
            </w:r>
          </w:hyperlink>
        </w:p>
        <w:p>
          <w:pPr>
            <w:pStyle w:val="TOC1"/>
            <w:tabs>
              <w:tab w:val="clear" w:pos="9026"/>
              <w:tab w:val="right" w:pos="9025" w:leader="dot"/>
            </w:tabs>
            <w:rPr/>
          </w:pPr>
          <w:hyperlink w:anchor="__RefHeading___Toc9477_4022417266">
            <w:r>
              <w:rPr>
                <w:webHidden/>
                <w:rStyle w:val="IndexLink"/>
              </w:rPr>
              <w:t>Annex J: Glossary of Network Terms</w:t>
              <w:tab/>
              <w:t>79</w:t>
            </w:r>
          </w:hyperlink>
        </w:p>
        <w:p>
          <w:pPr>
            <w:pStyle w:val="TOC1"/>
            <w:tabs>
              <w:tab w:val="clear" w:pos="9026"/>
              <w:tab w:val="right" w:pos="9025" w:leader="dot"/>
            </w:tabs>
            <w:rPr/>
          </w:pPr>
          <w:hyperlink w:anchor="__RefHeading___Toc9479_4022417266">
            <w:r>
              <w:rPr>
                <w:webHidden/>
                <w:rStyle w:val="IndexLink"/>
              </w:rPr>
              <w:t>Annex K: Activation Checklist</w:t>
              <w:tab/>
              <w:t>81</w:t>
            </w:r>
          </w:hyperlink>
        </w:p>
        <w:p>
          <w:pPr>
            <w:pStyle w:val="TOC2"/>
            <w:tabs>
              <w:tab w:val="clear" w:pos="9026"/>
              <w:tab w:val="right" w:pos="9025" w:leader="dot"/>
            </w:tabs>
            <w:rPr/>
          </w:pPr>
          <w:hyperlink w:anchor="__RefHeading___Toc9481_4022417266">
            <w:r>
              <w:rPr>
                <w:webHidden/>
                <w:rStyle w:val="IndexLink"/>
              </w:rPr>
              <w:t>K.1 Days 0 to 14</w:t>
              <w:tab/>
              <w:t>81</w:t>
            </w:r>
          </w:hyperlink>
        </w:p>
        <w:p>
          <w:pPr>
            <w:pStyle w:val="TOC2"/>
            <w:tabs>
              <w:tab w:val="clear" w:pos="9026"/>
              <w:tab w:val="right" w:pos="9025" w:leader="dot"/>
            </w:tabs>
            <w:rPr/>
          </w:pPr>
          <w:hyperlink w:anchor="__RefHeading___Toc9483_4022417266">
            <w:r>
              <w:rPr>
                <w:webHidden/>
                <w:rStyle w:val="IndexLink"/>
              </w:rPr>
              <w:t>K.2 Days 15 to 45</w:t>
              <w:tab/>
              <w:t>81</w:t>
            </w:r>
          </w:hyperlink>
        </w:p>
        <w:p>
          <w:pPr>
            <w:pStyle w:val="TOC2"/>
            <w:tabs>
              <w:tab w:val="clear" w:pos="9026"/>
              <w:tab w:val="right" w:pos="9025" w:leader="dot"/>
            </w:tabs>
            <w:rPr/>
          </w:pPr>
          <w:hyperlink w:anchor="__RefHeading___Toc9485_4022417266">
            <w:r>
              <w:rPr>
                <w:webHidden/>
                <w:rStyle w:val="IndexLink"/>
              </w:rPr>
              <w:t>K.3 Days 46 to 90</w:t>
              <w:tab/>
              <w:t>82</w:t>
            </w:r>
          </w:hyperlink>
        </w:p>
        <w:p>
          <w:pPr>
            <w:pStyle w:val="TOC2"/>
            <w:tabs>
              <w:tab w:val="clear" w:pos="9026"/>
              <w:tab w:val="right" w:pos="9025" w:leader="dot"/>
            </w:tabs>
            <w:rPr/>
          </w:pPr>
          <w:hyperlink w:anchor="__RefHeading___Toc9487_4022417266">
            <w:r>
              <w:rPr>
                <w:webHidden/>
                <w:rStyle w:val="IndexLink"/>
              </w:rPr>
              <w:t>K.4 Days 91 to 150</w:t>
              <w:tab/>
              <w:t>82</w:t>
            </w:r>
          </w:hyperlink>
        </w:p>
        <w:p>
          <w:pPr>
            <w:pStyle w:val="TOC2"/>
            <w:tabs>
              <w:tab w:val="clear" w:pos="9026"/>
              <w:tab w:val="right" w:pos="9025" w:leader="dot"/>
            </w:tabs>
            <w:rPr/>
          </w:pPr>
          <w:hyperlink w:anchor="__RefHeading___Toc9489_4022417266">
            <w:r>
              <w:rPr>
                <w:webHidden/>
                <w:rStyle w:val="IndexLink"/>
              </w:rPr>
              <w:t>K.5 Days 151 to 180 and Ongoing</w:t>
              <w:tab/>
              <w:t>83</w:t>
            </w:r>
          </w:hyperlink>
        </w:p>
        <w:p>
          <w:pPr>
            <w:pStyle w:val="TOC1"/>
            <w:tabs>
              <w:tab w:val="clear" w:pos="9026"/>
              <w:tab w:val="right" w:pos="9025" w:leader="dot"/>
            </w:tabs>
            <w:rPr/>
          </w:pPr>
          <w:hyperlink w:anchor="__RefHeading___Toc9491_4022417266">
            <w:r>
              <w:rPr>
                <w:webHidden/>
                <w:rStyle w:val="IndexLink"/>
              </w:rPr>
              <w:t>Closing Note of the Drafting Facilitators</w:t>
              <w:tab/>
              <w:t>83</w:t>
            </w:r>
          </w:hyperlink>
          <w:r>
            <w:rPr>
              <w:rStyle w:val="IndexLink"/>
            </w:rPr>
            <w:fldChar w:fldCharType="end"/>
          </w:r>
        </w:p>
      </w:sdtContent>
    </w:sdt>
    <w:p>
      <w:pPr>
        <w:pStyle w:val="Heading1"/>
        <w:keepNext w:val="true"/>
        <w:keepLines/>
        <w:spacing w:before="400" w:after="140"/>
        <w:rPr>
          <w:rFonts w:ascii="Cambria" w:hAnsi="Cambria"/>
          <w:b/>
          <w:color w:val="1F4E5F"/>
          <w:sz w:val="32"/>
        </w:rPr>
      </w:pPr>
      <w:r>
        <w:br w:type="page"/>
      </w:r>
      <w:bookmarkStart w:id="0" w:name="__RefHeading___Toc8935_4022417266"/>
      <w:bookmarkEnd w:id="0"/>
      <w:r>
        <w:rPr>
          <w:rFonts w:eastAsia="Calibri" w:cs="Calibri" w:ascii="Calibri" w:hAnsi="Calibri"/>
          <w:b/>
          <w:color w:val="1F4E5F"/>
          <w:sz w:val="24"/>
          <w:szCs w:val="24"/>
          <w:lang w:val="en-CA" w:eastAsia="en-CA" w:bidi="ar-SA"/>
        </w:rPr>
        <w:t>Document Status and Instrument Record</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Field</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Entry</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Instrument name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Gulf Transit Assurance Network Framework (GTANF)</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Negotiation reference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GTANF-2026-v3.0</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Version</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3.0</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Date of issue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29 July 2026</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Status</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Negotiation draft, subject to revision</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Classification</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Authorized negotiators and designated technical staff</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Littoral States</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Islamic Republic of Iran, Sultanate of Oman, United Arab Emirates, and State of Qatar</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Priority Strategic Partners</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China, India, Japan, and South Korea, with the United Kingdom and France in the next engagement tier</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Facilitating states</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Swiss Confederation and Islamic Republic of Pakistan</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Technical interface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International Maritime Organization</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Verification support</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Neutral Keel Office, with International Maritime Organization recognition</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Fiduciary administration</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Swiss fiduciary agent under Fund Board oversight</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Seat</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Meridian Coordination Center, Muscat; Mirror Office, Bandar Abbas</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Depositary</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Ministry of Foreign Affairs of the Sultanate of Oman, Muscat</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Languages</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Persian, Arabic, and English; the three texts carry equal authority</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Entry into operation</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Phase One activates on the day of signature, per Article 35</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Continuity rule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No-fade continuity under Article 34; no sunset, no cliff</w:t>
            </w:r>
          </w:p>
        </w:tc>
      </w:tr>
    </w:tbl>
    <w:p>
      <w:pPr>
        <w:pStyle w:val="Normal"/>
        <w:rPr/>
      </w:pPr>
      <w:r>
        <w:rPr/>
      </w:r>
    </w:p>
    <w:p>
      <w:pPr>
        <w:pStyle w:val="Normal"/>
        <w:rPr/>
      </w:pPr>
      <w:r>
        <w:rPr>
          <w:rStyle w:val="DefaultParagraphFont"/>
          <w:rFonts w:eastAsia="" w:cs=""/>
          <w:color w:val="2F3B42"/>
          <w:sz w:val="22"/>
          <w:szCs w:val="24"/>
          <w:lang w:val="en-CA" w:eastAsia="en-CA" w:bidi="ar-SA"/>
        </w:rPr>
        <w:t>This instrument record forms part of the operative text. Any conflict between a translation and this record resolves in favor of the shared meaning the negotiators assign to the provision in question.</w:t>
      </w:r>
    </w:p>
    <w:p>
      <w:pPr>
        <w:pStyle w:val="Heading1"/>
        <w:rPr/>
      </w:pPr>
      <w:bookmarkStart w:id="1" w:name="__RefHeading___Toc8937_4022417266"/>
      <w:bookmarkEnd w:id="1"/>
      <w:r>
        <w:rPr>
          <w:rFonts w:eastAsia="Calibri" w:cs="Calibri" w:ascii="Calibri" w:hAnsi="Calibri"/>
          <w:b/>
          <w:color w:val="1F4E5F"/>
          <w:sz w:val="24"/>
          <w:szCs w:val="24"/>
          <w:lang w:val="en-CA" w:eastAsia="en-CA" w:bidi="ar-SA"/>
        </w:rPr>
        <w:t>Cover Note of the Facilitating States</w:t>
      </w:r>
    </w:p>
    <w:p>
      <w:pPr>
        <w:pStyle w:val="Normal"/>
        <w:rPr/>
      </w:pPr>
      <w:r>
        <w:rPr>
          <w:rStyle w:val="DefaultParagraphFont"/>
          <w:rFonts w:eastAsia="" w:cs=""/>
          <w:color w:val="2F3B42"/>
          <w:sz w:val="22"/>
          <w:szCs w:val="24"/>
          <w:lang w:val="en-CA" w:eastAsia="en-CA" w:bidi="ar-SA"/>
        </w:rPr>
        <w:t>The facilitating states transmit this draft to the delegations of the four Littoral States, the priority Strategic Partner states, and the International Maritime Organization with a single conviction: the Strait of Hormuz sustains its greatest value when its littoral states and its principal users govern it together, in the open, under rules that treat transit as a shared asset rather than a bargaining chip.</w:t>
      </w:r>
    </w:p>
    <w:p>
      <w:pPr>
        <w:pStyle w:val="Normal"/>
        <w:rPr/>
      </w:pPr>
      <w:r>
        <w:rPr>
          <w:rStyle w:val="DefaultParagraphFont"/>
          <w:rFonts w:eastAsia="" w:cs=""/>
          <w:color w:val="2F3B42"/>
          <w:sz w:val="22"/>
          <w:szCs w:val="24"/>
          <w:lang w:val="en-CA" w:eastAsia="en-CA" w:bidi="ar-SA"/>
        </w:rPr>
        <w:t>This draft builds on the technical work completed in Muscat in late June 2026 and early July 2026 and expands that work into a multilateral governance architecture. It converts the corridor concept, the registration concept, and the services concept into a complete, fundable, and verifiable system. It answers the hardest question in the file, the question of money, with a settlement that keeps passage free, pays for real services through documented reimbursement, and gives every participant a defensible outcome at home. Version 3.0 incorporates the triple-corridor transit arrangement under negotiation between the coastal states since 24 July 2026: the Central International Passage between the northern and southern corridors, the joint management architecture for that passage, and the voluntary service contribution mechanism modeled on the cooperative arrangements of the Strait of Malacca.</w:t>
      </w:r>
    </w:p>
    <w:p>
      <w:pPr>
        <w:pStyle w:val="Normal"/>
        <w:rPr/>
      </w:pPr>
      <w:r>
        <w:rPr>
          <w:rStyle w:val="DefaultParagraphFont"/>
          <w:rFonts w:eastAsia="" w:cs=""/>
          <w:color w:val="2F3B42"/>
          <w:sz w:val="22"/>
          <w:szCs w:val="24"/>
          <w:lang w:val="en-CA" w:eastAsia="en-CA" w:bidi="ar-SA"/>
        </w:rPr>
        <w:t>The draft observes three drafting disciplines throughout. First, it states every rule in the active present tense, because the framework describes an operating system, not a set of promises. Second, it attributes every constraint to the shared architecture rather than to the restraint of any Participant State, because all Participant States bind themselves through the same design. Third, it applies no-fade continuity: no commitment expires at a date boundary, and continuation forms the default at every review point.</w:t>
      </w:r>
    </w:p>
    <w:p>
      <w:pPr>
        <w:pStyle w:val="Normal"/>
        <w:rPr/>
      </w:pPr>
      <w:r>
        <w:rPr>
          <w:rStyle w:val="DefaultParagraphFont"/>
          <w:rFonts w:eastAsia="" w:cs=""/>
          <w:color w:val="2F3B42"/>
          <w:sz w:val="22"/>
          <w:szCs w:val="24"/>
          <w:lang w:val="en-CA" w:eastAsia="en-CA" w:bidi="ar-SA"/>
        </w:rPr>
        <w:t>The facilitating states invite every delegation to treat this text as a working whole. Each annex operates as a self-contained module. A delegation accepts, adjusts, or sets aside a module without breaking the rest of the structure. The text rewards precision: where a number, a coordinate, or a time limit appears, the negotiators intend it as an operative value, open to technical adjustment at the table and then fixed under the Qualified Majority Rule of Article 15.</w:t>
      </w:r>
    </w:p>
    <w:p>
      <w:pPr>
        <w:pStyle w:val="Normal"/>
        <w:rPr/>
      </w:pPr>
      <w:r>
        <w:rPr>
          <w:rStyle w:val="DefaultParagraphFont"/>
          <w:rFonts w:eastAsia="" w:cs=""/>
          <w:color w:val="2F3B42"/>
          <w:sz w:val="22"/>
          <w:szCs w:val="24"/>
          <w:lang w:val="en-CA" w:eastAsia="en-CA" w:bidi="ar-SA"/>
        </w:rPr>
        <w:t>Muscat, 29 July 2026</w:t>
      </w:r>
    </w:p>
    <w:p>
      <w:pPr>
        <w:pStyle w:val="Heading1"/>
        <w:rPr/>
      </w:pPr>
      <w:bookmarkStart w:id="2" w:name="__RefHeading___Toc8939_4022417266"/>
      <w:bookmarkEnd w:id="2"/>
      <w:r>
        <w:rPr>
          <w:rFonts w:eastAsia="Calibri" w:cs="Calibri" w:ascii="Calibri" w:hAnsi="Calibri"/>
          <w:b/>
          <w:color w:val="1F4E5F"/>
          <w:sz w:val="24"/>
          <w:szCs w:val="24"/>
          <w:lang w:val="en-CA" w:eastAsia="en-CA" w:bidi="ar-SA"/>
        </w:rPr>
        <w:t>Preface: Drafting Convention and Method</w:t>
      </w:r>
    </w:p>
    <w:p>
      <w:pPr>
        <w:pStyle w:val="Normal"/>
        <w:rPr/>
      </w:pPr>
      <w:r>
        <w:rPr>
          <w:rStyle w:val="DefaultParagraphFont"/>
          <w:rFonts w:eastAsia="" w:cs=""/>
          <w:color w:val="2F3B42"/>
          <w:sz w:val="22"/>
          <w:szCs w:val="24"/>
          <w:lang w:val="en-CA" w:eastAsia="en-CA" w:bidi="ar-SA"/>
        </w:rPr>
        <w:t>This document follows a strict drafting convention, and readers benefit from knowing it in advance.</w:t>
      </w:r>
    </w:p>
    <w:p>
      <w:pPr>
        <w:pStyle w:val="Normal"/>
        <w:rPr/>
      </w:pPr>
      <w:r>
        <w:rPr>
          <w:rFonts w:eastAsia="Cambria" w:cs="Cambria" w:ascii="Cambria" w:hAnsi="Cambria"/>
          <w:b/>
          <w:color w:val="33586A"/>
          <w:sz w:val="23"/>
          <w:szCs w:val="24"/>
          <w:lang w:val="en-CA" w:eastAsia="en-CA" w:bidi="ar-SA"/>
        </w:rPr>
        <w:t>Present-tense engine.</w:t>
      </w:r>
      <w:r>
        <w:rPr>
          <w:rStyle w:val="DefaultParagraphFont"/>
          <w:rFonts w:eastAsia="" w:cs=""/>
          <w:color w:val="2F3B42"/>
          <w:sz w:val="22"/>
          <w:szCs w:val="24"/>
          <w:lang w:val="en-CA" w:eastAsia="en-CA" w:bidi="ar-SA"/>
        </w:rPr>
        <w:t xml:space="preserve"> Every operative sentence states an action or a state as a present reality. The text contains no command verbs of the traditional treaty type. Where a classic treaty writes a future obligation, this text writes the operating rule itself: the Center issues, the Council convenes, the Fund reimburses. This convention removes ambiguity about timing. A rule in this document operates from the moment its phase activates and never drifts into intention language.</w:t>
      </w:r>
    </w:p>
    <w:p>
      <w:pPr>
        <w:pStyle w:val="Normal"/>
        <w:rPr/>
      </w:pPr>
      <w:r>
        <w:rPr>
          <w:rFonts w:eastAsia="Cambria" w:cs="Cambria" w:ascii="Cambria" w:hAnsi="Cambria"/>
          <w:b/>
          <w:color w:val="33586A"/>
          <w:sz w:val="23"/>
          <w:szCs w:val="24"/>
          <w:lang w:val="en-CA" w:eastAsia="en-CA" w:bidi="ar-SA"/>
        </w:rPr>
        <w:t>Mutual architecture. The text never frames a constraint as one Participant State restraining itself for the benefit of another. Constraints attach to the architecture: the framework excludes boarding inside the passages; the architecture prohibits charges on transit; the system routes every payment through the Fund. All Participant States stand inside the same structure, equally bound by its design.</w:t>
      </w:r>
    </w:p>
    <w:p>
      <w:pPr>
        <w:pStyle w:val="Normal"/>
        <w:rPr/>
      </w:pPr>
      <w:r>
        <w:rPr>
          <w:rFonts w:eastAsia="Cambria" w:cs="Cambria" w:ascii="Cambria" w:hAnsi="Cambria"/>
          <w:b/>
          <w:color w:val="33586A"/>
          <w:sz w:val="23"/>
          <w:szCs w:val="24"/>
          <w:lang w:val="en-CA" w:eastAsia="en-CA" w:bidi="ar-SA"/>
        </w:rPr>
        <w:t>No-fade continuity.</w:t>
      </w:r>
      <w:r>
        <w:rPr>
          <w:rStyle w:val="DefaultParagraphFont"/>
          <w:rFonts w:eastAsia="" w:cs=""/>
          <w:color w:val="2F3B42"/>
          <w:sz w:val="22"/>
          <w:szCs w:val="24"/>
          <w:lang w:val="en-CA" w:eastAsia="en-CA" w:bidi="ar-SA"/>
        </w:rPr>
        <w:t xml:space="preserve"> No provision of this framework carries an expiry date. The rolling horizon of Article 34 makes continuation the default and treats any ending as an affirmative, deliberate, and reversible act. Banked performance survives every review cycle. Nothing fades.</w:t>
      </w:r>
    </w:p>
    <w:p>
      <w:pPr>
        <w:pStyle w:val="Normal"/>
        <w:rPr/>
      </w:pPr>
      <w:r>
        <w:rPr>
          <w:rFonts w:eastAsia="Cambria" w:cs="Cambria" w:ascii="Cambria" w:hAnsi="Cambria"/>
          <w:b/>
          <w:color w:val="33586A"/>
          <w:sz w:val="23"/>
          <w:szCs w:val="24"/>
          <w:lang w:val="en-CA" w:eastAsia="en-CA" w:bidi="ar-SA"/>
        </w:rPr>
        <w:t>Prohibition vocabulary.</w:t>
      </w:r>
      <w:r>
        <w:rPr>
          <w:rStyle w:val="DefaultParagraphFont"/>
          <w:rFonts w:eastAsia="" w:cs=""/>
          <w:color w:val="2F3B42"/>
          <w:sz w:val="22"/>
          <w:szCs w:val="24"/>
          <w:lang w:val="en-CA" w:eastAsia="en-CA" w:bidi="ar-SA"/>
        </w:rPr>
        <w:t xml:space="preserve"> Where the framework excludes a conduct, the text says so directly: the framework excludes, the architecture prohibits, the system does not permit. Where the framework affirms a conduct, the actor performs it in the present tense.</w:t>
      </w:r>
    </w:p>
    <w:p>
      <w:pPr>
        <w:pStyle w:val="Normal"/>
        <w:rPr/>
      </w:pPr>
      <w:r>
        <w:rPr>
          <w:rFonts w:eastAsia="Cambria" w:cs="Cambria" w:ascii="Cambria" w:hAnsi="Cambria"/>
          <w:b/>
          <w:color w:val="33586A"/>
          <w:sz w:val="23"/>
          <w:szCs w:val="24"/>
          <w:lang w:val="en-CA" w:eastAsia="en-CA" w:bidi="ar-SA"/>
        </w:rPr>
        <w:t>Neutral naming. Every institution, mechanism, and zone carries a politically neutral name that assigns no primacy, no victory, and no ownership to any Participant State. The names describe function: the Hormuz Maritime Assembly convenes the full membership; the Composite Council balances littoral and user representation; the Meridian Coordination Center coordinates at the middle; the Neutral Keel Office keeps the structure upright.</w:t>
      </w:r>
    </w:p>
    <w:p>
      <w:pPr>
        <w:pStyle w:val="Normal"/>
        <w:rPr/>
      </w:pPr>
      <w:r>
        <w:rPr>
          <w:rFonts w:eastAsia="Cambria" w:cs="Cambria" w:ascii="Cambria" w:hAnsi="Cambria"/>
          <w:b/>
          <w:color w:val="33586A"/>
          <w:sz w:val="23"/>
          <w:szCs w:val="24"/>
          <w:lang w:val="en-CA" w:eastAsia="en-CA" w:bidi="ar-SA"/>
        </w:rPr>
        <w:t>Modularity.</w:t>
      </w:r>
      <w:r>
        <w:rPr>
          <w:rStyle w:val="DefaultParagraphFont"/>
          <w:rFonts w:eastAsia="" w:cs=""/>
          <w:color w:val="2F3B42"/>
          <w:sz w:val="22"/>
          <w:szCs w:val="24"/>
          <w:lang w:val="en-CA" w:eastAsia="en-CA" w:bidi="ar-SA"/>
        </w:rPr>
        <w:t xml:space="preserve"> The annexes operate as self-contained protocol modules. Each module stands on its own, survives the failure of any other module, and enters or leaves operation only through the procedures of Article 18.</w:t>
      </w:r>
    </w:p>
    <w:p>
      <w:pPr>
        <w:pStyle w:val="Heading1"/>
        <w:rPr/>
      </w:pPr>
      <w:bookmarkStart w:id="3" w:name="__RefHeading___Toc8941_4022417266"/>
      <w:bookmarkEnd w:id="3"/>
      <w:r>
        <w:rPr>
          <w:rFonts w:eastAsia="Calibri" w:cs="Calibri" w:ascii="Calibri" w:hAnsi="Calibri"/>
          <w:b/>
          <w:color w:val="1F4E5F"/>
          <w:sz w:val="22"/>
          <w:szCs w:val="24"/>
          <w:lang w:val="en-CA" w:eastAsia="en-CA" w:bidi="ar-SA"/>
        </w:rPr>
        <w:t>Preamble: The Shared Stewardship of the Strait of Hormuz</w:t>
      </w:r>
    </w:p>
    <w:p>
      <w:pPr>
        <w:pStyle w:val="Normal"/>
        <w:rPr/>
      </w:pPr>
      <w:r>
        <w:rPr>
          <w:rStyle w:val="DefaultParagraphFont"/>
          <w:rFonts w:eastAsia="" w:cs=""/>
          <w:color w:val="2F3B42"/>
          <w:sz w:val="22"/>
          <w:szCs w:val="24"/>
          <w:lang w:val="en-CA" w:eastAsia="en-CA" w:bidi="ar-SA"/>
        </w:rPr>
        <w:t>The Participant States establish this framework as a multilateral contribution to maritime safety, freedom of navigation, regional stability, and the shared stewardship of the Strait of Hormuz.</w:t>
      </w:r>
    </w:p>
    <w:p>
      <w:pPr>
        <w:pStyle w:val="Normal"/>
        <w:rPr/>
      </w:pPr>
      <w:r>
        <w:rPr>
          <w:rStyle w:val="DefaultParagraphFont"/>
          <w:rFonts w:eastAsia="" w:cs=""/>
          <w:color w:val="2F3B42"/>
          <w:sz w:val="22"/>
          <w:szCs w:val="24"/>
          <w:lang w:val="en-CA" w:eastAsia="en-CA" w:bidi="ar-SA"/>
        </w:rPr>
        <w:t>The Strait of Hormuz carries a regional and international public good. Its safe use engages the United Nations Convention on the Law of the Sea, applicable United Nations Security Council resolutions concerning freedom of navigation and maritime security, International Maritime Organization instruments, and the economic security of every state whose energy, food, medicine, and manufactured goods move through its lanes.</w:t>
      </w:r>
    </w:p>
    <w:p>
      <w:pPr>
        <w:pStyle w:val="Normal"/>
        <w:rPr/>
      </w:pPr>
      <w:r>
        <w:rPr>
          <w:rStyle w:val="DefaultParagraphFont"/>
          <w:rFonts w:eastAsia="" w:cs=""/>
          <w:color w:val="2F3B42"/>
          <w:sz w:val="22"/>
          <w:szCs w:val="24"/>
          <w:lang w:val="en-CA" w:eastAsia="en-CA" w:bidi="ar-SA"/>
        </w:rPr>
        <w:t>The war of 2026 closed the strait to ordinary commerce for months and demonstrated the cost of fragmented governance. The Islamabad Memorandum of Understanding of 17 June 2026 opened a diplomatic path, the Joint Hormuz Committee began the technical work in Muscat, and subsequent consultations expanded the design from an Iran-Oman arrangement into a system open to the United Arab Emirates, the State of Qatar, major user states, flag states, and the International Maritime Organization.</w:t>
      </w:r>
    </w:p>
    <w:p>
      <w:pPr>
        <w:pStyle w:val="Normal"/>
        <w:rPr/>
      </w:pPr>
      <w:r>
        <w:rPr>
          <w:rStyle w:val="DefaultParagraphFont"/>
          <w:rFonts w:eastAsia="" w:cs=""/>
          <w:color w:val="2F3B42"/>
          <w:sz w:val="22"/>
          <w:szCs w:val="24"/>
          <w:lang w:val="en-CA" w:eastAsia="en-CA" w:bidi="ar-SA"/>
        </w:rPr>
        <w:t>The framework that follows honors three realities at once. It honors the reality that commerce flows only when passage remains free of tolls, unconditional, and predictable. It honors the reality that the four Littoral States hold sovereign rights and security interests in their own waters, and that a durable system recognizes each of them. And it honors the reality that the international community holds a legitimate operational interest in a strait whose continuity supports global trade.</w:t>
      </w:r>
    </w:p>
    <w:p>
      <w:pPr>
        <w:pStyle w:val="Normal"/>
        <w:rPr/>
      </w:pPr>
      <w:r>
        <w:rPr>
          <w:rStyle w:val="DefaultParagraphFont"/>
          <w:rFonts w:eastAsia="" w:cs=""/>
          <w:color w:val="2F3B42"/>
          <w:sz w:val="22"/>
          <w:szCs w:val="24"/>
          <w:lang w:val="en-CA" w:eastAsia="en-CA" w:bidi="ar-SA"/>
        </w:rPr>
        <w:t>The Participant States therefore establish the Gulf Transit Assurance Network: a multilateral governance system of three passages, one assembly, one council, one center, one fund, one registry, and one standing verification presence, designed to operate in fair weather and foul, and designed never to fade.</w:t>
      </w:r>
    </w:p>
    <w:p>
      <w:pPr>
        <w:pStyle w:val="Heading1"/>
        <w:rPr/>
      </w:pPr>
      <w:bookmarkStart w:id="4" w:name="__RefHeading___Toc8943_4022417266"/>
      <w:bookmarkEnd w:id="4"/>
      <w:r>
        <w:rPr>
          <w:rFonts w:eastAsia="Calibri" w:cs="Calibri" w:ascii="Calibri" w:hAnsi="Calibri"/>
          <w:b/>
          <w:color w:val="1F4E5F"/>
          <w:sz w:val="22"/>
          <w:szCs w:val="24"/>
          <w:lang w:val="en-CA" w:eastAsia="en-CA" w:bidi="ar-SA"/>
        </w:rPr>
        <w:t>How to Read This Document</w:t>
      </w:r>
    </w:p>
    <w:p>
      <w:pPr>
        <w:pStyle w:val="Normal"/>
        <w:rPr/>
      </w:pPr>
      <w:r>
        <w:rPr>
          <w:rStyle w:val="DefaultParagraphFont"/>
          <w:rFonts w:eastAsia="" w:cs=""/>
          <w:color w:val="2F3B42"/>
          <w:sz w:val="22"/>
          <w:szCs w:val="24"/>
          <w:lang w:val="en-CA" w:eastAsia="en-CA" w:bidi="ar-SA"/>
        </w:rPr>
        <w:t>A reader who wants the design in one sitting reads the Preamble, Article 3, Article 6, Article 14, Article 20, and Article 32. A reader who operates the system lives in Articles 7 through 13 and Annexes A, B, D, and E. A reader who funds the system lives in Part IV and Annexes C and G. A reader who verifies the system lives in Articles 17, 27, 32, and Annex E.</w:t>
      </w:r>
    </w:p>
    <w:tbl>
      <w:tblPr>
        <w:tblStyle w:val="TableNormal"/>
        <w:tblW w:w="9026" w:type="dxa"/>
        <w:jc w:val="left"/>
        <w:tblInd w:w="0" w:type="dxa"/>
        <w:tblLayout w:type="fixed"/>
        <w:tblCellMar>
          <w:top w:w="0" w:type="dxa"/>
          <w:left w:w="108" w:type="dxa"/>
          <w:bottom w:w="0" w:type="dxa"/>
          <w:right w:w="108" w:type="dxa"/>
        </w:tblCellMar>
      </w:tblPr>
      <w:tblGrid>
        <w:gridCol w:w="3008"/>
        <w:gridCol w:w="3007"/>
        <w:gridCol w:w="3011"/>
      </w:tblGrid>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33586A"/>
                <w:sz w:val="24"/>
                <w:szCs w:val="24"/>
                <w:lang w:val="en-CA" w:eastAsia="en-CA" w:bidi="ar-SA"/>
              </w:rPr>
              <w:t>Part</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33586A"/>
                <w:sz w:val="24"/>
                <w:szCs w:val="24"/>
                <w:lang w:val="en-CA" w:eastAsia="en-CA" w:bidi="ar-SA"/>
              </w:rPr>
              <w:t>Content</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33586A"/>
                <w:sz w:val="24"/>
                <w:szCs w:val="24"/>
                <w:lang w:val="en-CA" w:eastAsia="en-CA" w:bidi="ar-SA"/>
              </w:rPr>
              <w:t>Primary reader</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Part I</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Foundations, principles, definitions, core principles</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All delegations</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Part II</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The three passages, coordinates, vessel classes, safe passage</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Operators, mariners</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Part III</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Institutions and decision rules</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Administrators</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Part IV</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The toll settlement: Fund, Registry, Data Service</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Finance desks</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Part V</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Verification, security, search and rescue, environment</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Operators, verifiers</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Part VI</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Compliance engine and dispute resolution</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Legal desks</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Part VII</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Continuity, activation, amendment, transition</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All delegations</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Annexes A to K</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Coordinates, matrices, rates, forms, calendars, checklists</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Operators</w:t>
            </w:r>
          </w:p>
        </w:tc>
      </w:tr>
    </w:tbl>
    <w:p>
      <w:pPr>
        <w:pStyle w:val="Normal"/>
        <w:rPr/>
      </w:pPr>
      <w:r>
        <w:rPr/>
      </w:r>
    </w:p>
    <w:p>
      <w:pPr>
        <w:pStyle w:val="Heading1"/>
        <w:rPr/>
      </w:pPr>
      <w:bookmarkStart w:id="5" w:name="__RefHeading___Toc8945_4022417266"/>
      <w:bookmarkEnd w:id="5"/>
      <w:r>
        <w:rPr>
          <w:rFonts w:eastAsia="Calibri" w:cs="Calibri" w:ascii="Calibri" w:hAnsi="Calibri"/>
          <w:b/>
          <w:color w:val="1F4E5F"/>
          <w:sz w:val="22"/>
          <w:szCs w:val="24"/>
          <w:lang w:val="en-CA" w:eastAsia="en-CA" w:bidi="ar-SA"/>
        </w:rPr>
        <w:t>Part I: Foundations</w:t>
      </w:r>
    </w:p>
    <w:p>
      <w:pPr>
        <w:pStyle w:val="Heading2"/>
        <w:rPr/>
      </w:pPr>
      <w:bookmarkStart w:id="6" w:name="__RefHeading___Toc8947_4022417266"/>
      <w:bookmarkEnd w:id="6"/>
      <w:r>
        <w:rPr>
          <w:rFonts w:eastAsia="Calibri" w:cs="Calibri" w:ascii="Calibri" w:hAnsi="Calibri"/>
          <w:b/>
          <w:color w:val="1F4E5F"/>
          <w:sz w:val="24"/>
          <w:szCs w:val="24"/>
          <w:lang w:val="en-CA" w:eastAsia="en-CA" w:bidi="ar-SA"/>
        </w:rPr>
        <w:t>Article 1: Establishment, Purpose, and Scope</w:t>
      </w:r>
    </w:p>
    <w:p>
      <w:pPr>
        <w:pStyle w:val="Heading3"/>
        <w:rPr/>
      </w:pPr>
      <w:bookmarkStart w:id="7" w:name="__RefHeading___Toc8949_4022417266"/>
      <w:bookmarkEnd w:id="7"/>
      <w:r>
        <w:rPr>
          <w:rFonts w:eastAsia="Calibri" w:cs="Calibri" w:ascii="Calibri" w:hAnsi="Calibri"/>
          <w:b/>
          <w:color w:val="1F4E5F"/>
          <w:sz w:val="22"/>
          <w:szCs w:val="24"/>
          <w:lang w:val="en-CA" w:eastAsia="en-CA" w:bidi="ar-SA"/>
        </w:rPr>
        <w:t>1.1 Establishment</w:t>
      </w:r>
    </w:p>
    <w:p>
      <w:pPr>
        <w:pStyle w:val="Normal"/>
        <w:rPr/>
      </w:pPr>
      <w:r>
        <w:rPr>
          <w:rStyle w:val="DefaultParagraphFont"/>
          <w:rFonts w:eastAsia="" w:cs=""/>
          <w:color w:val="2F3B42"/>
          <w:sz w:val="22"/>
          <w:szCs w:val="24"/>
          <w:lang w:val="en-CA" w:eastAsia="en-CA" w:bidi="ar-SA"/>
        </w:rPr>
        <w:t>1.1.1 The Islamic Republic of Iran, the Sultanate of Oman, the United Arab Emirates, and the State of Qatar, together the Littoral States, in consultation with major user states and the International Maritime Organization, establish the Gulf Transit Assurance Network, abbreviated GTAN, as their multilateral governance system for the Strait of Hormuz.</w:t>
      </w:r>
    </w:p>
    <w:p>
      <w:pPr>
        <w:pStyle w:val="Normal"/>
        <w:rPr/>
      </w:pPr>
      <w:r>
        <w:rPr>
          <w:rStyle w:val="DefaultParagraphFont"/>
          <w:rFonts w:eastAsia="" w:cs=""/>
          <w:color w:val="2F3B42"/>
          <w:sz w:val="22"/>
          <w:szCs w:val="24"/>
          <w:lang w:val="en-CA" w:eastAsia="en-CA" w:bidi="ar-SA"/>
        </w:rPr>
        <w:t>1.1.2 The Network comprises the institutions of Part III, the passage system of Part II, the financial architecture of Part IV, the safety and verification system of Part V, the compliance engine of Part VI, and the continuity machinery of Part VII.</w:t>
      </w:r>
    </w:p>
    <w:p>
      <w:pPr>
        <w:pStyle w:val="Normal"/>
        <w:rPr/>
      </w:pPr>
      <w:r>
        <w:rPr>
          <w:rStyle w:val="DefaultParagraphFont"/>
          <w:rFonts w:eastAsia="" w:cs=""/>
          <w:color w:val="2F3B42"/>
          <w:sz w:val="22"/>
          <w:szCs w:val="24"/>
          <w:lang w:val="en-CA" w:eastAsia="en-CA" w:bidi="ar-SA"/>
        </w:rPr>
        <w:t>1.1.3 The Network possesses international legal personality in the territories of the Littoral States, including the capacity to contract, to hold accounts, to employ staff, and to appear before the dispute bodies of Article 33.</w:t>
      </w:r>
    </w:p>
    <w:p>
      <w:pPr>
        <w:pStyle w:val="Heading3"/>
        <w:rPr/>
      </w:pPr>
      <w:bookmarkStart w:id="8" w:name="__RefHeading___Toc8951_4022417266"/>
      <w:bookmarkEnd w:id="8"/>
      <w:r>
        <w:rPr>
          <w:rFonts w:eastAsia="Calibri" w:cs="Calibri" w:ascii="Calibri" w:hAnsi="Calibri"/>
          <w:b/>
          <w:color w:val="1F4E5F"/>
          <w:sz w:val="22"/>
          <w:szCs w:val="24"/>
          <w:lang w:val="en-CA" w:eastAsia="en-CA" w:bidi="ar-SA"/>
        </w:rPr>
        <w:t>1.2 Purpose</w:t>
      </w:r>
    </w:p>
    <w:p>
      <w:pPr>
        <w:pStyle w:val="Normal"/>
        <w:rPr/>
      </w:pPr>
      <w:r>
        <w:rPr>
          <w:rStyle w:val="DefaultParagraphFont"/>
          <w:rFonts w:eastAsia="" w:cs=""/>
          <w:color w:val="2F3B42"/>
          <w:sz w:val="22"/>
          <w:szCs w:val="24"/>
          <w:lang w:val="en-CA" w:eastAsia="en-CA" w:bidi="ar-SA"/>
        </w:rPr>
        <w:t>1.2.1 The Network guarantees free, safe, and predictable transit through the Strait of Hormuz for every vessel that complies with the traffic rules of Part II.</w:t>
      </w:r>
    </w:p>
    <w:p>
      <w:pPr>
        <w:pStyle w:val="Normal"/>
        <w:rPr/>
      </w:pPr>
      <w:r>
        <w:rPr>
          <w:rStyle w:val="DefaultParagraphFont"/>
          <w:rFonts w:eastAsia="" w:cs=""/>
          <w:color w:val="2F3B42"/>
          <w:sz w:val="22"/>
          <w:szCs w:val="24"/>
          <w:lang w:val="en-CA" w:eastAsia="en-CA" w:bidi="ar-SA"/>
        </w:rPr>
        <w:t>1.2.2 The Network recognizes and operationalizes the shared authority of the four Littoral States over the waterway, and it converts that authority into services, verification, and stewardship rather than into charges on passage.</w:t>
      </w:r>
    </w:p>
    <w:p>
      <w:pPr>
        <w:pStyle w:val="Normal"/>
        <w:rPr/>
      </w:pPr>
      <w:r>
        <w:rPr>
          <w:rStyle w:val="DefaultParagraphFont"/>
          <w:rFonts w:eastAsia="" w:cs=""/>
          <w:color w:val="2F3B42"/>
          <w:sz w:val="22"/>
          <w:szCs w:val="24"/>
          <w:lang w:val="en-CA" w:eastAsia="en-CA" w:bidi="ar-SA"/>
        </w:rPr>
        <w:t>1.2.3 The Network finances its services through documented reimbursement and market-based contribution channels, never through tolls, fees, or charges levied as a condition of transit.</w:t>
      </w:r>
    </w:p>
    <w:p>
      <w:pPr>
        <w:pStyle w:val="Normal"/>
        <w:rPr/>
      </w:pPr>
      <w:r>
        <w:rPr>
          <w:rStyle w:val="DefaultParagraphFont"/>
          <w:rFonts w:eastAsia="" w:cs=""/>
          <w:color w:val="2F3B42"/>
          <w:sz w:val="22"/>
          <w:szCs w:val="24"/>
          <w:lang w:val="en-CA" w:eastAsia="en-CA" w:bidi="ar-SA"/>
        </w:rPr>
        <w:t>1.2.4 The Network reduces the cost of governance by sharing assets, crews, data, and facilities among Participant States instead of duplicating them.</w:t>
      </w:r>
    </w:p>
    <w:p>
      <w:pPr>
        <w:pStyle w:val="Heading3"/>
        <w:rPr/>
      </w:pPr>
      <w:bookmarkStart w:id="9" w:name="__RefHeading___Toc8953_4022417266"/>
      <w:bookmarkEnd w:id="9"/>
      <w:r>
        <w:rPr>
          <w:rFonts w:eastAsia="Calibri" w:cs="Calibri" w:ascii="Calibri" w:hAnsi="Calibri"/>
          <w:b/>
          <w:color w:val="1F4E5F"/>
          <w:sz w:val="22"/>
          <w:szCs w:val="24"/>
          <w:lang w:val="en-CA" w:eastAsia="en-CA" w:bidi="ar-SA"/>
        </w:rPr>
        <w:t>1.3 Geographic Scope</w:t>
      </w:r>
    </w:p>
    <w:p>
      <w:pPr>
        <w:pStyle w:val="Normal"/>
        <w:rPr/>
      </w:pPr>
      <w:r>
        <w:rPr>
          <w:rStyle w:val="DefaultParagraphFont"/>
          <w:rFonts w:eastAsia="" w:cs=""/>
          <w:color w:val="2F3B42"/>
          <w:sz w:val="22"/>
          <w:szCs w:val="24"/>
          <w:lang w:val="en-CA" w:eastAsia="en-CA" w:bidi="ar-SA"/>
        </w:rPr>
        <w:t>1.3.1 The Network operates in the Strait of Hormuz Operating Area, defined as the waters enclosed by the line connecting the points listed in Annex A, Section A.1, together with the designated holding anchorages, approach sectors, and approach waters under the sovereignty of the United Arab Emirates and the State of Qatar described in Article 10 and Annex A.</w:t>
      </w:r>
    </w:p>
    <w:p>
      <w:pPr>
        <w:pStyle w:val="Normal"/>
        <w:rPr/>
      </w:pPr>
      <w:r>
        <w:rPr>
          <w:rStyle w:val="DefaultParagraphFont"/>
          <w:rFonts w:eastAsia="" w:cs=""/>
          <w:color w:val="2F3B42"/>
          <w:sz w:val="22"/>
          <w:szCs w:val="24"/>
          <w:lang w:val="en-CA" w:eastAsia="en-CA" w:bidi="ar-SA"/>
        </w:rPr>
        <w:t>1.3.2 The Operating Area includes the Southern Assurance Passage, the Northern Coordination Passage, the Central International Passage, the two separation belts, the Eastern and Western Precautionary Zones, the holding anchorages, and the Inshore Local Craft Bands.</w:t>
      </w:r>
    </w:p>
    <w:p>
      <w:pPr>
        <w:pStyle w:val="Normal"/>
        <w:rPr/>
      </w:pPr>
      <w:r>
        <w:rPr>
          <w:rStyle w:val="DefaultParagraphFont"/>
          <w:rFonts w:eastAsia="" w:cs=""/>
          <w:color w:val="2F3B42"/>
          <w:sz w:val="22"/>
          <w:szCs w:val="24"/>
          <w:lang w:val="en-CA" w:eastAsia="en-CA" w:bidi="ar-SA"/>
        </w:rPr>
        <w:t>1.3.3 Nothing in this framework delimits maritime boundaries among the Littoral States, and no act under this framework prejudices any position of any Participant State on delimitation.</w:t>
      </w:r>
    </w:p>
    <w:p>
      <w:pPr>
        <w:pStyle w:val="Heading3"/>
        <w:rPr/>
      </w:pPr>
      <w:bookmarkStart w:id="10" w:name="__RefHeading___Toc8955_4022417266"/>
      <w:bookmarkEnd w:id="10"/>
      <w:r>
        <w:rPr>
          <w:rFonts w:eastAsia="Calibri" w:cs="Calibri" w:ascii="Calibri" w:hAnsi="Calibri"/>
          <w:b/>
          <w:color w:val="1F4E5F"/>
          <w:sz w:val="22"/>
          <w:szCs w:val="24"/>
          <w:lang w:val="en-CA" w:eastAsia="en-CA" w:bidi="ar-SA"/>
        </w:rPr>
        <w:t>1.4 Functional Scope</w:t>
      </w:r>
    </w:p>
    <w:p>
      <w:pPr>
        <w:pStyle w:val="Normal"/>
        <w:rPr/>
      </w:pPr>
      <w:r>
        <w:rPr>
          <w:rStyle w:val="DefaultParagraphFont"/>
          <w:rFonts w:eastAsia="" w:cs=""/>
          <w:color w:val="2F3B42"/>
          <w:sz w:val="22"/>
          <w:szCs w:val="24"/>
          <w:lang w:val="en-CA" w:eastAsia="en-CA" w:bidi="ar-SA"/>
        </w:rPr>
        <w:t>1.4.1 The Network governs navigation safety, traffic coordination, service provision and reimbursement, verification, incident management, search and rescue coordination, environmental protection, and dispute resolution within the Operating Area.</w:t>
      </w:r>
    </w:p>
    <w:p>
      <w:pPr>
        <w:pStyle w:val="Normal"/>
        <w:rPr/>
      </w:pPr>
      <w:r>
        <w:rPr>
          <w:rStyle w:val="DefaultParagraphFont"/>
          <w:rFonts w:eastAsia="" w:cs=""/>
          <w:color w:val="2F3B42"/>
          <w:sz w:val="22"/>
          <w:szCs w:val="24"/>
          <w:lang w:val="en-CA" w:eastAsia="en-CA" w:bidi="ar-SA"/>
        </w:rPr>
        <w:t>1.4.2 The Network does not govern the internal waters, ports, or harbors of any Participant State beyond the holding anchorages and rendezvous points listed in Annex A.</w:t>
      </w:r>
    </w:p>
    <w:p>
      <w:pPr>
        <w:pStyle w:val="Normal"/>
        <w:rPr/>
      </w:pPr>
      <w:r>
        <w:rPr>
          <w:rStyle w:val="DefaultParagraphFont"/>
          <w:rFonts w:eastAsia="" w:cs=""/>
          <w:color w:val="2F3B42"/>
          <w:sz w:val="22"/>
          <w:szCs w:val="24"/>
          <w:lang w:val="en-CA" w:eastAsia="en-CA" w:bidi="ar-SA"/>
        </w:rPr>
        <w:t>1.4.3 The Network does not govern the cargo policies, trade policies, or sanctions regimes of any state. The Network governs movement and services on the water.</w:t>
      </w:r>
    </w:p>
    <w:p>
      <w:pPr>
        <w:pStyle w:val="Heading3"/>
        <w:rPr/>
      </w:pPr>
      <w:bookmarkStart w:id="11" w:name="__RefHeading___Toc8957_4022417266"/>
      <w:bookmarkEnd w:id="11"/>
      <w:r>
        <w:rPr>
          <w:rFonts w:eastAsia="Calibri" w:cs="Calibri" w:ascii="Calibri" w:hAnsi="Calibri"/>
          <w:b/>
          <w:color w:val="1F4E5F"/>
          <w:sz w:val="22"/>
          <w:szCs w:val="24"/>
          <w:lang w:val="en-CA" w:eastAsia="en-CA" w:bidi="ar-SA"/>
        </w:rPr>
        <w:t>1.5 What This Framework Does and Does Not Do</w:t>
      </w:r>
    </w:p>
    <w:tbl>
      <w:tblPr>
        <w:tblStyle w:val="TableNormal"/>
        <w:tblW w:w="9026" w:type="dxa"/>
        <w:jc w:val="left"/>
        <w:tblInd w:w="0" w:type="dxa"/>
        <w:tblLayout w:type="fixed"/>
        <w:tblCellMar>
          <w:top w:w="0" w:type="dxa"/>
          <w:left w:w="108" w:type="dxa"/>
          <w:bottom w:w="0" w:type="dxa"/>
          <w:right w:w="108" w:type="dxa"/>
        </w:tblCellMar>
      </w:tblPr>
      <w:tblGrid>
        <w:gridCol w:w="9026"/>
      </w:tblGrid>
      <w:tr>
        <w:trPr/>
        <w:tc>
          <w:tcPr>
            <w:tcW w:w="9026" w:type="dxa"/>
            <w:tcBorders>
              <w:top w:val="single" w:sz="6" w:space="0" w:color="000000"/>
              <w:left w:val="single" w:sz="6" w:space="0" w:color="000000"/>
              <w:bottom w:val="single" w:sz="6" w:space="0" w:color="000000"/>
            </w:tcBorders>
            <w:shd w:color="auto" w:fill="EFF4F6" w:val="clear"/>
          </w:tcPr>
          <w:p>
            <w:pPr>
              <w:pStyle w:val="Normal"/>
              <w:suppressAutoHyphens w:val="true"/>
              <w:rPr>
                <w:sz w:val="24"/>
              </w:rPr>
            </w:pPr>
            <w:r>
              <w:rPr>
                <w:rFonts w:eastAsia="Cambria" w:cs="Cambria" w:ascii="Cambria" w:hAnsi="Cambria"/>
                <w:b/>
                <w:i/>
                <w:color w:val="2F3B42"/>
                <w:sz w:val="22"/>
                <w:szCs w:val="24"/>
                <w:lang w:val="en-CA" w:eastAsia="en-CA" w:bidi="ar-SA"/>
              </w:rPr>
              <w:t>This framework establishes a multilateral operating system for the strait. It keeps passage free, pays for verified services, verifies performance with human-anchored methods, and continues without expiry. This framework does not create a toll regime, does not grant any Participant State command over another, does not transfer sovereignty, does not prejudice boundary positions, and does not authorize the use of force by any actor.</w:t>
            </w:r>
          </w:p>
          <w:p>
            <w:pPr>
              <w:pStyle w:val="Normal"/>
              <w:suppressAutoHyphens w:val="true"/>
              <w:spacing w:before="0" w:after="110"/>
              <w:rPr>
                <w:sz w:val="24"/>
              </w:rPr>
            </w:pPr>
            <w:r>
              <w:rPr>
                <w:rFonts w:eastAsia="Cambria" w:cs="Cambria" w:ascii="Cambria" w:hAnsi="Cambria"/>
                <w:b/>
                <w:i/>
                <w:color w:val="2F3B42"/>
                <w:sz w:val="22"/>
                <w:szCs w:val="24"/>
                <w:lang w:val="en-CA" w:eastAsia="en-CA" w:bidi="ar-SA"/>
              </w:rPr>
              <w:t>This framework does not create a toll regime, does not grant any Participant State command over the other, does not transfer sovereignty, does not prejudice boundary positions, and does not authorize the use of force by any actor.</w:t>
            </w:r>
          </w:p>
        </w:tc>
      </w:tr>
    </w:tbl>
    <w:p>
      <w:pPr>
        <w:pStyle w:val="Normal"/>
        <w:rPr/>
      </w:pPr>
      <w:r>
        <w:rPr/>
      </w:r>
    </w:p>
    <w:p>
      <w:pPr>
        <w:pStyle w:val="Heading3"/>
        <w:rPr/>
      </w:pPr>
      <w:bookmarkStart w:id="12" w:name="__RefHeading___Toc8959_4022417266"/>
      <w:bookmarkEnd w:id="12"/>
      <w:r>
        <w:rPr>
          <w:rFonts w:eastAsia="Calibri" w:cs="Calibri" w:ascii="Calibri" w:hAnsi="Calibri"/>
          <w:b/>
          <w:color w:val="1F4E5F"/>
          <w:sz w:val="22"/>
          <w:szCs w:val="24"/>
          <w:lang w:val="en-CA" w:eastAsia="en-CA" w:bidi="ar-SA"/>
        </w:rPr>
        <w:t>1.6 Relationship to Existing Instruments</w:t>
      </w:r>
    </w:p>
    <w:p>
      <w:pPr>
        <w:pStyle w:val="Normal"/>
        <w:rPr/>
      </w:pPr>
      <w:r>
        <w:rPr>
          <w:rStyle w:val="DefaultParagraphFont"/>
          <w:rFonts w:eastAsia="" w:cs=""/>
          <w:color w:val="2F3B42"/>
          <w:sz w:val="22"/>
          <w:szCs w:val="24"/>
          <w:lang w:val="en-CA" w:eastAsia="en-CA" w:bidi="ar-SA"/>
        </w:rPr>
        <w:t>1.6.1 The framework implements the safe navigation consultations contemplated by Article 5 of the Islamabad Memorandum of Understanding of 17 June 2026, and it succeeds the interim work of the Joint Hormuz Committee convened in Muscat on 29 June 2026.</w:t>
      </w:r>
    </w:p>
    <w:p>
      <w:pPr>
        <w:pStyle w:val="Normal"/>
        <w:rPr/>
      </w:pPr>
      <w:r>
        <w:rPr>
          <w:rStyle w:val="DefaultParagraphFont"/>
          <w:rFonts w:eastAsia="" w:cs=""/>
          <w:color w:val="2F3B42"/>
          <w:sz w:val="22"/>
          <w:szCs w:val="24"/>
          <w:lang w:val="en-CA" w:eastAsia="en-CA" w:bidi="ar-SA"/>
        </w:rPr>
        <w:t>1.6.2 The framework builds upon the International Maritime Organization Traffic Separation Scheme for the Strait of Hormuz, and Participant States route all scheme amendments through the International Maritime Organization in the manner Article 10 describes.</w:t>
      </w:r>
    </w:p>
    <w:p>
      <w:pPr>
        <w:pStyle w:val="Normal"/>
        <w:rPr/>
      </w:pPr>
      <w:r>
        <w:rPr>
          <w:rStyle w:val="DefaultParagraphFont"/>
          <w:rFonts w:eastAsia="" w:cs=""/>
          <w:color w:val="2F3B42"/>
          <w:sz w:val="22"/>
          <w:szCs w:val="24"/>
          <w:lang w:val="en-CA" w:eastAsia="en-CA" w:bidi="ar-SA"/>
        </w:rPr>
        <w:t>1.6.3 Where a prior bilateral or regional arrangement between Participant States addresses the same subject, this framework prevails among those Participant States; where an International Maritime Organization instrument addresses the same subject, Participant States harmonize this framework with that instrument at the next review conference.</w:t>
      </w:r>
    </w:p>
    <w:p>
      <w:pPr>
        <w:pStyle w:val="Heading2"/>
        <w:rPr/>
      </w:pPr>
      <w:bookmarkStart w:id="13" w:name="__RefHeading___Toc8961_4022417266"/>
      <w:bookmarkEnd w:id="13"/>
      <w:r>
        <w:rPr>
          <w:rFonts w:eastAsia="Calibri" w:cs="Calibri" w:ascii="Calibri" w:hAnsi="Calibri"/>
          <w:b/>
          <w:color w:val="1F4E5F"/>
          <w:sz w:val="24"/>
          <w:szCs w:val="24"/>
          <w:lang w:val="en-CA" w:eastAsia="en-CA" w:bidi="ar-SA"/>
        </w:rPr>
        <w:t>Article 2: Legal Foundations</w:t>
      </w:r>
    </w:p>
    <w:p>
      <w:pPr>
        <w:pStyle w:val="Heading3"/>
        <w:rPr/>
      </w:pPr>
      <w:bookmarkStart w:id="14" w:name="__RefHeading___Toc8963_4022417266"/>
      <w:bookmarkEnd w:id="14"/>
      <w:r>
        <w:rPr>
          <w:rFonts w:eastAsia="Calibri" w:cs="Calibri" w:ascii="Calibri" w:hAnsi="Calibri"/>
          <w:b/>
          <w:color w:val="1F4E5F"/>
          <w:sz w:val="22"/>
          <w:szCs w:val="24"/>
          <w:lang w:val="en-CA" w:eastAsia="en-CA" w:bidi="ar-SA"/>
        </w:rPr>
        <w:t>2.1 Sovereign Equality of Participant States</w:t>
      </w:r>
    </w:p>
    <w:p>
      <w:pPr>
        <w:pStyle w:val="Normal"/>
        <w:rPr/>
      </w:pPr>
      <w:r>
        <w:rPr>
          <w:rStyle w:val="DefaultParagraphFont"/>
          <w:rFonts w:eastAsia="" w:cs=""/>
          <w:color w:val="2F3B42"/>
          <w:sz w:val="22"/>
          <w:szCs w:val="24"/>
          <w:lang w:val="en-CA" w:eastAsia="en-CA" w:bidi="ar-SA"/>
        </w:rPr>
        <w:t>2.1.1 All Participant States act throughout this framework as equals. Every institution seats them in equal or proportionally representative number, and every joint act follows the applicable majority or consensus rule of Article 18.</w:t>
      </w:r>
    </w:p>
    <w:p>
      <w:pPr>
        <w:pStyle w:val="Normal"/>
        <w:rPr/>
      </w:pPr>
      <w:r>
        <w:rPr>
          <w:rStyle w:val="DefaultParagraphFont"/>
          <w:rFonts w:eastAsia="" w:cs=""/>
          <w:color w:val="2F3B42"/>
          <w:sz w:val="22"/>
          <w:szCs w:val="24"/>
          <w:lang w:val="en-CA" w:eastAsia="en-CA" w:bidi="ar-SA"/>
        </w:rPr>
        <w:t>2.1.2 The framework derives its authority from the consent of all Participant States and from the sovereign rights each Littoral State holds in its own waters. No Participant State derives authority over another from this framework.</w:t>
      </w:r>
    </w:p>
    <w:p>
      <w:pPr>
        <w:pStyle w:val="Heading3"/>
        <w:rPr/>
      </w:pPr>
      <w:bookmarkStart w:id="15" w:name="__RefHeading___Toc8965_4022417266"/>
      <w:bookmarkEnd w:id="15"/>
      <w:r>
        <w:rPr>
          <w:rFonts w:eastAsia="Calibri" w:cs="Calibri" w:ascii="Calibri" w:hAnsi="Calibri"/>
          <w:b/>
          <w:color w:val="1F4E5F"/>
          <w:sz w:val="22"/>
          <w:szCs w:val="24"/>
          <w:lang w:val="en-CA" w:eastAsia="en-CA" w:bidi="ar-SA"/>
        </w:rPr>
        <w:t>2.2 The Two Legal Anchors</w:t>
      </w:r>
    </w:p>
    <w:p>
      <w:pPr>
        <w:pStyle w:val="Normal"/>
        <w:rPr/>
      </w:pPr>
      <w:r>
        <w:rPr>
          <w:rStyle w:val="DefaultParagraphFont"/>
          <w:rFonts w:eastAsia="" w:cs=""/>
          <w:color w:val="2F3B42"/>
          <w:sz w:val="22"/>
          <w:szCs w:val="24"/>
          <w:lang w:val="en-CA" w:eastAsia="en-CA" w:bidi="ar-SA"/>
        </w:rPr>
        <w:t>2.2.1 The first anchor: ships of all states enjoy the right of transit passage through the Strait of Hormuz, and this framework treats that right as unconditional in all three passages.</w:t>
      </w:r>
    </w:p>
    <w:p>
      <w:pPr>
        <w:pStyle w:val="Normal"/>
        <w:rPr/>
      </w:pPr>
      <w:r>
        <w:rPr>
          <w:rStyle w:val="DefaultParagraphFont"/>
          <w:rFonts w:eastAsia="" w:cs=""/>
          <w:color w:val="2F3B42"/>
          <w:sz w:val="22"/>
          <w:szCs w:val="24"/>
          <w:lang w:val="en-CA" w:eastAsia="en-CA" w:bidi="ar-SA"/>
        </w:rPr>
        <w:t>2.2.2 The second anchor: the law of the sea entitles a coastal state to levy charges for specific services rendered to a vessel, and this framework organizes every legitimate service charge through the Verified Services Catalog and the reimbursement mechanism of Part IV.</w:t>
      </w:r>
    </w:p>
    <w:p>
      <w:pPr>
        <w:pStyle w:val="Normal"/>
        <w:rPr/>
      </w:pPr>
      <w:r>
        <w:rPr>
          <w:rStyle w:val="DefaultParagraphFont"/>
          <w:rFonts w:eastAsia="" w:cs=""/>
          <w:color w:val="2F3B42"/>
          <w:sz w:val="22"/>
          <w:szCs w:val="24"/>
          <w:lang w:val="en-CA" w:eastAsia="en-CA" w:bidi="ar-SA"/>
        </w:rPr>
        <w:t>2.2.3 The architecture holds the two anchors apart with complete rigor: passage remains free, services carry documented costs, and no instrument in the Network blends the two.</w:t>
      </w:r>
    </w:p>
    <w:p>
      <w:pPr>
        <w:pStyle w:val="Heading3"/>
        <w:rPr/>
      </w:pPr>
      <w:bookmarkStart w:id="16" w:name="__RefHeading___Toc8967_4022417266"/>
      <w:bookmarkEnd w:id="16"/>
      <w:r>
        <w:rPr>
          <w:rFonts w:eastAsia="Calibri" w:cs="Calibri" w:ascii="Calibri" w:hAnsi="Calibri"/>
          <w:b/>
          <w:color w:val="1F4E5F"/>
          <w:sz w:val="22"/>
          <w:szCs w:val="24"/>
          <w:lang w:val="en-CA" w:eastAsia="en-CA" w:bidi="ar-SA"/>
        </w:rPr>
        <w:t>2.3 Interface with the Law of the Sea</w:t>
      </w:r>
    </w:p>
    <w:p>
      <w:pPr>
        <w:pStyle w:val="Normal"/>
        <w:rPr/>
      </w:pPr>
      <w:r>
        <w:rPr>
          <w:rStyle w:val="DefaultParagraphFont"/>
          <w:rFonts w:eastAsia="" w:cs=""/>
          <w:color w:val="2F3B42"/>
          <w:sz w:val="22"/>
          <w:szCs w:val="24"/>
          <w:lang w:val="en-CA" w:eastAsia="en-CA" w:bidi="ar-SA"/>
        </w:rPr>
        <w:t>2.3.1 The Sultanate of Oman applies the framework consistently with its obligations as a party to the United Nations Convention on the Law of the Sea, including the rule that charges attach only to specific services rendered.</w:t>
      </w:r>
    </w:p>
    <w:p>
      <w:pPr>
        <w:pStyle w:val="Normal"/>
        <w:rPr/>
      </w:pPr>
      <w:r>
        <w:rPr>
          <w:rStyle w:val="DefaultParagraphFont"/>
          <w:rFonts w:eastAsia="" w:cs=""/>
          <w:color w:val="2F3B42"/>
          <w:sz w:val="22"/>
          <w:szCs w:val="24"/>
          <w:lang w:val="en-CA" w:eastAsia="en-CA" w:bidi="ar-SA"/>
        </w:rPr>
        <w:t>2.3.2 The Islamic Republic of Iran applies the framework as a matter of sovereign policy and multilateral commitment, and it accepts the same operational distinction between passage and services for all Network purposes.</w:t>
      </w:r>
    </w:p>
    <w:p>
      <w:pPr>
        <w:pStyle w:val="Normal"/>
        <w:rPr/>
      </w:pPr>
      <w:r>
        <w:rPr>
          <w:rStyle w:val="DefaultParagraphFont"/>
          <w:rFonts w:eastAsia="" w:cs=""/>
          <w:color w:val="2F3B42"/>
          <w:sz w:val="22"/>
          <w:szCs w:val="24"/>
          <w:lang w:val="en-CA" w:eastAsia="en-CA" w:bidi="ar-SA"/>
        </w:rPr>
        <w:t>2.3.3 The framework thus gives all Participant States one operational standard regardless of their differing treaty positions: transit carries no charge, services carry verified costs.</w:t>
      </w:r>
    </w:p>
    <w:p>
      <w:pPr>
        <w:pStyle w:val="Heading3"/>
        <w:rPr/>
      </w:pPr>
      <w:bookmarkStart w:id="17" w:name="__RefHeading___Toc8969_4022417266"/>
      <w:bookmarkEnd w:id="17"/>
      <w:r>
        <w:rPr>
          <w:rFonts w:eastAsia="Calibri" w:cs="Calibri" w:ascii="Calibri" w:hAnsi="Calibri"/>
          <w:b/>
          <w:color w:val="1F4E5F"/>
          <w:sz w:val="22"/>
          <w:szCs w:val="24"/>
          <w:lang w:val="en-CA" w:eastAsia="en-CA" w:bidi="ar-SA"/>
        </w:rPr>
        <w:t>2.4 No Prejudice</w:t>
      </w:r>
    </w:p>
    <w:p>
      <w:pPr>
        <w:pStyle w:val="Normal"/>
        <w:rPr/>
      </w:pPr>
      <w:r>
        <w:rPr>
          <w:rStyle w:val="DefaultParagraphFont"/>
          <w:rFonts w:eastAsia="" w:cs=""/>
          <w:color w:val="2F3B42"/>
          <w:sz w:val="22"/>
          <w:szCs w:val="24"/>
          <w:lang w:val="en-CA" w:eastAsia="en-CA" w:bidi="ar-SA"/>
        </w:rPr>
        <w:t>2.4.1 The coordinates in Annex A describe traffic organization, not sovereignty allocation. A vessel's presence in a passage creates no legal inference about the status of the waters it crosses.</w:t>
      </w:r>
    </w:p>
    <w:p>
      <w:pPr>
        <w:pStyle w:val="Normal"/>
        <w:rPr/>
      </w:pPr>
      <w:r>
        <w:rPr>
          <w:rStyle w:val="DefaultParagraphFont"/>
          <w:rFonts w:eastAsia="" w:cs=""/>
          <w:color w:val="2F3B42"/>
          <w:sz w:val="22"/>
          <w:szCs w:val="24"/>
          <w:lang w:val="en-CA" w:eastAsia="en-CA" w:bidi="ar-SA"/>
        </w:rPr>
        <w:t>2.4.2 Each Participant State's acceptance of this framework stands without prejudice to its legal position on any question the framework does not expressly settle.</w:t>
      </w:r>
    </w:p>
    <w:p>
      <w:pPr>
        <w:pStyle w:val="Heading2"/>
        <w:rPr/>
      </w:pPr>
      <w:bookmarkStart w:id="18" w:name="__RefHeading___Toc8971_4022417266"/>
      <w:bookmarkEnd w:id="18"/>
      <w:r>
        <w:rPr>
          <w:rFonts w:eastAsia="Calibri" w:cs="Calibri" w:ascii="Calibri" w:hAnsi="Calibri"/>
          <w:b/>
          <w:color w:val="1F4E5F"/>
          <w:sz w:val="24"/>
          <w:szCs w:val="24"/>
          <w:lang w:val="en-CA" w:eastAsia="en-CA" w:bidi="ar-SA"/>
        </w:rPr>
        <w:t>Article 3: Core Operating Principles</w:t>
      </w:r>
    </w:p>
    <w:p>
      <w:pPr>
        <w:pStyle w:val="Heading3"/>
        <w:rPr/>
      </w:pPr>
      <w:bookmarkStart w:id="19" w:name="__RefHeading___Toc8973_4022417266"/>
      <w:bookmarkEnd w:id="19"/>
      <w:r>
        <w:rPr>
          <w:rFonts w:eastAsia="Calibri" w:cs="Calibri" w:ascii="Calibri" w:hAnsi="Calibri"/>
          <w:b/>
          <w:color w:val="1F4E5F"/>
          <w:sz w:val="22"/>
          <w:szCs w:val="24"/>
          <w:lang w:val="en-CA" w:eastAsia="en-CA" w:bidi="ar-SA"/>
        </w:rPr>
        <w:t>3.1 Shared Action</w:t>
      </w:r>
    </w:p>
    <w:p>
      <w:pPr>
        <w:pStyle w:val="Normal"/>
        <w:rPr/>
      </w:pPr>
      <w:r>
        <w:rPr>
          <w:rStyle w:val="DefaultParagraphFont"/>
          <w:rFonts w:eastAsia="" w:cs=""/>
          <w:color w:val="2F3B42"/>
          <w:sz w:val="22"/>
          <w:szCs w:val="24"/>
          <w:lang w:val="en-CA" w:eastAsia="en-CA" w:bidi="ar-SA"/>
        </w:rPr>
        <w:t>3.1.1 Every obligation of one Participant State pairs with reciprocal obligations across the Network. The framework contains no unilateral concession, and every joint act follows the collective decision rule of Article 18.</w:t>
      </w:r>
    </w:p>
    <w:p>
      <w:pPr>
        <w:pStyle w:val="Heading3"/>
        <w:rPr/>
      </w:pPr>
      <w:bookmarkStart w:id="20" w:name="__RefHeading___Toc8975_4022417266"/>
      <w:bookmarkEnd w:id="20"/>
      <w:r>
        <w:rPr>
          <w:rFonts w:eastAsia="Calibri" w:cs="Calibri" w:ascii="Calibri" w:hAnsi="Calibri"/>
          <w:b/>
          <w:color w:val="1F4E5F"/>
          <w:sz w:val="22"/>
          <w:szCs w:val="24"/>
          <w:lang w:val="en-CA" w:eastAsia="en-CA" w:bidi="ar-SA"/>
        </w:rPr>
        <w:t>3.2 Mutual Architecture</w:t>
      </w:r>
    </w:p>
    <w:p>
      <w:pPr>
        <w:pStyle w:val="Normal"/>
        <w:rPr/>
      </w:pPr>
      <w:r>
        <w:rPr>
          <w:rStyle w:val="DefaultParagraphFont"/>
          <w:rFonts w:eastAsia="" w:cs=""/>
          <w:color w:val="2F3B42"/>
          <w:sz w:val="22"/>
          <w:szCs w:val="24"/>
          <w:lang w:val="en-CA" w:eastAsia="en-CA" w:bidi="ar-SA"/>
        </w:rPr>
        <w:t>3.2.1 The text attributes every constraint to the framework itself. The architecture excludes interdiction inside the passages; the architecture excludes tolls; the architecture excludes military staffing of operational roles. No Participant State grants another a favor; all inhabit the same structure.</w:t>
      </w:r>
    </w:p>
    <w:p>
      <w:pPr>
        <w:pStyle w:val="Heading3"/>
        <w:rPr/>
      </w:pPr>
      <w:bookmarkStart w:id="21" w:name="__RefHeading___Toc8977_4022417266"/>
      <w:bookmarkEnd w:id="21"/>
      <w:r>
        <w:rPr>
          <w:rFonts w:eastAsia="Calibri" w:cs="Calibri" w:ascii="Calibri" w:hAnsi="Calibri"/>
          <w:b/>
          <w:color w:val="1F4E5F"/>
          <w:sz w:val="22"/>
          <w:szCs w:val="24"/>
          <w:lang w:val="en-CA" w:eastAsia="en-CA" w:bidi="ar-SA"/>
        </w:rPr>
        <w:t>3.3 No-Fade Continuity</w:t>
      </w:r>
    </w:p>
    <w:p>
      <w:pPr>
        <w:pStyle w:val="Normal"/>
        <w:rPr/>
      </w:pPr>
      <w:r>
        <w:rPr>
          <w:rStyle w:val="DefaultParagraphFont"/>
          <w:rFonts w:eastAsia="" w:cs=""/>
          <w:color w:val="2F3B42"/>
          <w:sz w:val="22"/>
          <w:szCs w:val="24"/>
          <w:lang w:val="en-CA" w:eastAsia="en-CA" w:bidi="ar-SA"/>
        </w:rPr>
        <w:t>3.3.1 No commitment fades at a date boundary. Continuation forms the default at every review point, and ending any element proceeds only through the affirmative, time-buffered procedures of Articles 18 and 34.</w:t>
      </w:r>
    </w:p>
    <w:p>
      <w:pPr>
        <w:pStyle w:val="Heading3"/>
        <w:rPr/>
      </w:pPr>
      <w:bookmarkStart w:id="22" w:name="__RefHeading___Toc8979_4022417266"/>
      <w:bookmarkEnd w:id="22"/>
      <w:r>
        <w:rPr>
          <w:rFonts w:eastAsia="Calibri" w:cs="Calibri" w:ascii="Calibri" w:hAnsi="Calibri"/>
          <w:b/>
          <w:color w:val="1F4E5F"/>
          <w:sz w:val="22"/>
          <w:szCs w:val="24"/>
          <w:lang w:val="en-CA" w:eastAsia="en-CA" w:bidi="ar-SA"/>
        </w:rPr>
        <w:t>3.4 Proportionality Over Parity</w:t>
      </w:r>
    </w:p>
    <w:p>
      <w:pPr>
        <w:pStyle w:val="Normal"/>
        <w:rPr/>
      </w:pPr>
      <w:r>
        <w:rPr>
          <w:rStyle w:val="DefaultParagraphFont"/>
          <w:rFonts w:eastAsia="" w:cs=""/>
          <w:color w:val="2F3B42"/>
          <w:sz w:val="22"/>
          <w:szCs w:val="24"/>
          <w:lang w:val="en-CA" w:eastAsia="en-CA" w:bidi="ar-SA"/>
        </w:rPr>
        <w:t>3.4.1 The framework measures contributions and burdens by documented service volume and verified cost, not by a mechanical equal-share split. The Multilateral Services Ledger of Article 22 records each Participant State's contribution honestly, and Participant States review balance annually without demanding artificial symmetry.</w:t>
      </w:r>
    </w:p>
    <w:p>
      <w:pPr>
        <w:pStyle w:val="Heading3"/>
        <w:rPr/>
      </w:pPr>
      <w:bookmarkStart w:id="23" w:name="__RefHeading___Toc8981_4022417266"/>
      <w:bookmarkEnd w:id="23"/>
      <w:r>
        <w:rPr>
          <w:rFonts w:eastAsia="Calibri" w:cs="Calibri" w:ascii="Calibri" w:hAnsi="Calibri"/>
          <w:b/>
          <w:color w:val="1F4E5F"/>
          <w:sz w:val="22"/>
          <w:szCs w:val="24"/>
          <w:lang w:val="en-CA" w:eastAsia="en-CA" w:bidi="ar-SA"/>
        </w:rPr>
        <w:t>3.5 Transparency Over Trust</w:t>
      </w:r>
    </w:p>
    <w:p>
      <w:pPr>
        <w:pStyle w:val="Normal"/>
        <w:rPr/>
      </w:pPr>
      <w:r>
        <w:rPr>
          <w:rStyle w:val="DefaultParagraphFont"/>
          <w:rFonts w:eastAsia="" w:cs=""/>
          <w:color w:val="2F3B42"/>
          <w:sz w:val="22"/>
          <w:szCs w:val="24"/>
          <w:lang w:val="en-CA" w:eastAsia="en-CA" w:bidi="ar-SA"/>
        </w:rPr>
        <w:t>3.5.1 The framework substitutes publication for assurances. The Open Water Bulletin publishes corridor status daily; the Fund publishes its accounts quarterly; the Neutral Keel Office publishes its observation log in summary form each week.</w:t>
      </w:r>
    </w:p>
    <w:p>
      <w:pPr>
        <w:pStyle w:val="Heading3"/>
        <w:rPr/>
      </w:pPr>
      <w:bookmarkStart w:id="24" w:name="__RefHeading___Toc8983_4022417266"/>
      <w:bookmarkEnd w:id="24"/>
      <w:r>
        <w:rPr>
          <w:rFonts w:eastAsia="Calibri" w:cs="Calibri" w:ascii="Calibri" w:hAnsi="Calibri"/>
          <w:b/>
          <w:color w:val="1F4E5F"/>
          <w:sz w:val="22"/>
          <w:szCs w:val="24"/>
          <w:lang w:val="en-CA" w:eastAsia="en-CA" w:bidi="ar-SA"/>
        </w:rPr>
        <w:t>3.6 Cost Discipline</w:t>
      </w:r>
    </w:p>
    <w:p>
      <w:pPr>
        <w:pStyle w:val="Normal"/>
        <w:rPr/>
      </w:pPr>
      <w:r>
        <w:rPr>
          <w:rStyle w:val="DefaultParagraphFont"/>
          <w:rFonts w:eastAsia="" w:cs=""/>
          <w:color w:val="2F3B42"/>
          <w:sz w:val="22"/>
          <w:szCs w:val="24"/>
          <w:lang w:val="en-CA" w:eastAsia="en-CA" w:bidi="ar-SA"/>
        </w:rPr>
        <w:t>3.6.1 Participant States share watch floors, patrol craft schedules, survey assets, and data feeds before procuring duplicates. Article 26 fixes the cost discipline rules, and every budget line names the shared asset it uses or the reason no shared asset suffices.</w:t>
      </w:r>
    </w:p>
    <w:p>
      <w:pPr>
        <w:pStyle w:val="Heading3"/>
        <w:rPr/>
      </w:pPr>
      <w:bookmarkStart w:id="25" w:name="__RefHeading___Toc8985_4022417266"/>
      <w:bookmarkEnd w:id="25"/>
      <w:r>
        <w:rPr>
          <w:rFonts w:eastAsia="Calibri" w:cs="Calibri" w:ascii="Calibri" w:hAnsi="Calibri"/>
          <w:b/>
          <w:color w:val="1F4E5F"/>
          <w:sz w:val="22"/>
          <w:szCs w:val="24"/>
          <w:lang w:val="en-CA" w:eastAsia="en-CA" w:bidi="ar-SA"/>
        </w:rPr>
        <w:t>3.7 Civilian Character</w:t>
      </w:r>
    </w:p>
    <w:p>
      <w:pPr>
        <w:pStyle w:val="Normal"/>
        <w:rPr/>
      </w:pPr>
      <w:r>
        <w:rPr>
          <w:rStyle w:val="DefaultParagraphFont"/>
          <w:rFonts w:eastAsia="" w:cs=""/>
          <w:color w:val="2F3B42"/>
          <w:sz w:val="22"/>
          <w:szCs w:val="24"/>
          <w:lang w:val="en-CA" w:eastAsia="en-CA" w:bidi="ar-SA"/>
        </w:rPr>
        <w:t>3.7.1 The Network's operational bodies employ civilian maritime professionals. Military liaison occurs through designated channels at the policy level and never on the watch floor, per Article 16.</w:t>
      </w:r>
    </w:p>
    <w:p>
      <w:pPr>
        <w:pStyle w:val="Heading3"/>
        <w:rPr/>
      </w:pPr>
      <w:bookmarkStart w:id="26" w:name="__RefHeading___Toc8987_4022417266"/>
      <w:bookmarkEnd w:id="26"/>
      <w:r>
        <w:rPr>
          <w:rFonts w:eastAsia="Calibri" w:cs="Calibri" w:ascii="Calibri" w:hAnsi="Calibri"/>
          <w:b/>
          <w:color w:val="1F4E5F"/>
          <w:sz w:val="22"/>
          <w:szCs w:val="24"/>
          <w:lang w:val="en-CA" w:eastAsia="en-CA" w:bidi="ar-SA"/>
        </w:rPr>
        <w:t>3.8 Human-Anchored Verification</w:t>
      </w:r>
    </w:p>
    <w:p>
      <w:pPr>
        <w:pStyle w:val="Normal"/>
        <w:rPr/>
      </w:pPr>
      <w:r>
        <w:rPr>
          <w:rStyle w:val="DefaultParagraphFont"/>
          <w:rFonts w:eastAsia="" w:cs=""/>
          <w:color w:val="2F3B42"/>
          <w:sz w:val="22"/>
          <w:szCs w:val="24"/>
          <w:lang w:val="en-CA" w:eastAsia="en-CA" w:bidi="ar-SA"/>
        </w:rPr>
        <w:t>3.8.1 Verification rests first on human observation, voice reporting, port records, and patrol confirmation, with electronic track data as one input among several. No compliance finding rests on a single sensor feed, per Article 27.</w:t>
      </w:r>
    </w:p>
    <w:p>
      <w:pPr>
        <w:pStyle w:val="Heading2"/>
        <w:rPr/>
      </w:pPr>
      <w:bookmarkStart w:id="27" w:name="__RefHeading___Toc8989_4022417266"/>
      <w:bookmarkEnd w:id="27"/>
      <w:r>
        <w:rPr>
          <w:rFonts w:eastAsia="Calibri" w:cs="Calibri" w:ascii="Calibri" w:hAnsi="Calibri"/>
          <w:b/>
          <w:color w:val="1F4E5F"/>
          <w:sz w:val="24"/>
          <w:szCs w:val="24"/>
          <w:lang w:val="en-CA" w:eastAsia="en-CA" w:bidi="ar-SA"/>
        </w:rPr>
        <w:t>Article 4: Definitions and Interpretation</w:t>
      </w:r>
    </w:p>
    <w:p>
      <w:pPr>
        <w:pStyle w:val="Heading3"/>
        <w:rPr/>
      </w:pPr>
      <w:bookmarkStart w:id="28" w:name="__RefHeading___Toc8991_4022417266"/>
      <w:bookmarkEnd w:id="28"/>
      <w:r>
        <w:rPr>
          <w:rFonts w:eastAsia="Calibri" w:cs="Calibri" w:ascii="Calibri" w:hAnsi="Calibri"/>
          <w:b/>
          <w:color w:val="1F4E5F"/>
          <w:sz w:val="22"/>
          <w:szCs w:val="24"/>
          <w:lang w:val="en-CA" w:eastAsia="en-CA" w:bidi="ar-SA"/>
        </w:rPr>
        <w:t>4.1 Definitions</w:t>
      </w:r>
    </w:p>
    <w:p>
      <w:pPr>
        <w:pStyle w:val="Normal"/>
        <w:rPr/>
      </w:pPr>
      <w:r>
        <w:rPr>
          <w:rStyle w:val="DefaultParagraphFont"/>
          <w:rFonts w:eastAsia="" w:cs=""/>
          <w:color w:val="2F3B42"/>
          <w:sz w:val="22"/>
          <w:szCs w:val="24"/>
          <w:lang w:val="en-CA" w:eastAsia="en-CA" w:bidi="ar-SA"/>
        </w:rPr>
        <w:t>4.1.1 In this framework, the following terms carry the following meanings:</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Term</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Meaning</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Operating Area</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waters defined in Article 1.3 and Annex A, Section A.1</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Southern Assurance Passage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toll-free passage through the southern part of the strait, described in Article 7 and Annex A</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Northern Coordination Passage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registration-based passage through the northern part of the strait, described in Article 8 and Annex A</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Central International Passage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jointly managed central passage of the strait under dual administration, described in Article 9 and Annex A</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Separation Belts</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two separation zones between the three passages: the Northern-Central Separation Belt and the Central-Southern Separation Belt, described in Article 10.2</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Passage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Any of the three corridors, and all three together where the context allows</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Multilateral Transit Code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acknowledgment code the Center issues on receipt of a Regional Passage registration, per Article 8.3</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Registration</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advance transit record a vessel files under Annex D for the Northern Coordination Passage</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Vessel Class</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 purpose-based category in the matrix of Article 11 and Annex B</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Free Flow</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normal operating state of a passage, per Article 6.4</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Managed Flow</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operating state in which the Center sequences traffic for safety, per Article 6.4</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Coordinated Flow</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joint-management operating state of the Central International Passage, per Article 6.4</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Protected Hold</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temporary safety state that pauses entries to a defined area, per Article 6.4</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Open Water Bulletin</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daily public status publication of the Network, per Article 6.5</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Hormuz Maritime Assembly</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plenary oversight body of all Participant States, per Article 14</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Composite Council</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executive governing body of the Network, per Article 15</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Central Corridor Management Board</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trilateral navigation safety board of the Council for the Central International Passage, per Article 15.6</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Meridian Coordination Center</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joint operations center of the Network, per Article 16</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Neutral Keel Office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standing verification and observer office, per Article 17</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Hormuz Maritime Stewardship Fund</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financing institution of the Network, per Article 22</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Fiduciary Administrator</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independent administrator of the Fund, per Article 22.2</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Verified Services Catalog</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priced list of reimbursable services, per Article 22.4 and Annex C</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Assurance Registry</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voluntary public listing of participating vessels and operators, per Article 23</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Voluntary Service Contribution</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An optional service contribution under Article 23.5 and Annex C, distinct from any charge on passage</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Contribution Certificate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Registry instrument of Article 23.5.3 that carries priority service</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Hormuz Safe Transporter</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Registry designation for vessels and operators that maintain the listed-vessel practices, per Article 23</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Route Assurance Data Service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subscription data product for insurers and charterers, per Article 24</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Multilateral Services Ledger</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quarterly record of contributions and services by each Participant State, per Article 22.5</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Convergence Standard</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rule that a verification finding rests on two independent inputs, per Article 27.2</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Performance Reserve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banked record of over-compliance and good governance contribution, per Article 32.3</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Still Water Clause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automatic pause mechanism of Article 32.7</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Quiet Water Windows</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daily periods of reduced military posture, per Article 28.1</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Thirty-Minute Position Log</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incident logging rule of Article 28.4</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Modular Protocol Annex</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 self-contained operative annex under Article 18.2</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Anti-Cascade Firewall</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rule that one module's failure never spreads, per Article 18.3</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Dignified Deactivation Protocol</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orderly wind-down procedure of Article 18.4</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Rolling Horizon</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renewal mechanism of Article 34.2</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Perimeter Test</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core-principles screening test of Article 5.3</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Human Anchor Method</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verification philosophy of Article 27</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Participant State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 state party to this framework in any participation category under Article 36.3</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Littoral State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Islamic Republic of Iran, the Sultanate of Oman, the United Arab Emirates, or the State of Qatar, and all four together where the context allows</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Category I State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 Littoral State holding full membership under Article 36.3</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Category II State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 Major User State holding strategic partnership under Article 36.3</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Category III State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An Observer State under Article 36.3</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Category IV Partner</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An international organization or industry body under Article 36.3</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User State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 Category V advisory participant under Article 36.3</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Stakeholder Panel</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advisory body of Article 19.2</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Day</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 calendar day in Muscat time unless the text states otherwise</w:t>
            </w:r>
          </w:p>
        </w:tc>
      </w:tr>
    </w:tbl>
    <w:p>
      <w:pPr>
        <w:pStyle w:val="Normal"/>
        <w:rPr/>
      </w:pPr>
      <w:r>
        <w:rPr/>
      </w:r>
    </w:p>
    <w:p>
      <w:pPr>
        <w:pStyle w:val="Heading3"/>
        <w:rPr/>
      </w:pPr>
      <w:bookmarkStart w:id="29" w:name="__RefHeading___Toc8993_4022417266"/>
      <w:bookmarkEnd w:id="29"/>
      <w:r>
        <w:rPr>
          <w:rFonts w:eastAsia="Calibri" w:cs="Calibri" w:ascii="Calibri" w:hAnsi="Calibri"/>
          <w:b/>
          <w:color w:val="1F4E5F"/>
          <w:sz w:val="22"/>
          <w:szCs w:val="24"/>
          <w:lang w:val="en-CA" w:eastAsia="en-CA" w:bidi="ar-SA"/>
        </w:rPr>
        <w:t>4.2 Interpretation</w:t>
      </w:r>
    </w:p>
    <w:p>
      <w:pPr>
        <w:pStyle w:val="Normal"/>
        <w:rPr/>
      </w:pPr>
      <w:r>
        <w:rPr>
          <w:rStyle w:val="DefaultParagraphFont"/>
          <w:rFonts w:eastAsia="" w:cs=""/>
          <w:color w:val="2F3B42"/>
          <w:sz w:val="22"/>
          <w:szCs w:val="24"/>
          <w:lang w:val="en-CA" w:eastAsia="en-CA" w:bidi="ar-SA"/>
        </w:rPr>
        <w:t>4.2.1 Headings guide the reader and carry no operative weight.</w:t>
      </w:r>
    </w:p>
    <w:p>
      <w:pPr>
        <w:pStyle w:val="Normal"/>
        <w:rPr/>
      </w:pPr>
      <w:r>
        <w:rPr>
          <w:rStyle w:val="DefaultParagraphFont"/>
          <w:rFonts w:eastAsia="" w:cs=""/>
          <w:color w:val="2F3B42"/>
          <w:sz w:val="22"/>
          <w:szCs w:val="24"/>
          <w:lang w:val="en-CA" w:eastAsia="en-CA" w:bidi="ar-SA"/>
        </w:rPr>
        <w:t>4.2.2 The singular includes the plural, and a reference to a vessel includes its master, owner, and operator as the context indicates.</w:t>
      </w:r>
    </w:p>
    <w:p>
      <w:pPr>
        <w:pStyle w:val="Normal"/>
        <w:rPr/>
      </w:pPr>
      <w:r>
        <w:rPr>
          <w:rStyle w:val="DefaultParagraphFont"/>
          <w:rFonts w:eastAsia="" w:cs=""/>
          <w:color w:val="2F3B42"/>
          <w:sz w:val="22"/>
          <w:szCs w:val="24"/>
          <w:lang w:val="en-CA" w:eastAsia="en-CA" w:bidi="ar-SA"/>
        </w:rPr>
        <w:t>4.2.3 A reference to a time of day uses Coordinated Universal Time unless the text names a local reference.</w:t>
      </w:r>
    </w:p>
    <w:p>
      <w:pPr>
        <w:pStyle w:val="Normal"/>
        <w:rPr/>
      </w:pPr>
      <w:r>
        <w:rPr>
          <w:rStyle w:val="DefaultParagraphFont"/>
          <w:rFonts w:eastAsia="" w:cs=""/>
          <w:color w:val="2F3B42"/>
          <w:sz w:val="22"/>
          <w:szCs w:val="24"/>
          <w:lang w:val="en-CA" w:eastAsia="en-CA" w:bidi="ar-SA"/>
        </w:rPr>
        <w:t>4.2.4 In case of divergence among the Persian, Arabic, and English texts, the Composite Council adopts the shared meaning the negotiators intended, and records that meaning in the Council minutes.</w:t>
      </w:r>
    </w:p>
    <w:p>
      <w:pPr>
        <w:pStyle w:val="Heading2"/>
        <w:rPr/>
      </w:pPr>
      <w:bookmarkStart w:id="30" w:name="__RefHeading___Toc8995_4022417266"/>
      <w:bookmarkEnd w:id="30"/>
      <w:r>
        <w:rPr>
          <w:rFonts w:eastAsia="Calibri" w:cs="Calibri" w:ascii="Calibri" w:hAnsi="Calibri"/>
          <w:b/>
          <w:color w:val="1F4E5F"/>
          <w:sz w:val="24"/>
          <w:szCs w:val="24"/>
          <w:lang w:val="en-CA" w:eastAsia="en-CA" w:bidi="ar-SA"/>
        </w:rPr>
        <w:t>Article 5: The Core Principles Register</w:t>
      </w:r>
    </w:p>
    <w:p>
      <w:pPr>
        <w:pStyle w:val="Heading3"/>
        <w:rPr/>
      </w:pPr>
      <w:bookmarkStart w:id="31" w:name="__RefHeading___Toc8997_4022417266"/>
      <w:bookmarkEnd w:id="31"/>
      <w:r>
        <w:rPr>
          <w:rFonts w:eastAsia="Calibri" w:cs="Calibri" w:ascii="Calibri" w:hAnsi="Calibri"/>
          <w:b/>
          <w:color w:val="1F4E5F"/>
          <w:sz w:val="22"/>
          <w:szCs w:val="24"/>
          <w:lang w:val="en-CA" w:eastAsia="en-CA" w:bidi="ar-SA"/>
        </w:rPr>
        <w:t>5.1 Purpose and Method</w:t>
      </w:r>
    </w:p>
    <w:p>
      <w:pPr>
        <w:pStyle w:val="Normal"/>
        <w:rPr/>
      </w:pPr>
      <w:r>
        <w:rPr>
          <w:rStyle w:val="DefaultParagraphFont"/>
          <w:rFonts w:eastAsia="" w:cs=""/>
          <w:color w:val="2F3B42"/>
          <w:sz w:val="22"/>
          <w:szCs w:val="24"/>
          <w:lang w:val="en-CA" w:eastAsia="en-CA" w:bidi="ar-SA"/>
        </w:rPr>
        <w:t>5.1.1 Participant States negotiate in the open about everything except the principles the Network treats as untouchable. The Register names those principles once, precisely, and the architecture then guards them automatically for the entire multilateral network.</w:t>
      </w:r>
    </w:p>
    <w:p>
      <w:pPr>
        <w:pStyle w:val="Normal"/>
        <w:rPr/>
      </w:pPr>
      <w:r>
        <w:rPr>
          <w:rStyle w:val="DefaultParagraphFont"/>
          <w:rFonts w:eastAsia="" w:cs=""/>
          <w:color w:val="2F3B42"/>
          <w:sz w:val="22"/>
          <w:szCs w:val="24"/>
          <w:lang w:val="en-CA" w:eastAsia="en-CA" w:bidi="ar-SA"/>
        </w:rPr>
        <w:t>5.1.2 Each entry in the Register states the principle in neutral terms, names the shared interest it protects, and identifies the architectural safeguard that holds the principle without daily political effort.</w:t>
      </w:r>
    </w:p>
    <w:p>
      <w:pPr>
        <w:pStyle w:val="Normal"/>
        <w:rPr/>
      </w:pPr>
      <w:r>
        <w:rPr>
          <w:rStyle w:val="DefaultParagraphFont"/>
          <w:rFonts w:eastAsia="" w:cs=""/>
          <w:color w:val="2F3B42"/>
          <w:sz w:val="22"/>
          <w:szCs w:val="24"/>
          <w:lang w:val="en-CA" w:eastAsia="en-CA" w:bidi="ar-SA"/>
        </w:rPr>
        <w:t>5.1.3 The Register binds the framework, not the negotiators' rhetoric. A public statement outside the Register carries no operative weight inside the Network.</w:t>
      </w:r>
    </w:p>
    <w:p>
      <w:pPr>
        <w:pStyle w:val="Heading3"/>
        <w:rPr/>
      </w:pPr>
      <w:bookmarkStart w:id="32" w:name="__RefHeading___Toc8999_4022417266"/>
      <w:bookmarkEnd w:id="32"/>
      <w:r>
        <w:rPr>
          <w:rFonts w:eastAsia="Calibri" w:cs="Calibri" w:ascii="Calibri" w:hAnsi="Calibri"/>
          <w:b/>
          <w:color w:val="1F4E5F"/>
          <w:sz w:val="22"/>
          <w:szCs w:val="24"/>
          <w:lang w:val="en-CA" w:eastAsia="en-CA" w:bidi="ar-SA"/>
        </w:rPr>
        <w:t>5.2 The Register</w:t>
      </w:r>
    </w:p>
    <w:p>
      <w:pPr>
        <w:pStyle w:val="Normal"/>
        <w:rPr/>
      </w:pPr>
      <w:r>
        <w:rPr>
          <w:rStyle w:val="DefaultParagraphFont"/>
          <w:rFonts w:eastAsia="" w:cs=""/>
          <w:color w:val="2F3B42"/>
          <w:sz w:val="22"/>
          <w:szCs w:val="24"/>
          <w:lang w:val="en-CA" w:eastAsia="en-CA" w:bidi="ar-SA"/>
        </w:rPr>
        <w:t>5.2.1 The Register comprises the twelve entries of Annex F. The summary table below states each line and its safeguard; Annex F carries the full operative text.</w:t>
      </w:r>
    </w:p>
    <w:tbl>
      <w:tblPr>
        <w:tblStyle w:val="TableNormal"/>
        <w:tblW w:w="9026" w:type="dxa"/>
        <w:jc w:val="left"/>
        <w:tblInd w:w="0" w:type="dxa"/>
        <w:tblLayout w:type="fixed"/>
        <w:tblCellMar>
          <w:top w:w="0" w:type="dxa"/>
          <w:left w:w="108" w:type="dxa"/>
          <w:bottom w:w="0" w:type="dxa"/>
          <w:right w:w="108" w:type="dxa"/>
        </w:tblCellMar>
      </w:tblPr>
      <w:tblGrid>
        <w:gridCol w:w="3008"/>
        <w:gridCol w:w="3007"/>
        <w:gridCol w:w="3011"/>
      </w:tblGrid>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Ref</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Principle (summary)</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Architectural safeguard</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R-1</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No charge of any kind attaches to the act of transit</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Zero-Toll Rule, Article 21</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R-2</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Southern Assurance Passage transits unconditionally</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Article 7.2; no registration layer</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R-3</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role and interests of all Littoral States receive formal and visible recognition</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Articles 8.4, 14, 15, and 16; representative seats throughout</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R-4</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No permission regime operates anywhere in the Network</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Registration-only rule, Article 8.2</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R-5</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No boarding, diversion, seizure, or inspection occurs inside a passage</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Non-Interdiction Protocol, Article 12.2</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R-6</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Network operational bodies remain civilian</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Civilian Character Clause, Article 16.5</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R-7</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No shipper pays any Participant State directly for anything</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Global Compliance Firewall, Article 26.3</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R-8</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Each Participant State's sovereignty over its own waters stands intact</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Articles 1.3.3, 2.4; no-prejudice rule</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R-9</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No commitment expires silently</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No-Fade Continuity, Article 34</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R-10</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Humanitarian traffic moves in every flow state</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Humanitarian Firewall, Article 32.4</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R-11</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Verification never humiliates: findings rest on two independent inputs</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Convergence Standard, Article 27.2</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R-12</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No Participant State's territory hosts a Network strike, and Network assets never support kinetic action</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Article 28.5; asset-use rule</w:t>
            </w:r>
          </w:p>
        </w:tc>
      </w:tr>
    </w:tbl>
    <w:p>
      <w:pPr>
        <w:pStyle w:val="Normal"/>
        <w:rPr/>
      </w:pPr>
      <w:r>
        <w:rPr/>
      </w:r>
    </w:p>
    <w:p>
      <w:pPr>
        <w:pStyle w:val="Heading3"/>
        <w:rPr/>
      </w:pPr>
      <w:bookmarkStart w:id="33" w:name="__RefHeading___Toc9001_4022417266"/>
      <w:bookmarkEnd w:id="33"/>
      <w:r>
        <w:rPr>
          <w:rFonts w:eastAsia="Calibri" w:cs="Calibri" w:ascii="Calibri" w:hAnsi="Calibri"/>
          <w:b/>
          <w:color w:val="1F4E5F"/>
          <w:sz w:val="22"/>
          <w:szCs w:val="24"/>
          <w:lang w:val="en-CA" w:eastAsia="en-CA" w:bidi="ar-SA"/>
        </w:rPr>
        <w:t>5.3 The Perimeter Test</w:t>
      </w:r>
    </w:p>
    <w:p>
      <w:pPr>
        <w:pStyle w:val="Normal"/>
        <w:rPr/>
      </w:pPr>
      <w:r>
        <w:rPr>
          <w:rStyle w:val="DefaultParagraphFont"/>
          <w:rFonts w:eastAsia="" w:cs=""/>
          <w:color w:val="2F3B42"/>
          <w:sz w:val="22"/>
          <w:szCs w:val="24"/>
          <w:lang w:val="en-CA" w:eastAsia="en-CA" w:bidi="ar-SA"/>
        </w:rPr>
        <w:t>5.3.1 Before the Composite Council adopts any measure, the Center's legal desk screens the measure against every entry of the Register. The screening takes the form of a short written Perimeter Test, appended to the measure in the Council record.</w:t>
      </w:r>
    </w:p>
    <w:p>
      <w:pPr>
        <w:pStyle w:val="Normal"/>
        <w:rPr/>
      </w:pPr>
      <w:r>
        <w:rPr>
          <w:rStyle w:val="DefaultParagraphFont"/>
          <w:rFonts w:eastAsia="" w:cs=""/>
          <w:color w:val="2F3B42"/>
          <w:sz w:val="22"/>
          <w:szCs w:val="24"/>
          <w:lang w:val="en-CA" w:eastAsia="en-CA" w:bidi="ar-SA"/>
        </w:rPr>
        <w:t>5.3.2 A measure that touches a Register line proceeds only in the exact form the corresponding safeguard permits. A measure that crosses a Register line fails, and the failure appears in the record with reasons.</w:t>
      </w:r>
    </w:p>
    <w:p>
      <w:pPr>
        <w:pStyle w:val="Normal"/>
        <w:rPr/>
      </w:pPr>
      <w:r>
        <w:rPr>
          <w:rStyle w:val="DefaultParagraphFont"/>
          <w:rFonts w:eastAsia="" w:cs=""/>
          <w:color w:val="2F3B42"/>
          <w:sz w:val="22"/>
          <w:szCs w:val="24"/>
          <w:lang w:val="en-CA" w:eastAsia="en-CA" w:bidi="ar-SA"/>
        </w:rPr>
        <w:t>5.3.3 The Neutral Keel Office receives every Perimeter Test and reports annually on the Register's integrity.</w:t>
      </w:r>
    </w:p>
    <w:p>
      <w:pPr>
        <w:pStyle w:val="Heading3"/>
        <w:rPr/>
      </w:pPr>
      <w:bookmarkStart w:id="34" w:name="__RefHeading___Toc9003_4022417266"/>
      <w:bookmarkEnd w:id="34"/>
      <w:r>
        <w:rPr>
          <w:rFonts w:eastAsia="Calibri" w:cs="Calibri" w:ascii="Calibri" w:hAnsi="Calibri"/>
          <w:b/>
          <w:color w:val="1F4E5F"/>
          <w:sz w:val="22"/>
          <w:szCs w:val="24"/>
          <w:lang w:val="en-CA" w:eastAsia="en-CA" w:bidi="ar-SA"/>
        </w:rPr>
        <w:t>5.4 No Trading of Core Principles</w:t>
      </w:r>
    </w:p>
    <w:p>
      <w:pPr>
        <w:pStyle w:val="Normal"/>
        <w:rPr/>
      </w:pPr>
      <w:r>
        <w:rPr>
          <w:rStyle w:val="DefaultParagraphFont"/>
          <w:rFonts w:eastAsia="" w:cs=""/>
          <w:color w:val="2F3B42"/>
          <w:sz w:val="22"/>
          <w:szCs w:val="24"/>
          <w:lang w:val="en-CA" w:eastAsia="en-CA" w:bidi="ar-SA"/>
        </w:rPr>
        <w:t>5.4.1 Participant States do not trade Register entries against one another. The architecture holds every principle simultaneously, and a breach response under Article 32 never suspends a Register entry.</w:t>
      </w:r>
    </w:p>
    <w:p>
      <w:pPr>
        <w:pStyle w:val="Normal"/>
        <w:rPr/>
      </w:pPr>
      <w:r>
        <w:rPr>
          <w:rStyle w:val="DefaultParagraphFont"/>
          <w:rFonts w:eastAsia="" w:cs=""/>
          <w:color w:val="2F3B42"/>
          <w:sz w:val="22"/>
          <w:szCs w:val="24"/>
          <w:lang w:val="en-CA" w:eastAsia="en-CA" w:bidi="ar-SA"/>
        </w:rPr>
        <w:t>5.4.2 Amendment of the Register itself follows the elevated rule of Article 36.2: unanimity in the Council plus ratification by all Category I states.</w:t>
      </w:r>
    </w:p>
    <w:p>
      <w:pPr>
        <w:pStyle w:val="Heading1"/>
        <w:rPr/>
      </w:pPr>
      <w:bookmarkStart w:id="35" w:name="__RefHeading___Toc9005_4022417266"/>
      <w:bookmarkEnd w:id="35"/>
      <w:r>
        <w:rPr>
          <w:rFonts w:eastAsia="Calibri" w:cs="Calibri" w:ascii="Calibri" w:hAnsi="Calibri"/>
          <w:b/>
          <w:color w:val="1F4E5F"/>
          <w:sz w:val="22"/>
          <w:szCs w:val="24"/>
          <w:lang w:val="en-CA" w:eastAsia="en-CA" w:bidi="ar-SA"/>
        </w:rPr>
        <w:t>Part II: The Triple-Corridor Transit System</w:t>
      </w:r>
    </w:p>
    <w:p>
      <w:pPr>
        <w:pStyle w:val="Heading2"/>
        <w:rPr/>
      </w:pPr>
      <w:bookmarkStart w:id="36" w:name="__RefHeading___Toc9007_4022417266"/>
      <w:bookmarkEnd w:id="36"/>
      <w:r>
        <w:rPr>
          <w:rFonts w:eastAsia="Calibri" w:cs="Calibri" w:ascii="Calibri" w:hAnsi="Calibri"/>
          <w:b/>
          <w:color w:val="1F4E5F"/>
          <w:sz w:val="24"/>
          <w:szCs w:val="24"/>
          <w:lang w:val="en-CA" w:eastAsia="en-CA" w:bidi="ar-SA"/>
        </w:rPr>
        <w:t>Article 6: The System at a Glance</w:t>
      </w:r>
    </w:p>
    <w:p>
      <w:pPr>
        <w:pStyle w:val="Heading3"/>
        <w:rPr/>
      </w:pPr>
      <w:bookmarkStart w:id="37" w:name="__RefHeading___Toc9009_4022417266"/>
      <w:bookmarkEnd w:id="37"/>
      <w:r>
        <w:rPr>
          <w:rFonts w:eastAsia="Calibri" w:cs="Calibri" w:ascii="Calibri" w:hAnsi="Calibri"/>
          <w:b/>
          <w:color w:val="1F4E5F"/>
          <w:sz w:val="22"/>
          <w:szCs w:val="24"/>
          <w:lang w:val="en-CA" w:eastAsia="en-CA" w:bidi="ar-SA"/>
        </w:rPr>
        <w:t>6.1 Design Logic</w:t>
      </w:r>
    </w:p>
    <w:p>
      <w:pPr>
        <w:pStyle w:val="Normal"/>
        <w:rPr/>
      </w:pPr>
      <w:r>
        <w:rPr>
          <w:rStyle w:val="DefaultParagraphFont"/>
          <w:rFonts w:eastAsia="" w:cs=""/>
          <w:color w:val="2F3B42"/>
          <w:sz w:val="22"/>
          <w:szCs w:val="24"/>
          <w:lang w:val="en-CA" w:eastAsia="en-CA" w:bidi="ar-SA"/>
        </w:rPr>
        <w:t>6.1.1 The strait carries three passages because its governance carries three truths. One truth holds that transit through an international waterway stands free of charge and free of condition. A second truth holds that the four Littoral States hold sovereign rights, operational responsibilities, and cost burdens in their own waters. A third truth holds that the international community holds a legitimate interest in safe, continuous transit and shares responsibility for supporting the system. The three-passage design honors all three truths in one geography.</w:t>
      </w:r>
    </w:p>
    <w:p>
      <w:pPr>
        <w:pStyle w:val="Normal"/>
        <w:rPr/>
      </w:pPr>
      <w:r>
        <w:rPr>
          <w:rStyle w:val="DefaultParagraphFont"/>
          <w:rFonts w:eastAsia="" w:cs=""/>
          <w:color w:val="2F3B42"/>
          <w:sz w:val="22"/>
          <w:szCs w:val="24"/>
          <w:lang w:val="en-CA" w:eastAsia="en-CA" w:bidi="ar-SA"/>
        </w:rPr>
        <w:t>6.1.2 The Southern Assurance Passage answers the first truth: unconditional, toll-free transit through the southern lanes, managed through a rotating and jointly staffed Littoral Management Team with Network support.</w:t>
      </w:r>
    </w:p>
    <w:p>
      <w:pPr>
        <w:pStyle w:val="Normal"/>
        <w:rPr/>
      </w:pPr>
      <w:r>
        <w:rPr>
          <w:rStyle w:val="DefaultParagraphFont"/>
          <w:rFonts w:eastAsia="" w:cs=""/>
          <w:color w:val="2F3B42"/>
          <w:sz w:val="22"/>
          <w:szCs w:val="24"/>
          <w:lang w:val="en-CA" w:eastAsia="en-CA" w:bidi="ar-SA"/>
        </w:rPr>
        <w:t>6.1.3 The Northern Coordination Passage answers the second truth: a formally recognized regional route along the Iranian coast where coordination, multilateral registration, and the shared management role of the Littoral States operate openly, without converting into permission and without any charge.</w:t>
      </w:r>
    </w:p>
    <w:p>
      <w:pPr>
        <w:pStyle w:val="Normal"/>
        <w:rPr/>
      </w:pPr>
      <w:r>
        <w:rPr>
          <w:rStyle w:val="DefaultParagraphFont"/>
          <w:rFonts w:eastAsia="" w:cs=""/>
          <w:color w:val="2F3B42"/>
          <w:sz w:val="22"/>
          <w:szCs w:val="24"/>
          <w:lang w:val="en-CA" w:eastAsia="en-CA" w:bidi="ar-SA"/>
        </w:rPr>
        <w:t>6.1.4 The Central International Passage answers the third truth: a jointly managed international lane in the middle of the strait, where the coastal states and the user community share management, verification, and services under the dual administration of Article 9, without tolls and without discrimination.</w:t>
      </w:r>
    </w:p>
    <w:p>
      <w:pPr>
        <w:pStyle w:val="Normal"/>
        <w:rPr/>
      </w:pPr>
      <w:r>
        <w:rPr>
          <w:rStyle w:val="DefaultParagraphFont"/>
          <w:rFonts w:eastAsia="" w:cs=""/>
          <w:color w:val="2F3B42"/>
          <w:sz w:val="22"/>
          <w:szCs w:val="24"/>
          <w:lang w:val="en-CA" w:eastAsia="en-CA" w:bidi="ar-SA"/>
        </w:rPr>
        <w:t>6.1.5 A master chooses a passage. The Network never assigns a vessel to a passage by flag, cargo destination, or politics; the vessel class rules of Article 11 guide routing only for safety and efficiency.</w:t>
      </w:r>
    </w:p>
    <w:p>
      <w:pPr>
        <w:pStyle w:val="Heading3"/>
        <w:rPr/>
      </w:pPr>
      <w:bookmarkStart w:id="38" w:name="__RefHeading___Toc9011_4022417266"/>
      <w:bookmarkEnd w:id="38"/>
      <w:r>
        <w:rPr>
          <w:rFonts w:eastAsia="Calibri" w:cs="Calibri" w:ascii="Calibri" w:hAnsi="Calibri"/>
          <w:b/>
          <w:color w:val="1F4E5F"/>
          <w:sz w:val="22"/>
          <w:szCs w:val="24"/>
          <w:lang w:val="en-CA" w:eastAsia="en-CA" w:bidi="ar-SA"/>
        </w:rPr>
        <w:t>6.2 The Three Passages</w:t>
      </w:r>
    </w:p>
    <w:p>
      <w:pPr>
        <w:pStyle w:val="Normal"/>
        <w:rPr/>
      </w:pPr>
      <w:r>
        <w:rPr>
          <w:rStyle w:val="DefaultParagraphFont"/>
          <w:rFonts w:eastAsia="" w:cs=""/>
          <w:color w:val="2F3B42"/>
          <w:sz w:val="22"/>
          <w:szCs w:val="24"/>
          <w:lang w:val="en-CA" w:eastAsia="en-CA" w:bidi="ar-SA"/>
        </w:rPr>
        <w:t>6.2.1 Each passage contains two one-way traffic lanes separated by an intra-passage separation line, mirrors the geometry of the existing International Maritime Organization Traffic Separation Scheme, and operates twenty-four hours a day in every weather state the harbormaster standards of Annex A define as navigable.</w:t>
      </w:r>
    </w:p>
    <w:p>
      <w:pPr>
        <w:pStyle w:val="Normal"/>
        <w:rPr/>
      </w:pPr>
      <w:r>
        <w:rPr>
          <w:rStyle w:val="DefaultParagraphFont"/>
          <w:rFonts w:eastAsia="" w:cs=""/>
          <w:color w:val="2F3B42"/>
          <w:sz w:val="22"/>
          <w:szCs w:val="24"/>
          <w:lang w:val="en-CA" w:eastAsia="en-CA" w:bidi="ar-SA"/>
        </w:rPr>
        <w:t>6.2.2 The passages share one watch floor, one bulletin, one classification matrix, and one set of safe passage guarantees.</w:t>
      </w:r>
    </w:p>
    <w:p>
      <w:pPr>
        <w:pStyle w:val="Heading3"/>
        <w:rPr/>
      </w:pPr>
      <w:bookmarkStart w:id="39" w:name="__RefHeading___Toc9013_4022417266"/>
      <w:bookmarkEnd w:id="39"/>
      <w:r>
        <w:rPr>
          <w:rFonts w:eastAsia="Calibri" w:cs="Calibri" w:ascii="Calibri" w:hAnsi="Calibri"/>
          <w:b/>
          <w:color w:val="1F4E5F"/>
          <w:sz w:val="22"/>
          <w:szCs w:val="24"/>
          <w:lang w:val="en-CA" w:eastAsia="en-CA" w:bidi="ar-SA"/>
        </w:rPr>
        <w:t>6.3 The Two Separation Belts</w:t>
      </w:r>
    </w:p>
    <w:p>
      <w:pPr>
        <w:pStyle w:val="Normal"/>
        <w:rPr/>
      </w:pPr>
      <w:r>
        <w:rPr>
          <w:rStyle w:val="DefaultParagraphFont"/>
          <w:rFonts w:eastAsia="" w:cs=""/>
          <w:color w:val="2F3B42"/>
          <w:sz w:val="22"/>
          <w:szCs w:val="24"/>
          <w:lang w:val="en-CA" w:eastAsia="en-CA" w:bidi="ar-SA"/>
        </w:rPr>
        <w:t>6.3.1 Two separation belts, each two nautical miles wide, divide the three passages along the centerlines in Annex A, Section A.4: the Northern-Central Separation Belt between the Northern Coordination Passage and the Central International Passage, and the Central-Southern Separation Belt between the Central International Passage and the Southern Assurance Passage. Only crossing traffic, emergency maneuvering, and Network service craft enter a belt, under the rules of Article 13.</w:t>
      </w:r>
    </w:p>
    <w:p>
      <w:pPr>
        <w:pStyle w:val="Heading3"/>
        <w:rPr/>
      </w:pPr>
      <w:bookmarkStart w:id="40" w:name="__RefHeading___Toc9015_4022417266"/>
      <w:bookmarkEnd w:id="40"/>
      <w:r>
        <w:rPr>
          <w:rFonts w:eastAsia="Calibri" w:cs="Calibri" w:ascii="Calibri" w:hAnsi="Calibri"/>
          <w:b/>
          <w:color w:val="1F4E5F"/>
          <w:sz w:val="22"/>
          <w:szCs w:val="24"/>
          <w:lang w:val="en-CA" w:eastAsia="en-CA" w:bidi="ar-SA"/>
        </w:rPr>
        <w:t>6.4 Flow States</w:t>
      </w:r>
    </w:p>
    <w:p>
      <w:pPr>
        <w:pStyle w:val="Normal"/>
        <w:rPr/>
      </w:pPr>
      <w:r>
        <w:rPr>
          <w:rStyle w:val="DefaultParagraphFont"/>
          <w:rFonts w:eastAsia="" w:cs=""/>
          <w:color w:val="2F3B42"/>
          <w:sz w:val="22"/>
          <w:szCs w:val="24"/>
          <w:lang w:val="en-CA" w:eastAsia="en-CA" w:bidi="ar-SA"/>
        </w:rPr>
        <w:t>6.4.1 Every passage operates in one of four flow states at any moment, and the Bulletin publishes the state of each passage hourly.</w:t>
      </w:r>
    </w:p>
    <w:p>
      <w:pPr>
        <w:pStyle w:val="Normal"/>
        <w:rPr/>
      </w:pPr>
      <w:r>
        <w:rPr>
          <w:rStyle w:val="DefaultParagraphFont"/>
          <w:rFonts w:eastAsia="" w:cs=""/>
          <w:color w:val="2F3B42"/>
          <w:sz w:val="22"/>
          <w:szCs w:val="24"/>
          <w:lang w:val="en-CA" w:eastAsia="en-CA" w:bidi="ar-SA"/>
        </w:rPr>
        <w:t xml:space="preserve">6.4.2 </w:t>
      </w:r>
      <w:r>
        <w:rPr>
          <w:rFonts w:eastAsia="Cambria" w:cs="Cambria" w:ascii="Cambria" w:hAnsi="Cambria"/>
          <w:b/>
          <w:color w:val="33586A"/>
          <w:sz w:val="23"/>
          <w:szCs w:val="24"/>
          <w:lang w:val="en-CA" w:eastAsia="en-CA" w:bidi="ar-SA"/>
        </w:rPr>
        <w:t>Free Flow</w:t>
      </w:r>
      <w:r>
        <w:rPr>
          <w:rStyle w:val="DefaultParagraphFont"/>
          <w:rFonts w:eastAsia="" w:cs=""/>
          <w:color w:val="2F3B42"/>
          <w:sz w:val="22"/>
          <w:szCs w:val="24"/>
          <w:lang w:val="en-CA" w:eastAsia="en-CA" w:bidi="ar-SA"/>
        </w:rPr>
        <w:t xml:space="preserve"> marks normal operation: vessels proceed under the traffic rules, the Center monitors, and no sequencing applies.</w:t>
      </w:r>
    </w:p>
    <w:p>
      <w:pPr>
        <w:pStyle w:val="Normal"/>
        <w:rPr/>
      </w:pPr>
      <w:r>
        <w:rPr>
          <w:rStyle w:val="DefaultParagraphFont"/>
          <w:rFonts w:eastAsia="" w:cs=""/>
          <w:color w:val="2F3B42"/>
          <w:sz w:val="22"/>
          <w:szCs w:val="24"/>
          <w:lang w:val="en-CA" w:eastAsia="en-CA" w:bidi="ar-SA"/>
        </w:rPr>
        <w:t xml:space="preserve">6.4.3 </w:t>
      </w:r>
      <w:r>
        <w:rPr>
          <w:rFonts w:eastAsia="Cambria" w:cs="Cambria" w:ascii="Cambria" w:hAnsi="Cambria"/>
          <w:b/>
          <w:color w:val="33586A"/>
          <w:sz w:val="23"/>
          <w:szCs w:val="24"/>
          <w:lang w:val="en-CA" w:eastAsia="en-CA" w:bidi="ar-SA"/>
        </w:rPr>
        <w:t>Managed Flow</w:t>
      </w:r>
      <w:r>
        <w:rPr>
          <w:rStyle w:val="DefaultParagraphFont"/>
          <w:rFonts w:eastAsia="" w:cs=""/>
          <w:color w:val="2F3B42"/>
          <w:sz w:val="22"/>
          <w:szCs w:val="24"/>
          <w:lang w:val="en-CA" w:eastAsia="en-CA" w:bidi="ar-SA"/>
        </w:rPr>
        <w:t xml:space="preserve"> marks elevated density, weather, or a navigational hazard: the Center sequences entries by transit window, holds speed bands tighter, and increases reporting frequency. Managed Flow never conditions passage on approval; it schedules it.</w:t>
      </w:r>
    </w:p>
    <w:p>
      <w:pPr>
        <w:pStyle w:val="Normal"/>
        <w:rPr/>
      </w:pPr>
      <w:r>
        <w:rPr>
          <w:rStyle w:val="DefaultParagraphFont"/>
          <w:rFonts w:eastAsia="" w:cs=""/>
          <w:color w:val="2F3B42"/>
          <w:sz w:val="22"/>
          <w:szCs w:val="24"/>
          <w:lang w:val="en-CA" w:eastAsia="en-CA" w:bidi="ar-SA"/>
        </w:rPr>
        <w:t>6.4.4 Coordinated Flow marks the joint-management regime of the Central International Passage: the Center sequences entries through the multilateral desk under the traffic sequencing the Central Corridor Management Board publishes, and vessels proceed under international lane discipline with symmetric notification on all three passages. Coordinated Flow never conditions transit on nationality, cargo, or destination.</w:t>
      </w:r>
    </w:p>
    <w:p>
      <w:pPr>
        <w:pStyle w:val="Normal"/>
        <w:rPr/>
      </w:pPr>
      <w:r>
        <w:rPr>
          <w:rStyle w:val="DefaultParagraphFont"/>
          <w:rFonts w:eastAsia="" w:cs=""/>
          <w:color w:val="2F3B42"/>
          <w:sz w:val="22"/>
          <w:szCs w:val="24"/>
          <w:lang w:val="en-CA" w:eastAsia="en-CA" w:bidi="ar-SA"/>
        </w:rPr>
        <w:t>6.4.5 Protected Hold marks a grave and immediate navigational danger in a defined area: mines suspicion, a casualty blocking a lane, or a pollution event. A Protected Hold pauses new entries into the defined area only, for a stated period, and lifts automatically when the Neutral Keel Office confirms the area clear. A Protected Hold never exceeds seventy-two hours without a Qualified Majority decision, and it never applies to all three passages simultaneously except on a Qualified Majority decision recorded with reasons.</w:t>
      </w:r>
    </w:p>
    <w:p>
      <w:pPr>
        <w:pStyle w:val="Normal"/>
        <w:rPr/>
      </w:pPr>
      <w:r>
        <w:rPr>
          <w:rStyle w:val="DefaultParagraphFont"/>
          <w:rFonts w:eastAsia="" w:cs=""/>
          <w:color w:val="2F3B42"/>
          <w:sz w:val="22"/>
          <w:szCs w:val="24"/>
          <w:lang w:val="en-CA" w:eastAsia="en-CA" w:bidi="ar-SA"/>
        </w:rPr>
        <w:t>6.4.6 The flow state of one passage never depends on the flow state of the others. The Anti-Cascade Firewall of Article 18.3 applies to flow states as it applies to modules.</w:t>
      </w:r>
    </w:p>
    <w:p>
      <w:pPr>
        <w:pStyle w:val="Heading3"/>
        <w:rPr/>
      </w:pPr>
      <w:bookmarkStart w:id="41" w:name="__RefHeading___Toc9017_4022417266"/>
      <w:bookmarkEnd w:id="41"/>
      <w:r>
        <w:rPr>
          <w:rFonts w:eastAsia="Calibri" w:cs="Calibri" w:ascii="Calibri" w:hAnsi="Calibri"/>
          <w:b/>
          <w:color w:val="1F4E5F"/>
          <w:sz w:val="22"/>
          <w:szCs w:val="24"/>
          <w:lang w:val="en-CA" w:eastAsia="en-CA" w:bidi="ar-SA"/>
        </w:rPr>
        <w:t>6.5 The Open Water Bulletin</w:t>
      </w:r>
    </w:p>
    <w:p>
      <w:pPr>
        <w:pStyle w:val="Normal"/>
        <w:rPr/>
      </w:pPr>
      <w:r>
        <w:rPr>
          <w:rStyle w:val="DefaultParagraphFont"/>
          <w:rFonts w:eastAsia="" w:cs=""/>
          <w:color w:val="2F3B42"/>
          <w:sz w:val="22"/>
          <w:szCs w:val="24"/>
          <w:lang w:val="en-CA" w:eastAsia="en-CA" w:bidi="ar-SA"/>
        </w:rPr>
        <w:t>6.5.1 The Center issues the Open Water Bulletin at 0600 and 1800 daily, and hourly updates whenever any passage leaves Free Flow.</w:t>
      </w:r>
    </w:p>
    <w:p>
      <w:pPr>
        <w:pStyle w:val="Normal"/>
        <w:rPr/>
      </w:pPr>
      <w:r>
        <w:rPr>
          <w:rStyle w:val="DefaultParagraphFont"/>
          <w:rFonts w:eastAsia="" w:cs=""/>
          <w:color w:val="2F3B42"/>
          <w:sz w:val="22"/>
          <w:szCs w:val="24"/>
          <w:lang w:val="en-CA" w:eastAsia="en-CA" w:bidi="ar-SA"/>
        </w:rPr>
        <w:t>6.5.2 The Bulletin states, for each passage: the flow state; active transit windows; hazard notices; search and rescue readiness; the count of transits in the previous period; and the name of the multinational duty team. The Bulletin carries one status line for each of the three passages: the Southern Assurance Passage, the Central International Passage, and the Northern Coordination Passage.</w:t>
      </w:r>
    </w:p>
    <w:p>
      <w:pPr>
        <w:pStyle w:val="Normal"/>
        <w:rPr/>
      </w:pPr>
      <w:r>
        <w:rPr>
          <w:rStyle w:val="DefaultParagraphFont"/>
          <w:rFonts w:eastAsia="" w:cs=""/>
          <w:color w:val="2F3B42"/>
          <w:sz w:val="22"/>
          <w:szCs w:val="24"/>
          <w:lang w:val="en-CA" w:eastAsia="en-CA" w:bidi="ar-SA"/>
        </w:rPr>
        <w:t>6.5.3 The Bulletin reaches every stakeholder simultaneously through the International Maritime Organization distribution channel, the Registry feed, and public posting. No Participant State, state, or operator receives the Bulletin earlier than any other.</w:t>
      </w:r>
    </w:p>
    <w:p>
      <w:pPr>
        <w:pStyle w:val="Heading2"/>
        <w:rPr/>
      </w:pPr>
      <w:bookmarkStart w:id="42" w:name="__RefHeading___Toc9019_4022417266"/>
      <w:bookmarkEnd w:id="42"/>
      <w:r>
        <w:rPr>
          <w:rFonts w:eastAsia="Calibri" w:cs="Calibri" w:ascii="Calibri" w:hAnsi="Calibri"/>
          <w:b/>
          <w:color w:val="1F4E5F"/>
          <w:sz w:val="24"/>
          <w:szCs w:val="24"/>
          <w:lang w:val="en-CA" w:eastAsia="en-CA" w:bidi="ar-SA"/>
        </w:rPr>
        <w:t>Article 7: The Southern Assurance Passage</w:t>
      </w:r>
    </w:p>
    <w:p>
      <w:pPr>
        <w:pStyle w:val="Heading3"/>
        <w:rPr/>
      </w:pPr>
      <w:bookmarkStart w:id="43" w:name="__RefHeading___Toc9021_4022417266"/>
      <w:bookmarkEnd w:id="43"/>
      <w:r>
        <w:rPr>
          <w:rFonts w:eastAsia="Calibri" w:cs="Calibri" w:ascii="Calibri" w:hAnsi="Calibri"/>
          <w:b/>
          <w:color w:val="1F4E5F"/>
          <w:sz w:val="22"/>
          <w:szCs w:val="24"/>
          <w:lang w:val="en-CA" w:eastAsia="en-CA" w:bidi="ar-SA"/>
        </w:rPr>
        <w:t>7.1 Position and Geometry</w:t>
      </w:r>
    </w:p>
    <w:p>
      <w:pPr>
        <w:pStyle w:val="Normal"/>
        <w:rPr/>
      </w:pPr>
      <w:r>
        <w:rPr>
          <w:rStyle w:val="DefaultParagraphFont"/>
          <w:rFonts w:eastAsia="" w:cs=""/>
          <w:color w:val="2F3B42"/>
          <w:sz w:val="22"/>
          <w:szCs w:val="24"/>
          <w:lang w:val="en-CA" w:eastAsia="en-CA" w:bidi="ar-SA"/>
        </w:rPr>
        <w:t>7.1.1 The Southern Assurance Passage occupies the southern traffic lanes of the strait, south of the Central-Southern Separation Belt, passing north of the Musandam coast through waters under Omani sovereignty and connecting with the approach sectors of the United Arab Emirates, between the boundary points of Annex A, Section A.2.</w:t>
      </w:r>
    </w:p>
    <w:p>
      <w:pPr>
        <w:pStyle w:val="Normal"/>
        <w:rPr/>
      </w:pPr>
      <w:r>
        <w:rPr>
          <w:rStyle w:val="DefaultParagraphFont"/>
          <w:rFonts w:eastAsia="" w:cs=""/>
          <w:color w:val="2F3B42"/>
          <w:sz w:val="22"/>
          <w:szCs w:val="24"/>
          <w:lang w:val="en-CA" w:eastAsia="en-CA" w:bidi="ar-SA"/>
        </w:rPr>
        <w:t>7.1.2 The Passage measures between three and five nautical miles in width along its length, and contains a westbound lane in its northern half and an eastbound lane in its southern half, separated by a half-mile intra-passage separation line.</w:t>
      </w:r>
    </w:p>
    <w:p>
      <w:pPr>
        <w:pStyle w:val="Heading3"/>
        <w:rPr/>
      </w:pPr>
      <w:bookmarkStart w:id="44" w:name="__RefHeading___Toc9023_4022417266"/>
      <w:bookmarkEnd w:id="44"/>
      <w:r>
        <w:rPr>
          <w:rFonts w:eastAsia="Calibri" w:cs="Calibri" w:ascii="Calibri" w:hAnsi="Calibri"/>
          <w:b/>
          <w:color w:val="1F4E5F"/>
          <w:sz w:val="22"/>
          <w:szCs w:val="24"/>
          <w:lang w:val="en-CA" w:eastAsia="en-CA" w:bidi="ar-SA"/>
        </w:rPr>
        <w:t>7.2 The Governing Rule: Unconditional Transit</w:t>
      </w:r>
    </w:p>
    <w:p>
      <w:pPr>
        <w:pStyle w:val="Normal"/>
        <w:rPr/>
      </w:pPr>
      <w:r>
        <w:rPr>
          <w:rStyle w:val="DefaultParagraphFont"/>
          <w:rFonts w:eastAsia="" w:cs=""/>
          <w:color w:val="2F3B42"/>
          <w:sz w:val="22"/>
          <w:szCs w:val="24"/>
          <w:lang w:val="en-CA" w:eastAsia="en-CA" w:bidi="ar-SA"/>
        </w:rPr>
        <w:t>7.2.1 Transit through the Southern Assurance Passage proceeds unconditionally. No registration, no code, no payment, and no coordination of any kind stands between a vessel and this Passage.</w:t>
      </w:r>
    </w:p>
    <w:p>
      <w:pPr>
        <w:pStyle w:val="Normal"/>
        <w:rPr/>
      </w:pPr>
      <w:r>
        <w:rPr>
          <w:rStyle w:val="DefaultParagraphFont"/>
          <w:rFonts w:eastAsia="" w:cs=""/>
          <w:color w:val="2F3B42"/>
          <w:sz w:val="22"/>
          <w:szCs w:val="24"/>
          <w:lang w:val="en-CA" w:eastAsia="en-CA" w:bidi="ar-SA"/>
        </w:rPr>
        <w:t>7.2.2 The traffic rules of Article 13 apply for safety, as traffic rules apply in every strait in the world. They organize movement; they never gate it.</w:t>
      </w:r>
    </w:p>
    <w:p>
      <w:pPr>
        <w:pStyle w:val="Normal"/>
        <w:rPr/>
      </w:pPr>
      <w:r>
        <w:rPr>
          <w:rStyle w:val="DefaultParagraphFont"/>
          <w:rFonts w:eastAsia="" w:cs=""/>
          <w:color w:val="2F3B42"/>
          <w:sz w:val="22"/>
          <w:szCs w:val="24"/>
          <w:lang w:val="en-CA" w:eastAsia="en-CA" w:bidi="ar-SA"/>
        </w:rPr>
        <w:t>7.2.3 The architecture prohibits any actor, including each Littoral State, the Center, and any third state, from slowing, stopping, boarding, or charging a vessel for the act of transiting this Passage.</w:t>
      </w:r>
    </w:p>
    <w:p>
      <w:pPr>
        <w:pStyle w:val="Heading3"/>
        <w:rPr/>
      </w:pPr>
      <w:bookmarkStart w:id="45" w:name="__RefHeading___Toc9025_4022417266"/>
      <w:bookmarkEnd w:id="45"/>
      <w:r>
        <w:rPr>
          <w:rFonts w:eastAsia="Calibri" w:cs="Calibri" w:ascii="Calibri" w:hAnsi="Calibri"/>
          <w:b/>
          <w:color w:val="1F4E5F"/>
          <w:sz w:val="22"/>
          <w:szCs w:val="24"/>
          <w:lang w:val="en-CA" w:eastAsia="en-CA" w:bidi="ar-SA"/>
        </w:rPr>
        <w:t>7.3 Management Arrangement</w:t>
      </w:r>
    </w:p>
    <w:p>
      <w:pPr>
        <w:pStyle w:val="Normal"/>
        <w:rPr/>
      </w:pPr>
      <w:r>
        <w:rPr>
          <w:rStyle w:val="DefaultParagraphFont"/>
          <w:rFonts w:eastAsia="" w:cs=""/>
          <w:color w:val="2F3B42"/>
          <w:sz w:val="22"/>
          <w:szCs w:val="24"/>
          <w:lang w:val="en-CA" w:eastAsia="en-CA" w:bidi="ar-SA"/>
        </w:rPr>
        <w:t>7.3.1 A Littoral Management Team leads the day-to-day management of the Southern Assurance Passage. The team rotates its lead among the four Littoral States, draws staff from each Littoral State, and integrates with the Meridian Coordination Center under the multinational staffing rules of Article 16.</w:t>
      </w:r>
    </w:p>
    <w:p>
      <w:pPr>
        <w:pStyle w:val="Normal"/>
        <w:rPr/>
      </w:pPr>
      <w:r>
        <w:rPr>
          <w:rStyle w:val="DefaultParagraphFont"/>
          <w:rFonts w:eastAsia="" w:cs=""/>
          <w:color w:val="2F3B42"/>
          <w:sz w:val="22"/>
          <w:szCs w:val="24"/>
          <w:lang w:val="en-CA" w:eastAsia="en-CA" w:bidi="ar-SA"/>
        </w:rPr>
        <w:t>7.3.2 The Center provides shared products to the Passage: the Bulletin, hazard surveys, the classification data feed, and the observer program.</w:t>
      </w:r>
    </w:p>
    <w:p>
      <w:pPr>
        <w:pStyle w:val="Normal"/>
        <w:rPr/>
      </w:pPr>
      <w:r>
        <w:rPr>
          <w:rStyle w:val="DefaultParagraphFont"/>
          <w:rFonts w:eastAsia="" w:cs=""/>
          <w:color w:val="2F3B42"/>
          <w:sz w:val="22"/>
          <w:szCs w:val="24"/>
          <w:lang w:val="en-CA" w:eastAsia="en-CA" w:bidi="ar-SA"/>
        </w:rPr>
        <w:t>7.3.3 Liaison officers of all Participant States at the Center and at the Mirror Office hold real-time visibility of Southern Assurance Passage operations appropriate to their participation category, and the daily log records every management act for the Council to inspect.</w:t>
      </w:r>
    </w:p>
    <w:p>
      <w:pPr>
        <w:pStyle w:val="Heading3"/>
        <w:rPr/>
      </w:pPr>
      <w:bookmarkStart w:id="46" w:name="__RefHeading___Toc9027_4022417266"/>
      <w:bookmarkEnd w:id="46"/>
      <w:r>
        <w:rPr>
          <w:rFonts w:eastAsia="Calibri" w:cs="Calibri" w:ascii="Calibri" w:hAnsi="Calibri"/>
          <w:b/>
          <w:color w:val="1F4E5F"/>
          <w:sz w:val="22"/>
          <w:szCs w:val="24"/>
          <w:lang w:val="en-CA" w:eastAsia="en-CA" w:bidi="ar-SA"/>
        </w:rPr>
        <w:t>7.4 Services in the Southern Assurance Passage</w:t>
      </w:r>
    </w:p>
    <w:p>
      <w:pPr>
        <w:pStyle w:val="Normal"/>
        <w:rPr/>
      </w:pPr>
      <w:r>
        <w:rPr>
          <w:rStyle w:val="DefaultParagraphFont"/>
          <w:rFonts w:eastAsia="" w:cs=""/>
          <w:color w:val="2F3B42"/>
          <w:sz w:val="22"/>
          <w:szCs w:val="24"/>
          <w:lang w:val="en-CA" w:eastAsia="en-CA" w:bidi="ar-SA"/>
        </w:rPr>
        <w:t>7.4.1 The Network provides, and the Fund reimburses, the Southern services listed in the Verified Services Catalog: traffic management, hazard surveys, search and rescue readiness, pollution response readiness, hydrographic updates, and the observer program.</w:t>
      </w:r>
    </w:p>
    <w:p>
      <w:pPr>
        <w:pStyle w:val="Normal"/>
        <w:rPr/>
      </w:pPr>
      <w:r>
        <w:rPr>
          <w:rStyle w:val="DefaultParagraphFont"/>
          <w:rFonts w:eastAsia="" w:cs=""/>
          <w:color w:val="2F3B42"/>
          <w:sz w:val="22"/>
          <w:szCs w:val="24"/>
          <w:lang w:val="en-CA" w:eastAsia="en-CA" w:bidi="ar-SA"/>
        </w:rPr>
        <w:t>7.4.2 A vessel transiting the Southern Assurance Passage pays nothing for these services. The Fund reimburses the service provider against documented cost, per Article 22.5.</w:t>
      </w:r>
    </w:p>
    <w:p>
      <w:pPr>
        <w:pStyle w:val="Heading3"/>
        <w:rPr/>
      </w:pPr>
      <w:bookmarkStart w:id="47" w:name="__RefHeading___Toc9029_4022417266"/>
      <w:bookmarkEnd w:id="47"/>
      <w:r>
        <w:rPr>
          <w:rFonts w:eastAsia="Calibri" w:cs="Calibri" w:ascii="Calibri" w:hAnsi="Calibri"/>
          <w:b/>
          <w:color w:val="1F4E5F"/>
          <w:sz w:val="22"/>
          <w:szCs w:val="24"/>
          <w:lang w:val="en-CA" w:eastAsia="en-CA" w:bidi="ar-SA"/>
        </w:rPr>
        <w:t>7.5 Lane Discipline</w:t>
      </w:r>
    </w:p>
    <w:p>
      <w:pPr>
        <w:pStyle w:val="Normal"/>
        <w:rPr/>
      </w:pPr>
      <w:r>
        <w:rPr>
          <w:rStyle w:val="DefaultParagraphFont"/>
          <w:rFonts w:eastAsia="" w:cs=""/>
          <w:color w:val="2F3B42"/>
          <w:sz w:val="22"/>
          <w:szCs w:val="24"/>
          <w:lang w:val="en-CA" w:eastAsia="en-CA" w:bidi="ar-SA"/>
        </w:rPr>
        <w:t>7.5.1 A vessel keeps to its directional lane, observes the speed bands of Article 13, reports at the voice reporting points where its class requires, and yields to casualty response and search and rescue craft at all times.</w:t>
      </w:r>
    </w:p>
    <w:p>
      <w:pPr>
        <w:pStyle w:val="Normal"/>
        <w:rPr/>
      </w:pPr>
      <w:r>
        <w:rPr>
          <w:rStyle w:val="DefaultParagraphFont"/>
          <w:rFonts w:eastAsia="" w:cs=""/>
          <w:color w:val="2F3B42"/>
          <w:sz w:val="22"/>
          <w:szCs w:val="24"/>
          <w:lang w:val="en-CA" w:eastAsia="en-CA" w:bidi="ar-SA"/>
        </w:rPr>
        <w:t>7.5.2 Local craft of Class F remain in the Inshore Local Craft Bands and cross the lanes only at the crossing gates of Annex A, Section A.7, under the crossing procedure of Article 13.4.</w:t>
      </w:r>
    </w:p>
    <w:p>
      <w:pPr>
        <w:pStyle w:val="Heading2"/>
        <w:rPr/>
      </w:pPr>
      <w:bookmarkStart w:id="48" w:name="__RefHeading___Toc9031_4022417266"/>
      <w:bookmarkEnd w:id="48"/>
      <w:r>
        <w:rPr>
          <w:rFonts w:eastAsia="Calibri" w:cs="Calibri" w:ascii="Calibri" w:hAnsi="Calibri"/>
          <w:b/>
          <w:color w:val="1F4E5F"/>
          <w:sz w:val="24"/>
          <w:szCs w:val="24"/>
          <w:lang w:val="en-CA" w:eastAsia="en-CA" w:bidi="ar-SA"/>
        </w:rPr>
        <w:t>Article 8: The Northern Coordination Passage</w:t>
      </w:r>
    </w:p>
    <w:p>
      <w:pPr>
        <w:pStyle w:val="Heading3"/>
        <w:rPr/>
      </w:pPr>
      <w:bookmarkStart w:id="49" w:name="__RefHeading___Toc9033_4022417266"/>
      <w:bookmarkEnd w:id="49"/>
      <w:r>
        <w:rPr>
          <w:rFonts w:eastAsia="Calibri" w:cs="Calibri" w:ascii="Calibri" w:hAnsi="Calibri"/>
          <w:b/>
          <w:color w:val="1F4E5F"/>
          <w:sz w:val="22"/>
          <w:szCs w:val="24"/>
          <w:lang w:val="en-CA" w:eastAsia="en-CA" w:bidi="ar-SA"/>
        </w:rPr>
        <w:t>8.1 Position and Geometry</w:t>
      </w:r>
    </w:p>
    <w:p>
      <w:pPr>
        <w:pStyle w:val="Normal"/>
        <w:rPr/>
      </w:pPr>
      <w:r>
        <w:rPr>
          <w:rStyle w:val="DefaultParagraphFont"/>
          <w:rFonts w:eastAsia="" w:cs=""/>
          <w:color w:val="2F3B42"/>
          <w:sz w:val="22"/>
          <w:szCs w:val="24"/>
          <w:lang w:val="en-CA" w:eastAsia="en-CA" w:bidi="ar-SA"/>
        </w:rPr>
        <w:t>8.1.1 The Northern Coordination Passage occupies the northern traffic lanes of the strait, north of the Northern-Central Separation Belt, running between the Iranian mainland coast and the islands of Qeshm, Larak, and Hormuz, between the boundary points of Annex A, Section A.3.</w:t>
      </w:r>
    </w:p>
    <w:p>
      <w:pPr>
        <w:pStyle w:val="Normal"/>
        <w:rPr/>
      </w:pPr>
      <w:r>
        <w:rPr>
          <w:rStyle w:val="DefaultParagraphFont"/>
          <w:rFonts w:eastAsia="" w:cs=""/>
          <w:color w:val="2F3B42"/>
          <w:sz w:val="22"/>
          <w:szCs w:val="24"/>
          <w:lang w:val="en-CA" w:eastAsia="en-CA" w:bidi="ar-SA"/>
        </w:rPr>
        <w:t>8.1.2 The Passage measures between three and six nautical miles in width along its length, and contains a westbound lane in its northern half and an eastbound lane in its southern half, separated by a half-mile intra-passage separation line.</w:t>
      </w:r>
    </w:p>
    <w:p>
      <w:pPr>
        <w:pStyle w:val="Heading3"/>
        <w:rPr/>
      </w:pPr>
      <w:bookmarkStart w:id="50" w:name="__RefHeading___Toc9035_4022417266"/>
      <w:bookmarkEnd w:id="50"/>
      <w:r>
        <w:rPr>
          <w:rFonts w:eastAsia="Calibri" w:cs="Calibri" w:ascii="Calibri" w:hAnsi="Calibri"/>
          <w:b/>
          <w:color w:val="1F4E5F"/>
          <w:sz w:val="22"/>
          <w:szCs w:val="24"/>
          <w:lang w:val="en-CA" w:eastAsia="en-CA" w:bidi="ar-SA"/>
        </w:rPr>
        <w:t>8.2 The Governing Rule: Registration, Not Permission</w:t>
      </w:r>
    </w:p>
    <w:p>
      <w:pPr>
        <w:pStyle w:val="Normal"/>
        <w:rPr/>
      </w:pPr>
      <w:r>
        <w:rPr>
          <w:rStyle w:val="DefaultParagraphFont"/>
          <w:rFonts w:eastAsia="" w:cs=""/>
          <w:color w:val="2F3B42"/>
          <w:sz w:val="22"/>
          <w:szCs w:val="24"/>
          <w:lang w:val="en-CA" w:eastAsia="en-CA" w:bidi="ar-SA"/>
        </w:rPr>
        <w:t>8.2.1 Transit through the Northern Coordination Passage proceeds on multilateral registration. A vessel files a transit registration in the format of Annex D with the Center, the Center acknowledges receipt with a Multilateral Transit Code, and the vessel proceeds.</w:t>
      </w:r>
    </w:p>
    <w:p>
      <w:pPr>
        <w:pStyle w:val="Normal"/>
        <w:rPr/>
      </w:pPr>
      <w:r>
        <w:rPr>
          <w:rStyle w:val="DefaultParagraphFont"/>
          <w:rFonts w:eastAsia="" w:cs=""/>
          <w:color w:val="2F3B42"/>
          <w:sz w:val="22"/>
          <w:szCs w:val="24"/>
          <w:lang w:val="en-CA" w:eastAsia="en-CA" w:bidi="ar-SA"/>
        </w:rPr>
        <w:t>8.2.2 The architecture prohibits the conversion of registration into permission. The Center never grants, withholds, delays, or conditions a code on any judgment about the vessel, its flag, its cargo, or its ownership. The code establishes a universally recognized multilateral transit record; it never approves.</w:t>
      </w:r>
    </w:p>
    <w:p>
      <w:pPr>
        <w:pStyle w:val="Normal"/>
        <w:rPr/>
      </w:pPr>
      <w:r>
        <w:rPr>
          <w:rStyle w:val="DefaultParagraphFont"/>
          <w:rFonts w:eastAsia="" w:cs=""/>
          <w:color w:val="2F3B42"/>
          <w:sz w:val="22"/>
          <w:szCs w:val="24"/>
          <w:lang w:val="en-CA" w:eastAsia="en-CA" w:bidi="ar-SA"/>
        </w:rPr>
        <w:t>8.2.3 An incomplete registration triggers a single automated request for the missing fields. The vessel proceeds on the original registered schedule while it completes the fields, unless its class activates pre-completion under the matrix of Annex B. Only Class S and Class X voyages activate pre-completion, for reasons of de-confliction and hazard management, and even for those classes the rule acknowledges schedule rather than approves passage.</w:t>
      </w:r>
    </w:p>
    <w:p>
      <w:pPr>
        <w:pStyle w:val="Normal"/>
        <w:rPr/>
      </w:pPr>
      <w:r>
        <w:rPr>
          <w:rStyle w:val="DefaultParagraphFont"/>
          <w:rFonts w:eastAsia="" w:cs=""/>
          <w:color w:val="2F3B42"/>
          <w:sz w:val="22"/>
          <w:szCs w:val="24"/>
          <w:lang w:val="en-CA" w:eastAsia="en-CA" w:bidi="ar-SA"/>
        </w:rPr>
        <w:t>8.2.4 The daily log records every registration and every code. The Neutral Keel Office audits the log monthly and reports any pattern that resembles gatekeeping to the Council.</w:t>
      </w:r>
    </w:p>
    <w:p>
      <w:pPr>
        <w:pStyle w:val="Heading3"/>
        <w:rPr/>
      </w:pPr>
      <w:bookmarkStart w:id="51" w:name="__RefHeading___Toc9037_4022417266"/>
      <w:bookmarkEnd w:id="51"/>
      <w:r>
        <w:rPr>
          <w:rFonts w:eastAsia="Calibri" w:cs="Calibri" w:ascii="Calibri" w:hAnsi="Calibri"/>
          <w:b/>
          <w:color w:val="1F4E5F"/>
          <w:sz w:val="22"/>
          <w:szCs w:val="24"/>
          <w:lang w:val="en-CA" w:eastAsia="en-CA" w:bidi="ar-SA"/>
        </w:rPr>
        <w:t>8.3 The Multilateral Transit Code</w:t>
      </w:r>
    </w:p>
    <w:p>
      <w:pPr>
        <w:pStyle w:val="Normal"/>
        <w:rPr/>
      </w:pPr>
      <w:r>
        <w:rPr>
          <w:rStyle w:val="DefaultParagraphFont"/>
          <w:rFonts w:eastAsia="" w:cs=""/>
          <w:color w:val="2F3B42"/>
          <w:sz w:val="22"/>
          <w:szCs w:val="24"/>
          <w:lang w:val="en-CA" w:eastAsia="en-CA" w:bidi="ar-SA"/>
        </w:rPr>
        <w:t>8.3.1 The Multilateral Transit Code consists of the date, the passage identifier, the lane, the transit window, and a sequence number. It identifies the vessel to Network services: traffic sequencing, hazard warnings, search and rescue readiness, and escort availability for classes that elect escort.</w:t>
      </w:r>
    </w:p>
    <w:p>
      <w:pPr>
        <w:pStyle w:val="Normal"/>
        <w:rPr/>
      </w:pPr>
      <w:r>
        <w:rPr>
          <w:rStyle w:val="DefaultParagraphFont"/>
          <w:rFonts w:eastAsia="" w:cs=""/>
          <w:color w:val="2F3B42"/>
          <w:sz w:val="22"/>
          <w:szCs w:val="24"/>
          <w:lang w:val="en-CA" w:eastAsia="en-CA" w:bidi="ar-SA"/>
        </w:rPr>
        <w:t>8.3.2 The code carries no fee, no validity judgment, and no expiry beyond its transit window plus six hours.</w:t>
      </w:r>
    </w:p>
    <w:p>
      <w:pPr>
        <w:pStyle w:val="Normal"/>
        <w:rPr/>
      </w:pPr>
      <w:r>
        <w:rPr>
          <w:rStyle w:val="DefaultParagraphFont"/>
          <w:rFonts w:eastAsia="" w:cs=""/>
          <w:color w:val="2F3B42"/>
          <w:sz w:val="22"/>
          <w:szCs w:val="24"/>
          <w:lang w:val="en-CA" w:eastAsia="en-CA" w:bidi="ar-SA"/>
        </w:rPr>
        <w:t>8.3.3 The Center issues codes automatically on receipt. Issuance time averages under ninety seconds, and the Center publishes issuance performance weekly.</w:t>
      </w:r>
    </w:p>
    <w:p>
      <w:pPr>
        <w:pStyle w:val="Heading3"/>
        <w:rPr/>
      </w:pPr>
      <w:bookmarkStart w:id="52" w:name="__RefHeading___Toc9039_4022417266"/>
      <w:bookmarkEnd w:id="52"/>
      <w:r>
        <w:rPr>
          <w:rFonts w:eastAsia="Calibri" w:cs="Calibri" w:ascii="Calibri" w:hAnsi="Calibri"/>
          <w:b/>
          <w:color w:val="1F4E5F"/>
          <w:sz w:val="22"/>
          <w:szCs w:val="24"/>
          <w:lang w:val="en-CA" w:eastAsia="en-CA" w:bidi="ar-SA"/>
        </w:rPr>
        <w:t>8.4 Management Arrangement</w:t>
      </w:r>
    </w:p>
    <w:p>
      <w:pPr>
        <w:pStyle w:val="Normal"/>
        <w:rPr/>
      </w:pPr>
      <w:r>
        <w:rPr>
          <w:rStyle w:val="DefaultParagraphFont"/>
          <w:rFonts w:eastAsia="" w:cs=""/>
          <w:color w:val="2F3B42"/>
          <w:sz w:val="22"/>
          <w:szCs w:val="24"/>
          <w:lang w:val="en-CA" w:eastAsia="en-CA" w:bidi="ar-SA"/>
        </w:rPr>
        <w:t>8.4.1 A Littoral Management Team leads the day-to-day management of the Northern Coordination Passage. The team rotates its lead among the four Littoral States, draws staff from each Littoral State, and integrates with the Meridian Coordination Center under the multinational staffing rules of Article 16.</w:t>
      </w:r>
    </w:p>
    <w:p>
      <w:pPr>
        <w:pStyle w:val="Normal"/>
        <w:rPr/>
      </w:pPr>
      <w:r>
        <w:rPr>
          <w:rStyle w:val="DefaultParagraphFont"/>
          <w:rFonts w:eastAsia="" w:cs=""/>
          <w:color w:val="2F3B42"/>
          <w:sz w:val="22"/>
          <w:szCs w:val="24"/>
          <w:lang w:val="en-CA" w:eastAsia="en-CA" w:bidi="ar-SA"/>
        </w:rPr>
        <w:t>8.4.2 The functions of the former national permit apparatus fold into the Center's registration desk: the Center receives registrations, acknowledges them, and operates the traffic system. The architecture records this transition as internationalization of an existing function, and Article 37.2 governs the succession.</w:t>
      </w:r>
    </w:p>
    <w:p>
      <w:pPr>
        <w:pStyle w:val="Normal"/>
        <w:rPr/>
      </w:pPr>
      <w:r>
        <w:rPr>
          <w:rStyle w:val="DefaultParagraphFont"/>
          <w:rFonts w:eastAsia="" w:cs=""/>
          <w:color w:val="2F3B42"/>
          <w:sz w:val="22"/>
          <w:szCs w:val="24"/>
          <w:lang w:val="en-CA" w:eastAsia="en-CA" w:bidi="ar-SA"/>
        </w:rPr>
        <w:t>8.4.3 Liaison officers of all Participant States at the Center and at the Mirror Office hold real-time visibility of Northern Coordination Passage operations appropriate to their participation category, and the daily log records every management act for the Council to inspect.</w:t>
      </w:r>
    </w:p>
    <w:p>
      <w:pPr>
        <w:pStyle w:val="Heading3"/>
        <w:rPr/>
      </w:pPr>
      <w:bookmarkStart w:id="53" w:name="__RefHeading___Toc9041_4022417266"/>
      <w:bookmarkEnd w:id="53"/>
      <w:r>
        <w:rPr>
          <w:rFonts w:eastAsia="Calibri" w:cs="Calibri" w:ascii="Calibri" w:hAnsi="Calibri"/>
          <w:b/>
          <w:color w:val="1F4E5F"/>
          <w:sz w:val="22"/>
          <w:szCs w:val="24"/>
          <w:lang w:val="en-CA" w:eastAsia="en-CA" w:bidi="ar-SA"/>
        </w:rPr>
        <w:t>8.5 Services in the Northern Coordination Passage</w:t>
      </w:r>
    </w:p>
    <w:p>
      <w:pPr>
        <w:pStyle w:val="Normal"/>
        <w:rPr/>
      </w:pPr>
      <w:r>
        <w:rPr>
          <w:rStyle w:val="DefaultParagraphFont"/>
          <w:rFonts w:eastAsia="" w:cs=""/>
          <w:color w:val="2F3B42"/>
          <w:sz w:val="22"/>
          <w:szCs w:val="24"/>
          <w:lang w:val="en-CA" w:eastAsia="en-CA" w:bidi="ar-SA"/>
        </w:rPr>
        <w:t>8.5.1 The Network provides, and the Fund reimburses, the Northern Coordination Passage services listed in the Verified Services Catalog: traffic management, the registration desk, hazard surveys, search and rescue readiness, pollution response readiness, hydrographic updates, optional escort coordination for electing classes, and the observer program.</w:t>
      </w:r>
    </w:p>
    <w:p>
      <w:pPr>
        <w:pStyle w:val="Normal"/>
        <w:rPr/>
      </w:pPr>
      <w:r>
        <w:rPr>
          <w:rStyle w:val="DefaultParagraphFont"/>
          <w:rFonts w:eastAsia="" w:cs=""/>
          <w:color w:val="2F3B42"/>
          <w:sz w:val="22"/>
          <w:szCs w:val="24"/>
          <w:lang w:val="en-CA" w:eastAsia="en-CA" w:bidi="ar-SA"/>
        </w:rPr>
        <w:t>8.5.2 A vessel transiting the Northern Coordination Passage pays nothing for these services. The Fund reimburses the service provider against documented cost, per Article 22.5.</w:t>
      </w:r>
    </w:p>
    <w:p>
      <w:pPr>
        <w:pStyle w:val="Heading3"/>
        <w:rPr/>
      </w:pPr>
      <w:bookmarkStart w:id="54" w:name="__RefHeading___Toc9043_4022417266"/>
      <w:bookmarkEnd w:id="54"/>
      <w:r>
        <w:rPr>
          <w:rFonts w:eastAsia="Calibri" w:cs="Calibri" w:ascii="Calibri" w:hAnsi="Calibri"/>
          <w:b/>
          <w:color w:val="1F4E5F"/>
          <w:sz w:val="22"/>
          <w:szCs w:val="24"/>
          <w:lang w:val="en-CA" w:eastAsia="en-CA" w:bidi="ar-SA"/>
        </w:rPr>
        <w:t>8.6 Lane Discipline</w:t>
      </w:r>
    </w:p>
    <w:p>
      <w:pPr>
        <w:pStyle w:val="Normal"/>
        <w:rPr/>
      </w:pPr>
      <w:r>
        <w:rPr>
          <w:rStyle w:val="DefaultParagraphFont"/>
          <w:rFonts w:eastAsia="" w:cs=""/>
          <w:color w:val="2F3B42"/>
          <w:sz w:val="22"/>
          <w:szCs w:val="24"/>
          <w:lang w:val="en-CA" w:eastAsia="en-CA" w:bidi="ar-SA"/>
        </w:rPr>
        <w:t>8.6.1 The lane discipline rules of Article 7.5 apply identically in the Northern Coordination Passage.</w:t>
      </w:r>
    </w:p>
    <w:p>
      <w:pPr>
        <w:pStyle w:val="Normal"/>
        <w:rPr/>
      </w:pPr>
      <w:r>
        <w:rPr>
          <w:rStyle w:val="DefaultParagraphFont"/>
          <w:rFonts w:eastAsia="" w:cs=""/>
          <w:color w:val="2F3B42"/>
          <w:sz w:val="22"/>
          <w:szCs w:val="24"/>
          <w:lang w:val="en-CA" w:eastAsia="en-CA" w:bidi="ar-SA"/>
        </w:rPr>
        <w:t>8.6.2 A vessel that elects against registration transits the Southern Assurance Passage instead. The Network treats route choice as the master's own, always.</w:t>
      </w:r>
    </w:p>
    <w:p>
      <w:pPr>
        <w:pStyle w:val="Heading2"/>
        <w:rPr/>
      </w:pPr>
      <w:bookmarkStart w:id="55" w:name="__RefHeading___Toc9045_4022417266"/>
      <w:bookmarkEnd w:id="55"/>
      <w:r>
        <w:rPr>
          <w:rFonts w:eastAsia="Calibri" w:cs="Calibri" w:ascii="Calibri" w:hAnsi="Calibri"/>
          <w:b/>
          <w:color w:val="1F4E5F"/>
          <w:sz w:val="24"/>
          <w:szCs w:val="24"/>
          <w:lang w:val="en-CA" w:eastAsia="en-CA" w:bidi="ar-SA"/>
        </w:rPr>
        <w:t>Article 9: The Central International Passage</w:t>
      </w:r>
    </w:p>
    <w:p>
      <w:pPr>
        <w:pStyle w:val="Heading3"/>
        <w:rPr/>
      </w:pPr>
      <w:bookmarkStart w:id="56" w:name="__RefHeading___Toc9047_4022417266"/>
      <w:bookmarkEnd w:id="56"/>
      <w:r>
        <w:rPr>
          <w:rFonts w:eastAsia="Calibri" w:cs="Calibri" w:ascii="Calibri" w:hAnsi="Calibri"/>
          <w:b/>
          <w:color w:val="1F4E5F"/>
          <w:sz w:val="22"/>
          <w:szCs w:val="24"/>
          <w:lang w:val="en-CA" w:eastAsia="en-CA" w:bidi="ar-SA"/>
        </w:rPr>
        <w:t>9.1 Position and Geometry</w:t>
      </w:r>
    </w:p>
    <w:p>
      <w:pPr>
        <w:pStyle w:val="Normal"/>
        <w:rPr/>
      </w:pPr>
      <w:r>
        <w:rPr>
          <w:rStyle w:val="DefaultParagraphFont"/>
          <w:rFonts w:eastAsia="" w:cs=""/>
          <w:color w:val="2F3B42"/>
          <w:sz w:val="22"/>
          <w:szCs w:val="24"/>
          <w:lang w:val="en-CA" w:eastAsia="en-CA" w:bidi="ar-SA"/>
        </w:rPr>
        <w:t>9.1.1 The Central International Passage occupies the central traffic lanes of the strait between the Northern-Central Separation Belt and the Central-Southern Separation Belt, centered on the international shipping lane in the mid-strait area between 26° 30.0′ N, 056° 15.0′ E and 26° 30.0′ N, 056° 55.0′ E, as Annex A, Section A.4 describes.</w:t>
      </w:r>
    </w:p>
    <w:p>
      <w:pPr>
        <w:pStyle w:val="Normal"/>
        <w:rPr/>
      </w:pPr>
      <w:r>
        <w:rPr>
          <w:rStyle w:val="DefaultParagraphFont"/>
          <w:rFonts w:eastAsia="" w:cs=""/>
          <w:color w:val="2F3B42"/>
          <w:sz w:val="22"/>
          <w:szCs w:val="24"/>
          <w:lang w:val="en-CA" w:eastAsia="en-CA" w:bidi="ar-SA"/>
        </w:rPr>
        <w:t>9.1.2 The Passage measures between three and five nautical miles in width along its length, and contains a westbound lane and an eastbound lane separated by an intra-passage separation line.</w:t>
      </w:r>
    </w:p>
    <w:p>
      <w:pPr>
        <w:pStyle w:val="Heading3"/>
        <w:rPr/>
      </w:pPr>
      <w:bookmarkStart w:id="57" w:name="__RefHeading___Toc9049_4022417266"/>
      <w:bookmarkEnd w:id="57"/>
      <w:r>
        <w:rPr>
          <w:rFonts w:eastAsia="Calibri" w:cs="Calibri" w:ascii="Calibri" w:hAnsi="Calibri"/>
          <w:b/>
          <w:color w:val="1F4E5F"/>
          <w:sz w:val="22"/>
          <w:szCs w:val="24"/>
          <w:lang w:val="en-CA" w:eastAsia="en-CA" w:bidi="ar-SA"/>
        </w:rPr>
        <w:t>9.2 The Governing Rule: Notification, Not Permission</w:t>
      </w:r>
    </w:p>
    <w:p>
      <w:pPr>
        <w:pStyle w:val="Normal"/>
        <w:rPr/>
      </w:pPr>
      <w:r>
        <w:rPr>
          <w:rStyle w:val="DefaultParagraphFont"/>
          <w:rFonts w:eastAsia="" w:cs=""/>
          <w:color w:val="2F3B42"/>
          <w:sz w:val="22"/>
          <w:szCs w:val="24"/>
          <w:lang w:val="en-CA" w:eastAsia="en-CA" w:bidi="ar-SA"/>
        </w:rPr>
        <w:t>9.2.1 Transit through the Central International Passage proceeds on advance notification to the multilateral desk. A vessel notifies the Center of its intended transit window forty-eight hours ahead, the Center acknowledges receipt automatically, and the Center publishes every notification to all Participant States at once. Notification informs; it never gates.</w:t>
      </w:r>
    </w:p>
    <w:p>
      <w:pPr>
        <w:pStyle w:val="Normal"/>
        <w:rPr/>
      </w:pPr>
      <w:r>
        <w:rPr>
          <w:rStyle w:val="DefaultParagraphFont"/>
          <w:rFonts w:eastAsia="" w:cs=""/>
          <w:color w:val="2F3B42"/>
          <w:sz w:val="22"/>
          <w:szCs w:val="24"/>
          <w:lang w:val="en-CA" w:eastAsia="en-CA" w:bidi="ar-SA"/>
        </w:rPr>
        <w:t>9.2.2 The notification discipline applies symmetrically to every vessel regardless of flag, cargo, or destination: the Southern Assurance Passage operates without notification, the Central International Passage operates on forty-eight-hour notification, and the Northern Coordination Passage operates on registration under Article 8, and no regime converts into permission on any passage.</w:t>
      </w:r>
    </w:p>
    <w:p>
      <w:pPr>
        <w:pStyle w:val="Normal"/>
        <w:rPr/>
      </w:pPr>
      <w:r>
        <w:rPr>
          <w:rStyle w:val="DefaultParagraphFont"/>
          <w:rFonts w:eastAsia="" w:cs=""/>
          <w:color w:val="2F3B42"/>
          <w:sz w:val="22"/>
          <w:szCs w:val="24"/>
          <w:lang w:val="en-CA" w:eastAsia="en-CA" w:bidi="ar-SA"/>
        </w:rPr>
        <w:t>9.2.3 The architecture prohibits the conversion of notification into permission, toll, or condition. The Center never grants, withholds, delays, or conditions an acknowledgment on any ground.</w:t>
      </w:r>
    </w:p>
    <w:p>
      <w:pPr>
        <w:pStyle w:val="Heading3"/>
        <w:rPr/>
      </w:pPr>
      <w:bookmarkStart w:id="58" w:name="__RefHeading___Toc9051_4022417266"/>
      <w:bookmarkEnd w:id="58"/>
      <w:r>
        <w:rPr>
          <w:rFonts w:eastAsia="Calibri" w:cs="Calibri" w:ascii="Calibri" w:hAnsi="Calibri"/>
          <w:b/>
          <w:color w:val="1F4E5F"/>
          <w:sz w:val="22"/>
          <w:szCs w:val="24"/>
          <w:lang w:val="en-CA" w:eastAsia="en-CA" w:bidi="ar-SA"/>
        </w:rPr>
        <w:t>9.3 Dual Administration</w:t>
      </w:r>
    </w:p>
    <w:p>
      <w:pPr>
        <w:pStyle w:val="Normal"/>
        <w:rPr/>
      </w:pPr>
      <w:r>
        <w:rPr>
          <w:rStyle w:val="DefaultParagraphFont"/>
          <w:rFonts w:eastAsia="" w:cs=""/>
          <w:color w:val="2F3B42"/>
          <w:sz w:val="22"/>
          <w:szCs w:val="24"/>
          <w:lang w:val="en-CA" w:eastAsia="en-CA" w:bidi="ar-SA"/>
        </w:rPr>
        <w:t>9.3.1 The Central International Passage operates under dual administration. The operational lead alternates between the Iranian directorate and the Omani-GCC directorate every six months, and the Central Corridor Management Board confirms each handover in the Open Water Bulletin.</w:t>
      </w:r>
    </w:p>
    <w:p>
      <w:pPr>
        <w:pStyle w:val="Normal"/>
        <w:rPr/>
      </w:pPr>
      <w:r>
        <w:rPr>
          <w:rStyle w:val="DefaultParagraphFont"/>
          <w:rFonts w:eastAsia="" w:cs=""/>
          <w:color w:val="2F3B42"/>
          <w:sz w:val="22"/>
          <w:szCs w:val="24"/>
          <w:lang w:val="en-CA" w:eastAsia="en-CA" w:bidi="ar-SA"/>
        </w:rPr>
        <w:t>9.3.2 The directorate holding the operational lead runs traffic sequencing, hazard warnings, and navigation services for the Passage, with Network support and under the safe passage guarantees of Article 12.</w:t>
      </w:r>
    </w:p>
    <w:p>
      <w:pPr>
        <w:pStyle w:val="Normal"/>
        <w:rPr/>
      </w:pPr>
      <w:r>
        <w:rPr>
          <w:rStyle w:val="DefaultParagraphFont"/>
          <w:rFonts w:eastAsia="" w:cs=""/>
          <w:color w:val="2F3B42"/>
          <w:sz w:val="22"/>
          <w:szCs w:val="24"/>
          <w:lang w:val="en-CA" w:eastAsia="en-CA" w:bidi="ar-SA"/>
        </w:rPr>
        <w:t>9.3.3 Liaison officers of all Participant States at the Center and at the Mirror Office hold real-time visibility of Central International Passage operations.</w:t>
      </w:r>
    </w:p>
    <w:p>
      <w:pPr>
        <w:pStyle w:val="Heading3"/>
        <w:rPr/>
      </w:pPr>
      <w:bookmarkStart w:id="59" w:name="__RefHeading___Toc9053_4022417266"/>
      <w:bookmarkEnd w:id="59"/>
      <w:r>
        <w:rPr>
          <w:rFonts w:eastAsia="Calibri" w:cs="Calibri" w:ascii="Calibri" w:hAnsi="Calibri"/>
          <w:b/>
          <w:color w:val="1F4E5F"/>
          <w:sz w:val="22"/>
          <w:szCs w:val="24"/>
          <w:lang w:val="en-CA" w:eastAsia="en-CA" w:bidi="ar-SA"/>
        </w:rPr>
        <w:t>9.4 Services in the Central International Passage</w:t>
      </w:r>
    </w:p>
    <w:p>
      <w:pPr>
        <w:pStyle w:val="Normal"/>
        <w:rPr/>
      </w:pPr>
      <w:r>
        <w:rPr>
          <w:rStyle w:val="DefaultParagraphFont"/>
          <w:rFonts w:eastAsia="" w:cs=""/>
          <w:color w:val="2F3B42"/>
          <w:sz w:val="22"/>
          <w:szCs w:val="24"/>
          <w:lang w:val="en-CA" w:eastAsia="en-CA" w:bidi="ar-SA"/>
        </w:rPr>
        <w:t>9.4.1 The Network provides, and the Fund reimburses, the Central services listed in the Verified Services Catalog: traffic management, hazard surveys and mine-clearance verification, navigation aids, and search and rescue readiness.</w:t>
      </w:r>
    </w:p>
    <w:p>
      <w:pPr>
        <w:pStyle w:val="Normal"/>
        <w:rPr/>
      </w:pPr>
      <w:r>
        <w:rPr>
          <w:rStyle w:val="DefaultParagraphFont"/>
          <w:rFonts w:eastAsia="" w:cs=""/>
          <w:color w:val="2F3B42"/>
          <w:sz w:val="22"/>
          <w:szCs w:val="24"/>
          <w:lang w:val="en-CA" w:eastAsia="en-CA" w:bidi="ar-SA"/>
        </w:rPr>
        <w:t>9.4.2 A vessel transiting the Central International Passage pays no toll for these services. Voluntary service contributions under Article 23 support navigation safety, environmental protection, and search and rescue, and each contribution remains distinct from any charge on passage.</w:t>
      </w:r>
    </w:p>
    <w:p>
      <w:pPr>
        <w:pStyle w:val="Heading3"/>
        <w:rPr/>
      </w:pPr>
      <w:bookmarkStart w:id="60" w:name="__RefHeading___Toc9055_4022417266"/>
      <w:bookmarkEnd w:id="60"/>
      <w:r>
        <w:rPr>
          <w:rFonts w:eastAsia="Calibri" w:cs="Calibri" w:ascii="Calibri" w:hAnsi="Calibri"/>
          <w:b/>
          <w:color w:val="1F4E5F"/>
          <w:sz w:val="22"/>
          <w:szCs w:val="24"/>
          <w:lang w:val="en-CA" w:eastAsia="en-CA" w:bidi="ar-SA"/>
        </w:rPr>
        <w:t>9.5 Lane Discipline</w:t>
      </w:r>
    </w:p>
    <w:p>
      <w:pPr>
        <w:pStyle w:val="Normal"/>
        <w:rPr/>
      </w:pPr>
      <w:r>
        <w:rPr>
          <w:rStyle w:val="DefaultParagraphFont"/>
          <w:rFonts w:eastAsia="" w:cs=""/>
          <w:color w:val="2F3B42"/>
          <w:sz w:val="22"/>
          <w:szCs w:val="24"/>
          <w:lang w:val="en-CA" w:eastAsia="en-CA" w:bidi="ar-SA"/>
        </w:rPr>
        <w:t>9.5.1 The lane discipline rules of Article 7.5 apply identically in the Central International Passage.</w:t>
      </w:r>
    </w:p>
    <w:p>
      <w:pPr>
        <w:pStyle w:val="Normal"/>
        <w:rPr/>
      </w:pPr>
      <w:r>
        <w:rPr>
          <w:rStyle w:val="DefaultParagraphFont"/>
          <w:rFonts w:eastAsia="" w:cs=""/>
          <w:color w:val="2F3B42"/>
          <w:sz w:val="22"/>
          <w:szCs w:val="24"/>
          <w:lang w:val="en-CA" w:eastAsia="en-CA" w:bidi="ar-SA"/>
        </w:rPr>
        <w:t>9.5.2 A vessel without a littoral port call, and a vessel of a non-littoral state, follows the lane assignment default of Annex B and transits the Central International Passage. The Network treats route choice as the master's own, always.</w:t>
      </w:r>
    </w:p>
    <w:p>
      <w:pPr>
        <w:pStyle w:val="Heading3"/>
        <w:rPr/>
      </w:pPr>
      <w:bookmarkStart w:id="61" w:name="__RefHeading___Toc9057_4022417266"/>
      <w:bookmarkEnd w:id="61"/>
      <w:r>
        <w:rPr>
          <w:rFonts w:eastAsia="Calibri" w:cs="Calibri" w:ascii="Calibri" w:hAnsi="Calibri"/>
          <w:b/>
          <w:color w:val="1F4E5F"/>
          <w:sz w:val="22"/>
          <w:szCs w:val="24"/>
          <w:lang w:val="en-CA" w:eastAsia="en-CA" w:bidi="ar-SA"/>
        </w:rPr>
        <w:t>9.6 Phased Governance Review</w:t>
      </w:r>
    </w:p>
    <w:p>
      <w:pPr>
        <w:pStyle w:val="Normal"/>
        <w:rPr/>
      </w:pPr>
      <w:r>
        <w:rPr>
          <w:rStyle w:val="DefaultParagraphFont"/>
          <w:rFonts w:eastAsia="" w:cs=""/>
          <w:color w:val="2F3B42"/>
          <w:sz w:val="22"/>
          <w:szCs w:val="24"/>
          <w:lang w:val="en-CA" w:eastAsia="en-CA" w:bidi="ar-SA"/>
        </w:rPr>
        <w:t>9.6.1 The Composite Council reviews the governance of the Central International Passage at twelve months and at twenty-four months after entry into force, and adjusts the management arrangement by consensus within the Central Corridor Management Board.</w:t>
      </w:r>
    </w:p>
    <w:p>
      <w:pPr>
        <w:pStyle w:val="Heading2"/>
        <w:rPr/>
      </w:pPr>
      <w:bookmarkStart w:id="62" w:name="__RefHeading___Toc9059_4022417266"/>
      <w:bookmarkEnd w:id="62"/>
      <w:r>
        <w:rPr>
          <w:rFonts w:eastAsia="Calibri" w:cs="Calibri" w:ascii="Calibri" w:hAnsi="Calibri"/>
          <w:b/>
          <w:color w:val="1F4E5F"/>
          <w:sz w:val="24"/>
          <w:szCs w:val="24"/>
          <w:lang w:val="en-CA" w:eastAsia="en-CA" w:bidi="ar-SA"/>
        </w:rPr>
        <w:t>Article 10: Geometry, Coordinates, and Separation</w:t>
      </w:r>
    </w:p>
    <w:p>
      <w:pPr>
        <w:pStyle w:val="Heading3"/>
        <w:rPr/>
      </w:pPr>
      <w:bookmarkStart w:id="63" w:name="__RefHeading___Toc9061_4022417266"/>
      <w:bookmarkEnd w:id="63"/>
      <w:r>
        <w:rPr>
          <w:rFonts w:eastAsia="Calibri" w:cs="Calibri" w:ascii="Calibri" w:hAnsi="Calibri"/>
          <w:b/>
          <w:color w:val="1F4E5F"/>
          <w:sz w:val="22"/>
          <w:szCs w:val="24"/>
          <w:lang w:val="en-CA" w:eastAsia="en-CA" w:bidi="ar-SA"/>
        </w:rPr>
        <w:t>10.1 Geodetic Reference</w:t>
      </w:r>
    </w:p>
    <w:p>
      <w:pPr>
        <w:pStyle w:val="Normal"/>
        <w:rPr/>
      </w:pPr>
      <w:r>
        <w:rPr>
          <w:rStyle w:val="DefaultParagraphFont"/>
          <w:rFonts w:eastAsia="" w:cs=""/>
          <w:color w:val="2F3B42"/>
          <w:sz w:val="22"/>
          <w:szCs w:val="24"/>
          <w:lang w:val="en-CA" w:eastAsia="en-CA" w:bidi="ar-SA"/>
        </w:rPr>
        <w:t>10.1.1 All coordinates in this framework use the World Geodetic System 1984 datum, expressed in degrees and decimal minutes, and Participant States deposit the full geodetic definition with the International Maritime Organization and the International Hydrographic Organization.</w:t>
      </w:r>
    </w:p>
    <w:p>
      <w:pPr>
        <w:pStyle w:val="Normal"/>
        <w:rPr/>
      </w:pPr>
      <w:r>
        <w:rPr>
          <w:rStyle w:val="DefaultParagraphFont"/>
          <w:rFonts w:eastAsia="" w:cs=""/>
          <w:color w:val="2F3B42"/>
          <w:sz w:val="22"/>
          <w:szCs w:val="24"/>
          <w:lang w:val="en-CA" w:eastAsia="en-CA" w:bidi="ar-SA"/>
        </w:rPr>
        <w:t>10.1.2 Annex A carries the complete coordinate set: the Operating Area boundary, both passage boundaries and centerlines, the Central Separation Belt, the precautionary zones, the anchorages, the crossing gates, the reporting points, and the rendezvous points.</w:t>
      </w:r>
    </w:p>
    <w:p>
      <w:pPr>
        <w:pStyle w:val="Normal"/>
        <w:rPr/>
      </w:pPr>
      <w:r>
        <w:rPr>
          <w:rStyle w:val="DefaultParagraphFont"/>
          <w:rFonts w:eastAsia="" w:cs=""/>
          <w:color w:val="2F3B42"/>
          <w:sz w:val="22"/>
          <w:szCs w:val="24"/>
          <w:lang w:val="en-CA" w:eastAsia="en-CA" w:bidi="ar-SA"/>
        </w:rPr>
        <w:t>10.1.3 Participant States jointly survey the Operating Area within ninety days of signature, publish a joint chart datum note, and route any subsequent scheme amendment through the International Maritime Organization process.</w:t>
      </w:r>
    </w:p>
    <w:p>
      <w:pPr>
        <w:pStyle w:val="Heading3"/>
        <w:rPr/>
      </w:pPr>
      <w:bookmarkStart w:id="64" w:name="__RefHeading___Toc9063_4022417266"/>
      <w:bookmarkEnd w:id="64"/>
      <w:r>
        <w:rPr>
          <w:rFonts w:eastAsia="Calibri" w:cs="Calibri" w:ascii="Calibri" w:hAnsi="Calibri"/>
          <w:b/>
          <w:color w:val="1F4E5F"/>
          <w:sz w:val="22"/>
          <w:szCs w:val="24"/>
          <w:lang w:val="en-CA" w:eastAsia="en-CA" w:bidi="ar-SA"/>
        </w:rPr>
        <w:t>10.2 The Two Separation Belts</w:t>
      </w:r>
    </w:p>
    <w:p>
      <w:pPr>
        <w:pStyle w:val="Normal"/>
        <w:rPr/>
      </w:pPr>
      <w:r>
        <w:rPr>
          <w:rStyle w:val="DefaultParagraphFont"/>
          <w:rFonts w:eastAsia="" w:cs=""/>
          <w:color w:val="2F3B42"/>
          <w:sz w:val="22"/>
          <w:szCs w:val="24"/>
          <w:lang w:val="en-CA" w:eastAsia="en-CA" w:bidi="ar-SA"/>
        </w:rPr>
        <w:t>10.2.1 The two separation belts extend two nautical miles each, one nautical mile either side of their centerlines in Annex A, Section A.4: the Northern-Central Separation Belt between the Northern Coordination Passage and the Central International Passage, and the Central-Southern Separation Belt between the Central International Passage and the Southern Assurance Passage.</w:t>
      </w:r>
    </w:p>
    <w:p>
      <w:pPr>
        <w:pStyle w:val="Normal"/>
        <w:rPr/>
      </w:pPr>
      <w:r>
        <w:rPr>
          <w:rStyle w:val="DefaultParagraphFont"/>
          <w:rFonts w:eastAsia="" w:cs=""/>
          <w:color w:val="2F3B42"/>
          <w:sz w:val="22"/>
          <w:szCs w:val="24"/>
          <w:lang w:val="en-CA" w:eastAsia="en-CA" w:bidi="ar-SA"/>
        </w:rPr>
        <w:t>10.2.2 Traffic enters a belt only to cross between passages at the designated crossing sectors, to respond to a casualty, or to perform Network service work. Each belt carries no anchoring, no fishing, and no exercises.</w:t>
      </w:r>
    </w:p>
    <w:p>
      <w:pPr>
        <w:pStyle w:val="Heading3"/>
        <w:rPr/>
      </w:pPr>
      <w:bookmarkStart w:id="65" w:name="__RefHeading___Toc9065_4022417266"/>
      <w:bookmarkEnd w:id="65"/>
      <w:r>
        <w:rPr>
          <w:rFonts w:eastAsia="Calibri" w:cs="Calibri" w:ascii="Calibri" w:hAnsi="Calibri"/>
          <w:b/>
          <w:color w:val="1F4E5F"/>
          <w:sz w:val="22"/>
          <w:szCs w:val="24"/>
          <w:lang w:val="en-CA" w:eastAsia="en-CA" w:bidi="ar-SA"/>
        </w:rPr>
        <w:t>10.3 The Precautionary Zones</w:t>
      </w:r>
    </w:p>
    <w:p>
      <w:pPr>
        <w:pStyle w:val="Normal"/>
        <w:rPr/>
      </w:pPr>
      <w:r>
        <w:rPr>
          <w:rStyle w:val="DefaultParagraphFont"/>
          <w:rFonts w:eastAsia="" w:cs=""/>
          <w:color w:val="2F3B42"/>
          <w:sz w:val="22"/>
          <w:szCs w:val="24"/>
          <w:lang w:val="en-CA" w:eastAsia="en-CA" w:bidi="ar-SA"/>
        </w:rPr>
        <w:t>10.3.1 The Eastern Precautionary Zone centers on the point where all three passages curve around the Musandam headland, and the Western Precautionary Zone centers on the western entry sector. Annex A, Section A.5 fixes both centers and radii.</w:t>
      </w:r>
    </w:p>
    <w:p>
      <w:pPr>
        <w:pStyle w:val="Normal"/>
        <w:rPr/>
      </w:pPr>
      <w:r>
        <w:rPr>
          <w:rStyle w:val="DefaultParagraphFont"/>
          <w:rFonts w:eastAsia="" w:cs=""/>
          <w:color w:val="2F3B42"/>
          <w:sz w:val="22"/>
          <w:szCs w:val="24"/>
          <w:lang w:val="en-CA" w:eastAsia="en-CA" w:bidi="ar-SA"/>
        </w:rPr>
        <w:t>10.3.2 In a precautionary zone, vessels navigate with particular caution, Class S traffic observes the Quiet Water Windows, and the Center increases watch staffing by one multinational watch officer.</w:t>
      </w:r>
    </w:p>
    <w:p>
      <w:pPr>
        <w:pStyle w:val="Heading3"/>
        <w:rPr/>
      </w:pPr>
      <w:bookmarkStart w:id="66" w:name="__RefHeading___Toc9067_4022417266"/>
      <w:bookmarkEnd w:id="66"/>
      <w:r>
        <w:rPr>
          <w:rFonts w:eastAsia="Calibri" w:cs="Calibri" w:ascii="Calibri" w:hAnsi="Calibri"/>
          <w:b/>
          <w:color w:val="1F4E5F"/>
          <w:sz w:val="22"/>
          <w:szCs w:val="24"/>
          <w:lang w:val="en-CA" w:eastAsia="en-CA" w:bidi="ar-SA"/>
        </w:rPr>
        <w:t>10.4 Holding Anchorages and Rendezvous Points</w:t>
      </w:r>
    </w:p>
    <w:p>
      <w:pPr>
        <w:pStyle w:val="Normal"/>
        <w:rPr/>
      </w:pPr>
      <w:r>
        <w:rPr>
          <w:rStyle w:val="DefaultParagraphFont"/>
          <w:rFonts w:eastAsia="" w:cs=""/>
          <w:color w:val="2F3B42"/>
          <w:sz w:val="22"/>
          <w:szCs w:val="24"/>
          <w:lang w:val="en-CA" w:eastAsia="en-CA" w:bidi="ar-SA"/>
        </w:rPr>
        <w:t>10.4.1 The Network designates two holding anchorages: the Eastern Holding Anchorage for vessels awaiting Gulf entry windows, and the Western Holding Anchorage for vessels awaiting Gulf exit sequencing. Annex A, Section A.6 fixes centers, radii, and depth notes.</w:t>
      </w:r>
    </w:p>
    <w:p>
      <w:pPr>
        <w:pStyle w:val="Normal"/>
        <w:rPr/>
      </w:pPr>
      <w:r>
        <w:rPr>
          <w:rStyle w:val="DefaultParagraphFont"/>
          <w:rFonts w:eastAsia="" w:cs=""/>
          <w:color w:val="2F3B42"/>
          <w:sz w:val="22"/>
          <w:szCs w:val="24"/>
          <w:lang w:val="en-CA" w:eastAsia="en-CA" w:bidi="ar-SA"/>
        </w:rPr>
        <w:t>10.4.2 Rendezvous points for observer embarkation, escort meeting, and pilot exchange appear in Annex A, Section A.8. A vessel embarking a Neutral Keel observer does so at a rendezvous point or at its last port, at the master's election.</w:t>
      </w:r>
    </w:p>
    <w:p>
      <w:pPr>
        <w:pStyle w:val="Heading3"/>
        <w:rPr/>
      </w:pPr>
      <w:bookmarkStart w:id="67" w:name="__RefHeading___Toc9069_4022417266"/>
      <w:bookmarkEnd w:id="67"/>
      <w:r>
        <w:rPr>
          <w:rFonts w:eastAsia="Calibri" w:cs="Calibri" w:ascii="Calibri" w:hAnsi="Calibri"/>
          <w:b/>
          <w:color w:val="1F4E5F"/>
          <w:sz w:val="22"/>
          <w:szCs w:val="24"/>
          <w:lang w:val="en-CA" w:eastAsia="en-CA" w:bidi="ar-SA"/>
        </w:rPr>
        <w:t>10.5 The Inshore Local Craft Bands</w:t>
      </w:r>
    </w:p>
    <w:p>
      <w:pPr>
        <w:pStyle w:val="Normal"/>
        <w:rPr/>
      </w:pPr>
      <w:r>
        <w:rPr>
          <w:rStyle w:val="DefaultParagraphFont"/>
          <w:rFonts w:eastAsia="" w:cs=""/>
          <w:color w:val="2F3B42"/>
          <w:sz w:val="22"/>
          <w:szCs w:val="24"/>
          <w:lang w:val="en-CA" w:eastAsia="en-CA" w:bidi="ar-SA"/>
        </w:rPr>
        <w:t>10.5.1 A band three nautical miles wide along each coast forms the Inshore Local Craft Band of that coast, reserved for Class F local craft licensed by the coastal state of that coast.</w:t>
      </w:r>
    </w:p>
    <w:p>
      <w:pPr>
        <w:pStyle w:val="Normal"/>
        <w:rPr/>
      </w:pPr>
      <w:r>
        <w:rPr>
          <w:rStyle w:val="DefaultParagraphFont"/>
          <w:rFonts w:eastAsia="" w:cs=""/>
          <w:color w:val="2F3B42"/>
          <w:sz w:val="22"/>
          <w:szCs w:val="24"/>
          <w:lang w:val="en-CA" w:eastAsia="en-CA" w:bidi="ar-SA"/>
        </w:rPr>
        <w:t>10.5.2 The Bands lie outside the passages. Class F craft cross a passage only at the crossing gates, under the crossing procedure of Article 13.4.</w:t>
      </w:r>
    </w:p>
    <w:p>
      <w:pPr>
        <w:pStyle w:val="Heading3"/>
        <w:rPr/>
      </w:pPr>
      <w:bookmarkStart w:id="68" w:name="__RefHeading___Toc9071_4022417266"/>
      <w:bookmarkEnd w:id="68"/>
      <w:r>
        <w:rPr>
          <w:rFonts w:eastAsia="Calibri" w:cs="Calibri" w:ascii="Calibri" w:hAnsi="Calibri"/>
          <w:b/>
          <w:color w:val="1F4E5F"/>
          <w:sz w:val="22"/>
          <w:szCs w:val="24"/>
          <w:lang w:val="en-CA" w:eastAsia="en-CA" w:bidi="ar-SA"/>
        </w:rPr>
        <w:t>10.6 Survey and Charting</w:t>
      </w:r>
    </w:p>
    <w:p>
      <w:pPr>
        <w:pStyle w:val="Normal"/>
        <w:rPr/>
      </w:pPr>
      <w:r>
        <w:rPr>
          <w:rStyle w:val="DefaultParagraphFont"/>
          <w:rFonts w:eastAsia="" w:cs=""/>
          <w:color w:val="2F3B42"/>
          <w:sz w:val="22"/>
          <w:szCs w:val="24"/>
          <w:lang w:val="en-CA" w:eastAsia="en-CA" w:bidi="ar-SA"/>
        </w:rPr>
        <w:t>10.6.1 Participant States operate one shared hydrographic survey program under the Center, alternating the lead annually, and the Fund reimburses survey costs as a Catalog service.</w:t>
      </w:r>
    </w:p>
    <w:p>
      <w:pPr>
        <w:pStyle w:val="Normal"/>
        <w:rPr/>
      </w:pPr>
      <w:r>
        <w:rPr>
          <w:rStyle w:val="DefaultParagraphFont"/>
          <w:rFonts w:eastAsia="" w:cs=""/>
          <w:color w:val="2F3B42"/>
          <w:sz w:val="22"/>
          <w:szCs w:val="24"/>
          <w:lang w:val="en-CA" w:eastAsia="en-CA" w:bidi="ar-SA"/>
        </w:rPr>
        <w:t>10.6.2 Participant States publish Notices to Mariners jointly through the Center, in Persian, Arabic, and English, on the Bulletin channel.</w:t>
      </w:r>
    </w:p>
    <w:p>
      <w:pPr>
        <w:pStyle w:val="Heading2"/>
        <w:rPr/>
      </w:pPr>
      <w:bookmarkStart w:id="69" w:name="__RefHeading___Toc9073_4022417266"/>
      <w:bookmarkEnd w:id="69"/>
      <w:r>
        <w:rPr>
          <w:rFonts w:eastAsia="Calibri" w:cs="Calibri" w:ascii="Calibri" w:hAnsi="Calibri"/>
          <w:b/>
          <w:color w:val="1F4E5F"/>
          <w:sz w:val="24"/>
          <w:szCs w:val="24"/>
          <w:lang w:val="en-CA" w:eastAsia="en-CA" w:bidi="ar-SA"/>
        </w:rPr>
        <w:t>Article 11: Vessel Classification and Differentiated Treatment</w:t>
      </w:r>
    </w:p>
    <w:p>
      <w:pPr>
        <w:pStyle w:val="Heading3"/>
        <w:rPr/>
      </w:pPr>
      <w:bookmarkStart w:id="70" w:name="__RefHeading___Toc9075_4022417266"/>
      <w:bookmarkEnd w:id="70"/>
      <w:r>
        <w:rPr>
          <w:rFonts w:eastAsia="Calibri" w:cs="Calibri" w:ascii="Calibri" w:hAnsi="Calibri"/>
          <w:b/>
          <w:color w:val="1F4E5F"/>
          <w:sz w:val="22"/>
          <w:szCs w:val="24"/>
          <w:lang w:val="en-CA" w:eastAsia="en-CA" w:bidi="ar-SA"/>
        </w:rPr>
        <w:t>11.1 Classification Method</w:t>
      </w:r>
    </w:p>
    <w:p>
      <w:pPr>
        <w:pStyle w:val="Normal"/>
        <w:rPr/>
      </w:pPr>
      <w:r>
        <w:rPr>
          <w:rStyle w:val="DefaultParagraphFont"/>
          <w:rFonts w:eastAsia="" w:cs=""/>
          <w:color w:val="2F3B42"/>
          <w:sz w:val="22"/>
          <w:szCs w:val="24"/>
          <w:lang w:val="en-CA" w:eastAsia="en-CA" w:bidi="ar-SA"/>
        </w:rPr>
        <w:t>11.1.1 The Network classifies every vessel by the purpose of its voyage, not by its flag, its owner, or its politics. Purpose drives lane guidance, registration depth, transit windows, escort availability, service pricing, and anchorage priority.</w:t>
      </w:r>
    </w:p>
    <w:p>
      <w:pPr>
        <w:pStyle w:val="Normal"/>
        <w:rPr/>
      </w:pPr>
      <w:r>
        <w:rPr>
          <w:rStyle w:val="DefaultParagraphFont"/>
          <w:rFonts w:eastAsia="" w:cs=""/>
          <w:color w:val="2F3B42"/>
          <w:sz w:val="22"/>
          <w:szCs w:val="24"/>
          <w:lang w:val="en-CA" w:eastAsia="en-CA" w:bidi="ar-SA"/>
        </w:rPr>
        <w:t>11.1.2 The master declares the voyage purpose in the registration or, for the Southern Assurance Passage, in ordinary port and radio practice. The Center verifies classification only against documentary evidence: cargo manifest type, passenger certificate, or official designation.</w:t>
      </w:r>
    </w:p>
    <w:p>
      <w:pPr>
        <w:pStyle w:val="Normal"/>
        <w:rPr/>
      </w:pPr>
      <w:r>
        <w:rPr>
          <w:rStyle w:val="DefaultParagraphFont"/>
          <w:rFonts w:eastAsia="" w:cs=""/>
          <w:color w:val="2F3B42"/>
          <w:sz w:val="22"/>
          <w:szCs w:val="24"/>
          <w:lang w:val="en-CA" w:eastAsia="en-CA" w:bidi="ar-SA"/>
        </w:rPr>
        <w:t>11.1.3 The matrix of Annex B carries the full treatment rules for each class. This Article states the classes and the logic.</w:t>
      </w:r>
    </w:p>
    <w:p>
      <w:pPr>
        <w:pStyle w:val="Heading3"/>
        <w:rPr/>
      </w:pPr>
      <w:bookmarkStart w:id="71" w:name="__RefHeading___Toc9077_4022417266"/>
      <w:bookmarkEnd w:id="71"/>
      <w:r>
        <w:rPr>
          <w:rFonts w:eastAsia="Calibri" w:cs="Calibri" w:ascii="Calibri" w:hAnsi="Calibri"/>
          <w:b/>
          <w:color w:val="1F4E5F"/>
          <w:sz w:val="22"/>
          <w:szCs w:val="24"/>
          <w:lang w:val="en-CA" w:eastAsia="en-CA" w:bidi="ar-SA"/>
        </w:rPr>
        <w:t>11.2 The Nine Classes</w:t>
      </w:r>
    </w:p>
    <w:p>
      <w:pPr>
        <w:pStyle w:val="Normal"/>
        <w:rPr/>
      </w:pPr>
      <w:r>
        <w:rPr>
          <w:rStyle w:val="DefaultParagraphFont"/>
          <w:rFonts w:eastAsia="" w:cs=""/>
          <w:color w:val="2F3B42"/>
          <w:sz w:val="22"/>
          <w:szCs w:val="24"/>
          <w:lang w:val="en-CA" w:eastAsia="en-CA" w:bidi="ar-SA"/>
        </w:rPr>
        <w:t xml:space="preserve">11.2.1 </w:t>
      </w:r>
      <w:r>
        <w:rPr>
          <w:rFonts w:eastAsia="Cambria" w:cs="Cambria" w:ascii="Cambria" w:hAnsi="Cambria"/>
          <w:b/>
          <w:color w:val="33586A"/>
          <w:sz w:val="23"/>
          <w:szCs w:val="24"/>
          <w:lang w:val="en-CA" w:eastAsia="en-CA" w:bidi="ar-SA"/>
        </w:rPr>
        <w:t>Class E: Energy carriers.</w:t>
      </w:r>
      <w:r>
        <w:rPr>
          <w:rStyle w:val="DefaultParagraphFont"/>
          <w:rFonts w:eastAsia="" w:cs=""/>
          <w:color w:val="2F3B42"/>
          <w:sz w:val="22"/>
          <w:szCs w:val="24"/>
          <w:lang w:val="en-CA" w:eastAsia="en-CA" w:bidi="ar-SA"/>
        </w:rPr>
        <w:t xml:space="preserve"> Crude tankers, product tankers, liquefied natural gas carriers, liquefied petroleum gas carriers, and chemical tankers. Class E receives priority transit windows in all three passages, the deepest escort availability, and the tightest spacing rules, because the energy flow matters most to regional stability and carries the highest consequence of casualty.</w:t>
      </w:r>
    </w:p>
    <w:p>
      <w:pPr>
        <w:pStyle w:val="Normal"/>
        <w:rPr/>
      </w:pPr>
      <w:r>
        <w:rPr>
          <w:rStyle w:val="DefaultParagraphFont"/>
          <w:rFonts w:eastAsia="" w:cs=""/>
          <w:color w:val="2F3B42"/>
          <w:sz w:val="22"/>
          <w:szCs w:val="24"/>
          <w:lang w:val="en-CA" w:eastAsia="en-CA" w:bidi="ar-SA"/>
        </w:rPr>
        <w:t xml:space="preserve">11.2.2 </w:t>
      </w:r>
      <w:r>
        <w:rPr>
          <w:rFonts w:eastAsia="Cambria" w:cs="Cambria" w:ascii="Cambria" w:hAnsi="Cambria"/>
          <w:b/>
          <w:color w:val="33586A"/>
          <w:sz w:val="23"/>
          <w:szCs w:val="24"/>
          <w:lang w:val="en-CA" w:eastAsia="en-CA" w:bidi="ar-SA"/>
        </w:rPr>
        <w:t>Class G: General commercial cargo.</w:t>
      </w:r>
      <w:r>
        <w:rPr>
          <w:rStyle w:val="DefaultParagraphFont"/>
          <w:rFonts w:eastAsia="" w:cs=""/>
          <w:color w:val="2F3B42"/>
          <w:sz w:val="22"/>
          <w:szCs w:val="24"/>
          <w:lang w:val="en-CA" w:eastAsia="en-CA" w:bidi="ar-SA"/>
        </w:rPr>
        <w:t xml:space="preserve"> Container ships, bulk carriers, vehicle carriers, and general cargo vessels. Class E and Class G together form the commercial backbone; Class G follows standard windows and standard spacing.</w:t>
      </w:r>
    </w:p>
    <w:p>
      <w:pPr>
        <w:pStyle w:val="Normal"/>
        <w:rPr/>
      </w:pPr>
      <w:r>
        <w:rPr>
          <w:rStyle w:val="DefaultParagraphFont"/>
          <w:rFonts w:eastAsia="" w:cs=""/>
          <w:color w:val="2F3B42"/>
          <w:sz w:val="22"/>
          <w:szCs w:val="24"/>
          <w:lang w:val="en-CA" w:eastAsia="en-CA" w:bidi="ar-SA"/>
        </w:rPr>
        <w:t xml:space="preserve">11.2.3 </w:t>
      </w:r>
      <w:r>
        <w:rPr>
          <w:rFonts w:eastAsia="Cambria" w:cs="Cambria" w:ascii="Cambria" w:hAnsi="Cambria"/>
          <w:b/>
          <w:color w:val="33586A"/>
          <w:sz w:val="23"/>
          <w:szCs w:val="24"/>
          <w:lang w:val="en-CA" w:eastAsia="en-CA" w:bidi="ar-SA"/>
        </w:rPr>
        <w:t>Class H: Humanitarian and relief vessels.</w:t>
      </w:r>
      <w:r>
        <w:rPr>
          <w:rStyle w:val="DefaultParagraphFont"/>
          <w:rFonts w:eastAsia="" w:cs=""/>
          <w:color w:val="2F3B42"/>
          <w:sz w:val="22"/>
          <w:szCs w:val="24"/>
          <w:lang w:val="en-CA" w:eastAsia="en-CA" w:bidi="ar-SA"/>
        </w:rPr>
        <w:t xml:space="preserve"> Vessels carrying declared humanitarian cargo under recognized consignment. Class H moves in every flow state including Protected Hold, under Center escort where the master requests it, at zero service cost beyond Fund reimbursement, with priority anchorage and a dedicated fast-track desk at the Center.</w:t>
      </w:r>
    </w:p>
    <w:p>
      <w:pPr>
        <w:pStyle w:val="Normal"/>
        <w:rPr/>
      </w:pPr>
      <w:r>
        <w:rPr>
          <w:rStyle w:val="DefaultParagraphFont"/>
          <w:rFonts w:eastAsia="" w:cs=""/>
          <w:color w:val="2F3B42"/>
          <w:sz w:val="22"/>
          <w:szCs w:val="24"/>
          <w:lang w:val="en-CA" w:eastAsia="en-CA" w:bidi="ar-SA"/>
        </w:rPr>
        <w:t xml:space="preserve">11.2.4 </w:t>
      </w:r>
      <w:r>
        <w:rPr>
          <w:rFonts w:eastAsia="Cambria" w:cs="Cambria" w:ascii="Cambria" w:hAnsi="Cambria"/>
          <w:b/>
          <w:color w:val="33586A"/>
          <w:sz w:val="23"/>
          <w:szCs w:val="24"/>
          <w:lang w:val="en-CA" w:eastAsia="en-CA" w:bidi="ar-SA"/>
        </w:rPr>
        <w:t>Class P: Passenger vessels.</w:t>
      </w:r>
      <w:r>
        <w:rPr>
          <w:rStyle w:val="DefaultParagraphFont"/>
          <w:rFonts w:eastAsia="" w:cs=""/>
          <w:color w:val="2F3B42"/>
          <w:sz w:val="22"/>
          <w:szCs w:val="24"/>
          <w:lang w:val="en-CA" w:eastAsia="en-CA" w:bidi="ar-SA"/>
        </w:rPr>
        <w:t xml:space="preserve"> Ferries and passenger ships on scheduled routes. Class P follows fixed windows matched to its schedule and receives routing advice for passenger safety.</w:t>
      </w:r>
    </w:p>
    <w:p>
      <w:pPr>
        <w:pStyle w:val="Normal"/>
        <w:rPr/>
      </w:pPr>
      <w:r>
        <w:rPr>
          <w:rStyle w:val="DefaultParagraphFont"/>
          <w:rFonts w:eastAsia="" w:cs=""/>
          <w:color w:val="2F3B42"/>
          <w:sz w:val="22"/>
          <w:szCs w:val="24"/>
          <w:lang w:val="en-CA" w:eastAsia="en-CA" w:bidi="ar-SA"/>
        </w:rPr>
        <w:t xml:space="preserve">11.2.5 </w:t>
      </w:r>
      <w:r>
        <w:rPr>
          <w:rFonts w:eastAsia="Cambria" w:cs="Cambria" w:ascii="Cambria" w:hAnsi="Cambria"/>
          <w:b/>
          <w:color w:val="33586A"/>
          <w:sz w:val="23"/>
          <w:szCs w:val="24"/>
          <w:lang w:val="en-CA" w:eastAsia="en-CA" w:bidi="ar-SA"/>
        </w:rPr>
        <w:t>Class F: Fishing and local coastal craft.</w:t>
      </w:r>
      <w:r>
        <w:rPr>
          <w:rStyle w:val="DefaultParagraphFont"/>
          <w:rFonts w:eastAsia="" w:cs=""/>
          <w:color w:val="2F3B42"/>
          <w:sz w:val="22"/>
          <w:szCs w:val="24"/>
          <w:lang w:val="en-CA" w:eastAsia="en-CA" w:bidi="ar-SA"/>
        </w:rPr>
        <w:t xml:space="preserve"> Traditional and modern local craft operating under coastal state license. Class F remains in the Inshore Local Craft Bands and uses the crossing gates; the Network protects Class F as the strait's oldest user community.</w:t>
      </w:r>
    </w:p>
    <w:p>
      <w:pPr>
        <w:pStyle w:val="Normal"/>
        <w:rPr/>
      </w:pPr>
      <w:r>
        <w:rPr>
          <w:rStyle w:val="DefaultParagraphFont"/>
          <w:rFonts w:eastAsia="" w:cs=""/>
          <w:color w:val="2F3B42"/>
          <w:sz w:val="22"/>
          <w:szCs w:val="24"/>
          <w:lang w:val="en-CA" w:eastAsia="en-CA" w:bidi="ar-SA"/>
        </w:rPr>
        <w:t>11.2.6 Class S: State and naval vessels. Warships, coast guard vessels, and state-owned non-commercial vessels of any state. Class S transits all three passages freely, files notification through the diplomatic-military channel forty-eight hours ahead for de-confliction purposes, observes the Quiet Water Windows inside the precautionary zones, and never conducts exercises, boarding, or launch operations inside a passage or the Belt.</w:t>
      </w:r>
    </w:p>
    <w:p>
      <w:pPr>
        <w:pStyle w:val="Normal"/>
        <w:rPr/>
      </w:pPr>
      <w:r>
        <w:rPr>
          <w:rStyle w:val="DefaultParagraphFont"/>
          <w:rFonts w:eastAsia="" w:cs=""/>
          <w:color w:val="2F3B42"/>
          <w:sz w:val="22"/>
          <w:szCs w:val="24"/>
          <w:lang w:val="en-CA" w:eastAsia="en-CA" w:bidi="ar-SA"/>
        </w:rPr>
        <w:t>11.2.7 Class M: Multinational vessels. Vessels on joint patrols, coalition tasks, multinational exercises, or shared security assignments. Class M operates under standing multilateral accreditation filed with the Center, follows streamlined registration, observes the same non-interdiction and Quiet Water rules as Class S, and receives coordinated windows through the Council-approved de-confliction calendar.</w:t>
      </w:r>
    </w:p>
    <w:p>
      <w:pPr>
        <w:pStyle w:val="Normal"/>
        <w:rPr/>
      </w:pPr>
      <w:r>
        <w:rPr>
          <w:rStyle w:val="DefaultParagraphFont"/>
          <w:rFonts w:eastAsia="" w:cs=""/>
          <w:color w:val="2F3B42"/>
          <w:sz w:val="22"/>
          <w:szCs w:val="24"/>
          <w:lang w:val="en-CA" w:eastAsia="en-CA" w:bidi="ar-SA"/>
        </w:rPr>
        <w:t>11.2.8 Class R: Research, survey, and cable vessels. Class R operates under a voyage plan filed five days ahead, coordinates its working areas with the Center, and shares its survey data with the joint charting program where the data touches the passages.</w:t>
      </w:r>
    </w:p>
    <w:p>
      <w:pPr>
        <w:pStyle w:val="Normal"/>
        <w:rPr/>
      </w:pPr>
      <w:r>
        <w:rPr>
          <w:rStyle w:val="DefaultParagraphFont"/>
          <w:rFonts w:eastAsia="" w:cs=""/>
          <w:color w:val="2F3B42"/>
          <w:sz w:val="22"/>
          <w:szCs w:val="24"/>
          <w:lang w:val="en-CA" w:eastAsia="en-CA" w:bidi="ar-SA"/>
        </w:rPr>
        <w:t>11.2.9 Class X: Hazardous and special cargoes. Vessels carrying nuclear material, explosive military cargo, or other declared special cargo. Class X files pre-completed registration seven days ahead, transits in designated windows with escort and a sterile spacing bubble, and pays no charge of any kind; the Fund treats Class X services as a Catalog item.</w:t>
      </w:r>
    </w:p>
    <w:p>
      <w:pPr>
        <w:pStyle w:val="Heading3"/>
        <w:rPr/>
      </w:pPr>
      <w:bookmarkStart w:id="72" w:name="__RefHeading___Toc9079_4022417266"/>
      <w:bookmarkEnd w:id="72"/>
      <w:r>
        <w:rPr>
          <w:rFonts w:eastAsia="Calibri" w:cs="Calibri" w:ascii="Calibri" w:hAnsi="Calibri"/>
          <w:b/>
          <w:color w:val="1F4E5F"/>
          <w:sz w:val="22"/>
          <w:szCs w:val="24"/>
          <w:lang w:val="en-CA" w:eastAsia="en-CA" w:bidi="ar-SA"/>
        </w:rPr>
        <w:t>11.3 Treatment Differentiators</w:t>
      </w:r>
    </w:p>
    <w:p>
      <w:pPr>
        <w:pStyle w:val="Normal"/>
        <w:rPr/>
      </w:pPr>
      <w:r>
        <w:rPr>
          <w:rStyle w:val="DefaultParagraphFont"/>
          <w:rFonts w:eastAsia="" w:cs=""/>
          <w:color w:val="2F3B42"/>
          <w:sz w:val="22"/>
          <w:szCs w:val="24"/>
          <w:lang w:val="en-CA" w:eastAsia="en-CA" w:bidi="ar-SA"/>
        </w:rPr>
        <w:t>11.3.1 Differentiation follows purpose and risk, never identity. The differentiators are: window priority, spacing and speed bands, escort availability, registration depth and lead time, anchorage priority, and service pricing through the Fund's internal accounting.</w:t>
      </w:r>
    </w:p>
    <w:p>
      <w:pPr>
        <w:pStyle w:val="Normal"/>
        <w:rPr/>
      </w:pPr>
      <w:r>
        <w:rPr>
          <w:rStyle w:val="DefaultParagraphFont"/>
          <w:rFonts w:eastAsia="" w:cs=""/>
          <w:color w:val="2F3B42"/>
          <w:sz w:val="22"/>
          <w:szCs w:val="24"/>
          <w:lang w:val="en-CA" w:eastAsia="en-CA" w:bidi="ar-SA"/>
        </w:rPr>
        <w:t>11.3.2 No class receives a political discount and no class carries a political surcharge. The Registry incentives of Article 23 attach to operator conduct, not to class or flag.</w:t>
      </w:r>
    </w:p>
    <w:p>
      <w:pPr>
        <w:pStyle w:val="Heading3"/>
        <w:rPr/>
      </w:pPr>
      <w:bookmarkStart w:id="73" w:name="__RefHeading___Toc9081_4022417266"/>
      <w:bookmarkEnd w:id="73"/>
      <w:r>
        <w:rPr>
          <w:rFonts w:eastAsia="Calibri" w:cs="Calibri" w:ascii="Calibri" w:hAnsi="Calibri"/>
          <w:b/>
          <w:color w:val="1F4E5F"/>
          <w:sz w:val="22"/>
          <w:szCs w:val="24"/>
          <w:lang w:val="en-CA" w:eastAsia="en-CA" w:bidi="ar-SA"/>
        </w:rPr>
        <w:t>11.4 Reclassification and Mixed-Purpose Voyages</w:t>
      </w:r>
    </w:p>
    <w:p>
      <w:pPr>
        <w:pStyle w:val="Normal"/>
        <w:rPr/>
      </w:pPr>
      <w:r>
        <w:rPr>
          <w:rStyle w:val="DefaultParagraphFont"/>
          <w:rFonts w:eastAsia="" w:cs=""/>
          <w:color w:val="2F3B42"/>
          <w:sz w:val="22"/>
          <w:szCs w:val="24"/>
          <w:lang w:val="en-CA" w:eastAsia="en-CA" w:bidi="ar-SA"/>
        </w:rPr>
        <w:t>11.4.1 A vessel on a mixed-purpose voyage follows the rules of the highest-consequence cargo it carries.</w:t>
      </w:r>
    </w:p>
    <w:p>
      <w:pPr>
        <w:pStyle w:val="Normal"/>
        <w:rPr/>
      </w:pPr>
      <w:r>
        <w:rPr>
          <w:rStyle w:val="DefaultParagraphFont"/>
          <w:rFonts w:eastAsia="" w:cs=""/>
          <w:color w:val="2F3B42"/>
          <w:sz w:val="22"/>
          <w:szCs w:val="24"/>
          <w:lang w:val="en-CA" w:eastAsia="en-CA" w:bidi="ar-SA"/>
        </w:rPr>
        <w:t>11.4.2 A master requests reclassification in the registration or at the Center desk, and the Center decides within six hours on documentary evidence. The Neutral Keel Office audits reclassification decisions quarterly for consistency.</w:t>
      </w:r>
    </w:p>
    <w:p>
      <w:pPr>
        <w:pStyle w:val="Heading2"/>
        <w:rPr/>
      </w:pPr>
      <w:bookmarkStart w:id="74" w:name="__RefHeading___Toc9083_4022417266"/>
      <w:bookmarkEnd w:id="74"/>
      <w:r>
        <w:rPr>
          <w:rFonts w:eastAsia="Calibri" w:cs="Calibri" w:ascii="Calibri" w:hAnsi="Calibri"/>
          <w:b/>
          <w:color w:val="1F4E5F"/>
          <w:sz w:val="24"/>
          <w:szCs w:val="24"/>
          <w:lang w:val="en-CA" w:eastAsia="en-CA" w:bidi="ar-SA"/>
        </w:rPr>
        <w:t>Article 12: Safe Passage Guarantees and the Non-Interdiction Protocol</w:t>
      </w:r>
    </w:p>
    <w:p>
      <w:pPr>
        <w:pStyle w:val="Heading3"/>
        <w:rPr/>
      </w:pPr>
      <w:bookmarkStart w:id="75" w:name="__RefHeading___Toc9085_4022417266"/>
      <w:bookmarkEnd w:id="75"/>
      <w:r>
        <w:rPr>
          <w:rFonts w:eastAsia="Calibri" w:cs="Calibri" w:ascii="Calibri" w:hAnsi="Calibri"/>
          <w:b/>
          <w:color w:val="1F4E5F"/>
          <w:sz w:val="22"/>
          <w:szCs w:val="24"/>
          <w:lang w:val="en-CA" w:eastAsia="en-CA" w:bidi="ar-SA"/>
        </w:rPr>
        <w:t>12.1 The Guarantee</w:t>
      </w:r>
    </w:p>
    <w:p>
      <w:pPr>
        <w:pStyle w:val="Normal"/>
        <w:rPr/>
      </w:pPr>
      <w:r>
        <w:rPr>
          <w:rStyle w:val="DefaultParagraphFont"/>
          <w:rFonts w:eastAsia="" w:cs=""/>
          <w:color w:val="2F3B42"/>
          <w:sz w:val="22"/>
          <w:szCs w:val="24"/>
          <w:lang w:val="en-CA" w:eastAsia="en-CA" w:bidi="ar-SA"/>
        </w:rPr>
        <w:t>12.1.1 The Network guarantees continuous, safe, and unimpeded passage through all three passages to every vessel that observes the traffic rules, in every flow state, day and night.</w:t>
      </w:r>
    </w:p>
    <w:p>
      <w:pPr>
        <w:pStyle w:val="Normal"/>
        <w:rPr/>
      </w:pPr>
      <w:r>
        <w:rPr>
          <w:rStyle w:val="DefaultParagraphFont"/>
          <w:rFonts w:eastAsia="" w:cs=""/>
          <w:color w:val="2F3B42"/>
          <w:sz w:val="22"/>
          <w:szCs w:val="24"/>
          <w:lang w:val="en-CA" w:eastAsia="en-CA" w:bidi="ar-SA"/>
        </w:rPr>
        <w:t>12.1.2 The guarantee binds the architecture, not the goodwill of a watch officer. The Network stands behind the guarantee with the compliance engine of Part VI: an interference event triggers automatic classification, automatic reporting, and automatic consequence.</w:t>
      </w:r>
    </w:p>
    <w:p>
      <w:pPr>
        <w:pStyle w:val="Heading3"/>
        <w:rPr/>
      </w:pPr>
      <w:bookmarkStart w:id="76" w:name="__RefHeading___Toc9087_4022417266"/>
      <w:bookmarkEnd w:id="76"/>
      <w:r>
        <w:rPr>
          <w:rFonts w:eastAsia="Calibri" w:cs="Calibri" w:ascii="Calibri" w:hAnsi="Calibri"/>
          <w:b/>
          <w:color w:val="1F4E5F"/>
          <w:sz w:val="22"/>
          <w:szCs w:val="24"/>
          <w:lang w:val="en-CA" w:eastAsia="en-CA" w:bidi="ar-SA"/>
        </w:rPr>
        <w:t>12.2 The Non-Interdiction Protocol</w:t>
      </w:r>
    </w:p>
    <w:p>
      <w:pPr>
        <w:pStyle w:val="Normal"/>
        <w:rPr/>
      </w:pPr>
      <w:r>
        <w:rPr>
          <w:rStyle w:val="DefaultParagraphFont"/>
          <w:rFonts w:eastAsia="" w:cs=""/>
          <w:color w:val="2F3B42"/>
          <w:sz w:val="22"/>
          <w:szCs w:val="24"/>
          <w:lang w:val="en-CA" w:eastAsia="en-CA" w:bidi="ar-SA"/>
        </w:rPr>
        <w:t>12.2.1 Commercial transit operates under an absolute non-interdiction protocol within the Operating Area. The architecture excludes boarding, detention, diversion, seizure, inspection, and harassment of transiting vessels inside the passages, the Belt, and the precautionary zones.</w:t>
      </w:r>
    </w:p>
    <w:p>
      <w:pPr>
        <w:pStyle w:val="Normal"/>
        <w:rPr/>
      </w:pPr>
      <w:r>
        <w:rPr>
          <w:rStyle w:val="DefaultParagraphFont"/>
          <w:rFonts w:eastAsia="" w:cs=""/>
          <w:color w:val="2F3B42"/>
          <w:sz w:val="22"/>
          <w:szCs w:val="24"/>
          <w:lang w:val="en-CA" w:eastAsia="en-CA" w:bidi="ar-SA"/>
        </w:rPr>
        <w:t>12.2.2 The protocol binds every actor: all Littoral States, their agencies and forces, Network bodies, and third states' forces present in the region. Participant States record third-state adherence through the accession and liaison instruments of Article 36.3.</w:t>
      </w:r>
    </w:p>
    <w:p>
      <w:pPr>
        <w:pStyle w:val="Normal"/>
        <w:rPr/>
      </w:pPr>
      <w:r>
        <w:rPr>
          <w:rStyle w:val="DefaultParagraphFont"/>
          <w:rFonts w:eastAsia="" w:cs=""/>
          <w:color w:val="2F3B42"/>
          <w:sz w:val="22"/>
          <w:szCs w:val="24"/>
          <w:lang w:val="en-CA" w:eastAsia="en-CA" w:bidi="ar-SA"/>
        </w:rPr>
        <w:t>12.2.3 Law enforcement against a vessel occurs outside the Operating Area, under the law of the state with jurisdiction, and never inside a passage.</w:t>
      </w:r>
    </w:p>
    <w:p>
      <w:pPr>
        <w:pStyle w:val="Normal"/>
        <w:rPr/>
      </w:pPr>
      <w:r>
        <w:rPr>
          <w:rStyle w:val="DefaultParagraphFont"/>
          <w:rFonts w:eastAsia="" w:cs=""/>
          <w:color w:val="2F3B42"/>
          <w:sz w:val="22"/>
          <w:szCs w:val="24"/>
          <w:lang w:val="en-CA" w:eastAsia="en-CA" w:bidi="ar-SA"/>
        </w:rPr>
        <w:t>12.2.4 No vessel transiting any passage faces interference from any coastal state, whatever its flag, cargo, or destination. The passages never serve as staging areas for offensive operations against any party, and no Participant State converts passage governance into strategic advantage.</w:t>
      </w:r>
    </w:p>
    <w:p>
      <w:pPr>
        <w:pStyle w:val="Heading3"/>
        <w:rPr/>
      </w:pPr>
      <w:bookmarkStart w:id="77" w:name="__RefHeading___Toc9089_4022417266"/>
      <w:bookmarkEnd w:id="77"/>
      <w:r>
        <w:rPr>
          <w:rFonts w:eastAsia="Calibri" w:cs="Calibri" w:ascii="Calibri" w:hAnsi="Calibri"/>
          <w:b/>
          <w:color w:val="1F4E5F"/>
          <w:sz w:val="22"/>
          <w:szCs w:val="24"/>
          <w:lang w:val="en-CA" w:eastAsia="en-CA" w:bidi="ar-SA"/>
        </w:rPr>
        <w:t>12.3 Excluded Measures</w:t>
      </w:r>
    </w:p>
    <w:p>
      <w:pPr>
        <w:pStyle w:val="Normal"/>
        <w:rPr/>
      </w:pPr>
      <w:r>
        <w:rPr>
          <w:rStyle w:val="DefaultParagraphFont"/>
          <w:rFonts w:eastAsia="" w:cs=""/>
          <w:color w:val="2F3B42"/>
          <w:sz w:val="22"/>
          <w:szCs w:val="24"/>
          <w:lang w:val="en-CA" w:eastAsia="en-CA" w:bidi="ar-SA"/>
        </w:rPr>
        <w:t>12.3.1 The following measures have no place anywhere in the Operating Area: tolls or charges on transit; permission regimes; boarding of transiting vessels; route assignment by flag or destination; mining; the placing of hazards; harassment by small craft; and the jamming or spoofing of navigation signals.</w:t>
      </w:r>
    </w:p>
    <w:p>
      <w:pPr>
        <w:pStyle w:val="Normal"/>
        <w:rPr/>
      </w:pPr>
      <w:r>
        <w:rPr>
          <w:rStyle w:val="DefaultParagraphFont"/>
          <w:rFonts w:eastAsia="" w:cs=""/>
          <w:color w:val="2F3B42"/>
          <w:sz w:val="22"/>
          <w:szCs w:val="24"/>
          <w:lang w:val="en-CA" w:eastAsia="en-CA" w:bidi="ar-SA"/>
        </w:rPr>
        <w:t>12.3.2 Participant States treat interference with navigation signals as an interference event under Article 31, and the Center maintains a signal-integrity watch with land-based receivers at both Mirror sites.</w:t>
      </w:r>
    </w:p>
    <w:p>
      <w:pPr>
        <w:pStyle w:val="Heading3"/>
        <w:rPr/>
      </w:pPr>
      <w:bookmarkStart w:id="78" w:name="__RefHeading___Toc9091_4022417266"/>
      <w:bookmarkEnd w:id="78"/>
      <w:r>
        <w:rPr>
          <w:rFonts w:eastAsia="Calibri" w:cs="Calibri" w:ascii="Calibri" w:hAnsi="Calibri"/>
          <w:b/>
          <w:color w:val="1F4E5F"/>
          <w:sz w:val="22"/>
          <w:szCs w:val="24"/>
          <w:lang w:val="en-CA" w:eastAsia="en-CA" w:bidi="ar-SA"/>
        </w:rPr>
        <w:t>12.4 The Protected Hold Exception</w:t>
      </w:r>
    </w:p>
    <w:p>
      <w:pPr>
        <w:pStyle w:val="Normal"/>
        <w:rPr/>
      </w:pPr>
      <w:r>
        <w:rPr>
          <w:rStyle w:val="DefaultParagraphFont"/>
          <w:rFonts w:eastAsia="" w:cs=""/>
          <w:color w:val="2F3B42"/>
          <w:sz w:val="22"/>
          <w:szCs w:val="24"/>
          <w:lang w:val="en-CA" w:eastAsia="en-CA" w:bidi="ar-SA"/>
        </w:rPr>
        <w:t>12.4.1 The only lawful pause inside the system is the Protected Hold of Article 6.4: a safety measure, area-defined, time-limited, automatically lifting, and never selective among vessels.</w:t>
      </w:r>
    </w:p>
    <w:p>
      <w:pPr>
        <w:pStyle w:val="Normal"/>
        <w:rPr/>
      </w:pPr>
      <w:r>
        <w:rPr>
          <w:rStyle w:val="DefaultParagraphFont"/>
          <w:rFonts w:eastAsia="" w:cs=""/>
          <w:color w:val="2F3B42"/>
          <w:sz w:val="22"/>
          <w:szCs w:val="24"/>
          <w:lang w:val="en-CA" w:eastAsia="en-CA" w:bidi="ar-SA"/>
        </w:rPr>
        <w:t>12.4.2 A Protected Hold applies to every vessel equally, by area and by period. The architecture excludes selective holds aimed at a flag, an owner, or a cargo's destination.</w:t>
      </w:r>
    </w:p>
    <w:p>
      <w:pPr>
        <w:pStyle w:val="Heading3"/>
        <w:rPr/>
      </w:pPr>
      <w:bookmarkStart w:id="79" w:name="__RefHeading___Toc9093_4022417266"/>
      <w:bookmarkEnd w:id="79"/>
      <w:r>
        <w:rPr>
          <w:rFonts w:eastAsia="Calibri" w:cs="Calibri" w:ascii="Calibri" w:hAnsi="Calibri"/>
          <w:b/>
          <w:color w:val="1F4E5F"/>
          <w:sz w:val="22"/>
          <w:szCs w:val="24"/>
          <w:lang w:val="en-CA" w:eastAsia="en-CA" w:bidi="ar-SA"/>
        </w:rPr>
        <w:t>12.5 Recourse</w:t>
      </w:r>
    </w:p>
    <w:p>
      <w:pPr>
        <w:pStyle w:val="Normal"/>
        <w:rPr/>
      </w:pPr>
      <w:r>
        <w:rPr>
          <w:rStyle w:val="DefaultParagraphFont"/>
          <w:rFonts w:eastAsia="" w:cs=""/>
          <w:color w:val="2F3B42"/>
          <w:sz w:val="22"/>
          <w:szCs w:val="24"/>
          <w:lang w:val="en-CA" w:eastAsia="en-CA" w:bidi="ar-SA"/>
        </w:rPr>
        <w:t>12.5.1 A master who experiences interference reports it on the incident channel, and the Thirty-Minute Position Log rule of Article 28.4 captures the event from both sides.</w:t>
      </w:r>
    </w:p>
    <w:p>
      <w:pPr>
        <w:pStyle w:val="Normal"/>
        <w:rPr/>
      </w:pPr>
      <w:r>
        <w:rPr>
          <w:rStyle w:val="DefaultParagraphFont"/>
          <w:rFonts w:eastAsia="" w:cs=""/>
          <w:color w:val="2F3B42"/>
          <w:sz w:val="22"/>
          <w:szCs w:val="24"/>
          <w:lang w:val="en-CA" w:eastAsia="en-CA" w:bidi="ar-SA"/>
        </w:rPr>
        <w:t>12.5.2 The compliance engine classifies the event within twenty-four hours, and the consequences of Article 32 follow automatically from the classification.</w:t>
      </w:r>
    </w:p>
    <w:p>
      <w:pPr>
        <w:pStyle w:val="Heading3"/>
        <w:rPr/>
      </w:pPr>
      <w:bookmarkStart w:id="80" w:name="__RefHeading___Toc9095_4022417266"/>
      <w:bookmarkEnd w:id="80"/>
      <w:r>
        <w:rPr>
          <w:rFonts w:eastAsia="Calibri" w:cs="Calibri" w:ascii="Calibri" w:hAnsi="Calibri"/>
          <w:b/>
          <w:color w:val="1F4E5F"/>
          <w:sz w:val="22"/>
          <w:szCs w:val="24"/>
          <w:lang w:val="en-CA" w:eastAsia="en-CA" w:bidi="ar-SA"/>
        </w:rPr>
        <w:t>12.6 Mine Clearance and Hazard Removal</w:t>
      </w:r>
    </w:p>
    <w:p>
      <w:pPr>
        <w:pStyle w:val="Normal"/>
        <w:rPr/>
      </w:pPr>
      <w:r>
        <w:rPr>
          <w:rStyle w:val="DefaultParagraphFont"/>
          <w:rFonts w:eastAsia="" w:cs=""/>
          <w:color w:val="2F3B42"/>
          <w:sz w:val="22"/>
          <w:szCs w:val="24"/>
          <w:lang w:val="en-CA" w:eastAsia="en-CA" w:bidi="ar-SA"/>
        </w:rPr>
        <w:t>12.6.1 Iran leads operational mine clearance along the Northern Coordination Passage and the Central International Passage, and Omani and Gulf Cooperation Council service entities support clearance along the Central-Southern approaches under the Catalog.</w:t>
      </w:r>
    </w:p>
    <w:p>
      <w:pPr>
        <w:pStyle w:val="Normal"/>
        <w:rPr/>
      </w:pPr>
      <w:r>
        <w:rPr>
          <w:rStyle w:val="DefaultParagraphFont"/>
          <w:rFonts w:eastAsia="" w:cs=""/>
          <w:color w:val="2F3B42"/>
          <w:sz w:val="22"/>
          <w:szCs w:val="24"/>
          <w:lang w:val="en-CA" w:eastAsia="en-CA" w:bidi="ar-SA"/>
        </w:rPr>
        <w:t>12.6.2 The Neutral Keel Office Observer Force verifies and certifies each clearance operation, logs every cleared contact in the incident record, and publishes clearance status in the Open Water Bulletin.</w:t>
      </w:r>
    </w:p>
    <w:p>
      <w:pPr>
        <w:pStyle w:val="Normal"/>
        <w:rPr/>
      </w:pPr>
      <w:r>
        <w:rPr>
          <w:rStyle w:val="DefaultParagraphFont"/>
          <w:rFonts w:eastAsia="" w:cs=""/>
          <w:color w:val="2F3B42"/>
          <w:sz w:val="22"/>
          <w:szCs w:val="24"/>
          <w:lang w:val="en-CA" w:eastAsia="en-CA" w:bidi="ar-SA"/>
        </w:rPr>
        <w:t>12.6.3 The architecture excludes the laying of mines and the placing of hazards anywhere in the Operating Area under Article 12.3, and a clearance operation never delays transit beyond the safety case that operation addresses.</w:t>
      </w:r>
    </w:p>
    <w:p>
      <w:pPr>
        <w:pStyle w:val="Heading2"/>
        <w:rPr/>
      </w:pPr>
      <w:bookmarkStart w:id="81" w:name="__RefHeading___Toc9097_4022417266"/>
      <w:bookmarkEnd w:id="81"/>
      <w:r>
        <w:rPr>
          <w:rFonts w:eastAsia="Calibri" w:cs="Calibri" w:ascii="Calibri" w:hAnsi="Calibri"/>
          <w:b/>
          <w:color w:val="1F4E5F"/>
          <w:sz w:val="24"/>
          <w:szCs w:val="24"/>
          <w:lang w:val="en-CA" w:eastAsia="en-CA" w:bidi="ar-SA"/>
        </w:rPr>
        <w:t>Article 13: Speed, Spacing, and Traffic Management</w:t>
      </w:r>
    </w:p>
    <w:p>
      <w:pPr>
        <w:pStyle w:val="Heading3"/>
        <w:rPr/>
      </w:pPr>
      <w:bookmarkStart w:id="82" w:name="__RefHeading___Toc9099_4022417266"/>
      <w:bookmarkEnd w:id="82"/>
      <w:r>
        <w:rPr>
          <w:rFonts w:eastAsia="Calibri" w:cs="Calibri" w:ascii="Calibri" w:hAnsi="Calibri"/>
          <w:b/>
          <w:color w:val="1F4E5F"/>
          <w:sz w:val="22"/>
          <w:szCs w:val="24"/>
          <w:lang w:val="en-CA" w:eastAsia="en-CA" w:bidi="ar-SA"/>
        </w:rPr>
        <w:t>13.1 Speed Bands</w:t>
      </w:r>
    </w:p>
    <w:p>
      <w:pPr>
        <w:pStyle w:val="Normal"/>
        <w:rPr/>
      </w:pPr>
      <w:r>
        <w:rPr>
          <w:rStyle w:val="DefaultParagraphFont"/>
          <w:rFonts w:eastAsia="" w:cs=""/>
          <w:color w:val="2F3B42"/>
          <w:sz w:val="22"/>
          <w:szCs w:val="24"/>
          <w:lang w:val="en-CA" w:eastAsia="en-CA" w:bidi="ar-SA"/>
        </w:rPr>
        <w:t>13.1.1 In Free Flow, a vessel proceeds between ten and sixteen knots in the lanes. In Managed Flow, the Center narrows the band to between nine and thirteen knots. Class F craft in the Bands proceed at their customary speeds.</w:t>
      </w:r>
    </w:p>
    <w:p>
      <w:pPr>
        <w:pStyle w:val="Normal"/>
        <w:rPr/>
      </w:pPr>
      <w:r>
        <w:rPr>
          <w:rStyle w:val="DefaultParagraphFont"/>
          <w:rFonts w:eastAsia="" w:cs=""/>
          <w:color w:val="2F3B42"/>
          <w:sz w:val="22"/>
          <w:szCs w:val="24"/>
          <w:lang w:val="en-CA" w:eastAsia="en-CA" w:bidi="ar-SA"/>
        </w:rPr>
        <w:t>13.1.2 The Center publishes any temporary speed adjustment in the Bulletin, with reasons and a stated end time.</w:t>
      </w:r>
    </w:p>
    <w:p>
      <w:pPr>
        <w:pStyle w:val="Heading3"/>
        <w:rPr/>
      </w:pPr>
      <w:bookmarkStart w:id="83" w:name="__RefHeading___Toc9101_4022417266"/>
      <w:bookmarkEnd w:id="83"/>
      <w:r>
        <w:rPr>
          <w:rFonts w:eastAsia="Calibri" w:cs="Calibri" w:ascii="Calibri" w:hAnsi="Calibri"/>
          <w:b/>
          <w:color w:val="1F4E5F"/>
          <w:sz w:val="22"/>
          <w:szCs w:val="24"/>
          <w:lang w:val="en-CA" w:eastAsia="en-CA" w:bidi="ar-SA"/>
        </w:rPr>
        <w:t>13.2 Spacing and Convoy Windows</w:t>
      </w:r>
    </w:p>
    <w:p>
      <w:pPr>
        <w:pStyle w:val="Normal"/>
        <w:rPr/>
      </w:pPr>
      <w:r>
        <w:rPr>
          <w:rStyle w:val="DefaultParagraphFont"/>
          <w:rFonts w:eastAsia="" w:cs=""/>
          <w:color w:val="2F3B42"/>
          <w:sz w:val="22"/>
          <w:szCs w:val="24"/>
          <w:lang w:val="en-CA" w:eastAsia="en-CA" w:bidi="ar-SA"/>
        </w:rPr>
        <w:t>13.2.1 Standard spacing in a lane: one nautical mile between vessels in the same direction. Class E spacing: two nautical miles. Class X spacing: a sterile bubble of five nautical miles ahead and astern, maintained by escort.</w:t>
      </w:r>
    </w:p>
    <w:p>
      <w:pPr>
        <w:pStyle w:val="Normal"/>
        <w:rPr/>
      </w:pPr>
      <w:r>
        <w:rPr>
          <w:rStyle w:val="DefaultParagraphFont"/>
          <w:rFonts w:eastAsia="" w:cs=""/>
          <w:color w:val="2F3B42"/>
          <w:sz w:val="22"/>
          <w:szCs w:val="24"/>
          <w:lang w:val="en-CA" w:eastAsia="en-CA" w:bidi="ar-SA"/>
        </w:rPr>
        <w:t>13.2.2 In Managed Flow, the Center groups entries into transit windows: Class E windows first, then Class G and P, then Class R and others. A window lasts forty-five minutes and repeats on the published cycle.</w:t>
      </w:r>
    </w:p>
    <w:p>
      <w:pPr>
        <w:pStyle w:val="Normal"/>
        <w:rPr/>
      </w:pPr>
      <w:r>
        <w:rPr>
          <w:rStyle w:val="DefaultParagraphFont"/>
          <w:rFonts w:eastAsia="" w:cs=""/>
          <w:color w:val="2F3B42"/>
          <w:sz w:val="22"/>
          <w:szCs w:val="24"/>
          <w:lang w:val="en-CA" w:eastAsia="en-CA" w:bidi="ar-SA"/>
        </w:rPr>
        <w:t>13.2.3 The Network never operates compulsory convoys. An operator who elects escorted grouping receives it through the Center, and the Fund accounts for escort cost as a Catalog service.</w:t>
      </w:r>
    </w:p>
    <w:p>
      <w:pPr>
        <w:pStyle w:val="Heading3"/>
        <w:rPr/>
      </w:pPr>
      <w:bookmarkStart w:id="84" w:name="__RefHeading___Toc9103_4022417266"/>
      <w:bookmarkEnd w:id="84"/>
      <w:r>
        <w:rPr>
          <w:rFonts w:eastAsia="Calibri" w:cs="Calibri" w:ascii="Calibri" w:hAnsi="Calibri"/>
          <w:b/>
          <w:color w:val="1F4E5F"/>
          <w:sz w:val="22"/>
          <w:szCs w:val="24"/>
          <w:lang w:val="en-CA" w:eastAsia="en-CA" w:bidi="ar-SA"/>
        </w:rPr>
        <w:t>13.3 Reporting Points</w:t>
      </w:r>
    </w:p>
    <w:p>
      <w:pPr>
        <w:pStyle w:val="Normal"/>
        <w:rPr/>
      </w:pPr>
      <w:r>
        <w:rPr>
          <w:rStyle w:val="DefaultParagraphFont"/>
          <w:rFonts w:eastAsia="" w:cs=""/>
          <w:color w:val="2F3B42"/>
          <w:sz w:val="22"/>
          <w:szCs w:val="24"/>
          <w:lang w:val="en-CA" w:eastAsia="en-CA" w:bidi="ar-SA"/>
        </w:rPr>
        <w:t>13.3.1 The Network relies on the master's voice. Each lane carries voice reporting points at entry, mid-passage, and exit, listed in Annex A, Section A.9. A vessel calls the Center on the working channel at each point: name, class, position by bearing and distance from the named reference, speed, and next point.</w:t>
      </w:r>
    </w:p>
    <w:p>
      <w:pPr>
        <w:pStyle w:val="Normal"/>
        <w:rPr/>
      </w:pPr>
      <w:r>
        <w:rPr>
          <w:rStyle w:val="DefaultParagraphFont"/>
          <w:rFonts w:eastAsia="" w:cs=""/>
          <w:color w:val="2F3B42"/>
          <w:sz w:val="22"/>
          <w:szCs w:val="24"/>
          <w:lang w:val="en-CA" w:eastAsia="en-CA" w:bidi="ar-SA"/>
        </w:rPr>
        <w:t>13.3.2 Electronic track data supplements voice reporting; it never replaces it. Where a vessel's track transmitter fails, voice reporting alone sustains the vessel's compliance record, and the Center logs the transmitter failure as an equipment note, not a violation.</w:t>
      </w:r>
    </w:p>
    <w:p>
      <w:pPr>
        <w:pStyle w:val="Normal"/>
        <w:rPr/>
      </w:pPr>
      <w:r>
        <w:rPr>
          <w:rStyle w:val="DefaultParagraphFont"/>
          <w:rFonts w:eastAsia="" w:cs=""/>
          <w:color w:val="2F3B42"/>
          <w:sz w:val="22"/>
          <w:szCs w:val="24"/>
          <w:lang w:val="en-CA" w:eastAsia="en-CA" w:bidi="ar-SA"/>
        </w:rPr>
        <w:t>13.3.3 Classes H and P report at every point. Classes E and G report at entry and exit in Free Flow, and at every point in Managed Flow. Class F reports at crossing gates. Class S reports at zone entry and exit only.</w:t>
      </w:r>
    </w:p>
    <w:p>
      <w:pPr>
        <w:pStyle w:val="Heading3"/>
        <w:rPr/>
      </w:pPr>
      <w:bookmarkStart w:id="85" w:name="__RefHeading___Toc9105_4022417266"/>
      <w:bookmarkEnd w:id="85"/>
      <w:r>
        <w:rPr>
          <w:rFonts w:eastAsia="Calibri" w:cs="Calibri" w:ascii="Calibri" w:hAnsi="Calibri"/>
          <w:b/>
          <w:color w:val="1F4E5F"/>
          <w:sz w:val="22"/>
          <w:szCs w:val="24"/>
          <w:lang w:val="en-CA" w:eastAsia="en-CA" w:bidi="ar-SA"/>
        </w:rPr>
        <w:t>13.4 Crossing and Meeting Rules</w:t>
      </w:r>
    </w:p>
    <w:p>
      <w:pPr>
        <w:pStyle w:val="Normal"/>
        <w:rPr/>
      </w:pPr>
      <w:r>
        <w:rPr>
          <w:rStyle w:val="DefaultParagraphFont"/>
          <w:rFonts w:eastAsia="" w:cs=""/>
          <w:color w:val="2F3B42"/>
          <w:sz w:val="22"/>
          <w:szCs w:val="24"/>
          <w:lang w:val="en-CA" w:eastAsia="en-CA" w:bidi="ar-SA"/>
        </w:rPr>
        <w:t>13.4.1 A vessel crosses between passages only at the crossing sectors of Annex A, Section A.7, at right angles, at minimum safe speed, after a crossing call on the working channel.</w:t>
      </w:r>
    </w:p>
    <w:p>
      <w:pPr>
        <w:pStyle w:val="Normal"/>
        <w:rPr/>
      </w:pPr>
      <w:r>
        <w:rPr>
          <w:rStyle w:val="DefaultParagraphFont"/>
          <w:rFonts w:eastAsia="" w:cs=""/>
          <w:color w:val="2F3B42"/>
          <w:sz w:val="22"/>
          <w:szCs w:val="24"/>
          <w:lang w:val="en-CA" w:eastAsia="en-CA" w:bidi="ar-SA"/>
        </w:rPr>
        <w:t>13.4.2 Class F craft cross at the crossing gates under Center direction, in groups where practical, during the gate windows the Bulletin publishes.</w:t>
      </w:r>
    </w:p>
    <w:p>
      <w:pPr>
        <w:pStyle w:val="Normal"/>
        <w:rPr/>
      </w:pPr>
      <w:r>
        <w:rPr>
          <w:rStyle w:val="DefaultParagraphFont"/>
          <w:rFonts w:eastAsia="" w:cs=""/>
          <w:color w:val="2F3B42"/>
          <w:sz w:val="22"/>
          <w:szCs w:val="24"/>
          <w:lang w:val="en-CA" w:eastAsia="en-CA" w:bidi="ar-SA"/>
        </w:rPr>
        <w:t>13.4.3 The International Regulations for Preventing Collisions at Sea govern every meeting and overtaking situation, and this framework adds only the lane, speed, and spacing rules of this Article.</w:t>
      </w:r>
    </w:p>
    <w:p>
      <w:pPr>
        <w:pStyle w:val="Heading3"/>
        <w:rPr/>
      </w:pPr>
      <w:bookmarkStart w:id="86" w:name="__RefHeading___Toc9107_4022417266"/>
      <w:bookmarkEnd w:id="86"/>
      <w:r>
        <w:rPr>
          <w:rFonts w:eastAsia="Calibri" w:cs="Calibri" w:ascii="Calibri" w:hAnsi="Calibri"/>
          <w:b/>
          <w:color w:val="1F4E5F"/>
          <w:sz w:val="22"/>
          <w:szCs w:val="24"/>
          <w:lang w:val="en-CA" w:eastAsia="en-CA" w:bidi="ar-SA"/>
        </w:rPr>
        <w:t>13.5 Night and Low-Visibility Rules</w:t>
      </w:r>
    </w:p>
    <w:p>
      <w:pPr>
        <w:pStyle w:val="Normal"/>
        <w:rPr/>
      </w:pPr>
      <w:r>
        <w:rPr>
          <w:rStyle w:val="DefaultParagraphFont"/>
          <w:rFonts w:eastAsia="" w:cs=""/>
          <w:color w:val="2F3B42"/>
          <w:sz w:val="22"/>
          <w:szCs w:val="24"/>
          <w:lang w:val="en-CA" w:eastAsia="en-CA" w:bidi="ar-SA"/>
        </w:rPr>
        <w:t>13.5.1 The passages operate at night under the same rules as by day, with mandatory radar watch and reduced spacing tolerance enforced by the Center's voice check cycle.</w:t>
      </w:r>
    </w:p>
    <w:p>
      <w:pPr>
        <w:pStyle w:val="Normal"/>
        <w:rPr/>
      </w:pPr>
      <w:r>
        <w:rPr>
          <w:rStyle w:val="DefaultParagraphFont"/>
          <w:rFonts w:eastAsia="" w:cs=""/>
          <w:color w:val="2F3B42"/>
          <w:sz w:val="22"/>
          <w:szCs w:val="24"/>
          <w:lang w:val="en-CA" w:eastAsia="en-CA" w:bidi="ar-SA"/>
        </w:rPr>
        <w:t>13.5.2 In visibility below two nautical miles, the Center shifts all three passages to Managed Flow, doubles spacing, and increases the voice reporting frequency to every reporting point for all classes except F.</w:t>
      </w:r>
    </w:p>
    <w:p>
      <w:pPr>
        <w:pStyle w:val="Heading3"/>
        <w:rPr/>
      </w:pPr>
      <w:bookmarkStart w:id="87" w:name="__RefHeading___Toc9109_4022417266"/>
      <w:bookmarkEnd w:id="87"/>
      <w:r>
        <w:rPr>
          <w:rFonts w:eastAsia="Calibri" w:cs="Calibri" w:ascii="Calibri" w:hAnsi="Calibri"/>
          <w:b/>
          <w:color w:val="1F4E5F"/>
          <w:sz w:val="22"/>
          <w:szCs w:val="24"/>
          <w:lang w:val="en-CA" w:eastAsia="en-CA" w:bidi="ar-SA"/>
        </w:rPr>
        <w:t>13.6 The Working Channels and the Voice Discipline</w:t>
      </w:r>
    </w:p>
    <w:p>
      <w:pPr>
        <w:pStyle w:val="Normal"/>
        <w:rPr/>
      </w:pPr>
      <w:r>
        <w:rPr>
          <w:rStyle w:val="DefaultParagraphFont"/>
          <w:rFonts w:eastAsia="" w:cs=""/>
          <w:color w:val="2F3B42"/>
          <w:sz w:val="22"/>
          <w:szCs w:val="24"/>
          <w:lang w:val="en-CA" w:eastAsia="en-CA" w:bidi="ar-SA"/>
        </w:rPr>
        <w:t>13.6.1 The Network operates three voice channels: the working channel for traffic calls, the incident line for reports under Article 31, and the hotline of Article 28.3 between multinational duty teams. The Bulletin publishes the channel plan, and the plan changes only by Qualified Majority decision with thirty days' notice to mariners.</w:t>
      </w:r>
    </w:p>
    <w:p>
      <w:pPr>
        <w:pStyle w:val="Normal"/>
        <w:rPr/>
      </w:pPr>
      <w:r>
        <w:rPr>
          <w:rStyle w:val="DefaultParagraphFont"/>
          <w:rFonts w:eastAsia="" w:cs=""/>
          <w:color w:val="2F3B42"/>
          <w:sz w:val="22"/>
          <w:szCs w:val="24"/>
          <w:lang w:val="en-CA" w:eastAsia="en-CA" w:bidi="ar-SA"/>
        </w:rPr>
        <w:t>13.6.2 Voice discipline follows the standard maritime format: identity first, position second, intention third. The Center answers every call with the vessel's identity and a read-back of the substance. A call without read-back counts as not received, and the calling vessel repeats after two minutes.</w:t>
      </w:r>
    </w:p>
    <w:p>
      <w:pPr>
        <w:pStyle w:val="Normal"/>
        <w:rPr/>
      </w:pPr>
      <w:r>
        <w:rPr>
          <w:rStyle w:val="DefaultParagraphFont"/>
          <w:rFonts w:eastAsia="" w:cs=""/>
          <w:color w:val="2F3B42"/>
          <w:sz w:val="22"/>
          <w:szCs w:val="24"/>
          <w:lang w:val="en-CA" w:eastAsia="en-CA" w:bidi="ar-SA"/>
        </w:rPr>
        <w:t>13.6.3 Watch relief occurs on the hour, and the outgoing multinational team briefs the incoming multinational team on every vessel inside a reporting interval, every open incident, and every active window. The multinational handover note of Article 16.3.1 records the brief.</w:t>
      </w:r>
    </w:p>
    <w:p>
      <w:pPr>
        <w:pStyle w:val="Heading1"/>
        <w:rPr/>
      </w:pPr>
      <w:bookmarkStart w:id="88" w:name="__RefHeading___Toc9111_4022417266"/>
      <w:bookmarkEnd w:id="88"/>
      <w:r>
        <w:rPr>
          <w:rFonts w:eastAsia="Cambria" w:cs="Cambria"/>
          <w:b/>
          <w:color w:val="33586A"/>
          <w:sz w:val="23"/>
          <w:szCs w:val="24"/>
          <w:lang w:val="en-CA" w:eastAsia="en-CA" w:bidi="ar-SA"/>
        </w:rPr>
        <w:t>Part III: Institutional Architecture</w:t>
      </w:r>
    </w:p>
    <w:p>
      <w:pPr>
        <w:pStyle w:val="Heading2"/>
        <w:rPr/>
      </w:pPr>
      <w:bookmarkStart w:id="89" w:name="__RefHeading___Toc9113_4022417266"/>
      <w:bookmarkEnd w:id="89"/>
      <w:r>
        <w:rPr>
          <w:rFonts w:eastAsia="Calibri" w:cs="Calibri" w:ascii="Calibri" w:hAnsi="Calibri"/>
          <w:b/>
          <w:color w:val="1F4E5F"/>
          <w:sz w:val="24"/>
          <w:szCs w:val="24"/>
          <w:lang w:val="en-CA" w:eastAsia="en-CA" w:bidi="ar-SA"/>
        </w:rPr>
        <w:t>Article 14: The Network at a Glance</w:t>
      </w:r>
    </w:p>
    <w:p>
      <w:pPr>
        <w:pStyle w:val="Heading3"/>
        <w:rPr/>
      </w:pPr>
      <w:bookmarkStart w:id="90" w:name="__RefHeading___Toc9115_4022417266"/>
      <w:bookmarkEnd w:id="90"/>
      <w:r>
        <w:rPr>
          <w:rFonts w:eastAsia="Calibri" w:cs="Calibri" w:ascii="Calibri" w:hAnsi="Calibri"/>
          <w:b/>
          <w:color w:val="1F4E5F"/>
          <w:sz w:val="22"/>
          <w:szCs w:val="24"/>
          <w:lang w:val="en-CA" w:eastAsia="en-CA" w:bidi="ar-SA"/>
        </w:rPr>
        <w:t>14.1 The Five Bodies</w:t>
      </w:r>
    </w:p>
    <w:p>
      <w:pPr>
        <w:pStyle w:val="Normal"/>
        <w:rPr/>
      </w:pPr>
      <w:r>
        <w:rPr>
          <w:rStyle w:val="DefaultParagraphFont"/>
          <w:rFonts w:eastAsia="" w:cs=""/>
          <w:color w:val="2F3B42"/>
          <w:sz w:val="22"/>
          <w:szCs w:val="24"/>
          <w:lang w:val="en-CA" w:eastAsia="en-CA" w:bidi="ar-SA"/>
        </w:rPr>
        <w:t>14.1.1 The Network operates through five bodies and two external interfaces:</w:t>
      </w:r>
    </w:p>
    <w:tbl>
      <w:tblPr>
        <w:tblStyle w:val="TableNormal"/>
        <w:tblW w:w="9026" w:type="dxa"/>
        <w:jc w:val="left"/>
        <w:tblInd w:w="0" w:type="dxa"/>
        <w:tblLayout w:type="fixed"/>
        <w:tblCellMar>
          <w:top w:w="0" w:type="dxa"/>
          <w:left w:w="108" w:type="dxa"/>
          <w:bottom w:w="0" w:type="dxa"/>
          <w:right w:w="108" w:type="dxa"/>
        </w:tblCellMar>
      </w:tblPr>
      <w:tblGrid>
        <w:gridCol w:w="3008"/>
        <w:gridCol w:w="3007"/>
        <w:gridCol w:w="3011"/>
      </w:tblGrid>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Body</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Function</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Seat</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Hormuz Maritime Assembly</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Plenary oversight, participation categories, annual envelope formula, election of Council members</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Rotates among Category I states, with an annual open session</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Composite Council</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Governance, budget, disputes, Qualified Majority decisions</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Alternating: Muscat, Bandar Abbas, Abu Dhabi, and Doha</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Meridian Coordination Center</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Daily operations: watch floor, registration desk, Bulletin, traffic</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Muscat, with Mirror Office in Bandar Abbas</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Neutral Keel Office</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Verification, observers, audits, reporting</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Muscat, co-located; roving observer teams</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Hormuz Maritime Stewardship Fund</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Finance: contributions, reimbursement, audit, publication</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Administered by the Fiduciary Administrator in Geneva</w:t>
            </w:r>
          </w:p>
        </w:tc>
      </w:tr>
    </w:tbl>
    <w:p>
      <w:pPr>
        <w:pStyle w:val="Normal"/>
        <w:rPr/>
      </w:pPr>
      <w:r>
        <w:rPr/>
      </w:r>
    </w:p>
    <w:p>
      <w:pPr>
        <w:pStyle w:val="Normal"/>
        <w:rPr/>
      </w:pPr>
      <w:r>
        <w:rPr>
          <w:rStyle w:val="DefaultParagraphFont"/>
          <w:rFonts w:eastAsia="" w:cs=""/>
          <w:color w:val="2F3B42"/>
          <w:sz w:val="22"/>
          <w:szCs w:val="24"/>
          <w:lang w:val="en-CA" w:eastAsia="en-CA" w:bidi="ar-SA"/>
        </w:rPr>
        <w:t>14.1.2 The external interfaces: the International Maritime Organization, which recognizes the scheme, hosts the distribution channel, and accredits the Neutral Keel inspection roster; and the Stakeholder Panel, which advises without governing.</w:t>
      </w:r>
    </w:p>
    <w:p>
      <w:pPr>
        <w:pStyle w:val="Normal"/>
        <w:rPr/>
      </w:pPr>
      <w:r>
        <w:rPr>
          <w:rStyle w:val="DefaultParagraphFont"/>
          <w:rFonts w:eastAsia="" w:cs=""/>
          <w:color w:val="2F3B42"/>
          <w:sz w:val="22"/>
          <w:szCs w:val="24"/>
          <w:lang w:val="en-CA" w:eastAsia="en-CA" w:bidi="ar-SA"/>
        </w:rPr>
        <w:t>14.1.3 The Central Corridor Management Board operates as a standing sub-body of the Composite Council, with equal representation of Iran, Oman, and the Gulf Cooperation Council, and holds the navigation safety mandate for the Central International Passage under Article 15.6.</w:t>
      </w:r>
    </w:p>
    <w:p>
      <w:pPr>
        <w:pStyle w:val="Heading3"/>
        <w:rPr/>
      </w:pPr>
      <w:bookmarkStart w:id="91" w:name="__RefHeading___Toc9117_4022417266"/>
      <w:bookmarkEnd w:id="91"/>
      <w:r>
        <w:rPr>
          <w:rFonts w:eastAsia="Calibri" w:cs="Calibri" w:ascii="Calibri" w:hAnsi="Calibri"/>
          <w:b/>
          <w:color w:val="1F4E5F"/>
          <w:sz w:val="22"/>
          <w:szCs w:val="24"/>
          <w:lang w:val="en-CA" w:eastAsia="en-CA" w:bidi="ar-SA"/>
        </w:rPr>
        <w:t>14.2 Design Logic</w:t>
      </w:r>
    </w:p>
    <w:p>
      <w:pPr>
        <w:pStyle w:val="Normal"/>
        <w:rPr/>
      </w:pPr>
      <w:r>
        <w:rPr>
          <w:rStyle w:val="DefaultParagraphFont"/>
          <w:rFonts w:eastAsia="" w:cs=""/>
          <w:color w:val="2F3B42"/>
          <w:sz w:val="22"/>
          <w:szCs w:val="24"/>
          <w:lang w:val="en-CA" w:eastAsia="en-CA" w:bidi="ar-SA"/>
        </w:rPr>
        <w:t>14.2.1 Governance sits above operations, operations sit beside verification, and finance sits at arm's length from all three. The Assembly supplies plenary legitimacy, the Council supplies executive balance, and the Qualified Majority Rule keeps any single state or pair of states from dominating the Network.</w:t>
      </w:r>
    </w:p>
    <w:p>
      <w:pPr>
        <w:pStyle w:val="Normal"/>
        <w:rPr/>
      </w:pPr>
      <w:r>
        <w:rPr>
          <w:rStyle w:val="DefaultParagraphFont"/>
          <w:rFonts w:eastAsia="" w:cs=""/>
          <w:color w:val="2F3B42"/>
          <w:sz w:val="22"/>
          <w:szCs w:val="24"/>
          <w:lang w:val="en-CA" w:eastAsia="en-CA" w:bidi="ar-SA"/>
        </w:rPr>
        <w:t>14.2.2 The architecture deliberately avoids a single integrated authority. Five small bodies with clean mandates cost less, fail less, and fail safely, because the Anti-Cascade Firewall of Article 18.3 isolates any failure to its own body.</w:t>
      </w:r>
    </w:p>
    <w:p>
      <w:pPr>
        <w:pStyle w:val="Heading2"/>
        <w:rPr/>
      </w:pPr>
      <w:bookmarkStart w:id="92" w:name="__RefHeading___Toc9119_4022417266"/>
      <w:bookmarkEnd w:id="92"/>
      <w:r>
        <w:rPr>
          <w:rFonts w:eastAsia="Calibri" w:cs="Calibri" w:ascii="Calibri" w:hAnsi="Calibri"/>
          <w:b/>
          <w:color w:val="1F4E5F"/>
          <w:sz w:val="24"/>
          <w:szCs w:val="24"/>
          <w:lang w:val="en-CA" w:eastAsia="en-CA" w:bidi="ar-SA"/>
        </w:rPr>
        <w:t>Article 15: The Composite Council</w:t>
      </w:r>
    </w:p>
    <w:p>
      <w:pPr>
        <w:pStyle w:val="Heading3"/>
        <w:rPr/>
      </w:pPr>
      <w:bookmarkStart w:id="93" w:name="__RefHeading___Toc9121_4022417266"/>
      <w:bookmarkEnd w:id="93"/>
      <w:r>
        <w:rPr>
          <w:rFonts w:eastAsia="Calibri" w:cs="Calibri" w:ascii="Calibri" w:hAnsi="Calibri"/>
          <w:b/>
          <w:color w:val="1F4E5F"/>
          <w:sz w:val="22"/>
          <w:szCs w:val="24"/>
          <w:lang w:val="en-CA" w:eastAsia="en-CA" w:bidi="ar-SA"/>
        </w:rPr>
        <w:t>15.1 Composition</w:t>
      </w:r>
    </w:p>
    <w:p>
      <w:pPr>
        <w:pStyle w:val="Normal"/>
        <w:rPr/>
      </w:pPr>
      <w:r>
        <w:rPr>
          <w:rStyle w:val="DefaultParagraphFont"/>
          <w:rFonts w:eastAsia="" w:cs=""/>
          <w:color w:val="2F3B42"/>
          <w:sz w:val="22"/>
          <w:szCs w:val="24"/>
          <w:lang w:val="en-CA" w:eastAsia="en-CA" w:bidi="ar-SA"/>
        </w:rPr>
        <w:t>15.1.1 The Council seats ten voting members: one permanent member appointed by each Category I Littoral State, one permanent institutional member appointed by the Gulf Cooperation Council, and five rotational members elected by the Hormuz Maritime Assembly from Category II Major User States and leading flag states. A non-voting User State advisory seat under Article 36.3.1.5 attends every session. Members hold rank of ambassador or equivalent and serve three-year terms, renewable once.</w:t>
      </w:r>
    </w:p>
    <w:p>
      <w:pPr>
        <w:pStyle w:val="Normal"/>
        <w:rPr/>
      </w:pPr>
      <w:r>
        <w:rPr>
          <w:rStyle w:val="DefaultParagraphFont"/>
          <w:rFonts w:eastAsia="" w:cs=""/>
          <w:color w:val="2F3B42"/>
          <w:sz w:val="22"/>
          <w:szCs w:val="24"/>
          <w:lang w:val="en-CA" w:eastAsia="en-CA" w:bidi="ar-SA"/>
        </w:rPr>
        <w:t>15.1.2 Category II states not holding a rotational seat attend through an observer delegation with speaking rights. The Neutral Keel Office's Director attends every session without vote. The Fiduciary Administrator attends budget sessions without vote. One International Maritime Organization representative attends as observer where the agenda touches the scheme.</w:t>
      </w:r>
    </w:p>
    <w:p>
      <w:pPr>
        <w:pStyle w:val="Heading3"/>
        <w:rPr/>
      </w:pPr>
      <w:bookmarkStart w:id="94" w:name="__RefHeading___Toc9123_4022417266"/>
      <w:bookmarkEnd w:id="94"/>
      <w:r>
        <w:rPr>
          <w:rFonts w:eastAsia="Calibri" w:cs="Calibri" w:ascii="Calibri" w:hAnsi="Calibri"/>
          <w:b/>
          <w:color w:val="1F4E5F"/>
          <w:sz w:val="22"/>
          <w:szCs w:val="24"/>
          <w:lang w:val="en-CA" w:eastAsia="en-CA" w:bidi="ar-SA"/>
        </w:rPr>
        <w:t>15.2 The Qualified Majority Rule</w:t>
      </w:r>
    </w:p>
    <w:p>
      <w:pPr>
        <w:pStyle w:val="Normal"/>
        <w:rPr/>
      </w:pPr>
      <w:r>
        <w:rPr>
          <w:rStyle w:val="DefaultParagraphFont"/>
          <w:rFonts w:eastAsia="" w:cs=""/>
          <w:color w:val="2F3B42"/>
          <w:sz w:val="22"/>
          <w:szCs w:val="24"/>
          <w:lang w:val="en-CA" w:eastAsia="en-CA" w:bidi="ar-SA"/>
        </w:rPr>
        <w:t>15.2.1 Every Council decision carries a qualified majority: the affirmative vote of a majority of all voting members and the affirmative vote of a majority of Category I Littoral State members. No decision passes through a single state, and no decision binds only one Participant State. A decision affecting the Central International Passage also carries the affirmative vote of at least two of the three corridor management groups: the Northern group, the Central group, and the Southern group.</w:t>
      </w:r>
    </w:p>
    <w:p>
      <w:pPr>
        <w:pStyle w:val="Normal"/>
        <w:rPr/>
      </w:pPr>
      <w:r>
        <w:rPr>
          <w:rStyle w:val="DefaultParagraphFont"/>
          <w:rFonts w:eastAsia="" w:cs=""/>
          <w:color w:val="2F3B42"/>
          <w:sz w:val="22"/>
          <w:szCs w:val="24"/>
          <w:lang w:val="en-CA" w:eastAsia="en-CA" w:bidi="ar-SA"/>
        </w:rPr>
        <w:t>15.2.2 The Council records every decision in a Council minute format: each minute states the decision, the Perimeter Test, the dissent if any, and the votes by participation category.</w:t>
      </w:r>
    </w:p>
    <w:p>
      <w:pPr>
        <w:pStyle w:val="Normal"/>
        <w:rPr/>
      </w:pPr>
      <w:r>
        <w:rPr>
          <w:rStyle w:val="DefaultParagraphFont"/>
          <w:rFonts w:eastAsia="" w:cs=""/>
          <w:color w:val="2F3B42"/>
          <w:sz w:val="22"/>
          <w:szCs w:val="24"/>
          <w:lang w:val="en-CA" w:eastAsia="en-CA" w:bidi="ar-SA"/>
        </w:rPr>
        <w:t>15.2.3 A matter that fails the Qualified Majority Rule twice moves to the facilitation tier of Article 33.2 with the votes recorded.</w:t>
      </w:r>
    </w:p>
    <w:p>
      <w:pPr>
        <w:pStyle w:val="Heading3"/>
        <w:rPr/>
      </w:pPr>
      <w:bookmarkStart w:id="95" w:name="__RefHeading___Toc9125_4022417266"/>
      <w:bookmarkEnd w:id="95"/>
      <w:r>
        <w:rPr>
          <w:rFonts w:eastAsia="Calibri" w:cs="Calibri" w:ascii="Calibri" w:hAnsi="Calibri"/>
          <w:b/>
          <w:color w:val="1F4E5F"/>
          <w:sz w:val="22"/>
          <w:szCs w:val="24"/>
          <w:lang w:val="en-CA" w:eastAsia="en-CA" w:bidi="ar-SA"/>
        </w:rPr>
        <w:t>15.3 Functions</w:t>
      </w:r>
    </w:p>
    <w:p>
      <w:pPr>
        <w:pStyle w:val="Normal"/>
        <w:rPr/>
      </w:pPr>
      <w:r>
        <w:rPr>
          <w:rStyle w:val="DefaultParagraphFont"/>
          <w:rFonts w:eastAsia="" w:cs=""/>
          <w:color w:val="2F3B42"/>
          <w:sz w:val="22"/>
          <w:szCs w:val="24"/>
          <w:lang w:val="en-CA" w:eastAsia="en-CA" w:bidi="ar-SA"/>
        </w:rPr>
        <w:t>15.3.1 The Council approves the annual budget within the Assembly formula and the Verified Services Catalog rates; adopts and amends Modular Protocol Annexes; appoints the Center's two Co-Directors and confirms the Neutral Keel Director; conducts the Perimeter Test on every measure; supervises the compliance engine's operation at the policy level; and represents the Network to the International Maritime Organization and to non-participant states.</w:t>
      </w:r>
    </w:p>
    <w:p>
      <w:pPr>
        <w:pStyle w:val="Normal"/>
        <w:rPr/>
      </w:pPr>
      <w:r>
        <w:rPr>
          <w:rStyle w:val="DefaultParagraphFont"/>
          <w:rFonts w:eastAsia="" w:cs=""/>
          <w:color w:val="2F3B42"/>
          <w:sz w:val="22"/>
          <w:szCs w:val="24"/>
          <w:lang w:val="en-CA" w:eastAsia="en-CA" w:bidi="ar-SA"/>
        </w:rPr>
        <w:t>15.3.2 The Council never directs a specific vessel, never interferes with a registration, and never touches the Fund's payment mechanics. Those lines keep politics away from the water.</w:t>
      </w:r>
    </w:p>
    <w:p>
      <w:pPr>
        <w:pStyle w:val="Heading3"/>
        <w:rPr/>
      </w:pPr>
      <w:bookmarkStart w:id="96" w:name="__RefHeading___Toc9127_4022417266"/>
      <w:bookmarkEnd w:id="96"/>
      <w:r>
        <w:rPr>
          <w:rFonts w:eastAsia="Calibri" w:cs="Calibri" w:ascii="Calibri" w:hAnsi="Calibri"/>
          <w:b/>
          <w:color w:val="1F4E5F"/>
          <w:sz w:val="22"/>
          <w:szCs w:val="24"/>
          <w:lang w:val="en-CA" w:eastAsia="en-CA" w:bidi="ar-SA"/>
        </w:rPr>
        <w:t>15.4 Meetings and Cadence</w:t>
      </w:r>
    </w:p>
    <w:p>
      <w:pPr>
        <w:pStyle w:val="Normal"/>
        <w:rPr/>
      </w:pPr>
      <w:r>
        <w:rPr>
          <w:rStyle w:val="DefaultParagraphFont"/>
          <w:rFonts w:eastAsia="" w:cs=""/>
          <w:color w:val="2F3B42"/>
          <w:sz w:val="22"/>
          <w:szCs w:val="24"/>
          <w:lang w:val="en-CA" w:eastAsia="en-CA" w:bidi="ar-SA"/>
        </w:rPr>
        <w:t>15.4.1 The Council meets in ordinary session on the first Monday of each quarter, rotating among the four Category I seats, and in extraordinary session within forty-eight hours of a Still Water event or any voting member's call.</w:t>
      </w:r>
    </w:p>
    <w:p>
      <w:pPr>
        <w:pStyle w:val="Normal"/>
        <w:rPr/>
      </w:pPr>
      <w:r>
        <w:rPr>
          <w:rStyle w:val="DefaultParagraphFont"/>
          <w:rFonts w:eastAsia="" w:cs=""/>
          <w:color w:val="2F3B42"/>
          <w:sz w:val="22"/>
          <w:szCs w:val="24"/>
          <w:lang w:val="en-CA" w:eastAsia="en-CA" w:bidi="ar-SA"/>
        </w:rPr>
        <w:t>15.4.2 A secure video bridge links the four Category I seats and the Center for weekly working-level synchronization between the members' designated staff.</w:t>
      </w:r>
    </w:p>
    <w:p>
      <w:pPr>
        <w:pStyle w:val="Heading3"/>
        <w:rPr/>
      </w:pPr>
      <w:bookmarkStart w:id="97" w:name="__RefHeading___Toc9129_4022417266"/>
      <w:bookmarkEnd w:id="97"/>
      <w:r>
        <w:rPr>
          <w:rFonts w:eastAsia="Calibri" w:cs="Calibri" w:ascii="Calibri" w:hAnsi="Calibri"/>
          <w:b/>
          <w:color w:val="1F4E5F"/>
          <w:sz w:val="22"/>
          <w:szCs w:val="24"/>
          <w:lang w:val="en-CA" w:eastAsia="en-CA" w:bidi="ar-SA"/>
        </w:rPr>
        <w:t>15.5 The Rotating Chair</w:t>
      </w:r>
    </w:p>
    <w:p>
      <w:pPr>
        <w:pStyle w:val="Normal"/>
        <w:rPr/>
      </w:pPr>
      <w:r>
        <w:rPr>
          <w:rStyle w:val="DefaultParagraphFont"/>
          <w:rFonts w:eastAsia="" w:cs=""/>
          <w:color w:val="2F3B42"/>
          <w:sz w:val="22"/>
          <w:szCs w:val="24"/>
          <w:lang w:val="en-CA" w:eastAsia="en-CA" w:bidi="ar-SA"/>
        </w:rPr>
        <w:t>15.5.1 The chair rotates each quarter among the ten voting members, with Category I members holding alternate turns. The chair manages the agenda and the minutes and holds no casting vote, because the Qualified Majority Rule distributes authority by design.</w:t>
      </w:r>
    </w:p>
    <w:p>
      <w:pPr>
        <w:pStyle w:val="Heading3"/>
        <w:rPr/>
      </w:pPr>
      <w:bookmarkStart w:id="98" w:name="__RefHeading___Toc9131_4022417266"/>
      <w:bookmarkEnd w:id="98"/>
      <w:r>
        <w:rPr>
          <w:rFonts w:eastAsia="Calibri" w:cs="Calibri" w:ascii="Calibri" w:hAnsi="Calibri"/>
          <w:b/>
          <w:color w:val="1F4E5F"/>
          <w:sz w:val="22"/>
          <w:szCs w:val="24"/>
          <w:lang w:val="en-CA" w:eastAsia="en-CA" w:bidi="ar-SA"/>
        </w:rPr>
        <w:t>15.6 The Central Corridor Management Board</w:t>
      </w:r>
    </w:p>
    <w:p>
      <w:pPr>
        <w:pStyle w:val="Normal"/>
        <w:rPr/>
      </w:pPr>
      <w:r>
        <w:rPr>
          <w:rStyle w:val="DefaultParagraphFont"/>
          <w:rFonts w:eastAsia="" w:cs=""/>
          <w:color w:val="2F3B42"/>
          <w:sz w:val="22"/>
          <w:szCs w:val="24"/>
          <w:lang w:val="en-CA" w:eastAsia="en-CA" w:bidi="ar-SA"/>
        </w:rPr>
        <w:t>15.6.1 The Central Corridor Management Board operates as a standing sub-body of the Council, with equal representation of the Islamic Republic of Iran, the Sultanate of Oman, and the Gulf Cooperation Council. The Board decides every matter within its mandate by consensus.</w:t>
      </w:r>
    </w:p>
    <w:p>
      <w:pPr>
        <w:pStyle w:val="Normal"/>
        <w:rPr/>
      </w:pPr>
      <w:r>
        <w:rPr>
          <w:rStyle w:val="DefaultParagraphFont"/>
          <w:rFonts w:eastAsia="" w:cs=""/>
          <w:color w:val="2F3B42"/>
          <w:sz w:val="22"/>
          <w:szCs w:val="24"/>
          <w:lang w:val="en-CA" w:eastAsia="en-CA" w:bidi="ar-SA"/>
        </w:rPr>
        <w:t>15.6.2 The Board holds the navigation safety mandate for the Central International Passage: it publishes traffic sequencing, issues hazard warnings, coordinates navigation aids, and confirms each dual-administration handover under Article 9.3.</w:t>
      </w:r>
    </w:p>
    <w:p>
      <w:pPr>
        <w:pStyle w:val="Normal"/>
        <w:rPr/>
      </w:pPr>
      <w:r>
        <w:rPr>
          <w:rStyle w:val="DefaultParagraphFont"/>
          <w:rFonts w:eastAsia="" w:cs=""/>
          <w:color w:val="2F3B42"/>
          <w:sz w:val="22"/>
          <w:szCs w:val="24"/>
          <w:lang w:val="en-CA" w:eastAsia="en-CA" w:bidi="ar-SA"/>
        </w:rPr>
        <w:t>15.6.3 The Board reports to the Council at every ordinary session, and the Council reviews Board decisions under the Qualified Majority Rule of Article 15.2.</w:t>
      </w:r>
    </w:p>
    <w:p>
      <w:pPr>
        <w:pStyle w:val="Heading2"/>
        <w:rPr/>
      </w:pPr>
      <w:bookmarkStart w:id="99" w:name="__RefHeading___Toc9133_4022417266"/>
      <w:bookmarkEnd w:id="99"/>
      <w:r>
        <w:rPr>
          <w:rFonts w:eastAsia="Calibri" w:cs="Calibri" w:ascii="Calibri" w:hAnsi="Calibri"/>
          <w:b/>
          <w:color w:val="1F4E5F"/>
          <w:sz w:val="24"/>
          <w:szCs w:val="24"/>
          <w:lang w:val="en-CA" w:eastAsia="en-CA" w:bidi="ar-SA"/>
        </w:rPr>
        <w:t>Article 16: The Meridian Coordination Center</w:t>
      </w:r>
    </w:p>
    <w:p>
      <w:pPr>
        <w:pStyle w:val="Heading3"/>
        <w:rPr/>
      </w:pPr>
      <w:bookmarkStart w:id="100" w:name="__RefHeading___Toc9135_4022417266"/>
      <w:bookmarkEnd w:id="100"/>
      <w:r>
        <w:rPr>
          <w:rFonts w:eastAsia="Calibri" w:cs="Calibri" w:ascii="Calibri" w:hAnsi="Calibri"/>
          <w:b/>
          <w:color w:val="1F4E5F"/>
          <w:sz w:val="22"/>
          <w:szCs w:val="24"/>
          <w:lang w:val="en-CA" w:eastAsia="en-CA" w:bidi="ar-SA"/>
        </w:rPr>
        <w:t>16.1 Seat and Mirror Office</w:t>
      </w:r>
    </w:p>
    <w:p>
      <w:pPr>
        <w:pStyle w:val="Normal"/>
        <w:rPr/>
      </w:pPr>
      <w:r>
        <w:rPr>
          <w:rStyle w:val="DefaultParagraphFont"/>
          <w:rFonts w:eastAsia="" w:cs=""/>
          <w:color w:val="2F3B42"/>
          <w:sz w:val="22"/>
          <w:szCs w:val="24"/>
          <w:lang w:val="en-CA" w:eastAsia="en-CA" w:bidi="ar-SA"/>
        </w:rPr>
        <w:t>16.1.1 The Center's principal seat lies in Muscat, at facilities the Sultanate of Oman provides under a host agreement. The Mirror Office lies in Bandar Abbas, at facilities the Islamic Republic of Iran provides under a matching host agreement.</w:t>
      </w:r>
    </w:p>
    <w:p>
      <w:pPr>
        <w:pStyle w:val="Normal"/>
        <w:rPr/>
      </w:pPr>
      <w:r>
        <w:rPr>
          <w:rStyle w:val="DefaultParagraphFont"/>
          <w:rFonts w:eastAsia="" w:cs=""/>
          <w:color w:val="2F3B42"/>
          <w:sz w:val="22"/>
          <w:szCs w:val="24"/>
          <w:lang w:val="en-CA" w:eastAsia="en-CA" w:bidi="ar-SA"/>
        </w:rPr>
        <w:t>16.1.2 The Mirror Office replicates the full watch floor capability of the principal seat. Either site runs the entire Network alone for up to thirty days, and the two sites drill the handover monthly.</w:t>
      </w:r>
    </w:p>
    <w:p>
      <w:pPr>
        <w:pStyle w:val="Heading3"/>
        <w:rPr/>
      </w:pPr>
      <w:bookmarkStart w:id="101" w:name="__RefHeading___Toc9137_4022417266"/>
      <w:bookmarkEnd w:id="101"/>
      <w:r>
        <w:rPr>
          <w:rFonts w:eastAsia="Calibri" w:cs="Calibri" w:ascii="Calibri" w:hAnsi="Calibri"/>
          <w:b/>
          <w:color w:val="1F4E5F"/>
          <w:sz w:val="22"/>
          <w:szCs w:val="24"/>
          <w:lang w:val="en-CA" w:eastAsia="en-CA" w:bidi="ar-SA"/>
        </w:rPr>
        <w:t>16.2 Internationally Representative Staffing</w:t>
      </w:r>
    </w:p>
    <w:p>
      <w:pPr>
        <w:pStyle w:val="Normal"/>
        <w:rPr/>
      </w:pPr>
      <w:r>
        <w:rPr>
          <w:rStyle w:val="DefaultParagraphFont"/>
          <w:rFonts w:eastAsia="" w:cs=""/>
          <w:color w:val="2F3B42"/>
          <w:sz w:val="22"/>
          <w:szCs w:val="24"/>
          <w:lang w:val="en-CA" w:eastAsia="en-CA" w:bidi="ar-SA"/>
        </w:rPr>
        <w:t>16.2.1 Operational leadership and watch functions draw nationals from all Participant States. The two Co-Directors hold different Category I nationalities and rotate through Council appointment. Each watch, registration desk, hydrography team, and legal desk includes nationals from at least two Category I states plus internationally recruited technical staff.</w:t>
      </w:r>
    </w:p>
    <w:p>
      <w:pPr>
        <w:pStyle w:val="Normal"/>
        <w:rPr/>
      </w:pPr>
      <w:r>
        <w:rPr>
          <w:rStyle w:val="DefaultParagraphFont"/>
          <w:rFonts w:eastAsia="" w:cs=""/>
          <w:color w:val="2F3B42"/>
          <w:sz w:val="22"/>
          <w:szCs w:val="24"/>
          <w:lang w:val="en-CA" w:eastAsia="en-CA" w:bidi="ar-SA"/>
        </w:rPr>
        <w:t>16.2.2 Participant States recruit additional technical staff from any nationality on merit, and the Center publishes an annual nationality and competency matrix to demonstrate multinational input and diversity.</w:t>
      </w:r>
    </w:p>
    <w:p>
      <w:pPr>
        <w:pStyle w:val="Normal"/>
        <w:rPr/>
      </w:pPr>
      <w:r>
        <w:rPr>
          <w:rStyle w:val="DefaultParagraphFont"/>
          <w:rFonts w:eastAsia="" w:cs=""/>
          <w:color w:val="2F3B42"/>
          <w:sz w:val="22"/>
          <w:szCs w:val="24"/>
          <w:lang w:val="en-CA" w:eastAsia="en-CA" w:bidi="ar-SA"/>
        </w:rPr>
        <w:t>16.2.3 Total establishment: fifty-eight permanent posts, listed in Annex I, Section I.4, plus observer logistics staff of the Neutral Keel Office.</w:t>
      </w:r>
    </w:p>
    <w:p>
      <w:pPr>
        <w:pStyle w:val="Heading3"/>
        <w:rPr/>
      </w:pPr>
      <w:bookmarkStart w:id="102" w:name="__RefHeading___Toc9139_4022417266"/>
      <w:bookmarkEnd w:id="102"/>
      <w:r>
        <w:rPr>
          <w:rFonts w:eastAsia="Calibri" w:cs="Calibri" w:ascii="Calibri" w:hAnsi="Calibri"/>
          <w:b/>
          <w:color w:val="1F4E5F"/>
          <w:sz w:val="22"/>
          <w:szCs w:val="24"/>
          <w:lang w:val="en-CA" w:eastAsia="en-CA" w:bidi="ar-SA"/>
        </w:rPr>
        <w:t>16.3 The Watch Floor</w:t>
      </w:r>
    </w:p>
    <w:p>
      <w:pPr>
        <w:pStyle w:val="Normal"/>
        <w:rPr/>
      </w:pPr>
      <w:r>
        <w:rPr>
          <w:rStyle w:val="DefaultParagraphFont"/>
          <w:rFonts w:eastAsia="" w:cs=""/>
          <w:color w:val="2F3B42"/>
          <w:sz w:val="22"/>
          <w:szCs w:val="24"/>
          <w:lang w:val="en-CA" w:eastAsia="en-CA" w:bidi="ar-SA"/>
        </w:rPr>
        <w:t>16.3.1 The watch floor operates continuously. Watches run in three eight-hour rotations, and each rotation closes with a multinational handover note signed by the duty team.</w:t>
      </w:r>
    </w:p>
    <w:p>
      <w:pPr>
        <w:pStyle w:val="Normal"/>
        <w:rPr/>
      </w:pPr>
      <w:r>
        <w:rPr>
          <w:rStyle w:val="DefaultParagraphFont"/>
          <w:rFonts w:eastAsia="" w:cs=""/>
          <w:color w:val="2F3B42"/>
          <w:sz w:val="22"/>
          <w:szCs w:val="24"/>
          <w:lang w:val="en-CA" w:eastAsia="en-CA" w:bidi="ar-SA"/>
        </w:rPr>
        <w:t>16.3.2 The watch floor maintains the working radio channels, the registration desk, the Bulletin desk, the incident log, the escort coordination board, and the search and rescue alert link.</w:t>
      </w:r>
    </w:p>
    <w:p>
      <w:pPr>
        <w:pStyle w:val="Normal"/>
        <w:rPr/>
      </w:pPr>
      <w:r>
        <w:rPr>
          <w:rStyle w:val="DefaultParagraphFont"/>
          <w:rFonts w:eastAsia="" w:cs=""/>
          <w:color w:val="2F3B42"/>
          <w:sz w:val="22"/>
          <w:szCs w:val="24"/>
          <w:lang w:val="en-CA" w:eastAsia="en-CA" w:bidi="ar-SA"/>
        </w:rPr>
        <w:t>16.3.3 The daily log records every operational act: registrations, codes, flow state changes, holds, incidents, hotline traffic, and observer movements. All Category I states and the Neutral Keel Office read the full log; Category II states read the restricted operational layer; the Bulletin publishes the public summary.</w:t>
      </w:r>
    </w:p>
    <w:p>
      <w:pPr>
        <w:pStyle w:val="Heading3"/>
        <w:rPr/>
      </w:pPr>
      <w:bookmarkStart w:id="103" w:name="__RefHeading___Toc9141_4022417266"/>
      <w:bookmarkEnd w:id="103"/>
      <w:r>
        <w:rPr>
          <w:rFonts w:eastAsia="Calibri" w:cs="Calibri" w:ascii="Calibri" w:hAnsi="Calibri"/>
          <w:b/>
          <w:color w:val="1F4E5F"/>
          <w:sz w:val="22"/>
          <w:szCs w:val="24"/>
          <w:lang w:val="en-CA" w:eastAsia="en-CA" w:bidi="ar-SA"/>
        </w:rPr>
        <w:t>16.4 Functions</w:t>
      </w:r>
    </w:p>
    <w:p>
      <w:pPr>
        <w:pStyle w:val="Normal"/>
        <w:rPr/>
      </w:pPr>
      <w:r>
        <w:rPr>
          <w:rStyle w:val="DefaultParagraphFont"/>
          <w:rFonts w:eastAsia="" w:cs=""/>
          <w:color w:val="2F3B42"/>
          <w:sz w:val="22"/>
          <w:szCs w:val="24"/>
          <w:lang w:val="en-CA" w:eastAsia="en-CA" w:bidi="ar-SA"/>
        </w:rPr>
        <w:t>16.4.1 The Center: receives and acknowledges registrations; issues Multilateral Transit Codes; operates the traffic system in all three passages; publishes the Bulletin; coordinates escorts for electing vessels; runs the crossing gates for Class F; manages the anchorages; issues Notices to Mariners jointly; and executes the Mishap Protocol of Article 28.4.</w:t>
      </w:r>
    </w:p>
    <w:p>
      <w:pPr>
        <w:pStyle w:val="Normal"/>
        <w:rPr/>
      </w:pPr>
      <w:r>
        <w:rPr>
          <w:rStyle w:val="DefaultParagraphFont"/>
          <w:rFonts w:eastAsia="" w:cs=""/>
          <w:color w:val="2F3B42"/>
          <w:sz w:val="22"/>
          <w:szCs w:val="24"/>
          <w:lang w:val="en-CA" w:eastAsia="en-CA" w:bidi="ar-SA"/>
        </w:rPr>
        <w:t>16.4.2 The Center commands no forces. Where a situation calls for a state response, the Center passes the situation to the liaison channel of the relevant Participant State, and the response occurs outside the passages per Article 12.2.</w:t>
      </w:r>
    </w:p>
    <w:p>
      <w:pPr>
        <w:pStyle w:val="Heading3"/>
        <w:rPr/>
      </w:pPr>
      <w:bookmarkStart w:id="104" w:name="__RefHeading___Toc9143_4022417266"/>
      <w:bookmarkEnd w:id="104"/>
      <w:r>
        <w:rPr>
          <w:rFonts w:eastAsia="Calibri" w:cs="Calibri" w:ascii="Calibri" w:hAnsi="Calibri"/>
          <w:b/>
          <w:color w:val="1F4E5F"/>
          <w:sz w:val="22"/>
          <w:szCs w:val="24"/>
          <w:lang w:val="en-CA" w:eastAsia="en-CA" w:bidi="ar-SA"/>
        </w:rPr>
        <w:t>16.5 The Civilian Character Clause</w:t>
      </w:r>
    </w:p>
    <w:p>
      <w:pPr>
        <w:pStyle w:val="Normal"/>
        <w:rPr/>
      </w:pPr>
      <w:r>
        <w:rPr>
          <w:rStyle w:val="DefaultParagraphFont"/>
          <w:rFonts w:eastAsia="" w:cs=""/>
          <w:color w:val="2F3B42"/>
          <w:sz w:val="22"/>
          <w:szCs w:val="24"/>
          <w:lang w:val="en-CA" w:eastAsia="en-CA" w:bidi="ar-SA"/>
        </w:rPr>
        <w:t>16.5.1 The Center, the Council secretariat, the Neutral Keel Office, and the Fund employ civilian maritime professionals exclusively. Military personnel hold no operational role in any Network body.</w:t>
      </w:r>
    </w:p>
    <w:p>
      <w:pPr>
        <w:pStyle w:val="Normal"/>
        <w:rPr/>
      </w:pPr>
      <w:r>
        <w:rPr>
          <w:rStyle w:val="DefaultParagraphFont"/>
          <w:rFonts w:eastAsia="" w:cs=""/>
          <w:color w:val="2F3B42"/>
          <w:sz w:val="22"/>
          <w:szCs w:val="24"/>
          <w:lang w:val="en-CA" w:eastAsia="en-CA" w:bidi="ar-SA"/>
        </w:rPr>
        <w:t>16.5.2 Each Category I state designates one military liaison officer at the policy level, accredited to the Council, who carries de-confliction traffic between the Center and that state's forces. Category II states maintain liaison channels through the Council secretariat. The liaison officers work in an annex separate from the watch floor and hold no command over Network staff.</w:t>
      </w:r>
    </w:p>
    <w:p>
      <w:pPr>
        <w:pStyle w:val="Normal"/>
        <w:rPr/>
      </w:pPr>
      <w:r>
        <w:rPr>
          <w:rStyle w:val="DefaultParagraphFont"/>
          <w:rFonts w:eastAsia="" w:cs=""/>
          <w:color w:val="2F3B42"/>
          <w:sz w:val="22"/>
          <w:szCs w:val="24"/>
          <w:lang w:val="en-CA" w:eastAsia="en-CA" w:bidi="ar-SA"/>
        </w:rPr>
        <w:t>16.5.3 This clause guards Register entry R-6. The Neutral Keel Office verifies staffing compliance annually and on complaint.</w:t>
      </w:r>
    </w:p>
    <w:p>
      <w:pPr>
        <w:pStyle w:val="Heading2"/>
        <w:rPr/>
      </w:pPr>
      <w:bookmarkStart w:id="105" w:name="__RefHeading___Toc9145_4022417266"/>
      <w:bookmarkEnd w:id="105"/>
      <w:r>
        <w:rPr>
          <w:rFonts w:eastAsia="Calibri" w:cs="Calibri" w:ascii="Calibri" w:hAnsi="Calibri"/>
          <w:b/>
          <w:color w:val="1F4E5F"/>
          <w:sz w:val="24"/>
          <w:szCs w:val="24"/>
          <w:lang w:val="en-CA" w:eastAsia="en-CA" w:bidi="ar-SA"/>
        </w:rPr>
        <w:t>Article 17: The Neutral Keel Office</w:t>
      </w:r>
    </w:p>
    <w:p>
      <w:pPr>
        <w:pStyle w:val="Heading3"/>
        <w:rPr/>
      </w:pPr>
      <w:bookmarkStart w:id="106" w:name="__RefHeading___Toc9147_4022417266"/>
      <w:bookmarkEnd w:id="106"/>
      <w:r>
        <w:rPr>
          <w:rFonts w:eastAsia="Calibri" w:cs="Calibri" w:ascii="Calibri" w:hAnsi="Calibri"/>
          <w:b/>
          <w:color w:val="1F4E5F"/>
          <w:sz w:val="22"/>
          <w:szCs w:val="24"/>
          <w:lang w:val="en-CA" w:eastAsia="en-CA" w:bidi="ar-SA"/>
        </w:rPr>
        <w:t>17.1 Mandate</w:t>
      </w:r>
    </w:p>
    <w:p>
      <w:pPr>
        <w:pStyle w:val="Normal"/>
        <w:rPr/>
      </w:pPr>
      <w:r>
        <w:rPr>
          <w:rStyle w:val="DefaultParagraphFont"/>
          <w:rFonts w:eastAsia="" w:cs=""/>
          <w:color w:val="2F3B42"/>
          <w:sz w:val="22"/>
          <w:szCs w:val="24"/>
          <w:lang w:val="en-CA" w:eastAsia="en-CA" w:bidi="ar-SA"/>
        </w:rPr>
        <w:t>17.1.1 The Neutral Keel Office verifies that the Network does what the framework says. It observes, audits, and reports. It never directs traffic, never boards vessels, and never classifies compliance events; classification belongs to the engine of Article 32 on the Office's inputs.</w:t>
      </w:r>
    </w:p>
    <w:p>
      <w:pPr>
        <w:pStyle w:val="Heading3"/>
        <w:rPr/>
      </w:pPr>
      <w:bookmarkStart w:id="107" w:name="__RefHeading___Toc9149_4022417266"/>
      <w:bookmarkEnd w:id="107"/>
      <w:r>
        <w:rPr>
          <w:rFonts w:eastAsia="Calibri" w:cs="Calibri" w:ascii="Calibri" w:hAnsi="Calibri"/>
          <w:b/>
          <w:color w:val="1F4E5F"/>
          <w:sz w:val="22"/>
          <w:szCs w:val="24"/>
          <w:lang w:val="en-CA" w:eastAsia="en-CA" w:bidi="ar-SA"/>
        </w:rPr>
        <w:t>17.2 Composition</w:t>
      </w:r>
    </w:p>
    <w:p>
      <w:pPr>
        <w:pStyle w:val="Normal"/>
        <w:rPr/>
      </w:pPr>
      <w:r>
        <w:rPr>
          <w:rStyle w:val="DefaultParagraphFont"/>
          <w:rFonts w:eastAsia="" w:cs=""/>
          <w:color w:val="2F3B42"/>
          <w:sz w:val="22"/>
          <w:szCs w:val="24"/>
          <w:lang w:val="en-CA" w:eastAsia="en-CA" w:bidi="ar-SA"/>
        </w:rPr>
        <w:t>17.2.1 The Office comprises a Director, a deputy, and a roster of twenty-four maritime inspectors: eight nominated by the Category I Littoral States, twelve nominated by neutral International Maritime Organization-accredited states, and four nominated by Category II Major User States, plus administrative support provided under the Swiss facilitation arrangement.</w:t>
      </w:r>
    </w:p>
    <w:p>
      <w:pPr>
        <w:pStyle w:val="Normal"/>
        <w:rPr/>
      </w:pPr>
      <w:r>
        <w:rPr>
          <w:rStyle w:val="DefaultParagraphFont"/>
          <w:rFonts w:eastAsia="" w:cs=""/>
          <w:color w:val="2F3B42"/>
          <w:sz w:val="22"/>
          <w:szCs w:val="24"/>
          <w:lang w:val="en-CA" w:eastAsia="en-CA" w:bidi="ar-SA"/>
        </w:rPr>
        <w:t>17.2.2 The Director and deputy hold no Category I nationality. Inspectors serve two-year rotations, and the Council confirms the roster on International Maritime Organization nomination and accreditation.</w:t>
      </w:r>
    </w:p>
    <w:p>
      <w:pPr>
        <w:pStyle w:val="Heading3"/>
        <w:rPr/>
      </w:pPr>
      <w:bookmarkStart w:id="108" w:name="__RefHeading___Toc9151_4022417266"/>
      <w:bookmarkEnd w:id="108"/>
      <w:r>
        <w:rPr>
          <w:rFonts w:eastAsia="Calibri" w:cs="Calibri" w:ascii="Calibri" w:hAnsi="Calibri"/>
          <w:b/>
          <w:color w:val="1F4E5F"/>
          <w:sz w:val="22"/>
          <w:szCs w:val="24"/>
          <w:lang w:val="en-CA" w:eastAsia="en-CA" w:bidi="ar-SA"/>
        </w:rPr>
        <w:t>17.3 Embarked Observers</w:t>
      </w:r>
    </w:p>
    <w:p>
      <w:pPr>
        <w:pStyle w:val="Normal"/>
        <w:rPr/>
      </w:pPr>
      <w:r>
        <w:rPr>
          <w:rStyle w:val="DefaultParagraphFont"/>
          <w:rFonts w:eastAsia="" w:cs=""/>
          <w:color w:val="2F3B42"/>
          <w:sz w:val="22"/>
          <w:szCs w:val="24"/>
          <w:lang w:val="en-CA" w:eastAsia="en-CA" w:bidi="ar-SA"/>
        </w:rPr>
        <w:t>17.3.1 The Office embarks observers on transiting vessels, on Network service craft, and at both watch floors, on a published rota. Embarkation on a commercial vessel occurs with the master's consent; the Registry of Article 23 treats consent as a listed-vessel practice.</w:t>
      </w:r>
    </w:p>
    <w:p>
      <w:pPr>
        <w:pStyle w:val="Normal"/>
        <w:rPr/>
      </w:pPr>
      <w:r>
        <w:rPr>
          <w:rStyle w:val="DefaultParagraphFont"/>
          <w:rFonts w:eastAsia="" w:cs=""/>
          <w:color w:val="2F3B42"/>
          <w:sz w:val="22"/>
          <w:szCs w:val="24"/>
          <w:lang w:val="en-CA" w:eastAsia="en-CA" w:bidi="ar-SA"/>
        </w:rPr>
        <w:t>17.3.2 An embarked observer records passage conduct, service delivery, and any interference event, and files the observation to the daily log within twelve hours.</w:t>
      </w:r>
    </w:p>
    <w:p>
      <w:pPr>
        <w:pStyle w:val="Heading3"/>
        <w:rPr/>
      </w:pPr>
      <w:bookmarkStart w:id="109" w:name="__RefHeading___Toc9153_4022417266"/>
      <w:bookmarkEnd w:id="109"/>
      <w:r>
        <w:rPr>
          <w:rFonts w:eastAsia="Calibri" w:cs="Calibri" w:ascii="Calibri" w:hAnsi="Calibri"/>
          <w:b/>
          <w:color w:val="1F4E5F"/>
          <w:sz w:val="22"/>
          <w:szCs w:val="24"/>
          <w:lang w:val="en-CA" w:eastAsia="en-CA" w:bidi="ar-SA"/>
        </w:rPr>
        <w:t>17.4 Reporting</w:t>
      </w:r>
    </w:p>
    <w:p>
      <w:pPr>
        <w:pStyle w:val="Normal"/>
        <w:rPr/>
      </w:pPr>
      <w:r>
        <w:rPr>
          <w:rStyle w:val="DefaultParagraphFont"/>
          <w:rFonts w:eastAsia="" w:cs=""/>
          <w:color w:val="2F3B42"/>
          <w:sz w:val="22"/>
          <w:szCs w:val="24"/>
          <w:lang w:val="en-CA" w:eastAsia="en-CA" w:bidi="ar-SA"/>
        </w:rPr>
        <w:t>17.4.1 The Office publishes: a weekly observation summary; a monthly registration-desk audit under Article 8.2.4; a quarterly Ledger cross-check under Article 22.5; and an annual Register integrity report under Article 5.3.3.</w:t>
      </w:r>
    </w:p>
    <w:p>
      <w:pPr>
        <w:pStyle w:val="Normal"/>
        <w:rPr/>
      </w:pPr>
      <w:r>
        <w:rPr>
          <w:rStyle w:val="DefaultParagraphFont"/>
          <w:rFonts w:eastAsia="" w:cs=""/>
          <w:color w:val="2F3B42"/>
          <w:sz w:val="22"/>
          <w:szCs w:val="24"/>
          <w:lang w:val="en-CA" w:eastAsia="en-CA" w:bidi="ar-SA"/>
        </w:rPr>
        <w:t>17.4.2 Every report follows the Convergence Standard of Article 27.2, names its evidence inputs, and reaches all Category I states, the Council, and the International Maritime Organization simultaneously, with restricted distribution to Category II states according to Article 36.3.</w:t>
      </w:r>
    </w:p>
    <w:p>
      <w:pPr>
        <w:pStyle w:val="Heading3"/>
        <w:rPr/>
      </w:pPr>
      <w:bookmarkStart w:id="110" w:name="__RefHeading___Toc9155_4022417266"/>
      <w:bookmarkEnd w:id="110"/>
      <w:r>
        <w:rPr>
          <w:rFonts w:eastAsia="Calibri" w:cs="Calibri" w:ascii="Calibri" w:hAnsi="Calibri"/>
          <w:b/>
          <w:color w:val="1F4E5F"/>
          <w:sz w:val="22"/>
          <w:szCs w:val="24"/>
          <w:lang w:val="en-CA" w:eastAsia="en-CA" w:bidi="ar-SA"/>
        </w:rPr>
        <w:t>17.5 Independence Safeguards</w:t>
      </w:r>
    </w:p>
    <w:p>
      <w:pPr>
        <w:pStyle w:val="Normal"/>
        <w:rPr/>
      </w:pPr>
      <w:r>
        <w:rPr>
          <w:rStyle w:val="DefaultParagraphFont"/>
          <w:rFonts w:eastAsia="" w:cs=""/>
          <w:color w:val="2F3B42"/>
          <w:sz w:val="22"/>
          <w:szCs w:val="24"/>
          <w:lang w:val="en-CA" w:eastAsia="en-CA" w:bidi="ar-SA"/>
        </w:rPr>
        <w:t>17.5.1 The Fund pays Office costs directly as a first call on revenue, ahead of all service reimbursement. No Participant State suspends, reduces, or delays Office funding for any reason.</w:t>
      </w:r>
    </w:p>
    <w:p>
      <w:pPr>
        <w:pStyle w:val="Normal"/>
        <w:rPr/>
      </w:pPr>
      <w:r>
        <w:rPr>
          <w:rStyle w:val="DefaultParagraphFont"/>
          <w:rFonts w:eastAsia="" w:cs=""/>
          <w:color w:val="2F3B42"/>
          <w:sz w:val="22"/>
          <w:szCs w:val="24"/>
          <w:lang w:val="en-CA" w:eastAsia="en-CA" w:bidi="ar-SA"/>
        </w:rPr>
        <w:t>17.5.2 The Director reports to the Council as a body, never to one Participant State, and removal activates a Qualified Majority decision recorded with reasons plus International Maritime Organization concurrence.</w:t>
      </w:r>
    </w:p>
    <w:p>
      <w:pPr>
        <w:pStyle w:val="Normal"/>
        <w:rPr/>
      </w:pPr>
      <w:r>
        <w:rPr>
          <w:rStyle w:val="DefaultParagraphFont"/>
          <w:rFonts w:eastAsia="" w:cs=""/>
          <w:color w:val="2F3B42"/>
          <w:sz w:val="22"/>
          <w:szCs w:val="24"/>
          <w:lang w:val="en-CA" w:eastAsia="en-CA" w:bidi="ar-SA"/>
        </w:rPr>
        <w:t>17.5.3 An inspector who files a report in good faith enjoys full protection; a demonstrably false report triggers the false-report consequence of Annex E, Section E.6, which the Council applies identically to every nationality.</w:t>
      </w:r>
    </w:p>
    <w:p>
      <w:pPr>
        <w:pStyle w:val="Heading2"/>
        <w:rPr/>
      </w:pPr>
      <w:bookmarkStart w:id="111" w:name="__RefHeading___Toc9157_4022417266"/>
      <w:bookmarkEnd w:id="111"/>
      <w:r>
        <w:rPr>
          <w:rFonts w:eastAsia="Calibri" w:cs="Calibri" w:ascii="Calibri" w:hAnsi="Calibri"/>
          <w:b/>
          <w:color w:val="1F4E5F"/>
          <w:sz w:val="22"/>
          <w:szCs w:val="24"/>
          <w:lang w:val="en-CA" w:eastAsia="en-CA" w:bidi="ar-SA"/>
        </w:rPr>
        <w:t>Article 18: Decision Rules and the Modular Protocol Annexes</w:t>
      </w:r>
    </w:p>
    <w:p>
      <w:pPr>
        <w:pStyle w:val="Heading3"/>
        <w:rPr/>
      </w:pPr>
      <w:bookmarkStart w:id="112" w:name="__RefHeading___Toc9159_4022417266"/>
      <w:bookmarkEnd w:id="112"/>
      <w:r>
        <w:rPr>
          <w:rFonts w:eastAsia="Cambria" w:cs="Cambria"/>
          <w:b/>
          <w:color w:val="33586A"/>
          <w:sz w:val="23"/>
          <w:szCs w:val="24"/>
          <w:lang w:val="en-CA" w:eastAsia="en-CA" w:bidi="ar-SA"/>
        </w:rPr>
        <w:t>18.1 Consensus and Collective Decision</w:t>
      </w:r>
    </w:p>
    <w:p>
      <w:pPr>
        <w:pStyle w:val="Normal"/>
        <w:rPr/>
      </w:pPr>
      <w:r>
        <w:rPr>
          <w:rStyle w:val="DefaultParagraphFont"/>
          <w:rFonts w:eastAsia="" w:cs=""/>
          <w:color w:val="2F3B42"/>
          <w:sz w:val="22"/>
          <w:szCs w:val="24"/>
          <w:lang w:val="en-CA" w:eastAsia="en-CA" w:bidi="ar-SA"/>
        </w:rPr>
        <w:t>18.1.1 The Council seeks consensus in form and reaches decisions in substance through the Qualified Majority Rule. Where the members disagree on drafting, the Council minute records the formulations, and the facilitation tier of Article 33.2 assists.</w:t>
      </w:r>
    </w:p>
    <w:p>
      <w:pPr>
        <w:pStyle w:val="Heading3"/>
        <w:rPr/>
      </w:pPr>
      <w:bookmarkStart w:id="113" w:name="__RefHeading___Toc9161_4022417266"/>
      <w:bookmarkEnd w:id="113"/>
      <w:r>
        <w:rPr>
          <w:rFonts w:eastAsia="Cambria" w:cs="Cambria"/>
          <w:b/>
          <w:color w:val="33586A"/>
          <w:sz w:val="23"/>
          <w:szCs w:val="24"/>
          <w:lang w:val="en-CA" w:eastAsia="en-CA" w:bidi="ar-SA"/>
        </w:rPr>
        <w:t>18.2 The Modular Protocol Annexes</w:t>
      </w:r>
    </w:p>
    <w:p>
      <w:pPr>
        <w:pStyle w:val="Normal"/>
        <w:rPr/>
      </w:pPr>
      <w:r>
        <w:rPr>
          <w:rStyle w:val="DefaultParagraphFont"/>
          <w:rFonts w:eastAsia="" w:cs=""/>
          <w:color w:val="2F3B42"/>
          <w:sz w:val="22"/>
          <w:szCs w:val="24"/>
          <w:lang w:val="en-CA" w:eastAsia="en-CA" w:bidi="ar-SA"/>
        </w:rPr>
        <w:t>18.2.1 Each annex of this framework operates as a self-contained protocol module. A module contains its own definitions, procedures, and review cycle, and it enters, upgrades, downgrades, or leaves operation through Council decision without disturbing any other module.</w:t>
      </w:r>
    </w:p>
    <w:p>
      <w:pPr>
        <w:pStyle w:val="Normal"/>
        <w:rPr/>
      </w:pPr>
      <w:r>
        <w:rPr>
          <w:rStyle w:val="DefaultParagraphFont"/>
          <w:rFonts w:eastAsia="" w:cs=""/>
          <w:color w:val="2F3B42"/>
          <w:sz w:val="22"/>
          <w:szCs w:val="24"/>
          <w:lang w:val="en-CA" w:eastAsia="en-CA" w:bidi="ar-SA"/>
        </w:rPr>
        <w:t>18.2.2 Participant States activate modules in the phases of Article 35. A module active in a later phase still binds Participant States in its drafting form as a political commitment from signature.</w:t>
      </w:r>
    </w:p>
    <w:p>
      <w:pPr>
        <w:pStyle w:val="Heading3"/>
        <w:rPr/>
      </w:pPr>
      <w:bookmarkStart w:id="114" w:name="__RefHeading___Toc9163_4022417266"/>
      <w:bookmarkEnd w:id="114"/>
      <w:r>
        <w:rPr>
          <w:rFonts w:eastAsia="Cambria" w:cs="Cambria"/>
          <w:b/>
          <w:color w:val="33586A"/>
          <w:sz w:val="23"/>
          <w:szCs w:val="24"/>
          <w:lang w:val="en-CA" w:eastAsia="en-CA" w:bidi="ar-SA"/>
        </w:rPr>
        <w:t>18.3 The Anti-Cascade Firewall</w:t>
      </w:r>
    </w:p>
    <w:p>
      <w:pPr>
        <w:pStyle w:val="Normal"/>
        <w:rPr/>
      </w:pPr>
      <w:r>
        <w:rPr>
          <w:rStyle w:val="DefaultParagraphFont"/>
          <w:rFonts w:eastAsia="" w:cs=""/>
          <w:color w:val="2F3B42"/>
          <w:sz w:val="22"/>
          <w:szCs w:val="24"/>
          <w:lang w:val="en-CA" w:eastAsia="en-CA" w:bidi="ar-SA"/>
        </w:rPr>
        <w:t>18.3.1 The failure, suspension, or breach of one module never suspends another module. The flow state of one passage never depends on the others; a dispute over the Catalog never touches search and rescue; a Registry dispute never touches the Bulletin.</w:t>
      </w:r>
    </w:p>
    <w:p>
      <w:pPr>
        <w:pStyle w:val="Normal"/>
        <w:rPr/>
      </w:pPr>
      <w:r>
        <w:rPr>
          <w:rStyle w:val="DefaultParagraphFont"/>
          <w:rFonts w:eastAsia="" w:cs=""/>
          <w:color w:val="2F3B42"/>
          <w:sz w:val="22"/>
          <w:szCs w:val="24"/>
          <w:lang w:val="en-CA" w:eastAsia="en-CA" w:bidi="ar-SA"/>
        </w:rPr>
        <w:t>18.3.2 The compliance engine of Article 32 classifies events module by module, and consequences attach to the module concerned alone.</w:t>
      </w:r>
    </w:p>
    <w:p>
      <w:pPr>
        <w:pStyle w:val="Heading3"/>
        <w:rPr/>
      </w:pPr>
      <w:bookmarkStart w:id="115" w:name="__RefHeading___Toc9165_4022417266"/>
      <w:bookmarkEnd w:id="115"/>
      <w:r>
        <w:rPr>
          <w:rFonts w:eastAsia="Cambria" w:cs="Cambria"/>
          <w:b/>
          <w:color w:val="33586A"/>
          <w:sz w:val="23"/>
          <w:szCs w:val="24"/>
          <w:lang w:val="en-CA" w:eastAsia="en-CA" w:bidi="ar-SA"/>
        </w:rPr>
        <w:t>18.4 The Dignified Deactivation Protocol</w:t>
      </w:r>
    </w:p>
    <w:p>
      <w:pPr>
        <w:pStyle w:val="Normal"/>
        <w:rPr/>
      </w:pPr>
      <w:r>
        <w:rPr>
          <w:rStyle w:val="DefaultParagraphFont"/>
          <w:rFonts w:eastAsia="" w:cs=""/>
          <w:color w:val="2F3B42"/>
          <w:sz w:val="22"/>
          <w:szCs w:val="24"/>
          <w:lang w:val="en-CA" w:eastAsia="en-CA" w:bidi="ar-SA"/>
        </w:rPr>
        <w:t>18.4.1 Where experience shows a module no longer serves, the Council deactivates it deliberately: a Qualified Majority decision, ninety days' notice, a final performance report, an orderly handover of the module's functions, and an honorable record in the Network archive.</w:t>
      </w:r>
    </w:p>
    <w:p>
      <w:pPr>
        <w:pStyle w:val="Normal"/>
        <w:rPr/>
      </w:pPr>
      <w:r>
        <w:rPr>
          <w:rStyle w:val="DefaultParagraphFont"/>
          <w:rFonts w:eastAsia="" w:cs=""/>
          <w:color w:val="2F3B42"/>
          <w:sz w:val="22"/>
          <w:szCs w:val="24"/>
          <w:lang w:val="en-CA" w:eastAsia="en-CA" w:bidi="ar-SA"/>
        </w:rPr>
        <w:t>18.4.2 Deactivation of a module never deactivates its accumulated Performance Reserve credit, which transfers to the surviving modules of the same functional family, per Article 32.3.</w:t>
      </w:r>
    </w:p>
    <w:p>
      <w:pPr>
        <w:pStyle w:val="Normal"/>
        <w:rPr/>
      </w:pPr>
      <w:r>
        <w:rPr>
          <w:rStyle w:val="DefaultParagraphFont"/>
          <w:rFonts w:eastAsia="" w:cs=""/>
          <w:color w:val="2F3B42"/>
          <w:sz w:val="22"/>
          <w:szCs w:val="24"/>
          <w:lang w:val="en-CA" w:eastAsia="en-CA" w:bidi="ar-SA"/>
        </w:rPr>
        <w:t>18.4.3 Participant States treat deactivation as normal adaptation, not as failure. The framework grows by rotation and review, never by crisis amendment.</w:t>
      </w:r>
    </w:p>
    <w:p>
      <w:pPr>
        <w:pStyle w:val="Heading2"/>
        <w:rPr/>
      </w:pPr>
      <w:bookmarkStart w:id="116" w:name="__RefHeading___Toc9167_4022417266"/>
      <w:bookmarkEnd w:id="116"/>
      <w:r>
        <w:rPr>
          <w:rFonts w:eastAsia="Calibri" w:cs="Calibri" w:ascii="Calibri" w:hAnsi="Calibri"/>
          <w:b/>
          <w:color w:val="1F4E5F"/>
          <w:sz w:val="22"/>
          <w:szCs w:val="24"/>
          <w:lang w:val="en-CA" w:eastAsia="en-CA" w:bidi="ar-SA"/>
        </w:rPr>
        <w:t>Article 19: Observers and Stakeholder Participation</w:t>
      </w:r>
    </w:p>
    <w:p>
      <w:pPr>
        <w:pStyle w:val="Heading3"/>
        <w:rPr/>
      </w:pPr>
      <w:bookmarkStart w:id="117" w:name="__RefHeading___Toc9169_4022417266"/>
      <w:bookmarkEnd w:id="117"/>
      <w:r>
        <w:rPr>
          <w:rFonts w:eastAsia="Cambria" w:cs="Cambria"/>
          <w:b/>
          <w:color w:val="33586A"/>
          <w:sz w:val="23"/>
          <w:szCs w:val="24"/>
          <w:lang w:val="en-CA" w:eastAsia="en-CA" w:bidi="ar-SA"/>
        </w:rPr>
        <w:t>19.1 The International Maritime Organization Interface</w:t>
      </w:r>
    </w:p>
    <w:p>
      <w:pPr>
        <w:pStyle w:val="Normal"/>
        <w:rPr/>
      </w:pPr>
      <w:r>
        <w:rPr>
          <w:rStyle w:val="DefaultParagraphFont"/>
          <w:rFonts w:eastAsia="" w:cs=""/>
          <w:color w:val="2F3B42"/>
          <w:sz w:val="22"/>
          <w:szCs w:val="24"/>
          <w:lang w:val="en-CA" w:eastAsia="en-CA" w:bidi="ar-SA"/>
        </w:rPr>
        <w:t>19.1.1 Participant States jointly notify the scheme geometry to the International Maritime Organization, maintain the scheme's international recognition, and host an annual International Maritime Organization technical visit.</w:t>
      </w:r>
    </w:p>
    <w:p>
      <w:pPr>
        <w:pStyle w:val="Normal"/>
        <w:rPr/>
      </w:pPr>
      <w:r>
        <w:rPr>
          <w:rStyle w:val="DefaultParagraphFont"/>
          <w:rFonts w:eastAsia="" w:cs=""/>
          <w:color w:val="2F3B42"/>
          <w:sz w:val="22"/>
          <w:szCs w:val="24"/>
          <w:lang w:val="en-CA" w:eastAsia="en-CA" w:bidi="ar-SA"/>
        </w:rPr>
        <w:t>19.1.2 The International Maritime Organization accreditation of the Neutral Keel roster and the use of its distribution channel for the Bulletin give the Network its technical legitimacy without giving any external body a governing vote.</w:t>
      </w:r>
    </w:p>
    <w:p>
      <w:pPr>
        <w:pStyle w:val="Heading3"/>
        <w:rPr/>
      </w:pPr>
      <w:bookmarkStart w:id="118" w:name="__RefHeading___Toc9171_4022417266"/>
      <w:bookmarkEnd w:id="118"/>
      <w:r>
        <w:rPr>
          <w:rFonts w:eastAsia="Cambria" w:cs="Cambria"/>
          <w:b/>
          <w:color w:val="33586A"/>
          <w:sz w:val="23"/>
          <w:szCs w:val="24"/>
          <w:lang w:val="en-CA" w:eastAsia="en-CA" w:bidi="ar-SA"/>
        </w:rPr>
        <w:t>19.2 The Stakeholder Panel</w:t>
      </w:r>
    </w:p>
    <w:p>
      <w:pPr>
        <w:pStyle w:val="Normal"/>
        <w:rPr/>
      </w:pPr>
      <w:r>
        <w:rPr>
          <w:rStyle w:val="DefaultParagraphFont"/>
          <w:rFonts w:eastAsia="" w:cs=""/>
          <w:color w:val="2F3B42"/>
          <w:sz w:val="22"/>
          <w:szCs w:val="24"/>
          <w:lang w:val="en-CA" w:eastAsia="en-CA" w:bidi="ar-SA"/>
        </w:rPr>
        <w:t>19.2.1 The Panel seats sixteen advisory members: four flag-state maritime administrations, four shipowner and operator associations, two protection and indemnity club representatives, two port authority representatives, two Category II state representatives, one Category III state representative, and one International Maritime Organization technical liaison.</w:t>
      </w:r>
    </w:p>
    <w:p>
      <w:pPr>
        <w:pStyle w:val="Normal"/>
        <w:rPr/>
      </w:pPr>
      <w:r>
        <w:rPr>
          <w:rStyle w:val="DefaultParagraphFont"/>
          <w:rFonts w:eastAsia="" w:cs=""/>
          <w:color w:val="2F3B42"/>
          <w:sz w:val="22"/>
          <w:szCs w:val="24"/>
          <w:lang w:val="en-CA" w:eastAsia="en-CA" w:bidi="ar-SA"/>
        </w:rPr>
        <w:t>19.2.2 The Panel meets twice a year with the Council, reviews the Bulletin statistics, the Catalog rates, and the Registry operation, and files advisory opinions. The Council answers every opinion in the Council minutes within sixty days.</w:t>
      </w:r>
    </w:p>
    <w:p>
      <w:pPr>
        <w:pStyle w:val="Normal"/>
        <w:rPr/>
      </w:pPr>
      <w:r>
        <w:rPr>
          <w:rStyle w:val="DefaultParagraphFont"/>
          <w:rFonts w:eastAsia="" w:cs=""/>
          <w:color w:val="2F3B42"/>
          <w:sz w:val="22"/>
          <w:szCs w:val="24"/>
          <w:lang w:val="en-CA" w:eastAsia="en-CA" w:bidi="ar-SA"/>
        </w:rPr>
        <w:t>19.2.3 Panel members see the operational picture and speak for the users. They hold no vote, no veto, and no operational role.</w:t>
      </w:r>
    </w:p>
    <w:p>
      <w:pPr>
        <w:pStyle w:val="Heading3"/>
        <w:rPr/>
      </w:pPr>
      <w:bookmarkStart w:id="119" w:name="__RefHeading___Toc9173_4022417266"/>
      <w:bookmarkEnd w:id="119"/>
      <w:r>
        <w:rPr>
          <w:rFonts w:eastAsia="Cambria" w:cs="Cambria"/>
          <w:b/>
          <w:color w:val="33586A"/>
          <w:sz w:val="23"/>
          <w:szCs w:val="24"/>
          <w:lang w:val="en-CA" w:eastAsia="en-CA" w:bidi="ar-SA"/>
        </w:rPr>
        <w:t>19.3 No External Command</w:t>
      </w:r>
    </w:p>
    <w:p>
      <w:pPr>
        <w:pStyle w:val="Normal"/>
        <w:rPr/>
      </w:pPr>
      <w:r>
        <w:rPr>
          <w:rStyle w:val="DefaultParagraphFont"/>
          <w:rFonts w:eastAsia="" w:cs=""/>
          <w:color w:val="2F3B42"/>
          <w:sz w:val="22"/>
          <w:szCs w:val="24"/>
          <w:lang w:val="en-CA" w:eastAsia="en-CA" w:bidi="ar-SA"/>
        </w:rPr>
        <w:t>19.3.1 No external state or body commands any element of the Network. External participation occurs through the interfaces this Article defines, and the architecture routes every external request through the Council under the Qualified Majority Rule.</w:t>
      </w:r>
    </w:p>
    <w:p>
      <w:pPr>
        <w:pStyle w:val="Heading1"/>
        <w:rPr/>
      </w:pPr>
      <w:bookmarkStart w:id="120" w:name="__RefHeading___Toc9175_4022417266"/>
      <w:bookmarkEnd w:id="120"/>
      <w:r>
        <w:rPr>
          <w:rFonts w:eastAsia="Cambria" w:cs="Cambria"/>
          <w:b/>
          <w:color w:val="33586A"/>
          <w:sz w:val="23"/>
          <w:szCs w:val="24"/>
          <w:lang w:val="en-CA" w:eastAsia="en-CA" w:bidi="ar-SA"/>
        </w:rPr>
        <w:t>Part IV: Financial Architecture: The Settlement of the Toll Question</w:t>
      </w:r>
    </w:p>
    <w:p>
      <w:pPr>
        <w:pStyle w:val="Heading2"/>
        <w:rPr/>
      </w:pPr>
      <w:bookmarkStart w:id="121" w:name="__RefHeading___Toc9177_4022417266"/>
      <w:bookmarkEnd w:id="121"/>
      <w:r>
        <w:rPr>
          <w:rFonts w:eastAsia="Calibri" w:cs="Calibri" w:ascii="Calibri" w:hAnsi="Calibri"/>
          <w:b/>
          <w:color w:val="1F4E5F"/>
          <w:sz w:val="22"/>
          <w:szCs w:val="24"/>
          <w:lang w:val="en-CA" w:eastAsia="en-CA" w:bidi="ar-SA"/>
        </w:rPr>
        <w:t>Article 20: The Settlement at a Glance</w:t>
      </w:r>
    </w:p>
    <w:p>
      <w:pPr>
        <w:pStyle w:val="Heading3"/>
        <w:rPr/>
      </w:pPr>
      <w:bookmarkStart w:id="122" w:name="__RefHeading___Toc9179_4022417266"/>
      <w:bookmarkEnd w:id="122"/>
      <w:r>
        <w:rPr>
          <w:rFonts w:eastAsia="Cambria" w:cs="Cambria"/>
          <w:b/>
          <w:color w:val="33586A"/>
          <w:sz w:val="23"/>
          <w:szCs w:val="24"/>
          <w:lang w:val="en-CA" w:eastAsia="en-CA" w:bidi="ar-SA"/>
        </w:rPr>
        <w:t>20.1 Design Logic</w:t>
      </w:r>
    </w:p>
    <w:p>
      <w:pPr>
        <w:pStyle w:val="Normal"/>
        <w:rPr/>
      </w:pPr>
      <w:r>
        <w:rPr>
          <w:rStyle w:val="DefaultParagraphFont"/>
          <w:rFonts w:eastAsia="" w:cs=""/>
          <w:color w:val="2F3B42"/>
          <w:sz w:val="22"/>
          <w:szCs w:val="24"/>
          <w:lang w:val="en-CA" w:eastAsia="en-CA" w:bidi="ar-SA"/>
        </w:rPr>
        <w:t>20.1.1 The toll question dissolves when the framework separates three things that conflict had fused: the right of passage, which stays free; the cost of services, which the Fund reimburses against documentation; and the recognition of the littoral and user-state role, which the architecture expresses through institutions and revenue, not through gatekeeping.</w:t>
      </w:r>
    </w:p>
    <w:p>
      <w:pPr>
        <w:pStyle w:val="Normal"/>
        <w:rPr/>
      </w:pPr>
      <w:r>
        <w:rPr>
          <w:rStyle w:val="DefaultParagraphFont"/>
          <w:rFonts w:eastAsia="" w:cs=""/>
          <w:color w:val="2F3B42"/>
          <w:sz w:val="22"/>
          <w:szCs w:val="24"/>
          <w:lang w:val="en-CA" w:eastAsia="en-CA" w:bidi="ar-SA"/>
        </w:rPr>
        <w:t>20.1.2 Money flows in one direction through one channel: contributors pay the Fund; the Fund pays Participant States against verified service invoices. No shipper ever pays any Participant State directly, and no payment of any kind stands as a condition of transit.</w:t>
      </w:r>
    </w:p>
    <w:p>
      <w:pPr>
        <w:pStyle w:val="Heading3"/>
        <w:rPr/>
      </w:pPr>
      <w:bookmarkStart w:id="123" w:name="__RefHeading___Toc9181_4022417266"/>
      <w:bookmarkEnd w:id="123"/>
      <w:r>
        <w:rPr>
          <w:rFonts w:eastAsia="Cambria" w:cs="Cambria"/>
          <w:b/>
          <w:color w:val="33586A"/>
          <w:sz w:val="23"/>
          <w:szCs w:val="24"/>
          <w:lang w:val="en-CA" w:eastAsia="en-CA" w:bidi="ar-SA"/>
        </w:rPr>
        <w:t>20.2 The Six Channels</w:t>
      </w:r>
    </w:p>
    <w:p>
      <w:pPr>
        <w:pStyle w:val="Normal"/>
        <w:rPr/>
      </w:pPr>
      <w:r>
        <w:rPr>
          <w:rStyle w:val="DefaultParagraphFont"/>
          <w:rFonts w:eastAsia="" w:cs=""/>
          <w:color w:val="2F3B42"/>
          <w:sz w:val="22"/>
          <w:szCs w:val="24"/>
          <w:lang w:val="en-CA" w:eastAsia="en-CA" w:bidi="ar-SA"/>
        </w:rPr>
        <w:t>20.2.1 The Fund draws revenue from six voluntary and market-based channels, and Article 26 fixes the annual envelope formula:</w:t>
      </w:r>
    </w:p>
    <w:tbl>
      <w:tblPr>
        <w:tblStyle w:val="TableNormal"/>
        <w:tblW w:w="9026" w:type="dxa"/>
        <w:jc w:val="left"/>
        <w:tblInd w:w="0" w:type="dxa"/>
        <w:tblLayout w:type="fixed"/>
        <w:tblCellMar>
          <w:top w:w="0" w:type="dxa"/>
          <w:left w:w="108" w:type="dxa"/>
          <w:bottom w:w="0" w:type="dxa"/>
          <w:right w:w="108" w:type="dxa"/>
        </w:tblCellMar>
      </w:tblPr>
      <w:tblGrid>
        <w:gridCol w:w="2256"/>
        <w:gridCol w:w="2256"/>
        <w:gridCol w:w="2255"/>
        <w:gridCol w:w="2258"/>
      </w:tblGrid>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Channel</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Contributor</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Basis</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Article</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Assurance Registry</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Vessel owners and operators</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Annual listing contribution by vessel class</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23</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Route Assurance Data Service</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Insurers, clubs, charterers, energy desks</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Subscription for route verification data</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24</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Transit User Contribution</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Major user states</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Annual contribution scaled by shipping tonnage and Gulf energy imports</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25.1</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Flag and industry contributions</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Flag states and industry associations</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Annual solidarity contribution, Malacca precedent</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25.1</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Port processing add-on</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Origin and destination ports</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Small documentation processing component on Gulf calls</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25.2</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Voluntary service contributions</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Vessels, operators, and user states</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Optional service contribution for navigation safety, environmental protection, and search and rescue, on the Malacca model</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23</w:t>
            </w:r>
          </w:p>
        </w:tc>
      </w:tr>
    </w:tbl>
    <w:p>
      <w:pPr>
        <w:pStyle w:val="Normal"/>
        <w:rPr/>
      </w:pPr>
      <w:r>
        <w:rPr/>
      </w:r>
    </w:p>
    <w:p>
      <w:pPr>
        <w:pStyle w:val="Normal"/>
        <w:rPr/>
      </w:pPr>
      <w:r>
        <w:rPr>
          <w:rStyle w:val="DefaultParagraphFont"/>
          <w:rFonts w:eastAsia="" w:cs=""/>
          <w:color w:val="2F3B42"/>
          <w:sz w:val="22"/>
          <w:szCs w:val="24"/>
          <w:lang w:val="en-CA" w:eastAsia="en-CA" w:bidi="ar-SA"/>
        </w:rPr>
        <w:t>20.2.2 Every channel shares one property: participation is voluntary in law and compelling in economics. The market, not the Network, makes contribution attractive.</w:t>
      </w:r>
    </w:p>
    <w:p>
      <w:pPr>
        <w:pStyle w:val="Heading2"/>
        <w:rPr/>
      </w:pPr>
      <w:bookmarkStart w:id="124" w:name="__RefHeading___Toc9183_4022417266"/>
      <w:bookmarkEnd w:id="124"/>
      <w:r>
        <w:rPr>
          <w:rFonts w:eastAsia="Calibri" w:cs="Calibri" w:ascii="Calibri" w:hAnsi="Calibri"/>
          <w:b/>
          <w:color w:val="1F4E5F"/>
          <w:sz w:val="22"/>
          <w:szCs w:val="24"/>
          <w:lang w:val="en-CA" w:eastAsia="en-CA" w:bidi="ar-SA"/>
        </w:rPr>
        <w:t>Article 21: The Zero-Toll Rule</w:t>
      </w:r>
    </w:p>
    <w:p>
      <w:pPr>
        <w:pStyle w:val="Heading3"/>
        <w:rPr/>
      </w:pPr>
      <w:bookmarkStart w:id="125" w:name="__RefHeading___Toc9185_4022417266"/>
      <w:bookmarkEnd w:id="125"/>
      <w:r>
        <w:rPr>
          <w:rFonts w:eastAsia="Cambria" w:cs="Cambria"/>
          <w:b/>
          <w:color w:val="33586A"/>
          <w:sz w:val="23"/>
          <w:szCs w:val="24"/>
          <w:lang w:val="en-CA" w:eastAsia="en-CA" w:bidi="ar-SA"/>
        </w:rPr>
        <w:t>21.1 The Rule</w:t>
      </w:r>
    </w:p>
    <w:p>
      <w:pPr>
        <w:pStyle w:val="Normal"/>
        <w:rPr/>
      </w:pPr>
      <w:r>
        <w:rPr>
          <w:rStyle w:val="DefaultParagraphFont"/>
          <w:rFonts w:eastAsia="" w:cs=""/>
          <w:color w:val="2F3B42"/>
          <w:sz w:val="22"/>
          <w:szCs w:val="24"/>
          <w:lang w:val="en-CA" w:eastAsia="en-CA" w:bidi="ar-SA"/>
        </w:rPr>
        <w:t>21.1.1 Transit through all three passages carries no charge of any kind: no toll, no fee, no due, no levy, no deposit, no bond, and no disguised equivalent, for any vessel of any class, in any flow state, at any time.</w:t>
      </w:r>
    </w:p>
    <w:p>
      <w:pPr>
        <w:pStyle w:val="Normal"/>
        <w:rPr/>
      </w:pPr>
      <w:r>
        <w:rPr>
          <w:rStyle w:val="DefaultParagraphFont"/>
          <w:rFonts w:eastAsia="" w:cs=""/>
          <w:color w:val="2F3B42"/>
          <w:sz w:val="22"/>
          <w:szCs w:val="24"/>
          <w:lang w:val="en-CA" w:eastAsia="en-CA" w:bidi="ar-SA"/>
        </w:rPr>
        <w:t>21.1.2 The rule covers direct and indirect collection alike. The architecture excludes collection at the point of transit, collection conditioned on transit, and collection framed as a precondition for safety, for a code, or for a window.</w:t>
      </w:r>
    </w:p>
    <w:p>
      <w:pPr>
        <w:pStyle w:val="Heading3"/>
        <w:rPr/>
      </w:pPr>
      <w:bookmarkStart w:id="126" w:name="__RefHeading___Toc9187_4022417266"/>
      <w:bookmarkEnd w:id="126"/>
      <w:r>
        <w:rPr>
          <w:rFonts w:eastAsia="Cambria" w:cs="Cambria"/>
          <w:b/>
          <w:color w:val="33586A"/>
          <w:sz w:val="23"/>
          <w:szCs w:val="24"/>
          <w:lang w:val="en-CA" w:eastAsia="en-CA" w:bidi="ar-SA"/>
        </w:rPr>
        <w:t>21.2 The Three Distinctions</w:t>
      </w:r>
    </w:p>
    <w:p>
      <w:pPr>
        <w:pStyle w:val="Normal"/>
        <w:rPr/>
      </w:pPr>
      <w:r>
        <w:rPr>
          <w:rStyle w:val="DefaultParagraphFont"/>
          <w:rFonts w:eastAsia="" w:cs=""/>
          <w:color w:val="2F3B42"/>
          <w:sz w:val="22"/>
          <w:szCs w:val="24"/>
          <w:lang w:val="en-CA" w:eastAsia="en-CA" w:bidi="ar-SA"/>
        </w:rPr>
        <w:t>21.2.1 Passage versus services: passage is the act of moving through the strait, and it remains free; services are the named, verifiable works in the Verified Services Catalog, and the Fund reimburses their documented cost.</w:t>
      </w:r>
    </w:p>
    <w:p>
      <w:pPr>
        <w:pStyle w:val="Normal"/>
        <w:rPr/>
      </w:pPr>
      <w:r>
        <w:rPr>
          <w:rStyle w:val="DefaultParagraphFont"/>
          <w:rFonts w:eastAsia="" w:cs=""/>
          <w:color w:val="2F3B42"/>
          <w:sz w:val="22"/>
          <w:szCs w:val="24"/>
          <w:lang w:val="en-CA" w:eastAsia="en-CA" w:bidi="ar-SA"/>
        </w:rPr>
        <w:t>21.2.2 Payment versus reimbursement: a payment for passage flows from a shipper to a coastal state as a condition of transit, and the architecture excludes it; a reimbursement flows from an independent international fund to a service provider after verified delivery, and the framework organizes it.</w:t>
      </w:r>
    </w:p>
    <w:p>
      <w:pPr>
        <w:pStyle w:val="Normal"/>
        <w:rPr/>
      </w:pPr>
      <w:r>
        <w:rPr>
          <w:rStyle w:val="DefaultParagraphFont"/>
          <w:rFonts w:eastAsia="" w:cs=""/>
          <w:color w:val="2F3B42"/>
          <w:sz w:val="22"/>
          <w:szCs w:val="24"/>
          <w:lang w:val="en-CA" w:eastAsia="en-CA" w:bidi="ar-SA"/>
        </w:rPr>
        <w:t>21.2.3 Toll versus voluntary service contribution: a toll charges passage itself, and the architecture excludes it; a voluntary service contribution funds named navigation safety, environmental protection, and search and rescue services under Article 23, remains optional for every vessel, and never conditions passage. A vessel that contributes nothing transits freely.</w:t>
      </w:r>
    </w:p>
    <w:p>
      <w:pPr>
        <w:pStyle w:val="Heading3"/>
        <w:rPr/>
      </w:pPr>
      <w:bookmarkStart w:id="127" w:name="__RefHeading___Toc9189_4022417266"/>
      <w:bookmarkEnd w:id="127"/>
      <w:r>
        <w:rPr>
          <w:rFonts w:eastAsia="Cambria" w:cs="Cambria"/>
          <w:b/>
          <w:color w:val="33586A"/>
          <w:sz w:val="23"/>
          <w:szCs w:val="24"/>
          <w:lang w:val="en-CA" w:eastAsia="en-CA" w:bidi="ar-SA"/>
        </w:rPr>
        <w:t>21.3 The Prohibited Instruments List</w:t>
      </w:r>
    </w:p>
    <w:p>
      <w:pPr>
        <w:pStyle w:val="Normal"/>
        <w:rPr/>
      </w:pPr>
      <w:r>
        <w:rPr>
          <w:rStyle w:val="DefaultParagraphFont"/>
          <w:rFonts w:eastAsia="" w:cs=""/>
          <w:color w:val="2F3B42"/>
          <w:sz w:val="22"/>
          <w:szCs w:val="24"/>
          <w:lang w:val="en-CA" w:eastAsia="en-CA" w:bidi="ar-SA"/>
        </w:rPr>
        <w:t>21.3.1 The following instruments have no place in the Network: transit tolls; safe passage fees; permit charges; security bonds as a condition of transit; mandatory insurance surcharges collected at the strait; block or volume passage tariffs; and any payment, in any currency or kind, from a vessel or its interests to any Participant State or to any entity of any Participant State, in connection with transit.</w:t>
      </w:r>
    </w:p>
    <w:p>
      <w:pPr>
        <w:pStyle w:val="Normal"/>
        <w:rPr/>
      </w:pPr>
      <w:r>
        <w:rPr>
          <w:rStyle w:val="DefaultParagraphFont"/>
          <w:rFonts w:eastAsia="" w:cs=""/>
          <w:color w:val="2F3B42"/>
          <w:sz w:val="22"/>
          <w:szCs w:val="24"/>
          <w:lang w:val="en-CA" w:eastAsia="en-CA" w:bidi="ar-SA"/>
        </w:rPr>
        <w:t>21.3.2 The Neutral Keel Office and the Fund's auditor each hold authority to flag any instrument that walks like a toll, and the Council resolves the flag under the Perimeter Test.</w:t>
      </w:r>
    </w:p>
    <w:p>
      <w:pPr>
        <w:pStyle w:val="Heading2"/>
        <w:rPr/>
      </w:pPr>
      <w:bookmarkStart w:id="128" w:name="__RefHeading___Toc9191_4022417266"/>
      <w:bookmarkEnd w:id="128"/>
      <w:r>
        <w:rPr>
          <w:rFonts w:eastAsia="Calibri" w:cs="Calibri" w:ascii="Calibri" w:hAnsi="Calibri"/>
          <w:b/>
          <w:color w:val="1F4E5F"/>
          <w:sz w:val="22"/>
          <w:szCs w:val="24"/>
          <w:lang w:val="en-CA" w:eastAsia="en-CA" w:bidi="ar-SA"/>
        </w:rPr>
        <w:t>Article 22: The Hormuz Maritime Stewardship Fund</w:t>
      </w:r>
    </w:p>
    <w:p>
      <w:pPr>
        <w:pStyle w:val="Heading3"/>
        <w:rPr/>
      </w:pPr>
      <w:bookmarkStart w:id="129" w:name="__RefHeading___Toc9193_4022417266"/>
      <w:bookmarkEnd w:id="129"/>
      <w:r>
        <w:rPr>
          <w:rFonts w:eastAsia="Cambria" w:cs="Cambria"/>
          <w:b/>
          <w:color w:val="33586A"/>
          <w:sz w:val="23"/>
          <w:szCs w:val="24"/>
          <w:lang w:val="en-CA" w:eastAsia="en-CA" w:bidi="ar-SA"/>
        </w:rPr>
        <w:t>22.1 Establishment and Legal Personality</w:t>
      </w:r>
    </w:p>
    <w:p>
      <w:pPr>
        <w:pStyle w:val="Normal"/>
        <w:rPr/>
      </w:pPr>
      <w:r>
        <w:rPr>
          <w:rStyle w:val="DefaultParagraphFont"/>
          <w:rFonts w:eastAsia="" w:cs=""/>
          <w:color w:val="2F3B42"/>
          <w:sz w:val="22"/>
          <w:szCs w:val="24"/>
          <w:lang w:val="en-CA" w:eastAsia="en-CA" w:bidi="ar-SA"/>
        </w:rPr>
        <w:t>22.1.1 Participant States establish the Hormuz Maritime Stewardship Fund as an independent international fund with legal personality under Swiss law, recognized by the United Nations and the International Maritime Organization as the strait's cooperative financing mechanism, following the cooperative precedents of other major straits.</w:t>
      </w:r>
    </w:p>
    <w:p>
      <w:pPr>
        <w:pStyle w:val="Normal"/>
        <w:rPr/>
      </w:pPr>
      <w:r>
        <w:rPr>
          <w:rStyle w:val="DefaultParagraphFont"/>
          <w:rFonts w:eastAsia="" w:cs=""/>
          <w:color w:val="2F3B42"/>
          <w:sz w:val="22"/>
          <w:szCs w:val="24"/>
          <w:lang w:val="en-CA" w:eastAsia="en-CA" w:bidi="ar-SA"/>
        </w:rPr>
        <w:t>22.1.2 The Fund holds accounts with a Swiss fiduciary agent, operates in United States dollars and Swiss francs for accounting, and accepts contributions from all beneficiary states in the currencies its Board approves.</w:t>
      </w:r>
    </w:p>
    <w:p>
      <w:pPr>
        <w:pStyle w:val="Heading3"/>
        <w:rPr/>
      </w:pPr>
      <w:bookmarkStart w:id="130" w:name="__RefHeading___Toc9195_4022417266"/>
      <w:bookmarkEnd w:id="130"/>
      <w:r>
        <w:rPr>
          <w:rFonts w:eastAsia="Cambria" w:cs="Cambria"/>
          <w:b/>
          <w:color w:val="33586A"/>
          <w:sz w:val="23"/>
          <w:szCs w:val="24"/>
          <w:lang w:val="en-CA" w:eastAsia="en-CA" w:bidi="ar-SA"/>
        </w:rPr>
        <w:t>22.2 The Fiduciary Administrator</w:t>
      </w:r>
    </w:p>
    <w:p>
      <w:pPr>
        <w:pStyle w:val="Normal"/>
        <w:rPr/>
      </w:pPr>
      <w:r>
        <w:rPr>
          <w:rStyle w:val="DefaultParagraphFont"/>
          <w:rFonts w:eastAsia="" w:cs=""/>
          <w:color w:val="2F3B42"/>
          <w:sz w:val="22"/>
          <w:szCs w:val="24"/>
          <w:lang w:val="en-CA" w:eastAsia="en-CA" w:bidi="ar-SA"/>
        </w:rPr>
        <w:t>22.2.1 A Swiss fiduciary agent administers the Fund under contract: it receives contributions, holds accounts, pays verified invoices, maintains the audit trail, and publishes the accounts.</w:t>
      </w:r>
    </w:p>
    <w:p>
      <w:pPr>
        <w:pStyle w:val="Normal"/>
        <w:rPr/>
      </w:pPr>
      <w:r>
        <w:rPr>
          <w:rStyle w:val="DefaultParagraphFont"/>
          <w:rFonts w:eastAsia="" w:cs=""/>
          <w:color w:val="2F3B42"/>
          <w:sz w:val="22"/>
          <w:szCs w:val="24"/>
          <w:lang w:val="en-CA" w:eastAsia="en-CA" w:bidi="ar-SA"/>
        </w:rPr>
        <w:t>22.2.2 The Administrator acts on the Fund Board's standing instructions and on the auditor's verification certificates. It never exercises discretion over policy, and its fees come off the top as a Catalog administration item.</w:t>
      </w:r>
    </w:p>
    <w:p>
      <w:pPr>
        <w:pStyle w:val="Heading3"/>
        <w:rPr/>
      </w:pPr>
      <w:bookmarkStart w:id="131" w:name="__RefHeading___Toc9197_4022417266"/>
      <w:bookmarkEnd w:id="131"/>
      <w:r>
        <w:rPr>
          <w:rFonts w:eastAsia="Cambria" w:cs="Cambria"/>
          <w:b/>
          <w:color w:val="33586A"/>
          <w:sz w:val="23"/>
          <w:szCs w:val="24"/>
          <w:lang w:val="en-CA" w:eastAsia="en-CA" w:bidi="ar-SA"/>
        </w:rPr>
        <w:t>22.3 The Fund Board</w:t>
      </w:r>
    </w:p>
    <w:p>
      <w:pPr>
        <w:pStyle w:val="Normal"/>
        <w:rPr/>
      </w:pPr>
      <w:r>
        <w:rPr>
          <w:rStyle w:val="DefaultParagraphFont"/>
          <w:rFonts w:eastAsia="" w:cs=""/>
          <w:color w:val="2F3B42"/>
          <w:sz w:val="22"/>
          <w:szCs w:val="24"/>
          <w:lang w:val="en-CA" w:eastAsia="en-CA" w:bidi="ar-SA"/>
        </w:rPr>
        <w:t>22.3.1 The Board seats nine voting members: four nominated by the Category I Littoral States, two elected by Category II Major User States, one nominated by leading flag states through the Assembly, one nominated by the International Maritime Organization, and one nominated by the Stakeholder Panel, plus the Administrator without vote.</w:t>
      </w:r>
    </w:p>
    <w:p>
      <w:pPr>
        <w:pStyle w:val="Normal"/>
        <w:rPr/>
      </w:pPr>
      <w:r>
        <w:rPr>
          <w:rStyle w:val="DefaultParagraphFont"/>
          <w:rFonts w:eastAsia="" w:cs=""/>
          <w:color w:val="2F3B42"/>
          <w:sz w:val="22"/>
          <w:szCs w:val="24"/>
          <w:lang w:val="en-CA" w:eastAsia="en-CA" w:bidi="ar-SA"/>
        </w:rPr>
        <w:t>22.3.2 The Board approves the annual envelope within the Assembly formula, the Catalog rates, and the audit arrangements within the limits the Council sets, and it reports to the Council and the Assembly quarterly.</w:t>
      </w:r>
    </w:p>
    <w:p>
      <w:pPr>
        <w:pStyle w:val="Heading3"/>
        <w:rPr/>
      </w:pPr>
      <w:bookmarkStart w:id="132" w:name="__RefHeading___Toc9199_4022417266"/>
      <w:bookmarkEnd w:id="132"/>
      <w:r>
        <w:rPr>
          <w:rFonts w:eastAsia="Cambria" w:cs="Cambria"/>
          <w:b/>
          <w:color w:val="33586A"/>
          <w:sz w:val="23"/>
          <w:szCs w:val="24"/>
          <w:lang w:val="en-CA" w:eastAsia="en-CA" w:bidi="ar-SA"/>
        </w:rPr>
        <w:t>22.4 The Verified Services Catalog</w:t>
      </w:r>
    </w:p>
    <w:p>
      <w:pPr>
        <w:pStyle w:val="Normal"/>
        <w:rPr/>
      </w:pPr>
      <w:r>
        <w:rPr>
          <w:rStyle w:val="DefaultParagraphFont"/>
          <w:rFonts w:eastAsia="" w:cs=""/>
          <w:color w:val="2F3B42"/>
          <w:sz w:val="22"/>
          <w:szCs w:val="24"/>
          <w:lang w:val="en-CA" w:eastAsia="en-CA" w:bidi="ar-SA"/>
        </w:rPr>
        <w:t>22.4.1 The Catalog lists every reimbursable service with a definition, a unit, a documentary evidence standard, and a rate band. Annex C carries the full Catalog. The service families: traffic management; registration desk operation; hazard surveys and buoy maintenance; hydrographic survey and charting; search and rescue readiness; pollution response readiness; escort coordination; observer program support; Bulletin and data services; and administration.</w:t>
      </w:r>
    </w:p>
    <w:p>
      <w:pPr>
        <w:pStyle w:val="Normal"/>
        <w:rPr/>
      </w:pPr>
      <w:r>
        <w:rPr>
          <w:rStyle w:val="DefaultParagraphFont"/>
          <w:rFonts w:eastAsia="" w:cs=""/>
          <w:color w:val="2F3B42"/>
          <w:sz w:val="22"/>
          <w:szCs w:val="24"/>
          <w:lang w:val="en-CA" w:eastAsia="en-CA" w:bidi="ar-SA"/>
        </w:rPr>
        <w:t>22.4.2 A service enters the Catalog only with a measurable output and an evidence standard. A service leaves the Catalog only through the annual rate review or the Dignified Deactivation Protocol.</w:t>
      </w:r>
    </w:p>
    <w:p>
      <w:pPr>
        <w:pStyle w:val="Heading3"/>
        <w:rPr/>
      </w:pPr>
      <w:bookmarkStart w:id="133" w:name="__RefHeading___Toc9201_4022417266"/>
      <w:bookmarkEnd w:id="133"/>
      <w:r>
        <w:rPr>
          <w:rFonts w:eastAsia="Cambria" w:cs="Cambria"/>
          <w:b/>
          <w:color w:val="33586A"/>
          <w:sz w:val="23"/>
          <w:szCs w:val="24"/>
          <w:lang w:val="en-CA" w:eastAsia="en-CA" w:bidi="ar-SA"/>
        </w:rPr>
        <w:t>22.5 Invoicing and Reimbursement</w:t>
      </w:r>
    </w:p>
    <w:p>
      <w:pPr>
        <w:pStyle w:val="Normal"/>
        <w:rPr/>
      </w:pPr>
      <w:r>
        <w:rPr>
          <w:rStyle w:val="DefaultParagraphFont"/>
          <w:rFonts w:eastAsia="" w:cs=""/>
          <w:color w:val="2F3B42"/>
          <w:sz w:val="22"/>
          <w:szCs w:val="24"/>
          <w:lang w:val="en-CA" w:eastAsia="en-CA" w:bidi="ar-SA"/>
        </w:rPr>
        <w:t>22.5.1 Each Participant State's designated service entities invoice the Fund quarterly against the Catalog, with the evidence pack the Catalog specifies for each service: patrol logs, survey reports, readiness rosters, response records.</w:t>
      </w:r>
    </w:p>
    <w:p>
      <w:pPr>
        <w:pStyle w:val="Normal"/>
        <w:rPr/>
      </w:pPr>
      <w:r>
        <w:rPr>
          <w:rStyle w:val="DefaultParagraphFont"/>
          <w:rFonts w:eastAsia="" w:cs=""/>
          <w:color w:val="2F3B42"/>
          <w:sz w:val="22"/>
          <w:szCs w:val="24"/>
          <w:lang w:val="en-CA" w:eastAsia="en-CA" w:bidi="ar-SA"/>
        </w:rPr>
        <w:t>22.5.2 The Fund's auditor verifies each invoice against the evidence pack and the Neutral Keel cross-check, and the Administrator pays verified invoices within thirty days.</w:t>
      </w:r>
    </w:p>
    <w:p>
      <w:pPr>
        <w:pStyle w:val="Normal"/>
        <w:rPr/>
      </w:pPr>
      <w:r>
        <w:rPr>
          <w:rStyle w:val="DefaultParagraphFont"/>
          <w:rFonts w:eastAsia="" w:cs=""/>
          <w:color w:val="2F3B42"/>
          <w:sz w:val="22"/>
          <w:szCs w:val="24"/>
          <w:lang w:val="en-CA" w:eastAsia="en-CA" w:bidi="ar-SA"/>
        </w:rPr>
        <w:t>22.5.3 The Multilateral Services Ledger records, quarterly, the services each Participant State delivered, the reimbursements each received, and the contribution channels' performance. The Ledger exists to keep the exchange honest, not to enforce symmetry; Article 3.4 governs its interpretation.</w:t>
      </w:r>
    </w:p>
    <w:p>
      <w:pPr>
        <w:pStyle w:val="Normal"/>
        <w:rPr/>
      </w:pPr>
      <w:r>
        <w:rPr>
          <w:rStyle w:val="DefaultParagraphFont"/>
          <w:rFonts w:eastAsia="" w:cs=""/>
          <w:color w:val="2F3B42"/>
          <w:sz w:val="22"/>
          <w:szCs w:val="24"/>
          <w:lang w:val="en-CA" w:eastAsia="en-CA" w:bidi="ar-SA"/>
        </w:rPr>
        <w:t>22.5.4 The Fund holds a dedicated escrow sub-account for Central Corridor service reimbursements. The sub-account allocates 60 percent of Central Corridor service reimbursements to the Islamic Republic of Iran and 40 percent to the Sultanate of Oman against verified service invoices under the Catalog, and the quarterly audit publishes the split.</w:t>
      </w:r>
    </w:p>
    <w:p>
      <w:pPr>
        <w:pStyle w:val="Heading3"/>
        <w:rPr/>
      </w:pPr>
      <w:bookmarkStart w:id="134" w:name="__RefHeading___Toc9203_4022417266"/>
      <w:bookmarkEnd w:id="134"/>
      <w:r>
        <w:rPr>
          <w:rFonts w:eastAsia="Cambria" w:cs="Cambria"/>
          <w:b/>
          <w:color w:val="33586A"/>
          <w:sz w:val="23"/>
          <w:szCs w:val="24"/>
          <w:lang w:val="en-CA" w:eastAsia="en-CA" w:bidi="ar-SA"/>
        </w:rPr>
        <w:t>22.6 The Quarterly Audit</w:t>
      </w:r>
    </w:p>
    <w:p>
      <w:pPr>
        <w:pStyle w:val="Normal"/>
        <w:rPr/>
      </w:pPr>
      <w:r>
        <w:rPr>
          <w:rStyle w:val="DefaultParagraphFont"/>
          <w:rFonts w:eastAsia="" w:cs=""/>
          <w:color w:val="2F3B42"/>
          <w:sz w:val="22"/>
          <w:szCs w:val="24"/>
          <w:lang w:val="en-CA" w:eastAsia="en-CA" w:bidi="ar-SA"/>
        </w:rPr>
        <w:t>22.6.1 An independent international audit firm audits the Fund quarterly and annually, and the annual audit accompanies the Fund's public report.</w:t>
      </w:r>
    </w:p>
    <w:p>
      <w:pPr>
        <w:pStyle w:val="Normal"/>
        <w:rPr/>
      </w:pPr>
      <w:r>
        <w:rPr>
          <w:rStyle w:val="DefaultParagraphFont"/>
          <w:rFonts w:eastAsia="" w:cs=""/>
          <w:color w:val="2F3B42"/>
          <w:sz w:val="22"/>
          <w:szCs w:val="24"/>
          <w:lang w:val="en-CA" w:eastAsia="en-CA" w:bidi="ar-SA"/>
        </w:rPr>
        <w:t>22.6.2 The audit verifies three things with equal rigor: that no revenue carries the character of a transit charge; that every reimbursement matches verified service delivery; and that the firewall of Article 26.3 holds end to end.</w:t>
      </w:r>
    </w:p>
    <w:p>
      <w:pPr>
        <w:pStyle w:val="Heading2"/>
        <w:rPr/>
      </w:pPr>
      <w:bookmarkStart w:id="135" w:name="__RefHeading___Toc9205_4022417266"/>
      <w:bookmarkEnd w:id="135"/>
      <w:r>
        <w:rPr>
          <w:rFonts w:eastAsia="Calibri" w:cs="Calibri" w:ascii="Calibri" w:hAnsi="Calibri"/>
          <w:b/>
          <w:color w:val="1F4E5F"/>
          <w:sz w:val="22"/>
          <w:szCs w:val="24"/>
          <w:lang w:val="en-CA" w:eastAsia="en-CA" w:bidi="ar-SA"/>
        </w:rPr>
        <w:t>Article 23: The Assurance Registry</w:t>
      </w:r>
    </w:p>
    <w:p>
      <w:pPr>
        <w:pStyle w:val="Heading3"/>
        <w:rPr/>
      </w:pPr>
      <w:bookmarkStart w:id="136" w:name="__RefHeading___Toc9207_4022417266"/>
      <w:bookmarkEnd w:id="136"/>
      <w:r>
        <w:rPr>
          <w:rFonts w:eastAsia="Cambria" w:cs="Cambria"/>
          <w:b/>
          <w:color w:val="33586A"/>
          <w:sz w:val="23"/>
          <w:szCs w:val="24"/>
          <w:lang w:val="en-CA" w:eastAsia="en-CA" w:bidi="ar-SA"/>
        </w:rPr>
        <w:t>23.1 Voluntary Listing, Market Consequences</w:t>
      </w:r>
    </w:p>
    <w:p>
      <w:pPr>
        <w:pStyle w:val="Normal"/>
        <w:rPr/>
      </w:pPr>
      <w:r>
        <w:rPr>
          <w:rStyle w:val="DefaultParagraphFont"/>
          <w:rFonts w:eastAsia="" w:cs=""/>
          <w:color w:val="2F3B42"/>
          <w:sz w:val="22"/>
          <w:szCs w:val="24"/>
          <w:lang w:val="en-CA" w:eastAsia="en-CA" w:bidi="ar-SA"/>
        </w:rPr>
        <w:t>23.1.1 The Assurance Registry lists vessels, owners, and operators who join voluntarily and maintain the listed-vessel practices of Annex D, Section D.7: advance registration in the Northern Coordination Passage, observer embarkation consent, voice reporting discipline, and environmental coverage under Article 30.2. The Registry serves as the Network's multilateral risk-assessment layer for insurers, flag states, and trading partners.</w:t>
      </w:r>
    </w:p>
    <w:p>
      <w:pPr>
        <w:pStyle w:val="Normal"/>
        <w:rPr/>
      </w:pPr>
      <w:r>
        <w:rPr>
          <w:rStyle w:val="DefaultParagraphFont"/>
          <w:rFonts w:eastAsia="" w:cs=""/>
          <w:color w:val="2F3B42"/>
          <w:sz w:val="22"/>
          <w:szCs w:val="24"/>
          <w:lang w:val="en-CA" w:eastAsia="en-CA" w:bidi="ar-SA"/>
        </w:rPr>
        <w:t>23.1.2 Listing carries an annual contribution by class, set in Annex C, Table C-9. The contribution purchases Registry services: the data feed, priority windows, and the listing itself. It never purchases passage, and unlisted vessels transit on identical terms of safety and law.</w:t>
      </w:r>
    </w:p>
    <w:p>
      <w:pPr>
        <w:pStyle w:val="Normal"/>
        <w:rPr/>
      </w:pPr>
      <w:r>
        <w:rPr>
          <w:rStyle w:val="DefaultParagraphFont"/>
          <w:rFonts w:eastAsia="" w:cs=""/>
          <w:color w:val="2F3B42"/>
          <w:sz w:val="22"/>
          <w:szCs w:val="24"/>
          <w:lang w:val="en-CA" w:eastAsia="en-CA" w:bidi="ar-SA"/>
        </w:rPr>
        <w:t>23.1.3 The market prices the listing: insurers, charterers, ports, and trade-finance desks read the public Registry, and the Route Assurance Data Service of Article 24 translates listing into measurably lower risk ratings. A vessel outside the Registry pays no penalty to anyone; it simply carries the market cost of an unrated profile.</w:t>
      </w:r>
    </w:p>
    <w:p>
      <w:pPr>
        <w:pStyle w:val="Heading3"/>
        <w:rPr/>
      </w:pPr>
      <w:bookmarkStart w:id="137" w:name="__RefHeading___Toc9209_4022417266"/>
      <w:bookmarkEnd w:id="137"/>
      <w:r>
        <w:rPr>
          <w:rFonts w:eastAsia="Cambria" w:cs="Cambria"/>
          <w:b/>
          <w:color w:val="33586A"/>
          <w:sz w:val="23"/>
          <w:szCs w:val="24"/>
          <w:lang w:val="en-CA" w:eastAsia="en-CA" w:bidi="ar-SA"/>
        </w:rPr>
        <w:t>23.2 Contribution Schedule</w:t>
      </w:r>
    </w:p>
    <w:p>
      <w:pPr>
        <w:pStyle w:val="Normal"/>
        <w:rPr/>
      </w:pPr>
      <w:r>
        <w:rPr>
          <w:rStyle w:val="DefaultParagraphFont"/>
          <w:rFonts w:eastAsia="" w:cs=""/>
          <w:color w:val="2F3B42"/>
          <w:sz w:val="22"/>
          <w:szCs w:val="24"/>
          <w:lang w:val="en-CA" w:eastAsia="en-CA" w:bidi="ar-SA"/>
        </w:rPr>
        <w:t>23.2.1 Contributions scale by vessel class and size band, per Annex C, Table C-9, and cover unlimited transits for the year. A small coastal trader contributes a nominal sum; a large crude carrier contributes the top band.</w:t>
      </w:r>
    </w:p>
    <w:p>
      <w:pPr>
        <w:pStyle w:val="Normal"/>
        <w:rPr/>
      </w:pPr>
      <w:r>
        <w:rPr>
          <w:rStyle w:val="DefaultParagraphFont"/>
          <w:rFonts w:eastAsia="" w:cs=""/>
          <w:color w:val="2F3B42"/>
          <w:sz w:val="22"/>
          <w:szCs w:val="24"/>
          <w:lang w:val="en-CA" w:eastAsia="en-CA" w:bidi="ar-SA"/>
        </w:rPr>
        <w:t>23.2.2 An operator contributes per vessel or per fleet. Fleet listings receive administrative consolidation, never a political discount.</w:t>
      </w:r>
    </w:p>
    <w:p>
      <w:pPr>
        <w:pStyle w:val="Heading3"/>
        <w:rPr/>
      </w:pPr>
      <w:bookmarkStart w:id="138" w:name="__RefHeading___Toc9211_4022417266"/>
      <w:bookmarkEnd w:id="138"/>
      <w:r>
        <w:rPr>
          <w:rFonts w:eastAsia="Cambria" w:cs="Cambria"/>
          <w:b/>
          <w:color w:val="33586A"/>
          <w:sz w:val="23"/>
          <w:szCs w:val="24"/>
          <w:lang w:val="en-CA" w:eastAsia="en-CA" w:bidi="ar-SA"/>
        </w:rPr>
        <w:t>23.3 Registry Benefits</w:t>
      </w:r>
    </w:p>
    <w:p>
      <w:pPr>
        <w:pStyle w:val="Normal"/>
        <w:rPr/>
      </w:pPr>
      <w:r>
        <w:rPr>
          <w:rStyle w:val="DefaultParagraphFont"/>
          <w:rFonts w:eastAsia="" w:cs=""/>
          <w:color w:val="2F3B42"/>
          <w:sz w:val="22"/>
          <w:szCs w:val="24"/>
          <w:lang w:val="en-CA" w:eastAsia="en-CA" w:bidi="ar-SA"/>
        </w:rPr>
        <w:t>23.3.1 Listed vessels receive: the full data feed of Bulletin plus operational statistics; priority handling in Managed Flow windows after Class E and Class H; the Hormuz Safe Transporter designation in the Route Assurance Data Service; and a direct liaison channel to the Center's operator desk.</w:t>
      </w:r>
    </w:p>
    <w:p>
      <w:pPr>
        <w:pStyle w:val="Normal"/>
        <w:rPr/>
      </w:pPr>
      <w:r>
        <w:rPr>
          <w:rStyle w:val="DefaultParagraphFont"/>
          <w:rFonts w:eastAsia="" w:cs=""/>
          <w:color w:val="2F3B42"/>
          <w:sz w:val="22"/>
          <w:szCs w:val="24"/>
          <w:lang w:val="en-CA" w:eastAsia="en-CA" w:bidi="ar-SA"/>
        </w:rPr>
        <w:t>23.3.2 The Hormuz Safe Transporter designation carries recognition by the multilateral authority for use in international trade, insurance, port, and trade-finance protocols. Benefits organize convenience and information. They never touch safety, and they never touch the unconditional character of passage.</w:t>
      </w:r>
    </w:p>
    <w:p>
      <w:pPr>
        <w:pStyle w:val="Heading3"/>
        <w:rPr/>
      </w:pPr>
      <w:bookmarkStart w:id="139" w:name="__RefHeading___Toc9213_4022417266"/>
      <w:bookmarkEnd w:id="139"/>
      <w:r>
        <w:rPr>
          <w:rFonts w:eastAsia="Cambria" w:cs="Cambria"/>
          <w:b/>
          <w:color w:val="33586A"/>
          <w:sz w:val="23"/>
          <w:szCs w:val="24"/>
          <w:lang w:val="en-CA" w:eastAsia="en-CA" w:bidi="ar-SA"/>
        </w:rPr>
        <w:t>23.4 Non-Listed Vessels</w:t>
      </w:r>
    </w:p>
    <w:p>
      <w:pPr>
        <w:pStyle w:val="Normal"/>
        <w:rPr/>
      </w:pPr>
      <w:r>
        <w:rPr>
          <w:rStyle w:val="DefaultParagraphFont"/>
          <w:rFonts w:eastAsia="" w:cs=""/>
          <w:color w:val="2F3B42"/>
          <w:sz w:val="22"/>
          <w:szCs w:val="24"/>
          <w:lang w:val="en-CA" w:eastAsia="en-CA" w:bidi="ar-SA"/>
        </w:rPr>
        <w:t>23.4.1 A non-listed vessel transits exactly as a listed one: same passages, same rules, same services on the water. The difference lives only in the market layer of Article 23.1.3.</w:t>
      </w:r>
    </w:p>
    <w:p>
      <w:pPr>
        <w:pStyle w:val="Normal"/>
        <w:rPr/>
      </w:pPr>
      <w:r>
        <w:rPr>
          <w:rStyle w:val="DefaultParagraphFont"/>
          <w:rFonts w:eastAsia="" w:cs=""/>
          <w:color w:val="2F3B42"/>
          <w:sz w:val="22"/>
          <w:szCs w:val="24"/>
          <w:lang w:val="en-CA" w:eastAsia="en-CA" w:bidi="ar-SA"/>
        </w:rPr>
        <w:t>23.4.2 The architecture excludes any operational downgrade of non-listed vessels, and the Neutral Keel monthly audit checks window allocation and reporting treatment for exactly this.</w:t>
      </w:r>
    </w:p>
    <w:p>
      <w:pPr>
        <w:pStyle w:val="Heading3"/>
        <w:rPr/>
      </w:pPr>
      <w:bookmarkStart w:id="140" w:name="__RefHeading___Toc9215_4022417266"/>
      <w:bookmarkEnd w:id="140"/>
      <w:r>
        <w:rPr>
          <w:rFonts w:eastAsia="Calibri" w:cs="Calibri" w:ascii="Calibri" w:hAnsi="Calibri"/>
          <w:b/>
          <w:color w:val="1F4E5F"/>
          <w:sz w:val="22"/>
          <w:szCs w:val="24"/>
          <w:lang w:val="en-CA" w:eastAsia="en-CA" w:bidi="ar-SA"/>
        </w:rPr>
        <w:t>23.5 Voluntary Service Contributions</w:t>
      </w:r>
    </w:p>
    <w:p>
      <w:pPr>
        <w:pStyle w:val="Normal"/>
        <w:rPr/>
      </w:pPr>
      <w:r>
        <w:rPr>
          <w:rStyle w:val="DefaultParagraphFont"/>
          <w:rFonts w:eastAsia="" w:cs=""/>
          <w:color w:val="2F3B42"/>
          <w:sz w:val="22"/>
          <w:szCs w:val="24"/>
          <w:lang w:val="en-CA" w:eastAsia="en-CA" w:bidi="ar-SA"/>
        </w:rPr>
        <w:t>23.5.1 The Registry administers the voluntary service contribution channel of the Malacca model: a vessel, owner, operator, or user state contributes to a dedicated service fund that finances navigation safety, environmental protection, and search and rescue along all three passages.</w:t>
      </w:r>
    </w:p>
    <w:p>
      <w:pPr>
        <w:pStyle w:val="Normal"/>
        <w:rPr/>
      </w:pPr>
      <w:r>
        <w:rPr>
          <w:rStyle w:val="DefaultParagraphFont"/>
          <w:rFonts w:eastAsia="" w:cs=""/>
          <w:color w:val="2F3B42"/>
          <w:sz w:val="22"/>
          <w:szCs w:val="24"/>
          <w:lang w:val="en-CA" w:eastAsia="en-CA" w:bidi="ar-SA"/>
        </w:rPr>
        <w:t>23.5.2 Every contribution stays voluntary in law and in practice. A non-contributing vessel transits freely, with the same passages, the same rules, and the same services on the water.</w:t>
      </w:r>
    </w:p>
    <w:p>
      <w:pPr>
        <w:pStyle w:val="Normal"/>
        <w:rPr/>
      </w:pPr>
      <w:r>
        <w:rPr>
          <w:rStyle w:val="DefaultParagraphFont"/>
          <w:rFonts w:eastAsia="" w:cs=""/>
          <w:color w:val="2F3B42"/>
          <w:sz w:val="22"/>
          <w:szCs w:val="24"/>
          <w:lang w:val="en-CA" w:eastAsia="en-CA" w:bidi="ar-SA"/>
        </w:rPr>
        <w:t>23.5.3 A contributing vessel receives a contribution certificate from the Registry, and certificate holders receive priority service: priority handling in Managed Flow windows, advance hazard advisories, and dedicated scheduling support at the multilateral desk.</w:t>
      </w:r>
    </w:p>
    <w:p>
      <w:pPr>
        <w:pStyle w:val="Normal"/>
        <w:rPr/>
      </w:pPr>
      <w:r>
        <w:rPr>
          <w:rStyle w:val="DefaultParagraphFont"/>
          <w:rFonts w:eastAsia="" w:cs=""/>
          <w:color w:val="2F3B42"/>
          <w:sz w:val="22"/>
          <w:szCs w:val="24"/>
          <w:lang w:val="en-CA" w:eastAsia="en-CA" w:bidi="ar-SA"/>
        </w:rPr>
        <w:t>23.5.4 The Ledger records each contribution against the Northern, Central, and Southern service pillars, and the quarterly audit verifies that no contribution carries the character of a transit charge.</w:t>
      </w:r>
    </w:p>
    <w:p>
      <w:pPr>
        <w:pStyle w:val="Heading2"/>
        <w:rPr/>
      </w:pPr>
      <w:bookmarkStart w:id="141" w:name="__RefHeading___Toc9217_4022417266"/>
      <w:bookmarkEnd w:id="141"/>
      <w:r>
        <w:rPr>
          <w:rFonts w:eastAsia="Calibri" w:cs="Calibri" w:ascii="Calibri" w:hAnsi="Calibri"/>
          <w:b/>
          <w:color w:val="1F4E5F"/>
          <w:sz w:val="22"/>
          <w:szCs w:val="24"/>
          <w:lang w:val="en-CA" w:eastAsia="en-CA" w:bidi="ar-SA"/>
        </w:rPr>
        <w:t>Article 24: The Route Assurance Data Service</w:t>
      </w:r>
    </w:p>
    <w:p>
      <w:pPr>
        <w:pStyle w:val="Heading3"/>
        <w:rPr/>
      </w:pPr>
      <w:bookmarkStart w:id="142" w:name="__RefHeading___Toc9219_4022417266"/>
      <w:bookmarkEnd w:id="142"/>
      <w:r>
        <w:rPr>
          <w:rFonts w:eastAsia="Cambria" w:cs="Cambria"/>
          <w:b/>
          <w:color w:val="33586A"/>
          <w:sz w:val="23"/>
          <w:szCs w:val="24"/>
          <w:lang w:val="en-CA" w:eastAsia="en-CA" w:bidi="ar-SA"/>
        </w:rPr>
        <w:t>24.1 The Product</w:t>
      </w:r>
    </w:p>
    <w:p>
      <w:pPr>
        <w:pStyle w:val="Normal"/>
        <w:rPr/>
      </w:pPr>
      <w:r>
        <w:rPr>
          <w:rStyle w:val="DefaultParagraphFont"/>
          <w:rFonts w:eastAsia="" w:cs=""/>
          <w:color w:val="2F3B42"/>
          <w:sz w:val="22"/>
          <w:szCs w:val="24"/>
          <w:lang w:val="en-CA" w:eastAsia="en-CA" w:bidi="ar-SA"/>
        </w:rPr>
        <w:t>24.1.1 The Network sells information, not passage. The Route Assurance Data Service provides subscribers with verified route data: daily transit statistics, corridor status history, incident classification outcomes, escort availability indices, and the Registry listing layer, all under the Convergence Standard.</w:t>
      </w:r>
    </w:p>
    <w:p>
      <w:pPr>
        <w:pStyle w:val="Normal"/>
        <w:rPr/>
      </w:pPr>
      <w:r>
        <w:rPr>
          <w:rStyle w:val="DefaultParagraphFont"/>
          <w:rFonts w:eastAsia="" w:cs=""/>
          <w:color w:val="2F3B42"/>
          <w:sz w:val="22"/>
          <w:szCs w:val="24"/>
          <w:lang w:val="en-CA" w:eastAsia="en-CA" w:bidi="ar-SA"/>
        </w:rPr>
        <w:t>24.1.2 Subscribers: protection and indemnity clubs, war-risk underwriters, hull insurers, charterers, energy trading desks, and port authorities.</w:t>
      </w:r>
    </w:p>
    <w:p>
      <w:pPr>
        <w:pStyle w:val="Heading3"/>
        <w:rPr/>
      </w:pPr>
      <w:bookmarkStart w:id="143" w:name="__RefHeading___Toc9221_4022417266"/>
      <w:bookmarkEnd w:id="143"/>
      <w:r>
        <w:rPr>
          <w:rFonts w:eastAsia="Cambria" w:cs="Cambria"/>
          <w:b/>
          <w:color w:val="33586A"/>
          <w:sz w:val="23"/>
          <w:szCs w:val="24"/>
          <w:lang w:val="en-CA" w:eastAsia="en-CA" w:bidi="ar-SA"/>
        </w:rPr>
        <w:t>24.2 Pricing</w:t>
      </w:r>
    </w:p>
    <w:p>
      <w:pPr>
        <w:pStyle w:val="Normal"/>
        <w:rPr/>
      </w:pPr>
      <w:r>
        <w:rPr>
          <w:rStyle w:val="DefaultParagraphFont"/>
          <w:rFonts w:eastAsia="" w:cs=""/>
          <w:color w:val="2F3B42"/>
          <w:sz w:val="22"/>
          <w:szCs w:val="24"/>
          <w:lang w:val="en-CA" w:eastAsia="en-CA" w:bidi="ar-SA"/>
        </w:rPr>
        <w:t>24.2.1 The Board sets subscription bands annually in Annex C, Table C-10, on a cost-plus-margin basis tied to the data operation's documented cost plus a fixed margin that feeds the Fund.</w:t>
      </w:r>
    </w:p>
    <w:p>
      <w:pPr>
        <w:pStyle w:val="Normal"/>
        <w:rPr/>
      </w:pPr>
      <w:r>
        <w:rPr>
          <w:rStyle w:val="DefaultParagraphFont"/>
          <w:rFonts w:eastAsia="" w:cs=""/>
          <w:color w:val="2F3B42"/>
          <w:sz w:val="22"/>
          <w:szCs w:val="24"/>
          <w:lang w:val="en-CA" w:eastAsia="en-CA" w:bidi="ar-SA"/>
        </w:rPr>
        <w:t>24.2.2 The margin flows into the same reimbursement pool as every other revenue. The data service thus converts Participant States' verified stewardship into a legitimate, auditable revenue stream that no sanctions regime touches, because insurers purchase data from an independent international fund, not from a state.</w:t>
      </w:r>
    </w:p>
    <w:p>
      <w:pPr>
        <w:pStyle w:val="Heading3"/>
        <w:rPr/>
      </w:pPr>
      <w:bookmarkStart w:id="144" w:name="__RefHeading___Toc9223_4022417266"/>
      <w:bookmarkEnd w:id="144"/>
      <w:r>
        <w:rPr>
          <w:rFonts w:eastAsia="Cambria" w:cs="Cambria"/>
          <w:b/>
          <w:color w:val="33586A"/>
          <w:sz w:val="23"/>
          <w:szCs w:val="24"/>
          <w:lang w:val="en-CA" w:eastAsia="en-CA" w:bidi="ar-SA"/>
        </w:rPr>
        <w:t>24.3 The Premium Dividend</w:t>
      </w:r>
    </w:p>
    <w:p>
      <w:pPr>
        <w:pStyle w:val="Normal"/>
        <w:rPr/>
      </w:pPr>
      <w:r>
        <w:rPr>
          <w:rStyle w:val="DefaultParagraphFont"/>
          <w:rFonts w:eastAsia="" w:cs=""/>
          <w:color w:val="2F3B42"/>
          <w:sz w:val="22"/>
          <w:szCs w:val="24"/>
          <w:lang w:val="en-CA" w:eastAsia="en-CA" w:bidi="ar-SA"/>
        </w:rPr>
        <w:t>24.3.1 Verified data lowers uncertainty, and lower uncertainty lowers war-risk premiums. The Network tracks the premium index quarterly and publishes it in the Bulletin statistics.</w:t>
      </w:r>
    </w:p>
    <w:p>
      <w:pPr>
        <w:pStyle w:val="Normal"/>
        <w:rPr/>
      </w:pPr>
      <w:r>
        <w:rPr>
          <w:rStyle w:val="DefaultParagraphFont"/>
          <w:rFonts w:eastAsia="" w:cs=""/>
          <w:color w:val="2F3B42"/>
          <w:sz w:val="22"/>
          <w:szCs w:val="24"/>
          <w:lang w:val="en-CA" w:eastAsia="en-CA" w:bidi="ar-SA"/>
        </w:rPr>
        <w:t>24.3.2 The design intends the shipping community's premium savings to exceed its total Registry and subscription outlay by a wide margin, and Annex G works the arithmetic. The Network succeeds financially when everyone at the table pays less than the crisis cost them.</w:t>
      </w:r>
    </w:p>
    <w:p>
      <w:pPr>
        <w:pStyle w:val="Heading2"/>
        <w:rPr/>
      </w:pPr>
      <w:bookmarkStart w:id="145" w:name="__RefHeading___Toc9225_4022417266"/>
      <w:bookmarkEnd w:id="145"/>
      <w:r>
        <w:rPr>
          <w:rFonts w:eastAsia="Calibri" w:cs="Calibri" w:ascii="Calibri" w:hAnsi="Calibri"/>
          <w:b/>
          <w:color w:val="1F4E5F"/>
          <w:sz w:val="22"/>
          <w:szCs w:val="24"/>
          <w:lang w:val="en-CA" w:eastAsia="en-CA" w:bidi="ar-SA"/>
        </w:rPr>
        <w:t>Article 25: Supplementary Channels</w:t>
      </w:r>
    </w:p>
    <w:p>
      <w:pPr>
        <w:pStyle w:val="Heading3"/>
        <w:rPr/>
      </w:pPr>
      <w:bookmarkStart w:id="146" w:name="__RefHeading___Toc9227_4022417266"/>
      <w:bookmarkEnd w:id="146"/>
      <w:r>
        <w:rPr>
          <w:rFonts w:eastAsia="Cambria" w:cs="Cambria"/>
          <w:b/>
          <w:color w:val="33586A"/>
          <w:sz w:val="23"/>
          <w:szCs w:val="24"/>
          <w:lang w:val="en-CA" w:eastAsia="en-CA" w:bidi="ar-SA"/>
        </w:rPr>
        <w:t>25.1 Transit User, Flag, and Industry Contributions</w:t>
      </w:r>
    </w:p>
    <w:p>
      <w:pPr>
        <w:pStyle w:val="Normal"/>
        <w:rPr/>
      </w:pPr>
      <w:r>
        <w:rPr>
          <w:rStyle w:val="DefaultParagraphFont"/>
          <w:rFonts w:eastAsia="" w:cs=""/>
          <w:color w:val="2F3B42"/>
          <w:sz w:val="22"/>
          <w:szCs w:val="24"/>
          <w:lang w:val="en-CA" w:eastAsia="en-CA" w:bidi="ar-SA"/>
        </w:rPr>
        <w:t>25.1.1 Major user states contribute annually through a Transit User Contribution scaled by annual shipping tonnage through the strait and Gulf energy imports. Flag states and industry associations contribute on the cooperative precedent of other straits: a solidarity contribution to the Fund that recognizes shared dependence on the waterway.</w:t>
      </w:r>
    </w:p>
    <w:p>
      <w:pPr>
        <w:pStyle w:val="Normal"/>
        <w:rPr/>
      </w:pPr>
      <w:r>
        <w:rPr>
          <w:rStyle w:val="DefaultParagraphFont"/>
          <w:rFonts w:eastAsia="" w:cs=""/>
          <w:color w:val="2F3B42"/>
          <w:sz w:val="22"/>
          <w:szCs w:val="24"/>
          <w:lang w:val="en-CA" w:eastAsia="en-CA" w:bidi="ar-SA"/>
        </w:rPr>
        <w:t>25.1.2 The Board publishes suggested scales by fleet tonnage, import volume, and security presence in Annex C, Tables C-11, C-13, and C-14. Contributions remain voluntary; the Panel records and acknowledges them publicly.</w:t>
      </w:r>
    </w:p>
    <w:p>
      <w:pPr>
        <w:pStyle w:val="Heading3"/>
        <w:rPr/>
      </w:pPr>
      <w:bookmarkStart w:id="147" w:name="__RefHeading___Toc9229_4022417266"/>
      <w:bookmarkEnd w:id="147"/>
      <w:r>
        <w:rPr>
          <w:rFonts w:eastAsia="Cambria" w:cs="Cambria"/>
          <w:b/>
          <w:color w:val="33586A"/>
          <w:sz w:val="23"/>
          <w:szCs w:val="24"/>
          <w:lang w:val="en-CA" w:eastAsia="en-CA" w:bidi="ar-SA"/>
        </w:rPr>
        <w:t>25.2 The Port Processing Add-On</w:t>
      </w:r>
    </w:p>
    <w:p>
      <w:pPr>
        <w:pStyle w:val="Normal"/>
        <w:rPr/>
      </w:pPr>
      <w:r>
        <w:rPr>
          <w:rStyle w:val="DefaultParagraphFont"/>
          <w:rFonts w:eastAsia="" w:cs=""/>
          <w:color w:val="2F3B42"/>
          <w:sz w:val="22"/>
          <w:szCs w:val="24"/>
          <w:lang w:val="en-CA" w:eastAsia="en-CA" w:bidi="ar-SA"/>
        </w:rPr>
        <w:t>25.2.1 Ports of origin and destination that join the arrangement add a small documentation processing component to their existing port dues for Gulf-transiting calls, and remit it to the Fund. The charge attaches to port services, never to strait transit.</w:t>
      </w:r>
    </w:p>
    <w:p>
      <w:pPr>
        <w:pStyle w:val="Normal"/>
        <w:rPr/>
      </w:pPr>
      <w:r>
        <w:rPr>
          <w:rStyle w:val="DefaultParagraphFont"/>
          <w:rFonts w:eastAsia="" w:cs=""/>
          <w:color w:val="2F3B42"/>
          <w:sz w:val="22"/>
          <w:szCs w:val="24"/>
          <w:lang w:val="en-CA" w:eastAsia="en-CA" w:bidi="ar-SA"/>
        </w:rPr>
        <w:t>25.2.2 Participating ports receive the data feed and the Registry interface in return. Annex C, Table C-12 sets the add-on scale.</w:t>
      </w:r>
    </w:p>
    <w:p>
      <w:pPr>
        <w:pStyle w:val="Heading3"/>
        <w:rPr/>
      </w:pPr>
      <w:bookmarkStart w:id="148" w:name="__RefHeading___Toc9231_4022417266"/>
      <w:bookmarkEnd w:id="148"/>
      <w:r>
        <w:rPr>
          <w:rFonts w:eastAsia="Cambria" w:cs="Cambria"/>
          <w:b/>
          <w:color w:val="33586A"/>
          <w:sz w:val="23"/>
          <w:szCs w:val="24"/>
          <w:lang w:val="en-CA" w:eastAsia="en-CA" w:bidi="ar-SA"/>
        </w:rPr>
        <w:t>25.3 The Infrastructure Interface</w:t>
      </w:r>
    </w:p>
    <w:p>
      <w:pPr>
        <w:pStyle w:val="Normal"/>
        <w:rPr/>
      </w:pPr>
      <w:r>
        <w:rPr>
          <w:rStyle w:val="DefaultParagraphFont"/>
          <w:rFonts w:eastAsia="" w:cs=""/>
          <w:color w:val="2F3B42"/>
          <w:sz w:val="22"/>
          <w:szCs w:val="24"/>
          <w:lang w:val="en-CA" w:eastAsia="en-CA" w:bidi="ar-SA"/>
        </w:rPr>
        <w:t>25.3.1 Where annual revenue exceeds the envelope's needs two years running, the surplus flows to a Gulf Maritime Infrastructure Facility for strait-related works the Council approves by Qualified Majority: buoy renewal, survey craft, response equipment, and chart modernization.</w:t>
      </w:r>
    </w:p>
    <w:p>
      <w:pPr>
        <w:pStyle w:val="Normal"/>
        <w:rPr/>
      </w:pPr>
      <w:r>
        <w:rPr>
          <w:rStyle w:val="DefaultParagraphFont"/>
          <w:rFonts w:eastAsia="" w:cs=""/>
          <w:color w:val="2F3B42"/>
          <w:sz w:val="22"/>
          <w:szCs w:val="24"/>
          <w:lang w:val="en-CA" w:eastAsia="en-CA" w:bidi="ar-SA"/>
        </w:rPr>
        <w:t>25.3.2 The Facility operates under the Fund's audit and the Council's oversight, and its project list appears in each annual report.</w:t>
      </w:r>
    </w:p>
    <w:p>
      <w:pPr>
        <w:pStyle w:val="Heading2"/>
        <w:rPr/>
      </w:pPr>
      <w:bookmarkStart w:id="149" w:name="__RefHeading___Toc9233_4022417266"/>
      <w:bookmarkEnd w:id="149"/>
      <w:r>
        <w:rPr>
          <w:rFonts w:eastAsia="Calibri" w:cs="Calibri" w:ascii="Calibri" w:hAnsi="Calibri"/>
          <w:b/>
          <w:color w:val="1F4E5F"/>
          <w:sz w:val="22"/>
          <w:szCs w:val="24"/>
          <w:lang w:val="en-CA" w:eastAsia="en-CA" w:bidi="ar-SA"/>
        </w:rPr>
        <w:t>Article 26: Budget, Audit, and the Global Compliance Firewall</w:t>
      </w:r>
    </w:p>
    <w:p>
      <w:pPr>
        <w:pStyle w:val="Heading3"/>
        <w:rPr/>
      </w:pPr>
      <w:bookmarkStart w:id="150" w:name="__RefHeading___Toc9235_4022417266"/>
      <w:bookmarkEnd w:id="150"/>
      <w:r>
        <w:rPr>
          <w:rFonts w:eastAsia="Calibri" w:cs="Calibri" w:ascii="Calibri" w:hAnsi="Calibri"/>
          <w:b/>
          <w:color w:val="1F4E5F"/>
          <w:sz w:val="24"/>
          <w:szCs w:val="24"/>
          <w:lang w:val="en-CA" w:eastAsia="en-CA" w:bidi="ar-SA"/>
        </w:rPr>
        <w:t>26.1 The Annual Envelope</w:t>
      </w:r>
    </w:p>
    <w:p>
      <w:pPr>
        <w:pStyle w:val="Normal"/>
        <w:rPr/>
      </w:pPr>
      <w:r>
        <w:rPr>
          <w:rStyle w:val="DefaultParagraphFont"/>
          <w:rFonts w:eastAsia="" w:cs=""/>
          <w:color w:val="2F3B42"/>
          <w:sz w:val="22"/>
          <w:szCs w:val="24"/>
          <w:lang w:val="en-CA" w:eastAsia="en-CA" w:bidi="ar-SA"/>
        </w:rPr>
        <w:t>26.1.1 The Hormuz Maritime Assembly fixes the Fund's annual reimbursement envelope by a published formula that weighs the Catalog, the traffic forecast, verified service volume, prior-year actuals, and a stability reserve. The Council applies the formula within the band of USD 350 million to USD 520 million. The first full-year envelope under the multilateral system stands at USD 412 million, allocated as Annex G, Table G-5 shows.</w:t>
      </w:r>
    </w:p>
    <w:p>
      <w:pPr>
        <w:pStyle w:val="Normal"/>
        <w:rPr/>
      </w:pPr>
      <w:r>
        <w:rPr>
          <w:rStyle w:val="DefaultParagraphFont"/>
          <w:rFonts w:eastAsia="" w:cs=""/>
          <w:color w:val="2F3B42"/>
          <w:sz w:val="22"/>
          <w:szCs w:val="24"/>
          <w:lang w:val="en-CA" w:eastAsia="en-CA" w:bidi="ar-SA"/>
        </w:rPr>
        <w:t>26.1.2 The envelope divides among Participant States by verified service location and volume, per the Ledger, across three pillars: the Northern management share, the Central management share, and the Southern management share. The planning assumption for the first year attaches approximately 34 percent of services by location to the Northern Coordination system, 34 percent to the Central International system, and 32 percent to the Southern Assurance system, and actuals govern the final split.</w:t>
      </w:r>
    </w:p>
    <w:p>
      <w:pPr>
        <w:pStyle w:val="Normal"/>
        <w:rPr/>
      </w:pPr>
      <w:r>
        <w:rPr>
          <w:rStyle w:val="DefaultParagraphFont"/>
          <w:rFonts w:eastAsia="" w:cs=""/>
          <w:color w:val="2F3B42"/>
          <w:sz w:val="22"/>
          <w:szCs w:val="24"/>
          <w:lang w:val="en-CA" w:eastAsia="en-CA" w:bidi="ar-SA"/>
        </w:rPr>
        <w:t>26.1.3 The envelope covers the full cost of governance. Participant States bear their own national force costs outside the Network, as before.</w:t>
      </w:r>
    </w:p>
    <w:p>
      <w:pPr>
        <w:pStyle w:val="Heading3"/>
        <w:rPr/>
      </w:pPr>
      <w:bookmarkStart w:id="151" w:name="__RefHeading___Toc9237_4022417266"/>
      <w:bookmarkEnd w:id="151"/>
      <w:r>
        <w:rPr>
          <w:rFonts w:eastAsia="Calibri" w:cs="Calibri" w:ascii="Calibri" w:hAnsi="Calibri"/>
          <w:b/>
          <w:color w:val="1F4E5F"/>
          <w:sz w:val="24"/>
          <w:szCs w:val="24"/>
          <w:lang w:val="en-CA" w:eastAsia="en-CA" w:bidi="ar-SA"/>
        </w:rPr>
        <w:t>26.2 Cost Discipline Rules</w:t>
      </w:r>
    </w:p>
    <w:p>
      <w:pPr>
        <w:pStyle w:val="Normal"/>
        <w:rPr/>
      </w:pPr>
      <w:r>
        <w:rPr>
          <w:rStyle w:val="DefaultParagraphFont"/>
          <w:rFonts w:eastAsia="" w:cs=""/>
          <w:color w:val="2F3B42"/>
          <w:sz w:val="22"/>
          <w:szCs w:val="24"/>
          <w:lang w:val="en-CA" w:eastAsia="en-CA" w:bidi="ar-SA"/>
        </w:rPr>
        <w:t>26.2.1 Shared first: a service uses a shared Network asset before any national asset, and a duplicated asset enters the budget only with a written case.</w:t>
      </w:r>
    </w:p>
    <w:p>
      <w:pPr>
        <w:pStyle w:val="Normal"/>
        <w:rPr/>
      </w:pPr>
      <w:r>
        <w:rPr>
          <w:rStyle w:val="DefaultParagraphFont"/>
          <w:rFonts w:eastAsia="" w:cs=""/>
          <w:color w:val="2F3B42"/>
          <w:sz w:val="22"/>
          <w:szCs w:val="24"/>
          <w:lang w:val="en-CA" w:eastAsia="en-CA" w:bidi="ar-SA"/>
        </w:rPr>
        <w:t>26.2.2 One watch floor: the Center's multinational staffing replaces two separate national watch systems for Network purposes.</w:t>
      </w:r>
    </w:p>
    <w:p>
      <w:pPr>
        <w:pStyle w:val="Normal"/>
        <w:rPr/>
      </w:pPr>
      <w:r>
        <w:rPr>
          <w:rStyle w:val="DefaultParagraphFont"/>
          <w:rFonts w:eastAsia="" w:cs=""/>
          <w:color w:val="2F3B42"/>
          <w:sz w:val="22"/>
          <w:szCs w:val="24"/>
          <w:lang w:val="en-CA" w:eastAsia="en-CA" w:bidi="ar-SA"/>
        </w:rPr>
        <w:t>26.2.3 Civilian rates: Catalog rates reflect civilian maritime service cost benchmarks, and the auditor benchmarks them annually against comparable straits.</w:t>
      </w:r>
    </w:p>
    <w:p>
      <w:pPr>
        <w:pStyle w:val="Normal"/>
        <w:rPr/>
      </w:pPr>
      <w:r>
        <w:rPr>
          <w:rStyle w:val="DefaultParagraphFont"/>
          <w:rFonts w:eastAsia="" w:cs=""/>
          <w:color w:val="2F3B42"/>
          <w:sz w:val="22"/>
          <w:szCs w:val="24"/>
          <w:lang w:val="en-CA" w:eastAsia="en-CA" w:bidi="ar-SA"/>
        </w:rPr>
        <w:t>26.2.4 No growth by default: the envelope rises only with documented service volume or scope change, and the no-fade rule of Article 34 protects commitments, not budgets.</w:t>
      </w:r>
    </w:p>
    <w:p>
      <w:pPr>
        <w:pStyle w:val="Heading3"/>
        <w:rPr/>
      </w:pPr>
      <w:bookmarkStart w:id="152" w:name="__RefHeading___Toc9239_4022417266"/>
      <w:bookmarkEnd w:id="152"/>
      <w:r>
        <w:rPr>
          <w:rFonts w:eastAsia="Calibri" w:cs="Calibri" w:ascii="Calibri" w:hAnsi="Calibri"/>
          <w:b/>
          <w:color w:val="1F4E5F"/>
          <w:sz w:val="24"/>
          <w:szCs w:val="24"/>
          <w:lang w:val="en-CA" w:eastAsia="en-CA" w:bidi="ar-SA"/>
        </w:rPr>
        <w:t>26.3 The Global Compliance Firewall</w:t>
      </w:r>
    </w:p>
    <w:p>
      <w:pPr>
        <w:pStyle w:val="Normal"/>
        <w:rPr/>
      </w:pPr>
      <w:r>
        <w:rPr>
          <w:rStyle w:val="DefaultParagraphFont"/>
          <w:rFonts w:eastAsia="" w:cs=""/>
          <w:color w:val="2F3B42"/>
          <w:sz w:val="22"/>
          <w:szCs w:val="24"/>
          <w:lang w:val="en-CA" w:eastAsia="en-CA" w:bidi="ar-SA"/>
        </w:rPr>
        <w:t>26.3.1 The firewall has four walls. First: contributors pay only the Fund, an independent international entity under Swiss law with United Nations recognition. Second: the Fund pays only against audited service invoices. Third: no contributor's payment references any specific transit, and no reimbursement references any specific contributor. Fourth: the audit trail proves walls one through three, quarterly, to any competent authority that asks.</w:t>
      </w:r>
    </w:p>
    <w:p>
      <w:pPr>
        <w:pStyle w:val="Normal"/>
        <w:rPr/>
      </w:pPr>
      <w:r>
        <w:rPr>
          <w:rStyle w:val="DefaultParagraphFont"/>
          <w:rFonts w:eastAsia="" w:cs=""/>
          <w:color w:val="2F3B42"/>
          <w:sz w:val="22"/>
          <w:szCs w:val="24"/>
          <w:lang w:val="en-CA" w:eastAsia="en-CA" w:bidi="ar-SA"/>
        </w:rPr>
        <w:t>26.3.2 The firewall serves global sanctions and regulatory compliance. The architecture excludes every structure the prohibition lists of Article 21.3 name, and the firewall makes the exclusion auditable rather than asserted.</w:t>
      </w:r>
    </w:p>
    <w:p>
      <w:pPr>
        <w:pStyle w:val="Normal"/>
        <w:rPr/>
      </w:pPr>
      <w:r>
        <w:rPr>
          <w:rStyle w:val="DefaultParagraphFont"/>
          <w:rFonts w:eastAsia="" w:cs=""/>
          <w:color w:val="2F3B42"/>
          <w:sz w:val="22"/>
          <w:szCs w:val="24"/>
          <w:lang w:val="en-CA" w:eastAsia="en-CA" w:bidi="ar-SA"/>
        </w:rPr>
        <w:t>26.3.3 The Fund, with International Maritime Organization oversight, operates as a recognized neutral mechanism for remitting funds and shields the Network from the sanctions regime of any single state. Participant States jointly present the firewall documentation to relevant authorities, and the Facilitating States support the presentation with their good offices.</w:t>
      </w:r>
    </w:p>
    <w:p>
      <w:pPr>
        <w:pStyle w:val="Heading3"/>
        <w:rPr/>
      </w:pPr>
      <w:bookmarkStart w:id="153" w:name="__RefHeading___Toc9241_4022417266"/>
      <w:bookmarkEnd w:id="153"/>
      <w:r>
        <w:rPr>
          <w:rFonts w:eastAsia="Calibri" w:cs="Calibri" w:ascii="Calibri" w:hAnsi="Calibri"/>
          <w:b/>
          <w:color w:val="1F4E5F"/>
          <w:sz w:val="24"/>
          <w:szCs w:val="24"/>
          <w:lang w:val="en-CA" w:eastAsia="en-CA" w:bidi="ar-SA"/>
        </w:rPr>
        <w:t>26.4 Transparency</w:t>
      </w:r>
    </w:p>
    <w:p>
      <w:pPr>
        <w:pStyle w:val="Normal"/>
        <w:rPr/>
      </w:pPr>
      <w:r>
        <w:rPr>
          <w:rStyle w:val="DefaultParagraphFont"/>
          <w:rFonts w:eastAsia="" w:cs=""/>
          <w:color w:val="2F3B42"/>
          <w:sz w:val="22"/>
          <w:szCs w:val="24"/>
          <w:lang w:val="en-CA" w:eastAsia="en-CA" w:bidi="ar-SA"/>
        </w:rPr>
        <w:t>26.4.1 The Fund publishes: quarterly accounts and Ledger; the annual audited report; the Catalog and its rate history; and the contribution channel statistics, in aggregate form that protects commercial confidentiality.</w:t>
      </w:r>
    </w:p>
    <w:p>
      <w:pPr>
        <w:pStyle w:val="Normal"/>
        <w:rPr/>
      </w:pPr>
      <w:r>
        <w:rPr>
          <w:rStyle w:val="DefaultParagraphFont"/>
          <w:rFonts w:eastAsia="" w:cs=""/>
          <w:color w:val="2F3B42"/>
          <w:sz w:val="22"/>
          <w:szCs w:val="24"/>
          <w:lang w:val="en-CA" w:eastAsia="en-CA" w:bidi="ar-SA"/>
        </w:rPr>
        <w:t>26.4.2 The Network keeps contributor identities and vessel-level contribution data confidential within the Fund, and publishes aggregates only.</w:t>
      </w:r>
    </w:p>
    <w:p>
      <w:pPr>
        <w:pStyle w:val="Heading1"/>
        <w:rPr/>
      </w:pPr>
      <w:bookmarkStart w:id="154" w:name="__RefHeading___Toc9243_4022417266"/>
      <w:bookmarkEnd w:id="154"/>
      <w:r>
        <w:rPr>
          <w:rFonts w:eastAsia="Calibri" w:cs="Calibri" w:ascii="Calibri" w:hAnsi="Calibri"/>
          <w:b/>
          <w:color w:val="1F4E5F"/>
          <w:sz w:val="22"/>
          <w:szCs w:val="24"/>
          <w:lang w:val="en-CA" w:eastAsia="en-CA" w:bidi="ar-SA"/>
        </w:rPr>
        <w:t>Part V: Safety, Security, and Environmental Protection</w:t>
      </w:r>
    </w:p>
    <w:p>
      <w:pPr>
        <w:pStyle w:val="Heading2"/>
        <w:rPr/>
      </w:pPr>
      <w:bookmarkStart w:id="155" w:name="__RefHeading___Toc9245_4022417266"/>
      <w:bookmarkEnd w:id="155"/>
      <w:r>
        <w:rPr>
          <w:rFonts w:eastAsia="Calibri" w:cs="Calibri" w:ascii="Calibri" w:hAnsi="Calibri"/>
          <w:b/>
          <w:color w:val="1F4E5F"/>
          <w:sz w:val="22"/>
          <w:szCs w:val="24"/>
          <w:lang w:val="en-CA" w:eastAsia="en-CA" w:bidi="ar-SA"/>
        </w:rPr>
        <w:t>Article 27: Verification Philosophy: The Human Anchor Method</w:t>
      </w:r>
    </w:p>
    <w:p>
      <w:pPr>
        <w:pStyle w:val="Heading3"/>
        <w:rPr/>
      </w:pPr>
      <w:bookmarkStart w:id="156" w:name="__RefHeading___Toc9247_4022417266"/>
      <w:bookmarkEnd w:id="156"/>
      <w:r>
        <w:rPr>
          <w:rFonts w:eastAsia="Calibri" w:cs="Calibri" w:ascii="Calibri" w:hAnsi="Calibri"/>
          <w:b/>
          <w:color w:val="1F4E5F"/>
          <w:sz w:val="24"/>
          <w:szCs w:val="24"/>
          <w:lang w:val="en-CA" w:eastAsia="en-CA" w:bidi="ar-SA"/>
        </w:rPr>
        <w:t>27.1 Layered Inputs</w:t>
      </w:r>
    </w:p>
    <w:p>
      <w:pPr>
        <w:pStyle w:val="Normal"/>
        <w:rPr/>
      </w:pPr>
      <w:r>
        <w:rPr>
          <w:rStyle w:val="DefaultParagraphFont"/>
          <w:rFonts w:eastAsia="" w:cs=""/>
          <w:color w:val="2F3B42"/>
          <w:sz w:val="22"/>
          <w:szCs w:val="24"/>
          <w:lang w:val="en-CA" w:eastAsia="en-CA" w:bidi="ar-SA"/>
        </w:rPr>
        <w:t>27.1.1 The Network verifies with people first and machines second. The verification layers, in order of authority:</w:t>
      </w:r>
    </w:p>
    <w:tbl>
      <w:tblPr>
        <w:tblStyle w:val="TableNormal"/>
        <w:tblW w:w="9026" w:type="dxa"/>
        <w:jc w:val="left"/>
        <w:tblInd w:w="0" w:type="dxa"/>
        <w:tblLayout w:type="fixed"/>
        <w:tblCellMar>
          <w:top w:w="0" w:type="dxa"/>
          <w:left w:w="108" w:type="dxa"/>
          <w:bottom w:w="0" w:type="dxa"/>
          <w:right w:w="108" w:type="dxa"/>
        </w:tblCellMar>
      </w:tblPr>
      <w:tblGrid>
        <w:gridCol w:w="3008"/>
        <w:gridCol w:w="3007"/>
        <w:gridCol w:w="3011"/>
      </w:tblGrid>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Layer</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Source</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Authority</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First</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Embarked Neutral Keel observers and watch floor observation</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Primary evidence</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Second</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Voice reporting at the reporting points and gate calls</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Primary evidence</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Third</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Port clearance and arrival records at both ends</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Corroborating evidence</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Fourth</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Patrol and service craft confirmation</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Corroborating evidence</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Fifth</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Electronic track data</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Supplementary input, never sole basis</w:t>
            </w:r>
          </w:p>
        </w:tc>
      </w:tr>
    </w:tbl>
    <w:p>
      <w:pPr>
        <w:pStyle w:val="Normal"/>
        <w:rPr/>
      </w:pPr>
      <w:r>
        <w:rPr/>
      </w:r>
    </w:p>
    <w:p>
      <w:pPr>
        <w:pStyle w:val="Normal"/>
        <w:rPr/>
      </w:pPr>
      <w:r>
        <w:rPr>
          <w:rStyle w:val="DefaultParagraphFont"/>
          <w:rFonts w:eastAsia="" w:cs=""/>
          <w:color w:val="2F3B42"/>
          <w:sz w:val="22"/>
          <w:szCs w:val="24"/>
          <w:lang w:val="en-CA" w:eastAsia="en-CA" w:bidi="ar-SA"/>
        </w:rPr>
        <w:t>27.1.2 Electronic track data supplements human reporting because machines fail, signals jam, and transponders switch off for innocent reasons. A dark track triggers a voice check, not a suspicion finding.</w:t>
      </w:r>
    </w:p>
    <w:p>
      <w:pPr>
        <w:pStyle w:val="Normal"/>
        <w:rPr/>
      </w:pPr>
      <w:r>
        <w:rPr>
          <w:rStyle w:val="DefaultParagraphFont"/>
          <w:rFonts w:eastAsia="" w:cs=""/>
          <w:color w:val="2F3B42"/>
          <w:sz w:val="22"/>
          <w:szCs w:val="24"/>
          <w:lang w:val="en-CA" w:eastAsia="en-CA" w:bidi="ar-SA"/>
        </w:rPr>
        <w:t>27.1.3 The architecture treats track spoofing and signal interference as interference events under Article 12.3.2, investigated on human evidence.</w:t>
      </w:r>
    </w:p>
    <w:p>
      <w:pPr>
        <w:pStyle w:val="Heading3"/>
        <w:rPr/>
      </w:pPr>
      <w:bookmarkStart w:id="157" w:name="__RefHeading___Toc9249_4022417266"/>
      <w:bookmarkEnd w:id="157"/>
      <w:r>
        <w:rPr>
          <w:rFonts w:eastAsia="Calibri" w:cs="Calibri" w:ascii="Calibri" w:hAnsi="Calibri"/>
          <w:b/>
          <w:color w:val="1F4E5F"/>
          <w:sz w:val="24"/>
          <w:szCs w:val="24"/>
          <w:lang w:val="en-CA" w:eastAsia="en-CA" w:bidi="ar-SA"/>
        </w:rPr>
        <w:t>27.2 The Convergence Standard</w:t>
      </w:r>
    </w:p>
    <w:p>
      <w:pPr>
        <w:pStyle w:val="Normal"/>
        <w:rPr/>
      </w:pPr>
      <w:r>
        <w:rPr>
          <w:rStyle w:val="DefaultParagraphFont"/>
          <w:rFonts w:eastAsia="" w:cs=""/>
          <w:color w:val="2F3B42"/>
          <w:sz w:val="22"/>
          <w:szCs w:val="24"/>
          <w:lang w:val="en-CA" w:eastAsia="en-CA" w:bidi="ar-SA"/>
        </w:rPr>
        <w:t>27.2.1 No verification finding rests on a single input. A finding requires two independent inputs that agree: observer plus port record; voice log plus patrol confirmation; and so on through the layers.</w:t>
      </w:r>
    </w:p>
    <w:p>
      <w:pPr>
        <w:pStyle w:val="Normal"/>
        <w:rPr/>
      </w:pPr>
      <w:r>
        <w:rPr>
          <w:rStyle w:val="DefaultParagraphFont"/>
          <w:rFonts w:eastAsia="" w:cs=""/>
          <w:color w:val="2F3B42"/>
          <w:sz w:val="22"/>
          <w:szCs w:val="24"/>
          <w:lang w:val="en-CA" w:eastAsia="en-CA" w:bidi="ar-SA"/>
        </w:rPr>
        <w:t>27.2.2 Where inputs diverge, the Neutral Keel Office records the divergence, seeks a third input, and reports the divergence itself as the finding until convergence emerges.</w:t>
      </w:r>
    </w:p>
    <w:p>
      <w:pPr>
        <w:pStyle w:val="Normal"/>
        <w:rPr/>
      </w:pPr>
      <w:r>
        <w:rPr>
          <w:rStyle w:val="DefaultParagraphFont"/>
          <w:rFonts w:eastAsia="" w:cs=""/>
          <w:color w:val="2F3B42"/>
          <w:sz w:val="22"/>
          <w:szCs w:val="24"/>
          <w:lang w:val="en-CA" w:eastAsia="en-CA" w:bidi="ar-SA"/>
        </w:rPr>
        <w:t>27.2.3 The standard protects everyone: it protects vessels from false accusation, and it protects Participant States from findings a counterpart brushes aside.</w:t>
      </w:r>
    </w:p>
    <w:p>
      <w:pPr>
        <w:pStyle w:val="Heading3"/>
        <w:rPr/>
      </w:pPr>
      <w:bookmarkStart w:id="158" w:name="__RefHeading___Toc9251_4022417266"/>
      <w:bookmarkEnd w:id="158"/>
      <w:r>
        <w:rPr>
          <w:rFonts w:eastAsia="Calibri" w:cs="Calibri" w:ascii="Calibri" w:hAnsi="Calibri"/>
          <w:b/>
          <w:color w:val="1F4E5F"/>
          <w:sz w:val="24"/>
          <w:szCs w:val="24"/>
          <w:lang w:val="en-CA" w:eastAsia="en-CA" w:bidi="ar-SA"/>
        </w:rPr>
        <w:t>27.3 Human-in-the-Loop</w:t>
      </w:r>
    </w:p>
    <w:p>
      <w:pPr>
        <w:pStyle w:val="Normal"/>
        <w:rPr/>
      </w:pPr>
      <w:r>
        <w:rPr>
          <w:rStyle w:val="DefaultParagraphFont"/>
          <w:rFonts w:eastAsia="" w:cs=""/>
          <w:color w:val="2F3B42"/>
          <w:sz w:val="22"/>
          <w:szCs w:val="24"/>
          <w:lang w:val="en-CA" w:eastAsia="en-CA" w:bidi="ar-SA"/>
        </w:rPr>
        <w:t>27.3.1 Every automated flag in the system lands on a human desk before it lands in the record. A multinational duty team reviews each flag, applies the convergence test, and signs the outcome.</w:t>
      </w:r>
    </w:p>
    <w:p>
      <w:pPr>
        <w:pStyle w:val="Normal"/>
        <w:rPr/>
      </w:pPr>
      <w:r>
        <w:rPr>
          <w:rStyle w:val="DefaultParagraphFont"/>
          <w:rFonts w:eastAsia="" w:cs=""/>
          <w:color w:val="2F3B42"/>
          <w:sz w:val="22"/>
          <w:szCs w:val="24"/>
          <w:lang w:val="en-CA" w:eastAsia="en-CA" w:bidi="ar-SA"/>
        </w:rPr>
        <w:t>27.3.2 No automated process classifies an incident, suspends a service, or triggers a consequence under Article 32. Automation proposes; multinational human teams dispose.</w:t>
      </w:r>
    </w:p>
    <w:p>
      <w:pPr>
        <w:pStyle w:val="Heading3"/>
        <w:rPr/>
      </w:pPr>
      <w:bookmarkStart w:id="159" w:name="__RefHeading___Toc9253_4022417266"/>
      <w:bookmarkEnd w:id="159"/>
      <w:r>
        <w:rPr>
          <w:rFonts w:eastAsia="Calibri" w:cs="Calibri" w:ascii="Calibri" w:hAnsi="Calibri"/>
          <w:b/>
          <w:color w:val="1F4E5F"/>
          <w:sz w:val="24"/>
          <w:szCs w:val="24"/>
          <w:lang w:val="en-CA" w:eastAsia="en-CA" w:bidi="ar-SA"/>
        </w:rPr>
        <w:t>27.4 Data Sovereignty</w:t>
      </w:r>
    </w:p>
    <w:p>
      <w:pPr>
        <w:pStyle w:val="Normal"/>
        <w:rPr/>
      </w:pPr>
      <w:r>
        <w:rPr>
          <w:rStyle w:val="DefaultParagraphFont"/>
          <w:rFonts w:eastAsia="" w:cs=""/>
          <w:color w:val="2F3B42"/>
          <w:sz w:val="22"/>
          <w:szCs w:val="24"/>
          <w:lang w:val="en-CA" w:eastAsia="en-CA" w:bidi="ar-SA"/>
        </w:rPr>
        <w:t>27.4.1 Each Participant State's national data remains its own. The Network holds operational data: the daily log, the registration records, the Bulletin archive, and the observer reports.</w:t>
      </w:r>
    </w:p>
    <w:p>
      <w:pPr>
        <w:pStyle w:val="Normal"/>
        <w:rPr/>
      </w:pPr>
      <w:r>
        <w:rPr>
          <w:rStyle w:val="DefaultParagraphFont"/>
          <w:rFonts w:eastAsia="" w:cs=""/>
          <w:color w:val="2F3B42"/>
          <w:sz w:val="22"/>
          <w:szCs w:val="24"/>
          <w:lang w:val="en-CA" w:eastAsia="en-CA" w:bidi="ar-SA"/>
        </w:rPr>
        <w:t>27.4.2 The Neutral Keel Office stores its observation records under Swiss data protection arrangements, and Participant States receive access to the record according to their participation category under Article 36.3.</w:t>
      </w:r>
    </w:p>
    <w:p>
      <w:pPr>
        <w:pStyle w:val="Normal"/>
        <w:rPr/>
      </w:pPr>
      <w:r>
        <w:rPr>
          <w:rStyle w:val="DefaultParagraphFont"/>
          <w:rFonts w:eastAsia="" w:cs=""/>
          <w:color w:val="2F3B42"/>
          <w:sz w:val="22"/>
          <w:szCs w:val="24"/>
          <w:lang w:val="en-CA" w:eastAsia="en-CA" w:bidi="ar-SA"/>
        </w:rPr>
        <w:t>27.4.3 The Network sells no vessel-level data. The Route Assurance Data Service distributes derived products only, under the aggregation rules of Article 26.4.2.</w:t>
      </w:r>
    </w:p>
    <w:p>
      <w:pPr>
        <w:pStyle w:val="Heading2"/>
        <w:rPr/>
      </w:pPr>
      <w:bookmarkStart w:id="160" w:name="__RefHeading___Toc9255_4022417266"/>
      <w:bookmarkEnd w:id="160"/>
      <w:r>
        <w:rPr>
          <w:rFonts w:eastAsia="Calibri" w:cs="Calibri" w:ascii="Calibri" w:hAnsi="Calibri"/>
          <w:b/>
          <w:color w:val="1F4E5F"/>
          <w:sz w:val="22"/>
          <w:szCs w:val="24"/>
          <w:lang w:val="en-CA" w:eastAsia="en-CA" w:bidi="ar-SA"/>
        </w:rPr>
        <w:t>Article 28: Maritime Security and De-Confliction</w:t>
      </w:r>
    </w:p>
    <w:p>
      <w:pPr>
        <w:pStyle w:val="Heading3"/>
        <w:rPr/>
      </w:pPr>
      <w:bookmarkStart w:id="161" w:name="__RefHeading___Toc9257_4022417266"/>
      <w:bookmarkEnd w:id="161"/>
      <w:r>
        <w:rPr>
          <w:rFonts w:eastAsia="Calibri" w:cs="Calibri" w:ascii="Calibri" w:hAnsi="Calibri"/>
          <w:b/>
          <w:color w:val="1F4E5F"/>
          <w:sz w:val="24"/>
          <w:szCs w:val="24"/>
          <w:lang w:val="en-CA" w:eastAsia="en-CA" w:bidi="ar-SA"/>
        </w:rPr>
        <w:t>28.1 The Quiet Water Windows</w:t>
      </w:r>
    </w:p>
    <w:p>
      <w:pPr>
        <w:pStyle w:val="Normal"/>
        <w:rPr/>
      </w:pPr>
      <w:r>
        <w:rPr>
          <w:rStyle w:val="DefaultParagraphFont"/>
          <w:rFonts w:eastAsia="" w:cs=""/>
          <w:color w:val="2F3B42"/>
          <w:sz w:val="22"/>
          <w:szCs w:val="24"/>
          <w:lang w:val="en-CA" w:eastAsia="en-CA" w:bidi="ar-SA"/>
        </w:rPr>
        <w:t>28.1.1 Two windows daily, 0200 to 0600 and 1400 to 1800 Gulf Standard Time, operate as Quiet Water Windows inside the precautionary zones: Participant States hold military activity in the zones to transit-essential movement, and Class S and Class M traffic crossing the zones proceeds on the registered or notified schedule without maneuvers.</w:t>
      </w:r>
    </w:p>
    <w:p>
      <w:pPr>
        <w:pStyle w:val="Normal"/>
        <w:rPr/>
      </w:pPr>
      <w:r>
        <w:rPr>
          <w:rStyle w:val="DefaultParagraphFont"/>
          <w:rFonts w:eastAsia="" w:cs=""/>
          <w:color w:val="2F3B42"/>
          <w:sz w:val="22"/>
          <w:szCs w:val="24"/>
          <w:lang w:val="en-CA" w:eastAsia="en-CA" w:bidi="ar-SA"/>
        </w:rPr>
        <w:t>28.1.2 The Bulletin carries the windows, and the daily log records any activity inside them for the weekly Neutral Keel summary.</w:t>
      </w:r>
    </w:p>
    <w:p>
      <w:pPr>
        <w:pStyle w:val="Heading3"/>
        <w:rPr/>
      </w:pPr>
      <w:bookmarkStart w:id="162" w:name="__RefHeading___Toc9259_4022417266"/>
      <w:bookmarkEnd w:id="162"/>
      <w:r>
        <w:rPr>
          <w:rFonts w:eastAsia="Calibri" w:cs="Calibri" w:ascii="Calibri" w:hAnsi="Calibri"/>
          <w:b/>
          <w:color w:val="1F4E5F"/>
          <w:sz w:val="24"/>
          <w:szCs w:val="24"/>
          <w:lang w:val="en-CA" w:eastAsia="en-CA" w:bidi="ar-SA"/>
        </w:rPr>
        <w:t>28.2 Exercise Notification</w:t>
      </w:r>
    </w:p>
    <w:p>
      <w:pPr>
        <w:pStyle w:val="Normal"/>
        <w:rPr/>
      </w:pPr>
      <w:r>
        <w:rPr>
          <w:rStyle w:val="DefaultParagraphFont"/>
          <w:rFonts w:eastAsia="" w:cs=""/>
          <w:color w:val="2F3B42"/>
          <w:sz w:val="22"/>
          <w:szCs w:val="24"/>
          <w:lang w:val="en-CA" w:eastAsia="en-CA" w:bidi="ar-SA"/>
        </w:rPr>
        <w:t>28.2.1 A Participant State planning a naval or air exercise whose sea or air box touches the Operating Area notifies the Center fourteen days ahead through its liaison officer: dates, box coordinates, and activity type.</w:t>
      </w:r>
    </w:p>
    <w:p>
      <w:pPr>
        <w:pStyle w:val="Normal"/>
        <w:rPr/>
      </w:pPr>
      <w:r>
        <w:rPr>
          <w:rStyle w:val="DefaultParagraphFont"/>
          <w:rFonts w:eastAsia="" w:cs=""/>
          <w:color w:val="2F3B42"/>
          <w:sz w:val="22"/>
          <w:szCs w:val="24"/>
          <w:lang w:val="en-CA" w:eastAsia="en-CA" w:bidi="ar-SA"/>
        </w:rPr>
        <w:t>28.2.2 The Center publishes an advisory in the Bulletin, and the exercise box never closes a passage. A box that overlaps a lane shifts by Council-approved adjustment.</w:t>
      </w:r>
    </w:p>
    <w:p>
      <w:pPr>
        <w:pStyle w:val="Heading3"/>
        <w:rPr/>
      </w:pPr>
      <w:bookmarkStart w:id="163" w:name="__RefHeading___Toc9261_4022417266"/>
      <w:bookmarkEnd w:id="163"/>
      <w:r>
        <w:rPr>
          <w:rFonts w:eastAsia="Calibri" w:cs="Calibri" w:ascii="Calibri" w:hAnsi="Calibri"/>
          <w:b/>
          <w:color w:val="1F4E5F"/>
          <w:sz w:val="24"/>
          <w:szCs w:val="24"/>
          <w:lang w:val="en-CA" w:eastAsia="en-CA" w:bidi="ar-SA"/>
        </w:rPr>
        <w:t>28.3 The Incident Hotline</w:t>
      </w:r>
    </w:p>
    <w:p>
      <w:pPr>
        <w:pStyle w:val="Normal"/>
        <w:rPr/>
      </w:pPr>
      <w:r>
        <w:rPr>
          <w:rStyle w:val="DefaultParagraphFont"/>
          <w:rFonts w:eastAsia="" w:cs=""/>
          <w:color w:val="2F3B42"/>
          <w:sz w:val="22"/>
          <w:szCs w:val="24"/>
          <w:lang w:val="en-CA" w:eastAsia="en-CA" w:bidi="ar-SA"/>
        </w:rPr>
        <w:t>28.3.1 A staffed voice hotline links the Center, the Mirror Office, and Category I liaison desks continuously, with a recorded bridge and a backup circuit through the Mirror Office.</w:t>
      </w:r>
    </w:p>
    <w:p>
      <w:pPr>
        <w:pStyle w:val="Normal"/>
        <w:rPr/>
      </w:pPr>
      <w:r>
        <w:rPr>
          <w:rStyle w:val="DefaultParagraphFont"/>
          <w:rFonts w:eastAsia="" w:cs=""/>
          <w:color w:val="2F3B42"/>
          <w:sz w:val="22"/>
          <w:szCs w:val="24"/>
          <w:lang w:val="en-CA" w:eastAsia="en-CA" w:bidi="ar-SA"/>
        </w:rPr>
        <w:t>28.3.2 Any duty officer opens the bridge on any incident, near-incident, or ambiguity, and the log records opening time, response time, and content summary. The target response: the counterpart duty team answers within five minutes, day and night.</w:t>
      </w:r>
    </w:p>
    <w:p>
      <w:pPr>
        <w:pStyle w:val="Heading3"/>
        <w:rPr/>
      </w:pPr>
      <w:bookmarkStart w:id="164" w:name="__RefHeading___Toc9263_4022417266"/>
      <w:bookmarkEnd w:id="164"/>
      <w:r>
        <w:rPr>
          <w:rFonts w:eastAsia="Calibri" w:cs="Calibri" w:ascii="Calibri" w:hAnsi="Calibri"/>
          <w:b/>
          <w:color w:val="1F4E5F"/>
          <w:sz w:val="24"/>
          <w:szCs w:val="24"/>
          <w:lang w:val="en-CA" w:eastAsia="en-CA" w:bidi="ar-SA"/>
        </w:rPr>
        <w:t>28.4 The Mishap Protocol</w:t>
      </w:r>
    </w:p>
    <w:p>
      <w:pPr>
        <w:pStyle w:val="Normal"/>
        <w:rPr/>
      </w:pPr>
      <w:r>
        <w:rPr>
          <w:rStyle w:val="DefaultParagraphFont"/>
          <w:rFonts w:eastAsia="" w:cs=""/>
          <w:color w:val="2F3B42"/>
          <w:sz w:val="22"/>
          <w:szCs w:val="24"/>
          <w:lang w:val="en-CA" w:eastAsia="en-CA" w:bidi="ar-SA"/>
        </w:rPr>
        <w:t>28.4.1 An unplanned contact between a state craft and any vessel, or between state craft of Participant States, triggers the Mishap Protocol automatically:</w:t>
      </w:r>
    </w:p>
    <w:p>
      <w:pPr>
        <w:pStyle w:val="Normal"/>
        <w:rPr/>
      </w:pPr>
      <w:r>
        <w:rPr>
          <w:rFonts w:eastAsia="Cambria" w:cs="Cambria" w:ascii="Cambria" w:hAnsi="Cambria"/>
          <w:b/>
          <w:color w:val="33586A"/>
          <w:sz w:val="23"/>
          <w:szCs w:val="24"/>
          <w:lang w:val="en-CA" w:eastAsia="en-CA" w:bidi="ar-SA"/>
        </w:rPr>
        <w:t>•</w:t>
      </w:r>
      <w:r>
        <w:rPr>
          <w:rStyle w:val="DefaultParagraphFont"/>
          <w:rFonts w:eastAsia="" w:cs=""/>
          <w:color w:val="2F3B42"/>
          <w:sz w:val="22"/>
          <w:szCs w:val="24"/>
          <w:lang w:val="en-CA" w:eastAsia="en-CA" w:bidi="ar-SA"/>
        </w:rPr>
        <w:t>Stand down and report: the craft involved holds position or course safely and reports on the hotline immediately.</w:t>
      </w:r>
    </w:p>
    <w:p>
      <w:pPr>
        <w:pStyle w:val="Normal"/>
        <w:rPr/>
      </w:pPr>
      <w:r>
        <w:rPr>
          <w:rFonts w:eastAsia="Cambria" w:cs="Cambria" w:ascii="Cambria" w:hAnsi="Cambria"/>
          <w:b/>
          <w:color w:val="33586A"/>
          <w:sz w:val="23"/>
          <w:szCs w:val="24"/>
          <w:lang w:val="en-CA" w:eastAsia="en-CA" w:bidi="ar-SA"/>
        </w:rPr>
        <w:t xml:space="preserve">• </w:t>
      </w:r>
      <w:r>
        <w:rPr>
          <w:rFonts w:eastAsia="Cambria" w:cs="Cambria" w:ascii="Cambria" w:hAnsi="Cambria"/>
          <w:b/>
          <w:color w:val="33586A"/>
          <w:sz w:val="23"/>
          <w:szCs w:val="24"/>
          <w:lang w:val="en-CA" w:eastAsia="en-CA" w:bidi="ar-SA"/>
        </w:rPr>
        <w:t>The Thirty-Minute Position Log: within thirty minutes, each involved Participant State files its position record for the preceding four hours, through its duty officer, into the sealed incident file.</w:t>
      </w:r>
    </w:p>
    <w:p>
      <w:pPr>
        <w:pStyle w:val="Normal"/>
        <w:rPr/>
      </w:pPr>
      <w:r>
        <w:rPr>
          <w:rStyle w:val="DefaultParagraphFont"/>
          <w:rFonts w:eastAsia="" w:cs=""/>
          <w:color w:val="2F3B42"/>
          <w:sz w:val="22"/>
          <w:szCs w:val="24"/>
          <w:lang w:val="en-CA" w:eastAsia="en-CA" w:bidi="ar-SA"/>
        </w:rPr>
        <w:t>•</w:t>
      </w:r>
      <w:r>
        <w:rPr>
          <w:rStyle w:val="DefaultParagraphFont"/>
          <w:rFonts w:eastAsia="" w:cs=""/>
          <w:color w:val="2F3B42"/>
          <w:sz w:val="22"/>
          <w:szCs w:val="24"/>
          <w:lang w:val="en-CA" w:eastAsia="en-CA" w:bidi="ar-SA"/>
        </w:rPr>
        <w:t>The four-hour classification: the Co-Directors classify the event within four hours as navigational, mechanical, procedural, or escalatory, applying the Convergence Standard to the logs and any observer input.</w:t>
      </w:r>
    </w:p>
    <w:p>
      <w:pPr>
        <w:pStyle w:val="Normal"/>
        <w:rPr/>
      </w:pPr>
      <w:r>
        <w:rPr>
          <w:rFonts w:eastAsia="Cambria" w:cs="Cambria" w:ascii="Cambria" w:hAnsi="Cambria"/>
          <w:b/>
          <w:color w:val="33586A"/>
          <w:sz w:val="23"/>
          <w:szCs w:val="24"/>
          <w:lang w:val="en-CA" w:eastAsia="en-CA" w:bidi="ar-SA"/>
        </w:rPr>
        <w:t>•</w:t>
      </w:r>
      <w:r>
        <w:rPr>
          <w:rStyle w:val="DefaultParagraphFont"/>
          <w:rFonts w:eastAsia="" w:cs=""/>
          <w:color w:val="2F3B42"/>
          <w:sz w:val="22"/>
          <w:szCs w:val="24"/>
          <w:lang w:val="en-CA" w:eastAsia="en-CA" w:bidi="ar-SA"/>
        </w:rPr>
        <w:t>The public note: the Bulletin carries a factual note within twelve hours, drafted in the neutral incident language of Annex E.</w:t>
      </w:r>
    </w:p>
    <w:p>
      <w:pPr>
        <w:pStyle w:val="Normal"/>
        <w:rPr/>
      </w:pPr>
      <w:r>
        <w:rPr>
          <w:rStyle w:val="DefaultParagraphFont"/>
          <w:rFonts w:eastAsia="" w:cs=""/>
          <w:color w:val="2F3B42"/>
          <w:sz w:val="22"/>
          <w:szCs w:val="24"/>
          <w:lang w:val="en-CA" w:eastAsia="en-CA" w:bidi="ar-SA"/>
        </w:rPr>
        <w:t>28.4.2 Salvage and assistance proceed on humanitarian priority, and assisting craft enjoy free movement for the purpose, regardless of class rules.</w:t>
      </w:r>
    </w:p>
    <w:p>
      <w:pPr>
        <w:pStyle w:val="Normal"/>
        <w:rPr/>
      </w:pPr>
      <w:r>
        <w:rPr>
          <w:rStyle w:val="DefaultParagraphFont"/>
          <w:rFonts w:eastAsia="" w:cs=""/>
          <w:color w:val="2F3B42"/>
          <w:sz w:val="22"/>
          <w:szCs w:val="24"/>
          <w:lang w:val="en-CA" w:eastAsia="en-CA" w:bidi="ar-SA"/>
        </w:rPr>
        <w:t>28.4.3 An escalatory classification routes the event to Article 32 automatically; a navigational or mechanical classification closes with a lessons note.</w:t>
      </w:r>
    </w:p>
    <w:p>
      <w:pPr>
        <w:pStyle w:val="Heading3"/>
        <w:rPr/>
      </w:pPr>
      <w:bookmarkStart w:id="165" w:name="__RefHeading___Toc9265_4022417266"/>
      <w:bookmarkEnd w:id="165"/>
      <w:r>
        <w:rPr>
          <w:rFonts w:eastAsia="Calibri" w:cs="Calibri" w:ascii="Calibri" w:hAnsi="Calibri"/>
          <w:b/>
          <w:color w:val="1F4E5F"/>
          <w:sz w:val="24"/>
          <w:szCs w:val="24"/>
          <w:lang w:val="en-CA" w:eastAsia="en-CA" w:bidi="ar-SA"/>
        </w:rPr>
        <w:t>28.5 The Rogue Actor and False-Flag Pathway</w:t>
      </w:r>
    </w:p>
    <w:p>
      <w:pPr>
        <w:pStyle w:val="Normal"/>
        <w:rPr/>
      </w:pPr>
      <w:r>
        <w:rPr>
          <w:rStyle w:val="DefaultParagraphFont"/>
          <w:rFonts w:eastAsia="" w:cs=""/>
          <w:color w:val="2F3B42"/>
          <w:sz w:val="22"/>
          <w:szCs w:val="24"/>
          <w:lang w:val="en-CA" w:eastAsia="en-CA" w:bidi="ar-SA"/>
        </w:rPr>
        <w:t>28.5.1 Where an interference event suggests a non-state actor or a disguised actor, the Neutral Keel Office leads attribution analysis on all inputs, including human intelligence Participant States choose to share, and reports to the Council within seventy-two hours.</w:t>
      </w:r>
    </w:p>
    <w:p>
      <w:pPr>
        <w:pStyle w:val="Normal"/>
        <w:rPr/>
      </w:pPr>
      <w:r>
        <w:rPr>
          <w:rStyle w:val="DefaultParagraphFont"/>
          <w:rFonts w:eastAsia="" w:cs=""/>
          <w:color w:val="2F3B42"/>
          <w:sz w:val="22"/>
          <w:szCs w:val="24"/>
          <w:lang w:val="en-CA" w:eastAsia="en-CA" w:bidi="ar-SA"/>
        </w:rPr>
        <w:t>28.5.2 The architecture protects Participant States from false-flag traps: no compliance consequence attaches to a Participant State until attribution reaches the Convergence Standard, and the Council's response distinguishes the author of an act from the Participant State in whose waters it occurred.</w:t>
      </w:r>
    </w:p>
    <w:p>
      <w:pPr>
        <w:pStyle w:val="Normal"/>
        <w:rPr/>
      </w:pPr>
      <w:r>
        <w:rPr>
          <w:rStyle w:val="DefaultParagraphFont"/>
          <w:rFonts w:eastAsia="" w:cs=""/>
          <w:color w:val="2F3B42"/>
          <w:sz w:val="22"/>
          <w:szCs w:val="24"/>
          <w:lang w:val="en-CA" w:eastAsia="en-CA" w:bidi="ar-SA"/>
        </w:rPr>
        <w:t>28.5.3 Network assets serve safety and verification only. The architecture excludes the use of Network assets, data, or facilities to plan, support, or execute kinetic action by any actor, guarding Register entry R-12.</w:t>
      </w:r>
    </w:p>
    <w:p>
      <w:pPr>
        <w:pStyle w:val="Heading2"/>
        <w:rPr/>
      </w:pPr>
      <w:bookmarkStart w:id="166" w:name="__RefHeading___Toc9267_4022417266"/>
      <w:bookmarkEnd w:id="166"/>
      <w:r>
        <w:rPr>
          <w:rFonts w:eastAsia="Calibri" w:cs="Calibri" w:ascii="Calibri" w:hAnsi="Calibri"/>
          <w:b/>
          <w:color w:val="1F4E5F"/>
          <w:sz w:val="22"/>
          <w:szCs w:val="24"/>
          <w:lang w:val="en-CA" w:eastAsia="en-CA" w:bidi="ar-SA"/>
        </w:rPr>
        <w:t>Article 29: Search and Rescue</w:t>
      </w:r>
    </w:p>
    <w:p>
      <w:pPr>
        <w:pStyle w:val="Heading3"/>
        <w:rPr/>
      </w:pPr>
      <w:bookmarkStart w:id="167" w:name="__RefHeading___Toc9269_4022417266"/>
      <w:bookmarkEnd w:id="167"/>
      <w:r>
        <w:rPr>
          <w:rFonts w:eastAsia="Calibri" w:cs="Calibri" w:ascii="Calibri" w:hAnsi="Calibri"/>
          <w:b/>
          <w:color w:val="1F4E5F"/>
          <w:sz w:val="24"/>
          <w:szCs w:val="24"/>
          <w:lang w:val="en-CA" w:eastAsia="en-CA" w:bidi="ar-SA"/>
        </w:rPr>
        <w:t>29.1 The Shared Grid</w:t>
      </w:r>
    </w:p>
    <w:p>
      <w:pPr>
        <w:pStyle w:val="Normal"/>
        <w:rPr/>
      </w:pPr>
      <w:r>
        <w:rPr>
          <w:rStyle w:val="DefaultParagraphFont"/>
          <w:rFonts w:eastAsia="" w:cs=""/>
          <w:color w:val="2F3B42"/>
          <w:sz w:val="22"/>
          <w:szCs w:val="24"/>
          <w:lang w:val="en-CA" w:eastAsia="en-CA" w:bidi="ar-SA"/>
        </w:rPr>
        <w:t>29.1.1 Participant States operate search and rescue in the Operating Area as one grid with littoral response fleets, coordinated by the Center's alert link, without prejudice to each state's zone of responsibility under international arrangements.</w:t>
      </w:r>
    </w:p>
    <w:p>
      <w:pPr>
        <w:pStyle w:val="Normal"/>
        <w:rPr/>
      </w:pPr>
      <w:r>
        <w:rPr>
          <w:rStyle w:val="DefaultParagraphFont"/>
          <w:rFonts w:eastAsia="" w:cs=""/>
          <w:color w:val="2F3B42"/>
          <w:sz w:val="22"/>
          <w:szCs w:val="24"/>
          <w:lang w:val="en-CA" w:eastAsia="en-CA" w:bidi="ar-SA"/>
        </w:rPr>
        <w:t>29.1.2 The nearest capable unit responds first, regardless of nationality, and the log records response times for the Catalog readiness reimbursement.</w:t>
      </w:r>
    </w:p>
    <w:p>
      <w:pPr>
        <w:pStyle w:val="Heading3"/>
        <w:rPr/>
      </w:pPr>
      <w:bookmarkStart w:id="168" w:name="__RefHeading___Toc9271_4022417266"/>
      <w:bookmarkEnd w:id="168"/>
      <w:r>
        <w:rPr>
          <w:rFonts w:eastAsia="Calibri" w:cs="Calibri" w:ascii="Calibri" w:hAnsi="Calibri"/>
          <w:b/>
          <w:color w:val="1F4E5F"/>
          <w:sz w:val="24"/>
          <w:szCs w:val="24"/>
          <w:lang w:val="en-CA" w:eastAsia="en-CA" w:bidi="ar-SA"/>
        </w:rPr>
        <w:t>29.2 The SAR Rota</w:t>
      </w:r>
    </w:p>
    <w:p>
      <w:pPr>
        <w:pStyle w:val="Normal"/>
        <w:rPr/>
      </w:pPr>
      <w:r>
        <w:rPr>
          <w:rStyle w:val="DefaultParagraphFont"/>
          <w:rFonts w:eastAsia="" w:cs=""/>
          <w:color w:val="2F3B42"/>
          <w:sz w:val="22"/>
          <w:szCs w:val="24"/>
          <w:lang w:val="en-CA" w:eastAsia="en-CA" w:bidi="ar-SA"/>
        </w:rPr>
        <w:t>29.2.1 Each Category I state maintains a declared readiness roster: vessels, crews, and response times, filed quarterly with the Center. The Fund reimburses readiness against the roster and drill records.</w:t>
      </w:r>
    </w:p>
    <w:p>
      <w:pPr>
        <w:pStyle w:val="Normal"/>
        <w:rPr/>
      </w:pPr>
      <w:r>
        <w:rPr>
          <w:rStyle w:val="DefaultParagraphFont"/>
          <w:rFonts w:eastAsia="" w:cs=""/>
          <w:color w:val="2F3B42"/>
          <w:sz w:val="22"/>
          <w:szCs w:val="24"/>
          <w:lang w:val="en-CA" w:eastAsia="en-CA" w:bidi="ar-SA"/>
        </w:rPr>
        <w:t>29.2.2 The Center runs a joint search and rescue drill each quarter, alternating the lead, and the Neutral Keel Office observes and scores the drill against the published standard.</w:t>
      </w:r>
    </w:p>
    <w:p>
      <w:pPr>
        <w:pStyle w:val="Heading3"/>
        <w:rPr/>
      </w:pPr>
      <w:bookmarkStart w:id="169" w:name="__RefHeading___Toc9273_4022417266"/>
      <w:bookmarkEnd w:id="169"/>
      <w:r>
        <w:rPr>
          <w:rFonts w:eastAsia="Calibri" w:cs="Calibri" w:ascii="Calibri" w:hAnsi="Calibri"/>
          <w:b/>
          <w:color w:val="1F4E5F"/>
          <w:sz w:val="24"/>
          <w:szCs w:val="24"/>
          <w:lang w:val="en-CA" w:eastAsia="en-CA" w:bidi="ar-SA"/>
        </w:rPr>
        <w:t>29.3 Humanitarian Priority</w:t>
      </w:r>
    </w:p>
    <w:p>
      <w:pPr>
        <w:pStyle w:val="Normal"/>
        <w:rPr/>
      </w:pPr>
      <w:r>
        <w:rPr>
          <w:rStyle w:val="DefaultParagraphFont"/>
          <w:rFonts w:eastAsia="" w:cs=""/>
          <w:color w:val="2F3B42"/>
          <w:sz w:val="22"/>
          <w:szCs w:val="24"/>
          <w:lang w:val="en-CA" w:eastAsia="en-CA" w:bidi="ar-SA"/>
        </w:rPr>
        <w:t>29.3.1 Life at sea outranks every rule in this framework. A rescue in progress suspends spacing, windows, and lane discipline in its area, and the Center clears the area in the Bulletin.</w:t>
      </w:r>
    </w:p>
    <w:p>
      <w:pPr>
        <w:pStyle w:val="Normal"/>
        <w:rPr/>
      </w:pPr>
      <w:r>
        <w:rPr>
          <w:rStyle w:val="DefaultParagraphFont"/>
          <w:rFonts w:eastAsia="" w:cs=""/>
          <w:color w:val="2F3B42"/>
          <w:sz w:val="22"/>
          <w:szCs w:val="24"/>
          <w:lang w:val="en-CA" w:eastAsia="en-CA" w:bidi="ar-SA"/>
        </w:rPr>
        <w:t>29.3.2 Class H vessels assisting in a rescue lose no schedule priority and carry no administrative consequence for rule deviations the rescue demanded.</w:t>
      </w:r>
    </w:p>
    <w:p>
      <w:pPr>
        <w:pStyle w:val="Heading2"/>
        <w:rPr/>
      </w:pPr>
      <w:bookmarkStart w:id="170" w:name="__RefHeading___Toc9275_4022417266"/>
      <w:bookmarkEnd w:id="170"/>
      <w:r>
        <w:rPr>
          <w:rFonts w:eastAsia="Calibri" w:cs="Calibri" w:ascii="Calibri" w:hAnsi="Calibri"/>
          <w:b/>
          <w:color w:val="1F4E5F"/>
          <w:sz w:val="22"/>
          <w:szCs w:val="24"/>
          <w:lang w:val="en-CA" w:eastAsia="en-CA" w:bidi="ar-SA"/>
        </w:rPr>
        <w:t>Article 30: Environmental Protection</w:t>
      </w:r>
    </w:p>
    <w:p>
      <w:pPr>
        <w:pStyle w:val="Heading3"/>
        <w:rPr/>
      </w:pPr>
      <w:bookmarkStart w:id="171" w:name="__RefHeading___Toc9277_4022417266"/>
      <w:bookmarkEnd w:id="171"/>
      <w:r>
        <w:rPr>
          <w:rFonts w:eastAsia="Calibri" w:cs="Calibri" w:ascii="Calibri" w:hAnsi="Calibri"/>
          <w:b/>
          <w:color w:val="1F4E5F"/>
          <w:sz w:val="24"/>
          <w:szCs w:val="24"/>
          <w:lang w:val="en-CA" w:eastAsia="en-CA" w:bidi="ar-SA"/>
        </w:rPr>
        <w:t>30.1 The Pollution Response Readiness Service</w:t>
      </w:r>
    </w:p>
    <w:p>
      <w:pPr>
        <w:pStyle w:val="Normal"/>
        <w:rPr/>
      </w:pPr>
      <w:r>
        <w:rPr>
          <w:rStyle w:val="DefaultParagraphFont"/>
          <w:rFonts w:eastAsia="" w:cs=""/>
          <w:color w:val="2F3B42"/>
          <w:sz w:val="22"/>
          <w:szCs w:val="24"/>
          <w:lang w:val="en-CA" w:eastAsia="en-CA" w:bidi="ar-SA"/>
        </w:rPr>
        <w:t>30.1.1 Category I states maintain a shared pollution response capability: boom and skimmer stocks at two bases, one Gulf-side and one Oman-side, dispersant under environmental rules, and a shared response craft roster open to Category II technical support.</w:t>
      </w:r>
    </w:p>
    <w:p>
      <w:pPr>
        <w:pStyle w:val="Normal"/>
        <w:rPr/>
      </w:pPr>
      <w:r>
        <w:rPr>
          <w:rStyle w:val="DefaultParagraphFont"/>
          <w:rFonts w:eastAsia="" w:cs=""/>
          <w:color w:val="2F3B42"/>
          <w:sz w:val="22"/>
          <w:szCs w:val="24"/>
          <w:lang w:val="en-CA" w:eastAsia="en-CA" w:bidi="ar-SA"/>
        </w:rPr>
        <w:t>30.1.2 The Fund reimburses readiness and response as Catalog services, and the response command follows the SAR grid logic of Article 29.1: nearest capable unit first.</w:t>
      </w:r>
    </w:p>
    <w:p>
      <w:pPr>
        <w:pStyle w:val="Heading3"/>
        <w:rPr/>
      </w:pPr>
      <w:bookmarkStart w:id="172" w:name="__RefHeading___Toc9279_4022417266"/>
      <w:bookmarkEnd w:id="172"/>
      <w:r>
        <w:rPr>
          <w:rFonts w:eastAsia="Calibri" w:cs="Calibri" w:ascii="Calibri" w:hAnsi="Calibri"/>
          <w:b/>
          <w:color w:val="1F4E5F"/>
          <w:sz w:val="24"/>
          <w:szCs w:val="24"/>
          <w:lang w:val="en-CA" w:eastAsia="en-CA" w:bidi="ar-SA"/>
        </w:rPr>
        <w:t>30.2 The Environmental Liability Coverage Rule</w:t>
      </w:r>
    </w:p>
    <w:p>
      <w:pPr>
        <w:pStyle w:val="Normal"/>
        <w:rPr/>
      </w:pPr>
      <w:r>
        <w:rPr>
          <w:rStyle w:val="DefaultParagraphFont"/>
          <w:rFonts w:eastAsia="" w:cs=""/>
          <w:color w:val="2F3B42"/>
          <w:sz w:val="22"/>
          <w:szCs w:val="24"/>
          <w:lang w:val="en-CA" w:eastAsia="en-CA" w:bidi="ar-SA"/>
        </w:rPr>
        <w:t>30.2.1 Every Class E, G, and X vessel operating in the Operating Area carries pollution liability coverage under recognized club or equivalent arrangements, declared in the registration or in port practice.</w:t>
      </w:r>
    </w:p>
    <w:p>
      <w:pPr>
        <w:pStyle w:val="Normal"/>
        <w:rPr/>
      </w:pPr>
      <w:r>
        <w:rPr>
          <w:rStyle w:val="DefaultParagraphFont"/>
          <w:rFonts w:eastAsia="" w:cs=""/>
          <w:color w:val="2F3B42"/>
          <w:sz w:val="22"/>
          <w:szCs w:val="24"/>
          <w:lang w:val="en-CA" w:eastAsia="en-CA" w:bidi="ar-SA"/>
        </w:rPr>
        <w:t>30.2.2 The rule operates as a documentation standard, not a charge: no premium flows to the Network or to any Participant State, and the coverage requirement mirrors what responsible operators already carry.</w:t>
      </w:r>
    </w:p>
    <w:p>
      <w:pPr>
        <w:pStyle w:val="Heading3"/>
        <w:rPr/>
      </w:pPr>
      <w:bookmarkStart w:id="173" w:name="__RefHeading___Toc9281_4022417266"/>
      <w:bookmarkEnd w:id="173"/>
      <w:r>
        <w:rPr>
          <w:rFonts w:eastAsia="Calibri" w:cs="Calibri" w:ascii="Calibri" w:hAnsi="Calibri"/>
          <w:b/>
          <w:color w:val="1F4E5F"/>
          <w:sz w:val="24"/>
          <w:szCs w:val="24"/>
          <w:lang w:val="en-CA" w:eastAsia="en-CA" w:bidi="ar-SA"/>
        </w:rPr>
        <w:t>30.3 Sensitive Areas</w:t>
      </w:r>
    </w:p>
    <w:p>
      <w:pPr>
        <w:pStyle w:val="Normal"/>
        <w:rPr/>
      </w:pPr>
      <w:r>
        <w:rPr>
          <w:rStyle w:val="DefaultParagraphFont"/>
          <w:rFonts w:eastAsia="" w:cs=""/>
          <w:color w:val="2F3B42"/>
          <w:sz w:val="22"/>
          <w:szCs w:val="24"/>
          <w:lang w:val="en-CA" w:eastAsia="en-CA" w:bidi="ar-SA"/>
        </w:rPr>
        <w:t>30.3.1 Category I states designate the coral and fishery areas listed in Annex A, Section A.10 as Particularly Sensitive Sea Areas in their joint submission to the International Maritime Organization, and the traffic rules add the associated protective measures to the relevant lanes.</w:t>
      </w:r>
    </w:p>
    <w:p>
      <w:pPr>
        <w:pStyle w:val="Normal"/>
        <w:rPr/>
      </w:pPr>
      <w:r>
        <w:rPr>
          <w:rStyle w:val="DefaultParagraphFont"/>
          <w:rFonts w:eastAsia="" w:cs=""/>
          <w:color w:val="2F3B42"/>
          <w:sz w:val="22"/>
          <w:szCs w:val="24"/>
          <w:lang w:val="en-CA" w:eastAsia="en-CA" w:bidi="ar-SA"/>
        </w:rPr>
        <w:t>30.3.2 Ballast and discharge rules in the Operating Area follow the international conventions in force for each vessel, and the Center's environmental desk records reported violations for flag-state follow-up, never for strait-side enforcement.</w:t>
      </w:r>
    </w:p>
    <w:p>
      <w:pPr>
        <w:pStyle w:val="Heading2"/>
        <w:rPr/>
      </w:pPr>
      <w:bookmarkStart w:id="174" w:name="__RefHeading___Toc9283_4022417266"/>
      <w:bookmarkEnd w:id="174"/>
      <w:r>
        <w:rPr>
          <w:rFonts w:eastAsia="Calibri" w:cs="Calibri" w:ascii="Calibri" w:hAnsi="Calibri"/>
          <w:b/>
          <w:color w:val="1F4E5F"/>
          <w:sz w:val="22"/>
          <w:szCs w:val="24"/>
          <w:lang w:val="en-CA" w:eastAsia="en-CA" w:bidi="ar-SA"/>
        </w:rPr>
        <w:t>Article 31: Incident Classification and Reporting</w:t>
      </w:r>
    </w:p>
    <w:p>
      <w:pPr>
        <w:pStyle w:val="Heading3"/>
        <w:rPr/>
      </w:pPr>
      <w:bookmarkStart w:id="175" w:name="__RefHeading___Toc9285_4022417266"/>
      <w:bookmarkEnd w:id="175"/>
      <w:r>
        <w:rPr>
          <w:rFonts w:eastAsia="Calibri" w:cs="Calibri" w:ascii="Calibri" w:hAnsi="Calibri"/>
          <w:b/>
          <w:color w:val="1F4E5F"/>
          <w:sz w:val="24"/>
          <w:szCs w:val="24"/>
          <w:lang w:val="en-CA" w:eastAsia="en-CA" w:bidi="ar-SA"/>
        </w:rPr>
        <w:t>31.1 The Classification Ladder</w:t>
      </w:r>
    </w:p>
    <w:p>
      <w:pPr>
        <w:pStyle w:val="Normal"/>
        <w:rPr/>
      </w:pPr>
      <w:r>
        <w:rPr>
          <w:rStyle w:val="DefaultParagraphFont"/>
          <w:rFonts w:eastAsia="" w:cs=""/>
          <w:color w:val="2F3B42"/>
          <w:sz w:val="22"/>
          <w:szCs w:val="24"/>
          <w:lang w:val="en-CA" w:eastAsia="en-CA" w:bidi="ar-SA"/>
        </w:rPr>
        <w:t>31.1.1 The Center classifies every reported event on the ladder of Annex E: navigational incident; procedural deviation; service failure; interference event; escalatory event. Each rung carries a defined response and a defined timeline.</w:t>
      </w:r>
    </w:p>
    <w:p>
      <w:pPr>
        <w:pStyle w:val="Normal"/>
        <w:rPr/>
      </w:pPr>
      <w:r>
        <w:rPr>
          <w:rStyle w:val="DefaultParagraphFont"/>
          <w:rFonts w:eastAsia="" w:cs=""/>
          <w:color w:val="2F3B42"/>
          <w:sz w:val="22"/>
          <w:szCs w:val="24"/>
          <w:lang w:val="en-CA" w:eastAsia="en-CA" w:bidi="ar-SA"/>
        </w:rPr>
        <w:t>31.1.2 Classification follows the Convergence Standard and the collective-signature rule: the Co-Directors sign every classification above the first rung.</w:t>
      </w:r>
    </w:p>
    <w:p>
      <w:pPr>
        <w:pStyle w:val="Heading3"/>
        <w:rPr/>
      </w:pPr>
      <w:bookmarkStart w:id="176" w:name="__RefHeading___Toc9287_4022417266"/>
      <w:bookmarkEnd w:id="176"/>
      <w:r>
        <w:rPr>
          <w:rFonts w:eastAsia="Calibri" w:cs="Calibri" w:ascii="Calibri" w:hAnsi="Calibri"/>
          <w:b/>
          <w:color w:val="1F4E5F"/>
          <w:sz w:val="24"/>
          <w:szCs w:val="24"/>
          <w:lang w:val="en-CA" w:eastAsia="en-CA" w:bidi="ar-SA"/>
        </w:rPr>
        <w:t>31.2 Reporting Obligations</w:t>
      </w:r>
    </w:p>
    <w:p>
      <w:pPr>
        <w:pStyle w:val="Normal"/>
        <w:rPr/>
      </w:pPr>
      <w:r>
        <w:rPr>
          <w:rStyle w:val="DefaultParagraphFont"/>
          <w:rFonts w:eastAsia="" w:cs=""/>
          <w:color w:val="2F3B42"/>
          <w:sz w:val="22"/>
          <w:szCs w:val="24"/>
          <w:lang w:val="en-CA" w:eastAsia="en-CA" w:bidi="ar-SA"/>
        </w:rPr>
        <w:t>31.2.1 A master reports any interference, hazard, or casualty on the working channel or the incident line, and the report enters the log with a time stamp and a reference number.</w:t>
      </w:r>
    </w:p>
    <w:p>
      <w:pPr>
        <w:pStyle w:val="Normal"/>
        <w:rPr/>
      </w:pPr>
      <w:r>
        <w:rPr>
          <w:rStyle w:val="DefaultParagraphFont"/>
          <w:rFonts w:eastAsia="" w:cs=""/>
          <w:color w:val="2F3B42"/>
          <w:sz w:val="22"/>
          <w:szCs w:val="24"/>
          <w:lang w:val="en-CA" w:eastAsia="en-CA" w:bidi="ar-SA"/>
        </w:rPr>
        <w:t>31.2.2 The Center acknowledges every report within fifteen minutes, classifies within the ladder's timelines, and closes every report with an outcome note to the reporter.</w:t>
      </w:r>
    </w:p>
    <w:p>
      <w:pPr>
        <w:pStyle w:val="Heading3"/>
        <w:rPr/>
      </w:pPr>
      <w:bookmarkStart w:id="177" w:name="__RefHeading___Toc9289_4022417266"/>
      <w:bookmarkEnd w:id="177"/>
      <w:r>
        <w:rPr>
          <w:rFonts w:eastAsia="Calibri" w:cs="Calibri" w:ascii="Calibri" w:hAnsi="Calibri"/>
          <w:b/>
          <w:color w:val="1F4E5F"/>
          <w:sz w:val="24"/>
          <w:szCs w:val="24"/>
          <w:lang w:val="en-CA" w:eastAsia="en-CA" w:bidi="ar-SA"/>
        </w:rPr>
        <w:t>31.3 The Statistics Feed</w:t>
      </w:r>
    </w:p>
    <w:p>
      <w:pPr>
        <w:pStyle w:val="Normal"/>
        <w:rPr/>
      </w:pPr>
      <w:r>
        <w:rPr>
          <w:rStyle w:val="DefaultParagraphFont"/>
          <w:rFonts w:eastAsia="" w:cs=""/>
          <w:color w:val="2F3B42"/>
          <w:sz w:val="22"/>
          <w:szCs w:val="24"/>
          <w:lang w:val="en-CA" w:eastAsia="en-CA" w:bidi="ar-SA"/>
        </w:rPr>
        <w:t>31.3.1 The Bulletin publishes weekly statistics: transit counts by class and passage, incident counts by rung, response times, hold durations, and code issuance performance.</w:t>
      </w:r>
    </w:p>
    <w:p>
      <w:pPr>
        <w:pStyle w:val="Normal"/>
        <w:rPr/>
      </w:pPr>
      <w:r>
        <w:rPr>
          <w:rStyle w:val="DefaultParagraphFont"/>
          <w:rFonts w:eastAsia="" w:cs=""/>
          <w:color w:val="2F3B42"/>
          <w:sz w:val="22"/>
          <w:szCs w:val="24"/>
          <w:lang w:val="en-CA" w:eastAsia="en-CA" w:bidi="ar-SA"/>
        </w:rPr>
        <w:t>31.3.2 The statistics feed the Route Assurance Data Service and the Stakeholder Panel, and they give the market the verified picture that Article 24 monetizes for the Fund.</w:t>
      </w:r>
    </w:p>
    <w:p>
      <w:pPr>
        <w:pStyle w:val="Heading3"/>
        <w:rPr/>
      </w:pPr>
      <w:bookmarkStart w:id="178" w:name="__RefHeading___Toc9291_4022417266"/>
      <w:bookmarkEnd w:id="178"/>
      <w:r>
        <w:rPr>
          <w:rFonts w:eastAsia="Calibri" w:cs="Calibri" w:ascii="Calibri" w:hAnsi="Calibri"/>
          <w:b/>
          <w:color w:val="1F4E5F"/>
          <w:sz w:val="24"/>
          <w:szCs w:val="24"/>
          <w:lang w:val="en-CA" w:eastAsia="en-CA" w:bidi="ar-SA"/>
        </w:rPr>
        <w:t>31.4 The Incident Archive and the Lessons Cycle</w:t>
      </w:r>
    </w:p>
    <w:p>
      <w:pPr>
        <w:pStyle w:val="Normal"/>
        <w:rPr/>
      </w:pPr>
      <w:r>
        <w:rPr>
          <w:rStyle w:val="DefaultParagraphFont"/>
          <w:rFonts w:eastAsia="" w:cs=""/>
          <w:color w:val="2F3B42"/>
          <w:sz w:val="22"/>
          <w:szCs w:val="24"/>
          <w:lang w:val="en-CA" w:eastAsia="en-CA" w:bidi="ar-SA"/>
        </w:rPr>
        <w:t>31.4.1 The Center maintains the incident archive for the life of the Network: every classification, every sealed file, every outcome note, indexed by rung, by area, and by vessel class. Category I states and the Neutral Keel Office hold read access to the full archive at all times, and Category II states hold restricted access under Article 36.3.</w:t>
      </w:r>
    </w:p>
    <w:p>
      <w:pPr>
        <w:pStyle w:val="Normal"/>
        <w:rPr/>
      </w:pPr>
      <w:r>
        <w:rPr>
          <w:rStyle w:val="DefaultParagraphFont"/>
          <w:rFonts w:eastAsia="" w:cs=""/>
          <w:color w:val="2F3B42"/>
          <w:sz w:val="22"/>
          <w:szCs w:val="24"/>
          <w:lang w:val="en-CA" w:eastAsia="en-CA" w:bidi="ar-SA"/>
        </w:rPr>
        <w:t>31.4.2 Once each quarter, the Co-Directors chair a lessons session with the Neutral Keel Office: the session reviews the quarter's incidents, identifies recurring causes, and proposes procedural corrections to the Council. The Council adopts corrections under Article 18, and the Bulletin reports the adoption in general terms.</w:t>
      </w:r>
    </w:p>
    <w:p>
      <w:pPr>
        <w:pStyle w:val="Normal"/>
        <w:rPr/>
      </w:pPr>
      <w:r>
        <w:rPr>
          <w:rStyle w:val="DefaultParagraphFont"/>
          <w:rFonts w:eastAsia="" w:cs=""/>
          <w:color w:val="2F3B42"/>
          <w:sz w:val="22"/>
          <w:szCs w:val="24"/>
          <w:lang w:val="en-CA" w:eastAsia="en-CA" w:bidi="ar-SA"/>
        </w:rPr>
        <w:t>31.4.3 The archive never purges. The no-fade rule of Article 34 applies to institutional memory exactly as it applies to commitments: the Network forgets nothing and forgives through the Good Faith Reset of Article 32.6, which clears operational ledgers without touching the archive.</w:t>
      </w:r>
    </w:p>
    <w:p>
      <w:pPr>
        <w:pStyle w:val="Heading1"/>
        <w:rPr/>
      </w:pPr>
      <w:bookmarkStart w:id="179" w:name="__RefHeading___Toc9293_4022417266"/>
      <w:bookmarkEnd w:id="179"/>
      <w:r>
        <w:rPr>
          <w:rFonts w:eastAsia="Calibri" w:cs="Calibri" w:ascii="Calibri" w:hAnsi="Calibri"/>
          <w:b/>
          <w:color w:val="1F4E5F"/>
          <w:sz w:val="22"/>
          <w:szCs w:val="24"/>
          <w:lang w:val="en-CA" w:eastAsia="en-CA" w:bidi="ar-SA"/>
        </w:rPr>
        <w:t>Part VI: Compliance and Dispute Resolution</w:t>
      </w:r>
    </w:p>
    <w:p>
      <w:pPr>
        <w:pStyle w:val="Heading2"/>
        <w:rPr/>
      </w:pPr>
      <w:bookmarkStart w:id="180" w:name="__RefHeading___Toc9295_4022417266"/>
      <w:bookmarkEnd w:id="180"/>
      <w:r>
        <w:rPr>
          <w:rFonts w:eastAsia="Calibri" w:cs="Calibri" w:ascii="Calibri" w:hAnsi="Calibri"/>
          <w:b/>
          <w:color w:val="1F4E5F"/>
          <w:sz w:val="22"/>
          <w:szCs w:val="24"/>
          <w:lang w:val="en-CA" w:eastAsia="en-CA" w:bidi="ar-SA"/>
        </w:rPr>
        <w:t>Article 32: The Compliance Engine</w:t>
      </w:r>
    </w:p>
    <w:p>
      <w:pPr>
        <w:pStyle w:val="Heading3"/>
        <w:rPr/>
      </w:pPr>
      <w:bookmarkStart w:id="181" w:name="__RefHeading___Toc9297_4022417266"/>
      <w:bookmarkEnd w:id="181"/>
      <w:r>
        <w:rPr>
          <w:rFonts w:eastAsia="Calibri" w:cs="Calibri" w:ascii="Calibri" w:hAnsi="Calibri"/>
          <w:b/>
          <w:color w:val="1F4E5F"/>
          <w:sz w:val="24"/>
          <w:szCs w:val="24"/>
          <w:lang w:val="en-CA" w:eastAsia="en-CA" w:bidi="ar-SA"/>
        </w:rPr>
        <w:t>32.1 The Four-Category Classification</w:t>
      </w:r>
    </w:p>
    <w:p>
      <w:pPr>
        <w:pStyle w:val="Normal"/>
        <w:rPr/>
      </w:pPr>
      <w:r>
        <w:rPr>
          <w:rStyle w:val="DefaultParagraphFont"/>
          <w:rFonts w:eastAsia="" w:cs=""/>
          <w:color w:val="2F3B42"/>
          <w:sz w:val="22"/>
          <w:szCs w:val="24"/>
          <w:lang w:val="en-CA" w:eastAsia="en-CA" w:bidi="ar-SA"/>
        </w:rPr>
        <w:t>32.1.1 The engine classifies every contribution, breach, or alleged breach into one of four categories:</w:t>
      </w:r>
    </w:p>
    <w:tbl>
      <w:tblPr>
        <w:tblStyle w:val="TableNormal"/>
        <w:tblW w:w="9026" w:type="dxa"/>
        <w:jc w:val="left"/>
        <w:tblInd w:w="0" w:type="dxa"/>
        <w:tblLayout w:type="fixed"/>
        <w:tblCellMar>
          <w:top w:w="0" w:type="dxa"/>
          <w:left w:w="108" w:type="dxa"/>
          <w:bottom w:w="0" w:type="dxa"/>
          <w:right w:w="108" w:type="dxa"/>
        </w:tblCellMar>
      </w:tblPr>
      <w:tblGrid>
        <w:gridCol w:w="2256"/>
        <w:gridCol w:w="2256"/>
        <w:gridCol w:w="2255"/>
        <w:gridCol w:w="2258"/>
      </w:tblGrid>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Category</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Nature</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Examples</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Response tier</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Category Zero</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Good Governance Contribution</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Proactive data sharing, incident assistance, service above the norm</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Performance Reserve credit and Council recognition</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Category One</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Technical</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Late filing, format error, single spacing deviation</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Correction notice, no consequence</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Category Two</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Procedural</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Repeated deviation, service shortfall, reporting failure</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Ladder entry under 32.2</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Category Three</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Structural</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Interdiction, toll collection, module suspension, firewall breach</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Ladder entry plus Council session within 48 hours</w:t>
            </w:r>
          </w:p>
        </w:tc>
      </w:tr>
    </w:tbl>
    <w:p>
      <w:pPr>
        <w:pStyle w:val="Normal"/>
        <w:rPr/>
      </w:pPr>
      <w:r>
        <w:rPr>
          <w:rStyle w:val="DefaultParagraphFont"/>
          <w:rFonts w:eastAsia="" w:cs=""/>
          <w:color w:val="2F3B42"/>
          <w:sz w:val="22"/>
          <w:szCs w:val="24"/>
          <w:lang w:val="en-CA" w:eastAsia="en-CA" w:bidi="ar-SA"/>
        </w:rPr>
        <w:t>32.1.2 The Neutral Keel Office proposes the category on converged evidence; the Co-Directors sign the classification; a dispute over category goes to the Council at once. Category Zero entries accumulate credit and reward cooperative behavior across the multilateral system.</w:t>
      </w:r>
    </w:p>
    <w:p>
      <w:pPr>
        <w:pStyle w:val="Heading3"/>
        <w:rPr/>
      </w:pPr>
      <w:bookmarkStart w:id="182" w:name="__RefHeading___Toc9299_4022417266"/>
      <w:bookmarkEnd w:id="182"/>
      <w:r>
        <w:rPr>
          <w:rFonts w:eastAsia="Calibri" w:cs="Calibri" w:ascii="Calibri" w:hAnsi="Calibri"/>
          <w:b/>
          <w:color w:val="1F4E5F"/>
          <w:sz w:val="24"/>
          <w:szCs w:val="24"/>
          <w:lang w:val="en-CA" w:eastAsia="en-CA" w:bidi="ar-SA"/>
        </w:rPr>
        <w:t>32.2 The Graduated Response Ladder</w:t>
      </w:r>
    </w:p>
    <w:p>
      <w:pPr>
        <w:pStyle w:val="Normal"/>
        <w:rPr/>
      </w:pPr>
      <w:r>
        <w:rPr>
          <w:rStyle w:val="DefaultParagraphFont"/>
          <w:rFonts w:eastAsia="" w:cs=""/>
          <w:color w:val="2F3B42"/>
          <w:sz w:val="22"/>
          <w:szCs w:val="24"/>
          <w:lang w:val="en-CA" w:eastAsia="en-CA" w:bidi="ar-SA"/>
        </w:rPr>
        <w:t>32.2.1 Responses ascend in proportion, and each rung states its own exit:</w:t>
      </w:r>
    </w:p>
    <w:p>
      <w:pPr>
        <w:pStyle w:val="Normal"/>
        <w:rPr/>
      </w:pPr>
      <w:r>
        <w:rPr>
          <w:rFonts w:eastAsia="Cambria" w:cs="Cambria" w:ascii="Cambria" w:hAnsi="Cambria"/>
          <w:b/>
          <w:color w:val="33586A"/>
          <w:sz w:val="23"/>
          <w:szCs w:val="24"/>
          <w:lang w:val="en-CA" w:eastAsia="en-CA" w:bidi="ar-SA"/>
        </w:rPr>
        <w:t>•</w:t>
      </w:r>
      <w:r>
        <w:rPr>
          <w:rStyle w:val="DefaultParagraphFont"/>
          <w:rFonts w:eastAsia="" w:cs=""/>
          <w:color w:val="2F3B42"/>
          <w:sz w:val="22"/>
          <w:szCs w:val="24"/>
          <w:lang w:val="en-CA" w:eastAsia="en-CA" w:bidi="ar-SA"/>
        </w:rPr>
        <w:t>Rung One: written notice with a cure period of fourteen days.</w:t>
      </w:r>
    </w:p>
    <w:p>
      <w:pPr>
        <w:pStyle w:val="Normal"/>
        <w:rPr/>
      </w:pPr>
      <w:r>
        <w:rPr>
          <w:rFonts w:eastAsia="Cambria" w:cs="Cambria" w:ascii="Cambria" w:hAnsi="Cambria"/>
          <w:b/>
          <w:color w:val="33586A"/>
          <w:sz w:val="23"/>
          <w:szCs w:val="24"/>
          <w:lang w:val="en-CA" w:eastAsia="en-CA" w:bidi="ar-SA"/>
        </w:rPr>
        <w:t>•</w:t>
      </w:r>
      <w:r>
        <w:rPr>
          <w:rStyle w:val="DefaultParagraphFont"/>
          <w:rFonts w:eastAsia="" w:cs=""/>
          <w:color w:val="2F3B42"/>
          <w:sz w:val="22"/>
          <w:szCs w:val="24"/>
          <w:lang w:val="en-CA" w:eastAsia="en-CA" w:bidi="ar-SA"/>
        </w:rPr>
        <w:t>Rung Two: service-level adjustment within the affected module only, for thirty days.</w:t>
      </w:r>
    </w:p>
    <w:p>
      <w:pPr>
        <w:pStyle w:val="Normal"/>
        <w:rPr/>
      </w:pPr>
      <w:r>
        <w:rPr>
          <w:rFonts w:eastAsia="Cambria" w:cs="Cambria" w:ascii="Cambria" w:hAnsi="Cambria"/>
          <w:b/>
          <w:color w:val="33586A"/>
          <w:sz w:val="23"/>
          <w:szCs w:val="24"/>
          <w:lang w:val="en-CA" w:eastAsia="en-CA" w:bidi="ar-SA"/>
        </w:rPr>
        <w:t>•</w:t>
      </w:r>
      <w:r>
        <w:rPr>
          <w:rStyle w:val="DefaultParagraphFont"/>
          <w:rFonts w:eastAsia="" w:cs=""/>
          <w:color w:val="2F3B42"/>
          <w:sz w:val="22"/>
          <w:szCs w:val="24"/>
          <w:lang w:val="en-CA" w:eastAsia="en-CA" w:bidi="ar-SA"/>
        </w:rPr>
        <w:t>Rung Three: reimbursement hold on the affected service family only, pending cure.</w:t>
      </w:r>
    </w:p>
    <w:p>
      <w:pPr>
        <w:pStyle w:val="Normal"/>
        <w:rPr/>
      </w:pPr>
      <w:r>
        <w:rPr>
          <w:rFonts w:eastAsia="Cambria" w:cs="Cambria" w:ascii="Cambria" w:hAnsi="Cambria"/>
          <w:b/>
          <w:color w:val="33586A"/>
          <w:sz w:val="23"/>
          <w:szCs w:val="24"/>
          <w:lang w:val="en-CA" w:eastAsia="en-CA" w:bidi="ar-SA"/>
        </w:rPr>
        <w:t>•</w:t>
      </w:r>
      <w:r>
        <w:rPr>
          <w:rStyle w:val="DefaultParagraphFont"/>
          <w:rFonts w:eastAsia="" w:cs=""/>
          <w:color w:val="2F3B42"/>
          <w:sz w:val="22"/>
          <w:szCs w:val="24"/>
          <w:lang w:val="en-CA" w:eastAsia="en-CA" w:bidi="ar-SA"/>
        </w:rPr>
        <w:t>Rung Four: Council extraordinary session and facilitation tier referral.</w:t>
      </w:r>
    </w:p>
    <w:p>
      <w:pPr>
        <w:pStyle w:val="Normal"/>
        <w:rPr/>
      </w:pPr>
      <w:r>
        <w:rPr>
          <w:rFonts w:eastAsia="Cambria" w:cs="Cambria" w:ascii="Cambria" w:hAnsi="Cambria"/>
          <w:b/>
          <w:color w:val="33586A"/>
          <w:sz w:val="23"/>
          <w:szCs w:val="24"/>
          <w:lang w:val="en-CA" w:eastAsia="en-CA" w:bidi="ar-SA"/>
        </w:rPr>
        <w:t>•</w:t>
      </w:r>
      <w:r>
        <w:rPr>
          <w:rStyle w:val="DefaultParagraphFont"/>
          <w:rFonts w:eastAsia="" w:cs=""/>
          <w:color w:val="2F3B42"/>
          <w:sz w:val="22"/>
          <w:szCs w:val="24"/>
          <w:lang w:val="en-CA" w:eastAsia="en-CA" w:bidi="ar-SA"/>
        </w:rPr>
        <w:t>Rung Five: Still Water Clause activation for the affected module, per 32.7.</w:t>
      </w:r>
    </w:p>
    <w:p>
      <w:pPr>
        <w:pStyle w:val="Normal"/>
        <w:rPr/>
      </w:pPr>
      <w:r>
        <w:rPr>
          <w:rStyle w:val="DefaultParagraphFont"/>
          <w:rFonts w:eastAsia="" w:cs=""/>
          <w:color w:val="2F3B42"/>
          <w:sz w:val="22"/>
          <w:szCs w:val="24"/>
          <w:lang w:val="en-CA" w:eastAsia="en-CA" w:bidi="ar-SA"/>
        </w:rPr>
        <w:t>32.2.2 The ladder never reaches: humanitarian services, search and rescue, the Bulletin, the Neutral Keel budget, or the other passage's operations. The Anti-Cascade Firewall holds inside the engine itself.</w:t>
      </w:r>
    </w:p>
    <w:p>
      <w:pPr>
        <w:pStyle w:val="Normal"/>
        <w:rPr/>
      </w:pPr>
      <w:r>
        <w:rPr>
          <w:rStyle w:val="DefaultParagraphFont"/>
          <w:rFonts w:eastAsia="" w:cs=""/>
          <w:color w:val="2F3B42"/>
          <w:sz w:val="22"/>
          <w:szCs w:val="24"/>
          <w:lang w:val="en-CA" w:eastAsia="en-CA" w:bidi="ar-SA"/>
        </w:rPr>
        <w:t>32.2.3 A response de-escalates the moment cure evidence converges. The ladder descends as automatically as it ascends.</w:t>
      </w:r>
    </w:p>
    <w:p>
      <w:pPr>
        <w:pStyle w:val="Heading3"/>
        <w:rPr/>
      </w:pPr>
      <w:bookmarkStart w:id="183" w:name="__RefHeading___Toc9301_4022417266"/>
      <w:bookmarkEnd w:id="183"/>
      <w:r>
        <w:rPr>
          <w:rFonts w:eastAsia="Calibri" w:cs="Calibri" w:ascii="Calibri" w:hAnsi="Calibri"/>
          <w:b/>
          <w:color w:val="1F4E5F"/>
          <w:sz w:val="24"/>
          <w:szCs w:val="24"/>
          <w:lang w:val="en-CA" w:eastAsia="en-CA" w:bidi="ar-SA"/>
        </w:rPr>
        <w:t>32.3 The Performance Reserve</w:t>
      </w:r>
    </w:p>
    <w:p>
      <w:pPr>
        <w:pStyle w:val="Normal"/>
        <w:rPr/>
      </w:pPr>
      <w:r>
        <w:rPr>
          <w:rStyle w:val="DefaultParagraphFont"/>
          <w:rFonts w:eastAsia="" w:cs=""/>
          <w:color w:val="2F3B42"/>
          <w:sz w:val="22"/>
          <w:szCs w:val="24"/>
          <w:lang w:val="en-CA" w:eastAsia="en-CA" w:bidi="ar-SA"/>
        </w:rPr>
        <w:t>32.3.1 Every quarter of full compliance banks credit in the Participant State's Performance Reserve, at the rate in Annex I, Section I.5. Over-compliance, such as readiness above roster or response times below standard, banks additional credit at the same rate. A Category Zero contribution banks one additional half unit.</w:t>
      </w:r>
    </w:p>
    <w:p>
      <w:pPr>
        <w:pStyle w:val="Normal"/>
        <w:rPr/>
      </w:pPr>
      <w:r>
        <w:rPr>
          <w:rStyle w:val="DefaultParagraphFont"/>
          <w:rFonts w:eastAsia="" w:cs=""/>
          <w:color w:val="2F3B42"/>
          <w:sz w:val="22"/>
          <w:szCs w:val="24"/>
          <w:lang w:val="en-CA" w:eastAsia="en-CA" w:bidi="ar-SA"/>
        </w:rPr>
        <w:t>32.3.2 Reserve credit offsets a later Category Two event automatically: the event enters the record, the Reserve absorbs the ladder consequence, and the Participant State cures on the normal timeline.</w:t>
      </w:r>
    </w:p>
    <w:p>
      <w:pPr>
        <w:pStyle w:val="Normal"/>
        <w:rPr/>
      </w:pPr>
      <w:r>
        <w:rPr>
          <w:rStyle w:val="DefaultParagraphFont"/>
          <w:rFonts w:eastAsia="" w:cs=""/>
          <w:color w:val="2F3B42"/>
          <w:sz w:val="22"/>
          <w:szCs w:val="24"/>
          <w:lang w:val="en-CA" w:eastAsia="en-CA" w:bidi="ar-SA"/>
        </w:rPr>
        <w:t>32.3.3 The Reserve never expires, survives every review, every deactivation, and every renewal, and transfers across modules of the same functional family. This is the no-fade rule applied to good behavior: performance, once banked, never fades.</w:t>
      </w:r>
    </w:p>
    <w:p>
      <w:pPr>
        <w:pStyle w:val="Heading3"/>
        <w:rPr/>
      </w:pPr>
      <w:bookmarkStart w:id="184" w:name="__RefHeading___Toc9303_4022417266"/>
      <w:bookmarkEnd w:id="184"/>
      <w:r>
        <w:rPr>
          <w:rFonts w:eastAsia="Calibri" w:cs="Calibri" w:ascii="Calibri" w:hAnsi="Calibri"/>
          <w:b/>
          <w:color w:val="1F4E5F"/>
          <w:sz w:val="24"/>
          <w:szCs w:val="24"/>
          <w:lang w:val="en-CA" w:eastAsia="en-CA" w:bidi="ar-SA"/>
        </w:rPr>
        <w:t>32.4 The Humanitarian Firewall</w:t>
      </w:r>
    </w:p>
    <w:p>
      <w:pPr>
        <w:pStyle w:val="Normal"/>
        <w:rPr/>
      </w:pPr>
      <w:r>
        <w:rPr>
          <w:rStyle w:val="DefaultParagraphFont"/>
          <w:rFonts w:eastAsia="" w:cs=""/>
          <w:color w:val="2F3B42"/>
          <w:sz w:val="22"/>
          <w:szCs w:val="24"/>
          <w:lang w:val="en-CA" w:eastAsia="en-CA" w:bidi="ar-SA"/>
        </w:rPr>
        <w:t>32.4.1 No compliance response, at any rung, in any dispute, touches: Class H transit and services; search and rescue readiness; the pollution response stock; the Bulletin; and the Neutral Keel budget.</w:t>
      </w:r>
    </w:p>
    <w:p>
      <w:pPr>
        <w:pStyle w:val="Normal"/>
        <w:rPr/>
      </w:pPr>
      <w:r>
        <w:rPr>
          <w:rStyle w:val="DefaultParagraphFont"/>
          <w:rFonts w:eastAsia="" w:cs=""/>
          <w:color w:val="2F3B42"/>
          <w:sz w:val="22"/>
          <w:szCs w:val="24"/>
          <w:lang w:val="en-CA" w:eastAsia="en-CA" w:bidi="ar-SA"/>
        </w:rPr>
        <w:t>32.4.2 The firewall holds even in a Still Water event. Participant States protect the seafarer and the relief cargo from every political storm.</w:t>
      </w:r>
    </w:p>
    <w:p>
      <w:pPr>
        <w:pStyle w:val="Heading3"/>
        <w:rPr/>
      </w:pPr>
      <w:bookmarkStart w:id="185" w:name="__RefHeading___Toc9305_4022417266"/>
      <w:bookmarkEnd w:id="185"/>
      <w:r>
        <w:rPr>
          <w:rFonts w:eastAsia="Calibri" w:cs="Calibri" w:ascii="Calibri" w:hAnsi="Calibri"/>
          <w:b/>
          <w:color w:val="1F4E5F"/>
          <w:sz w:val="24"/>
          <w:szCs w:val="24"/>
          <w:lang w:val="en-CA" w:eastAsia="en-CA" w:bidi="ar-SA"/>
        </w:rPr>
        <w:t>32.5 No Automatic Snapback</w:t>
      </w:r>
    </w:p>
    <w:p>
      <w:pPr>
        <w:pStyle w:val="Normal"/>
        <w:rPr/>
      </w:pPr>
      <w:r>
        <w:rPr>
          <w:rStyle w:val="DefaultParagraphFont"/>
          <w:rFonts w:eastAsia="" w:cs=""/>
          <w:color w:val="2F3B42"/>
          <w:sz w:val="22"/>
          <w:szCs w:val="24"/>
          <w:lang w:val="en-CA" w:eastAsia="en-CA" w:bidi="ar-SA"/>
        </w:rPr>
        <w:t>32.5.1 The engine contains no snapback. Nothing suspends wholesale, nothing terminates by default, and no single event collapses the framework.</w:t>
      </w:r>
    </w:p>
    <w:p>
      <w:pPr>
        <w:pStyle w:val="Normal"/>
        <w:rPr/>
      </w:pPr>
      <w:r>
        <w:rPr>
          <w:rStyle w:val="DefaultParagraphFont"/>
          <w:rFonts w:eastAsia="" w:cs=""/>
          <w:color w:val="2F3B42"/>
          <w:sz w:val="22"/>
          <w:szCs w:val="24"/>
          <w:lang w:val="en-CA" w:eastAsia="en-CA" w:bidi="ar-SA"/>
        </w:rPr>
        <w:t>32.5.2 Suspension of any element follows the Still Water Clause and the ladder, with notice, time limits, and a defined path back.</w:t>
      </w:r>
    </w:p>
    <w:p>
      <w:pPr>
        <w:pStyle w:val="Heading3"/>
        <w:rPr/>
      </w:pPr>
      <w:bookmarkStart w:id="186" w:name="__RefHeading___Toc9307_4022417266"/>
      <w:bookmarkEnd w:id="186"/>
      <w:r>
        <w:rPr>
          <w:rFonts w:eastAsia="Calibri" w:cs="Calibri" w:ascii="Calibri" w:hAnsi="Calibri"/>
          <w:b/>
          <w:color w:val="1F4E5F"/>
          <w:sz w:val="24"/>
          <w:szCs w:val="24"/>
          <w:lang w:val="en-CA" w:eastAsia="en-CA" w:bidi="ar-SA"/>
        </w:rPr>
        <w:t>32.6 The Good Faith Reset</w:t>
      </w:r>
    </w:p>
    <w:p>
      <w:pPr>
        <w:pStyle w:val="Normal"/>
        <w:rPr/>
      </w:pPr>
      <w:r>
        <w:rPr>
          <w:rStyle w:val="DefaultParagraphFont"/>
          <w:rFonts w:eastAsia="" w:cs=""/>
          <w:color w:val="2F3B42"/>
          <w:sz w:val="22"/>
          <w:szCs w:val="24"/>
          <w:lang w:val="en-CA" w:eastAsia="en-CA" w:bidi="ar-SA"/>
        </w:rPr>
        <w:t>32.6.1 Once per calendar year, any Participant State invokes one Good Faith Reset: a mutual clearing of Category One and Category Two records less than a year old, executed by the Co-Directors and recorded in the Council minutes.</w:t>
      </w:r>
    </w:p>
    <w:p>
      <w:pPr>
        <w:pStyle w:val="Normal"/>
        <w:rPr/>
      </w:pPr>
      <w:r>
        <w:rPr>
          <w:rStyle w:val="DefaultParagraphFont"/>
          <w:rFonts w:eastAsia="" w:cs=""/>
          <w:color w:val="2F3B42"/>
          <w:sz w:val="22"/>
          <w:szCs w:val="24"/>
          <w:lang w:val="en-CA" w:eastAsia="en-CA" w:bidi="ar-SA"/>
        </w:rPr>
        <w:t>32.6.2 The Reset never touches Category Three records, never touches the Performance Reserve, and never erases the archive; it clears the operational ledger so small frictions do not compound into politics.</w:t>
      </w:r>
    </w:p>
    <w:p>
      <w:pPr>
        <w:pStyle w:val="Heading3"/>
        <w:rPr/>
      </w:pPr>
      <w:bookmarkStart w:id="187" w:name="__RefHeading___Toc9309_4022417266"/>
      <w:bookmarkEnd w:id="187"/>
      <w:r>
        <w:rPr>
          <w:rFonts w:eastAsia="Calibri" w:cs="Calibri" w:ascii="Calibri" w:hAnsi="Calibri"/>
          <w:b/>
          <w:color w:val="1F4E5F"/>
          <w:sz w:val="24"/>
          <w:szCs w:val="24"/>
          <w:lang w:val="en-CA" w:eastAsia="en-CA" w:bidi="ar-SA"/>
        </w:rPr>
        <w:t>32.7 The Still Water Clause</w:t>
      </w:r>
    </w:p>
    <w:p>
      <w:pPr>
        <w:pStyle w:val="Normal"/>
        <w:rPr/>
      </w:pPr>
      <w:r>
        <w:rPr>
          <w:rStyle w:val="DefaultParagraphFont"/>
          <w:rFonts w:eastAsia="" w:cs=""/>
          <w:color w:val="2F3B42"/>
          <w:sz w:val="22"/>
          <w:szCs w:val="24"/>
          <w:lang w:val="en-CA" w:eastAsia="en-CA" w:bidi="ar-SA"/>
        </w:rPr>
        <w:t>32.7.1 A Still Water event occurs when: a Category Three breach remains uncured for twenty-one days; or the Council fails the Qualified Majority Rule three times on the same urgent matter; or any Category I state declares a grave security emergency affecting the module in writing.</w:t>
      </w:r>
    </w:p>
    <w:p>
      <w:pPr>
        <w:pStyle w:val="Normal"/>
        <w:rPr/>
      </w:pPr>
      <w:r>
        <w:rPr>
          <w:rStyle w:val="DefaultParagraphFont"/>
          <w:rFonts w:eastAsia="" w:cs=""/>
          <w:color w:val="2F3B42"/>
          <w:sz w:val="22"/>
          <w:szCs w:val="24"/>
          <w:lang w:val="en-CA" w:eastAsia="en-CA" w:bidi="ar-SA"/>
        </w:rPr>
        <w:t>32.7.2 The Clause pauses the affected module alone, for seventy-two hours in the first instance, extendable by Qualified Majority in seventy-two-hour steps. During the pause: the module's functions fall to their manual fallback; the other modules run unchanged; and the facilitation tier of Article 33 convenes within twenty-four hours.</w:t>
      </w:r>
    </w:p>
    <w:p>
      <w:pPr>
        <w:pStyle w:val="Normal"/>
        <w:rPr/>
      </w:pPr>
      <w:r>
        <w:rPr>
          <w:rStyle w:val="DefaultParagraphFont"/>
          <w:rFonts w:eastAsia="" w:cs=""/>
          <w:color w:val="2F3B42"/>
          <w:sz w:val="22"/>
          <w:szCs w:val="24"/>
          <w:lang w:val="en-CA" w:eastAsia="en-CA" w:bidi="ar-SA"/>
        </w:rPr>
        <w:t>32.7.3 The Clause exits automatically when the cause resolves or when the Council records a Qualified Majority decision to resume. Every activation and every exit appears in the Bulletin with reasons.</w:t>
      </w:r>
    </w:p>
    <w:p>
      <w:pPr>
        <w:pStyle w:val="Normal"/>
        <w:rPr/>
      </w:pPr>
      <w:r>
        <w:rPr>
          <w:rStyle w:val="DefaultParagraphFont"/>
          <w:rFonts w:eastAsia="" w:cs=""/>
          <w:color w:val="2F3B42"/>
          <w:sz w:val="22"/>
          <w:szCs w:val="24"/>
          <w:lang w:val="en-CA" w:eastAsia="en-CA" w:bidi="ar-SA"/>
        </w:rPr>
        <w:t>32.7.4 Manual fallbacks: the registration desk falls back to port-to-port filing with next-port confirmation; the Bulletin falls back to twice-daily issuance from the Mirror Office; escort coordination falls back to the published standing windows.</w:t>
      </w:r>
    </w:p>
    <w:p>
      <w:pPr>
        <w:pStyle w:val="Heading2"/>
        <w:rPr/>
      </w:pPr>
      <w:bookmarkStart w:id="188" w:name="__RefHeading___Toc9311_4022417266"/>
      <w:bookmarkEnd w:id="188"/>
      <w:r>
        <w:rPr>
          <w:rFonts w:eastAsia="Calibri" w:cs="Calibri" w:ascii="Calibri" w:hAnsi="Calibri"/>
          <w:b/>
          <w:color w:val="1F4E5F"/>
          <w:sz w:val="22"/>
          <w:szCs w:val="24"/>
          <w:lang w:val="en-CA" w:eastAsia="en-CA" w:bidi="ar-SA"/>
        </w:rPr>
        <w:t>Article 33: Dispute Resolution</w:t>
      </w:r>
    </w:p>
    <w:p>
      <w:pPr>
        <w:pStyle w:val="Heading3"/>
        <w:rPr/>
      </w:pPr>
      <w:bookmarkStart w:id="189" w:name="__RefHeading___Toc9313_4022417266"/>
      <w:bookmarkEnd w:id="189"/>
      <w:r>
        <w:rPr>
          <w:rFonts w:eastAsia="Calibri" w:cs="Calibri" w:ascii="Calibri" w:hAnsi="Calibri"/>
          <w:b/>
          <w:color w:val="1F4E5F"/>
          <w:sz w:val="24"/>
          <w:szCs w:val="24"/>
          <w:lang w:val="en-CA" w:eastAsia="en-CA" w:bidi="ar-SA"/>
        </w:rPr>
        <w:t>33.1 The Ladder</w:t>
      </w:r>
    </w:p>
    <w:p>
      <w:pPr>
        <w:pStyle w:val="Normal"/>
        <w:rPr/>
      </w:pPr>
      <w:r>
        <w:rPr>
          <w:rStyle w:val="DefaultParagraphFont"/>
          <w:rFonts w:eastAsia="" w:cs=""/>
          <w:color w:val="2F3B42"/>
          <w:sz w:val="22"/>
          <w:szCs w:val="24"/>
          <w:lang w:val="en-CA" w:eastAsia="en-CA" w:bidi="ar-SA"/>
        </w:rPr>
        <w:t>33.1.1 Disputes ascend four tiers, each with a fixed clock:</w:t>
      </w:r>
    </w:p>
    <w:tbl>
      <w:tblPr>
        <w:tblStyle w:val="TableNormal"/>
        <w:tblW w:w="9026" w:type="dxa"/>
        <w:jc w:val="left"/>
        <w:tblInd w:w="0" w:type="dxa"/>
        <w:tblLayout w:type="fixed"/>
        <w:tblCellMar>
          <w:top w:w="0" w:type="dxa"/>
          <w:left w:w="108" w:type="dxa"/>
          <w:bottom w:w="0" w:type="dxa"/>
          <w:right w:w="108" w:type="dxa"/>
        </w:tblCellMar>
      </w:tblPr>
      <w:tblGrid>
        <w:gridCol w:w="3008"/>
        <w:gridCol w:w="3007"/>
        <w:gridCol w:w="3011"/>
      </w:tblGrid>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Tier</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Forum</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Clock</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Tier One</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Co-Directors' technical conference</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Seven days</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Tier Two</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Composite Council</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Twenty-one days</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Tier Three</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Facilitation by the Facilitating States, rotating lead</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Forty-five days</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Tier Four</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Technical Arbitration Panel under 33.2</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Ninety days to award</w:t>
            </w:r>
          </w:p>
        </w:tc>
      </w:tr>
    </w:tbl>
    <w:p>
      <w:pPr>
        <w:pStyle w:val="Normal"/>
        <w:rPr/>
      </w:pPr>
      <w:r>
        <w:rPr>
          <w:rStyle w:val="DefaultParagraphFont"/>
          <w:rFonts w:eastAsia="" w:cs=""/>
          <w:color w:val="2F3B42"/>
          <w:sz w:val="22"/>
          <w:szCs w:val="24"/>
          <w:lang w:val="en-CA" w:eastAsia="en-CA" w:bidi="ar-SA"/>
        </w:rPr>
        <w:t>33.1.2 A dispute that resolves at any tier closes with a Council minute recording the resolution, and the resolution enters the framework's interpretive record.</w:t>
      </w:r>
    </w:p>
    <w:p>
      <w:pPr>
        <w:pStyle w:val="Heading3"/>
        <w:rPr/>
      </w:pPr>
      <w:bookmarkStart w:id="190" w:name="__RefHeading___Toc9315_4022417266"/>
      <w:bookmarkEnd w:id="190"/>
      <w:r>
        <w:rPr>
          <w:rFonts w:eastAsia="Calibri" w:cs="Calibri" w:ascii="Calibri" w:hAnsi="Calibri"/>
          <w:b/>
          <w:color w:val="1F4E5F"/>
          <w:sz w:val="24"/>
          <w:szCs w:val="24"/>
          <w:lang w:val="en-CA" w:eastAsia="en-CA" w:bidi="ar-SA"/>
        </w:rPr>
        <w:t>33.2 The Technical Arbitration Panel</w:t>
      </w:r>
    </w:p>
    <w:p>
      <w:pPr>
        <w:pStyle w:val="Normal"/>
        <w:rPr/>
      </w:pPr>
      <w:r>
        <w:rPr>
          <w:rStyle w:val="DefaultParagraphFont"/>
          <w:rFonts w:eastAsia="" w:cs=""/>
          <w:color w:val="2F3B42"/>
          <w:sz w:val="22"/>
          <w:szCs w:val="24"/>
          <w:lang w:val="en-CA" w:eastAsia="en-CA" w:bidi="ar-SA"/>
        </w:rPr>
        <w:t>33.2.1 The Panel stands in permanent readiness: five arbitrators with maritime and technical expertise, selected from a roster nominated by Category I and Category II states and confirmed by the Council.</w:t>
      </w:r>
    </w:p>
    <w:p>
      <w:pPr>
        <w:pStyle w:val="Normal"/>
        <w:rPr/>
      </w:pPr>
      <w:r>
        <w:rPr>
          <w:rStyle w:val="DefaultParagraphFont"/>
          <w:rFonts w:eastAsia="" w:cs=""/>
          <w:color w:val="2F3B42"/>
          <w:sz w:val="22"/>
          <w:szCs w:val="24"/>
          <w:lang w:val="en-CA" w:eastAsia="en-CA" w:bidi="ar-SA"/>
        </w:rPr>
        <w:t>33.2.2 The Panel decides technical and financial disputes: Catalog rates, envelope allocation, classification disputes, and coordinate adjustments. Its awards bind Participant States as Network decisions and take effect through the Administrator or the Center as the award directs.</w:t>
      </w:r>
    </w:p>
    <w:p>
      <w:pPr>
        <w:pStyle w:val="Normal"/>
        <w:rPr/>
      </w:pPr>
      <w:r>
        <w:rPr>
          <w:rStyle w:val="DefaultParagraphFont"/>
          <w:rFonts w:eastAsia="" w:cs=""/>
          <w:color w:val="2F3B42"/>
          <w:sz w:val="22"/>
          <w:szCs w:val="24"/>
          <w:lang w:val="en-CA" w:eastAsia="en-CA" w:bidi="ar-SA"/>
        </w:rPr>
        <w:t>33.2.3 Political disputes never reach the Panel; they remain with the Council and the Facilitating States.</w:t>
      </w:r>
    </w:p>
    <w:p>
      <w:pPr>
        <w:pStyle w:val="Heading3"/>
        <w:rPr/>
      </w:pPr>
      <w:bookmarkStart w:id="191" w:name="__RefHeading___Toc9317_4022417266"/>
      <w:bookmarkEnd w:id="191"/>
      <w:r>
        <w:rPr>
          <w:rFonts w:eastAsia="Calibri" w:cs="Calibri" w:ascii="Calibri" w:hAnsi="Calibri"/>
          <w:b/>
          <w:color w:val="1F4E5F"/>
          <w:sz w:val="24"/>
          <w:szCs w:val="24"/>
          <w:lang w:val="en-CA" w:eastAsia="en-CA" w:bidi="ar-SA"/>
        </w:rPr>
        <w:t>33.3 Time Limits and Interim Operation</w:t>
      </w:r>
    </w:p>
    <w:p>
      <w:pPr>
        <w:pStyle w:val="Normal"/>
        <w:rPr/>
      </w:pPr>
      <w:r>
        <w:rPr>
          <w:rStyle w:val="DefaultParagraphFont"/>
          <w:rFonts w:eastAsia="" w:cs=""/>
          <w:color w:val="2F3B42"/>
          <w:sz w:val="22"/>
          <w:szCs w:val="24"/>
          <w:lang w:val="en-CA" w:eastAsia="en-CA" w:bidi="ar-SA"/>
        </w:rPr>
        <w:t>33.3.1 During any dispute, the status quo ante of operations continues: vessels transit, services run, reimbursements flow. The architecture excludes dispute leverage taken on the water.</w:t>
      </w:r>
    </w:p>
    <w:p>
      <w:pPr>
        <w:pStyle w:val="Normal"/>
        <w:rPr/>
      </w:pPr>
      <w:r>
        <w:rPr>
          <w:rStyle w:val="DefaultParagraphFont"/>
          <w:rFonts w:eastAsia="" w:cs=""/>
          <w:color w:val="2F3B42"/>
          <w:sz w:val="22"/>
          <w:szCs w:val="24"/>
          <w:lang w:val="en-CA" w:eastAsia="en-CA" w:bidi="ar-SA"/>
        </w:rPr>
        <w:t>33.3.2 The clocks run in calendar days, and the Council extends a clock once, by Qualified Majority, for half its length.</w:t>
      </w:r>
    </w:p>
    <w:p>
      <w:pPr>
        <w:pStyle w:val="Heading3"/>
        <w:rPr/>
      </w:pPr>
      <w:bookmarkStart w:id="192" w:name="__RefHeading___Toc9319_4022417266"/>
      <w:bookmarkEnd w:id="192"/>
      <w:r>
        <w:rPr>
          <w:rFonts w:eastAsia="Calibri" w:cs="Calibri" w:ascii="Calibri" w:hAnsi="Calibri"/>
          <w:b/>
          <w:color w:val="1F4E5F"/>
          <w:sz w:val="24"/>
          <w:szCs w:val="24"/>
          <w:lang w:val="en-CA" w:eastAsia="en-CA" w:bidi="ar-SA"/>
        </w:rPr>
        <w:t>33.4 Decoupling from Force</w:t>
      </w:r>
    </w:p>
    <w:p>
      <w:pPr>
        <w:pStyle w:val="Normal"/>
        <w:rPr/>
      </w:pPr>
      <w:r>
        <w:rPr>
          <w:rStyle w:val="DefaultParagraphFont"/>
          <w:rFonts w:eastAsia="" w:cs=""/>
          <w:color w:val="2F3B42"/>
          <w:sz w:val="22"/>
          <w:szCs w:val="24"/>
          <w:lang w:val="en-CA" w:eastAsia="en-CA" w:bidi="ar-SA"/>
        </w:rPr>
        <w:t>33.4.1 Nothing in this framework authorizes, triggers, or justifies the use of military force by any actor, and no dispute outcome licenses enforcement action outside the law.</w:t>
      </w:r>
    </w:p>
    <w:p>
      <w:pPr>
        <w:pStyle w:val="Normal"/>
        <w:rPr/>
      </w:pPr>
      <w:r>
        <w:rPr>
          <w:rStyle w:val="DefaultParagraphFont"/>
          <w:rFonts w:eastAsia="" w:cs=""/>
          <w:color w:val="2F3B42"/>
          <w:sz w:val="22"/>
          <w:szCs w:val="24"/>
          <w:lang w:val="en-CA" w:eastAsia="en-CA" w:bidi="ar-SA"/>
        </w:rPr>
        <w:t>33.4.2 The compliance engine responds with the instruments of Part IV and Part VI: notices, service adjustments, reimbursement holds, facilitation, and publication. Participant States keep the water civilian.</w:t>
      </w:r>
    </w:p>
    <w:p>
      <w:pPr>
        <w:pStyle w:val="Heading1"/>
        <w:rPr/>
      </w:pPr>
      <w:bookmarkStart w:id="193" w:name="__RefHeading___Toc9321_4022417266"/>
      <w:bookmarkEnd w:id="193"/>
      <w:r>
        <w:rPr>
          <w:rFonts w:eastAsia="Cambria" w:cs="Cambria"/>
          <w:b/>
          <w:color w:val="33586A"/>
          <w:sz w:val="23"/>
          <w:szCs w:val="24"/>
          <w:lang w:val="en-CA" w:eastAsia="en-CA" w:bidi="ar-SA"/>
        </w:rPr>
        <w:t>Part VII: Continuity, Amendment, and Transition</w:t>
      </w:r>
    </w:p>
    <w:p>
      <w:pPr>
        <w:pStyle w:val="Heading2"/>
        <w:rPr/>
      </w:pPr>
      <w:bookmarkStart w:id="194" w:name="__RefHeading___Toc9323_4022417266"/>
      <w:bookmarkEnd w:id="194"/>
      <w:r>
        <w:rPr>
          <w:rFonts w:eastAsia="Calibri" w:cs="Calibri" w:ascii="Calibri" w:hAnsi="Calibri"/>
          <w:b/>
          <w:color w:val="1F4E5F"/>
          <w:sz w:val="22"/>
          <w:szCs w:val="24"/>
          <w:lang w:val="en-CA" w:eastAsia="en-CA" w:bidi="ar-SA"/>
        </w:rPr>
        <w:t>Article 34: No-Fade Continuity and the Rolling Horizon</w:t>
      </w:r>
    </w:p>
    <w:p>
      <w:pPr>
        <w:pStyle w:val="Heading3"/>
        <w:rPr/>
      </w:pPr>
      <w:bookmarkStart w:id="195" w:name="__RefHeading___Toc9325_4022417266"/>
      <w:bookmarkEnd w:id="195"/>
      <w:r>
        <w:rPr>
          <w:rFonts w:eastAsia="Calibri" w:cs="Calibri" w:ascii="Calibri" w:hAnsi="Calibri"/>
          <w:b/>
          <w:color w:val="1F4E5F"/>
          <w:sz w:val="24"/>
          <w:szCs w:val="24"/>
          <w:lang w:val="en-CA" w:eastAsia="en-CA" w:bidi="ar-SA"/>
        </w:rPr>
        <w:t>34.1 The Rule</w:t>
      </w:r>
    </w:p>
    <w:p>
      <w:pPr>
        <w:pStyle w:val="Normal"/>
        <w:rPr/>
      </w:pPr>
      <w:r>
        <w:rPr>
          <w:rStyle w:val="DefaultParagraphFont"/>
          <w:rFonts w:eastAsia="" w:cs=""/>
          <w:color w:val="2F3B42"/>
          <w:sz w:val="22"/>
          <w:szCs w:val="24"/>
          <w:lang w:val="en-CA" w:eastAsia="en-CA" w:bidi="ar-SA"/>
        </w:rPr>
        <w:t>34.1.1 This framework carries no sunset clause, no expiry date, and no cliff edge. Every commitment continues until Participant States change it deliberately through the procedures of this Part.</w:t>
      </w:r>
    </w:p>
    <w:p>
      <w:pPr>
        <w:pStyle w:val="Normal"/>
        <w:rPr/>
      </w:pPr>
      <w:r>
        <w:rPr>
          <w:rStyle w:val="DefaultParagraphFont"/>
          <w:rFonts w:eastAsia="" w:cs=""/>
          <w:color w:val="2F3B42"/>
          <w:sz w:val="22"/>
          <w:szCs w:val="24"/>
          <w:lang w:val="en-CA" w:eastAsia="en-CA" w:bidi="ar-SA"/>
        </w:rPr>
        <w:t>34.1.2 The architecture treats continuation as the default state and ending as an act that demands decision, notice, and time. Nothing in the Network fades by silence, by calendar, or by neglect.</w:t>
      </w:r>
    </w:p>
    <w:p>
      <w:pPr>
        <w:pStyle w:val="Heading3"/>
        <w:rPr/>
      </w:pPr>
      <w:bookmarkStart w:id="196" w:name="__RefHeading___Toc9327_4022417266"/>
      <w:bookmarkEnd w:id="196"/>
      <w:r>
        <w:rPr>
          <w:rFonts w:eastAsia="Calibri" w:cs="Calibri" w:ascii="Calibri" w:hAnsi="Calibri"/>
          <w:b/>
          <w:color w:val="1F4E5F"/>
          <w:sz w:val="24"/>
          <w:szCs w:val="24"/>
          <w:lang w:val="en-CA" w:eastAsia="en-CA" w:bidi="ar-SA"/>
        </w:rPr>
        <w:t>34.2 The Rolling Horizon</w:t>
      </w:r>
    </w:p>
    <w:p>
      <w:pPr>
        <w:pStyle w:val="Normal"/>
        <w:rPr/>
      </w:pPr>
      <w:r>
        <w:rPr>
          <w:rStyle w:val="DefaultParagraphFont"/>
          <w:rFonts w:eastAsia="" w:cs=""/>
          <w:color w:val="2F3B42"/>
          <w:sz w:val="22"/>
          <w:szCs w:val="24"/>
          <w:lang w:val="en-CA" w:eastAsia="en-CA" w:bidi="ar-SA"/>
        </w:rPr>
        <w:t>34.2.1 The framework operates on a rolling horizon of twenty-four months. At every quarterly Council session, the horizon extends automatically by one quarter, so the framework always stands at least twenty-four months from any horizon boundary.</w:t>
      </w:r>
    </w:p>
    <w:p>
      <w:pPr>
        <w:pStyle w:val="Normal"/>
        <w:rPr/>
      </w:pPr>
      <w:r>
        <w:rPr>
          <w:rStyle w:val="DefaultParagraphFont"/>
          <w:rFonts w:eastAsia="" w:cs=""/>
          <w:color w:val="2F3B42"/>
          <w:sz w:val="22"/>
          <w:szCs w:val="24"/>
          <w:lang w:val="en-CA" w:eastAsia="en-CA" w:bidi="ar-SA"/>
        </w:rPr>
        <w:t>34.2.2 A Participant State signals an intent to leave the horizon only by written notice to the Council, which starts a notice period equal to the full horizon: twenty-four months of continued operation while Participant States address the reasons.</w:t>
      </w:r>
    </w:p>
    <w:p>
      <w:pPr>
        <w:pStyle w:val="Normal"/>
        <w:rPr/>
      </w:pPr>
      <w:r>
        <w:rPr>
          <w:rStyle w:val="DefaultParagraphFont"/>
          <w:rFonts w:eastAsia="" w:cs=""/>
          <w:color w:val="2F3B42"/>
          <w:sz w:val="22"/>
          <w:szCs w:val="24"/>
          <w:lang w:val="en-CA" w:eastAsia="en-CA" w:bidi="ar-SA"/>
        </w:rPr>
        <w:t>34.2.3 Withdrawal itself activates only through a further written instrument at the end of the notice period. Absent that instrument, the framework continues for that Participant State. The design makes exit harder than repair, deliberately.</w:t>
      </w:r>
    </w:p>
    <w:p>
      <w:pPr>
        <w:pStyle w:val="Heading3"/>
        <w:rPr/>
      </w:pPr>
      <w:bookmarkStart w:id="197" w:name="__RefHeading___Toc9329_4022417266"/>
      <w:bookmarkEnd w:id="197"/>
      <w:r>
        <w:rPr>
          <w:rFonts w:eastAsia="Calibri" w:cs="Calibri" w:ascii="Calibri" w:hAnsi="Calibri"/>
          <w:b/>
          <w:color w:val="1F4E5F"/>
          <w:sz w:val="24"/>
          <w:szCs w:val="24"/>
          <w:lang w:val="en-CA" w:eastAsia="en-CA" w:bidi="ar-SA"/>
        </w:rPr>
        <w:t>34.3 Banked Performance Survival</w:t>
      </w:r>
    </w:p>
    <w:p>
      <w:pPr>
        <w:pStyle w:val="Normal"/>
        <w:rPr/>
      </w:pPr>
      <w:r>
        <w:rPr>
          <w:rStyle w:val="DefaultParagraphFont"/>
          <w:rFonts w:eastAsia="" w:cs=""/>
          <w:color w:val="2F3B42"/>
          <w:sz w:val="22"/>
          <w:szCs w:val="24"/>
          <w:lang w:val="en-CA" w:eastAsia="en-CA" w:bidi="ar-SA"/>
        </w:rPr>
        <w:t>34.3.1 Performance Reserve credit, accrued service reputation in the Ledger, and Registry standing survive every review, amendment, module deactivation, and renewal, per Articles 18.4.2 and 32.3.3.</w:t>
      </w:r>
    </w:p>
    <w:p>
      <w:pPr>
        <w:pStyle w:val="Normal"/>
        <w:rPr/>
      </w:pPr>
      <w:r>
        <w:rPr>
          <w:rFonts w:eastAsia="Calibri" w:cs="Calibri"/>
          <w:b/>
          <w:color w:val="2F3B42"/>
          <w:sz w:val="22"/>
          <w:szCs w:val="24"/>
          <w:lang w:val="en-CA" w:eastAsia="en-CA" w:bidi="ar-SA"/>
        </w:rPr>
        <w:t>34.3.2 The archive of the Network, including the Council minutes, the Bulletins, and the audit reports, passes intact to any successor arrangement.</w:t>
      </w:r>
    </w:p>
    <w:p>
      <w:pPr>
        <w:pStyle w:val="Heading2"/>
        <w:rPr/>
      </w:pPr>
      <w:bookmarkStart w:id="198" w:name="__RefHeading___Toc9331_4022417266"/>
      <w:bookmarkEnd w:id="198"/>
      <w:r>
        <w:rPr>
          <w:rFonts w:eastAsia="Calibri" w:cs="Calibri" w:ascii="Calibri" w:hAnsi="Calibri"/>
          <w:b/>
          <w:color w:val="1F4E5F"/>
          <w:sz w:val="22"/>
          <w:szCs w:val="24"/>
          <w:lang w:val="en-CA" w:eastAsia="en-CA" w:bidi="ar-SA"/>
        </w:rPr>
        <w:t>Article 35: Phased Activation</w:t>
      </w:r>
    </w:p>
    <w:p>
      <w:pPr>
        <w:pStyle w:val="Heading3"/>
        <w:rPr/>
      </w:pPr>
      <w:bookmarkStart w:id="199" w:name="__RefHeading___Toc9333_4022417266"/>
      <w:bookmarkEnd w:id="199"/>
      <w:r>
        <w:rPr>
          <w:rFonts w:eastAsia="Calibri" w:cs="Calibri" w:ascii="Calibri" w:hAnsi="Calibri"/>
          <w:b/>
          <w:color w:val="1F4E5F"/>
          <w:sz w:val="24"/>
          <w:szCs w:val="24"/>
          <w:lang w:val="en-CA" w:eastAsia="en-CA" w:bidi="ar-SA"/>
        </w:rPr>
        <w:t>35.1 The Five Phases</w:t>
      </w:r>
    </w:p>
    <w:p>
      <w:pPr>
        <w:pStyle w:val="Normal"/>
        <w:rPr/>
      </w:pPr>
      <w:r>
        <w:rPr>
          <w:rFonts w:eastAsia="Calibri" w:cs="Calibri"/>
          <w:b/>
          <w:color w:val="2F3B42"/>
          <w:sz w:val="22"/>
          <w:szCs w:val="24"/>
          <w:lang w:val="en-CA" w:eastAsia="en-CA" w:bidi="ar-SA"/>
        </w:rPr>
        <w:t>35.1.1 The framework activates in five phases, each with a gate the Neutral Keel Office verifies on the Convergence Standard:</w:t>
      </w:r>
    </w:p>
    <w:tbl>
      <w:tblPr>
        <w:tblStyle w:val="TableNormal"/>
        <w:tblW w:w="9026" w:type="dxa"/>
        <w:jc w:val="left"/>
        <w:tblInd w:w="0" w:type="dxa"/>
        <w:tblLayout w:type="fixed"/>
        <w:tblCellMar>
          <w:top w:w="0" w:type="dxa"/>
          <w:left w:w="108" w:type="dxa"/>
          <w:bottom w:w="0" w:type="dxa"/>
          <w:right w:w="108" w:type="dxa"/>
        </w:tblCellMar>
      </w:tblPr>
      <w:tblGrid>
        <w:gridCol w:w="2256"/>
        <w:gridCol w:w="2256"/>
        <w:gridCol w:w="2255"/>
        <w:gridCol w:w="2258"/>
      </w:tblGrid>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Phase</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Window</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Content</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Gate</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Phase One</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Days 0 to 14</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Signature; hotline live; Bulletin starts; registrations accepted on interim forms</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Hotline drill passed; first Bulletin issued</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Phase Two</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Days 15 to 45</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Southern Assurance Passage fully operational; Center watch floor staffed; observer rota begins</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Seven consecutive days of Free Flow statistics published</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Phase Three</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Days 46 to 90</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Northern Coordination Passage fully operational; registration desk live; codes issuing</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Code issuance under ninety seconds for seven days; audit clean</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Phase Four</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Days 91 to 150</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Fund operational; Registry open; first invoices and reimbursements; Data Service pilot</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First audited reimbursement cycle complete</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Phase Five</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Days 151 to 180 and ongoing</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Full Catalog; Data Service general availability; first quarterly review; horizon rolling</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First quarterly Council closes with Council minutes</w:t>
            </w:r>
          </w:p>
        </w:tc>
      </w:tr>
    </w:tbl>
    <w:p>
      <w:pPr>
        <w:pStyle w:val="Normal"/>
        <w:rPr/>
      </w:pPr>
      <w:r>
        <w:rPr/>
      </w:r>
    </w:p>
    <w:p>
      <w:pPr>
        <w:pStyle w:val="Normal"/>
        <w:rPr/>
      </w:pPr>
      <w:r>
        <w:rPr>
          <w:rFonts w:eastAsia="Calibri" w:cs="Calibri"/>
          <w:b/>
          <w:color w:val="2F3B42"/>
          <w:sz w:val="22"/>
          <w:szCs w:val="24"/>
          <w:lang w:val="en-CA" w:eastAsia="en-CA" w:bidi="ar-SA"/>
        </w:rPr>
        <w:t>35.1.2 A phase that misses its window triggers no penalty and no renegotiation: the Council records the variance, resets the window, and the previous phase continues. The no-fade rule governs activation too.</w:t>
      </w:r>
    </w:p>
    <w:p>
      <w:pPr>
        <w:pStyle w:val="Heading3"/>
        <w:rPr/>
      </w:pPr>
      <w:bookmarkStart w:id="200" w:name="__RefHeading___Toc9335_4022417266"/>
      <w:bookmarkEnd w:id="200"/>
      <w:r>
        <w:rPr>
          <w:rFonts w:eastAsia="Calibri" w:cs="Calibri" w:ascii="Calibri" w:hAnsi="Calibri"/>
          <w:b/>
          <w:color w:val="1F4E5F"/>
          <w:sz w:val="24"/>
          <w:szCs w:val="24"/>
          <w:lang w:val="en-CA" w:eastAsia="en-CA" w:bidi="ar-SA"/>
        </w:rPr>
        <w:t>35.2 Phase Gates</w:t>
      </w:r>
    </w:p>
    <w:p>
      <w:pPr>
        <w:pStyle w:val="Normal"/>
        <w:rPr/>
      </w:pPr>
      <w:r>
        <w:rPr>
          <w:rFonts w:eastAsia="Calibri" w:cs="Calibri"/>
          <w:b/>
          <w:color w:val="2F3B42"/>
          <w:sz w:val="22"/>
          <w:szCs w:val="24"/>
          <w:lang w:val="en-CA" w:eastAsia="en-CA" w:bidi="ar-SA"/>
        </w:rPr>
        <w:t>35.2.1 The Neutral Keel Office certifies each gate in writing, and the Bulletin announces each phase transition.</w:t>
      </w:r>
    </w:p>
    <w:p>
      <w:pPr>
        <w:pStyle w:val="Normal"/>
        <w:rPr/>
      </w:pPr>
      <w:r>
        <w:rPr>
          <w:rFonts w:eastAsia="Calibri" w:cs="Calibri"/>
          <w:b/>
          <w:color w:val="2F3B42"/>
          <w:sz w:val="22"/>
          <w:szCs w:val="24"/>
          <w:lang w:val="en-CA" w:eastAsia="en-CA" w:bidi="ar-SA"/>
        </w:rPr>
        <w:t>35.2.2 Gates measure function, not politics. A gate fails only on evidence that the function does not operate.</w:t>
      </w:r>
    </w:p>
    <w:p>
      <w:pPr>
        <w:pStyle w:val="Heading2"/>
        <w:rPr/>
      </w:pPr>
      <w:bookmarkStart w:id="201" w:name="__RefHeading___Toc9337_4022417266"/>
      <w:bookmarkEnd w:id="201"/>
      <w:r>
        <w:rPr>
          <w:rFonts w:eastAsia="Calibri" w:cs="Calibri" w:ascii="Calibri" w:hAnsi="Calibri"/>
          <w:b/>
          <w:color w:val="1F4E5F"/>
          <w:sz w:val="22"/>
          <w:szCs w:val="24"/>
          <w:lang w:val="en-CA" w:eastAsia="en-CA" w:bidi="ar-SA"/>
        </w:rPr>
        <w:t>Article 36: Amendment, Review, and Accession</w:t>
      </w:r>
    </w:p>
    <w:p>
      <w:pPr>
        <w:pStyle w:val="Heading3"/>
        <w:rPr/>
      </w:pPr>
      <w:bookmarkStart w:id="202" w:name="__RefHeading___Toc9339_4022417266"/>
      <w:bookmarkEnd w:id="202"/>
      <w:r>
        <w:rPr>
          <w:rFonts w:eastAsia="Calibri" w:cs="Calibri" w:ascii="Calibri" w:hAnsi="Calibri"/>
          <w:b/>
          <w:color w:val="1F4E5F"/>
          <w:sz w:val="24"/>
          <w:szCs w:val="24"/>
          <w:lang w:val="en-CA" w:eastAsia="en-CA" w:bidi="ar-SA"/>
        </w:rPr>
        <w:t>36.1 The Open Water Review Conference</w:t>
      </w:r>
    </w:p>
    <w:p>
      <w:pPr>
        <w:pStyle w:val="Normal"/>
        <w:rPr/>
      </w:pPr>
      <w:r>
        <w:rPr>
          <w:rFonts w:eastAsia="Calibri" w:cs="Calibri"/>
          <w:b/>
          <w:color w:val="2F3B42"/>
          <w:sz w:val="22"/>
          <w:szCs w:val="24"/>
          <w:lang w:val="en-CA" w:eastAsia="en-CA" w:bidi="ar-SA"/>
        </w:rPr>
        <w:t>36.1.1 Participant States convene the Open Water Review Conference annually as the public session of the Hormuz Maritime Assembly, rotating among Category I seats, with the Facilitating States, the International Maritime Organization, Category IV partners, and the Stakeholder Panel attending.</w:t>
      </w:r>
    </w:p>
    <w:p>
      <w:pPr>
        <w:pStyle w:val="Normal"/>
        <w:rPr/>
      </w:pPr>
      <w:r>
        <w:rPr>
          <w:rFonts w:eastAsia="Calibri" w:cs="Calibri"/>
          <w:b/>
          <w:color w:val="2F3B42"/>
          <w:sz w:val="22"/>
          <w:szCs w:val="24"/>
          <w:lang w:val="en-CA" w:eastAsia="en-CA" w:bidi="ar-SA"/>
        </w:rPr>
        <w:t>36.1.2 The Conference reviews: the annual audit; the Register integrity report; the premium index; the traffic statistics; the participation category report; and every Perimeter Test conducted in the year.</w:t>
      </w:r>
    </w:p>
    <w:p>
      <w:pPr>
        <w:pStyle w:val="Heading3"/>
        <w:rPr/>
      </w:pPr>
      <w:bookmarkStart w:id="203" w:name="__RefHeading___Toc9341_4022417266"/>
      <w:bookmarkEnd w:id="203"/>
      <w:r>
        <w:rPr>
          <w:rFonts w:eastAsia="Calibri" w:cs="Calibri" w:ascii="Calibri" w:hAnsi="Calibri"/>
          <w:b/>
          <w:color w:val="1F4E5F"/>
          <w:sz w:val="24"/>
          <w:szCs w:val="24"/>
          <w:lang w:val="en-CA" w:eastAsia="en-CA" w:bidi="ar-SA"/>
        </w:rPr>
        <w:t>36.2 Amendment Rules</w:t>
      </w:r>
    </w:p>
    <w:p>
      <w:pPr>
        <w:pStyle w:val="Normal"/>
        <w:rPr/>
      </w:pPr>
      <w:r>
        <w:rPr>
          <w:rFonts w:eastAsia="Calibri" w:cs="Calibri"/>
          <w:b/>
          <w:color w:val="2F3B42"/>
          <w:sz w:val="22"/>
          <w:szCs w:val="24"/>
          <w:lang w:val="en-CA" w:eastAsia="en-CA" w:bidi="ar-SA"/>
        </w:rPr>
        <w:t>36.2.1 Technical annexes amend by Qualified Majority decision, effective on publication in the Bulletin.</w:t>
      </w:r>
    </w:p>
    <w:p>
      <w:pPr>
        <w:pStyle w:val="Normal"/>
        <w:rPr/>
      </w:pPr>
      <w:r>
        <w:rPr>
          <w:rFonts w:eastAsia="Calibri" w:cs="Calibri"/>
          <w:b/>
          <w:color w:val="2F3B42"/>
          <w:sz w:val="22"/>
          <w:szCs w:val="24"/>
          <w:lang w:val="en-CA" w:eastAsia="en-CA" w:bidi="ar-SA"/>
        </w:rPr>
        <w:t>36.2.2 Articles amend by Qualified Majority decision plus written confirmation by each Category I state's competent authority, effective on deposit with the Depositary.</w:t>
      </w:r>
    </w:p>
    <w:p>
      <w:pPr>
        <w:pStyle w:val="Normal"/>
        <w:rPr/>
      </w:pPr>
      <w:r>
        <w:rPr>
          <w:rFonts w:eastAsia="Calibri" w:cs="Calibri"/>
          <w:b/>
          <w:color w:val="2F3B42"/>
          <w:sz w:val="22"/>
          <w:szCs w:val="24"/>
          <w:lang w:val="en-CA" w:eastAsia="en-CA" w:bidi="ar-SA"/>
        </w:rPr>
        <w:t>36.2.3 The Core Principles Register amends only by unanimity in the Council plus ratification by all Category I states.</w:t>
      </w:r>
    </w:p>
    <w:p>
      <w:pPr>
        <w:pStyle w:val="Heading3"/>
        <w:rPr/>
      </w:pPr>
      <w:bookmarkStart w:id="204" w:name="__RefHeading___Toc9343_4022417266"/>
      <w:bookmarkEnd w:id="204"/>
      <w:r>
        <w:rPr>
          <w:rFonts w:eastAsia="Calibri" w:cs="Calibri" w:ascii="Calibri" w:hAnsi="Calibri"/>
          <w:b/>
          <w:color w:val="1F4E5F"/>
          <w:sz w:val="24"/>
          <w:szCs w:val="24"/>
          <w:lang w:val="en-CA" w:eastAsia="en-CA" w:bidi="ar-SA"/>
        </w:rPr>
        <w:t>36.3 Categories of Participation and Rights</w:t>
      </w:r>
    </w:p>
    <w:p>
      <w:pPr>
        <w:pStyle w:val="Normal"/>
        <w:rPr/>
      </w:pPr>
      <w:r>
        <w:rPr>
          <w:rStyle w:val="DefaultParagraphFont"/>
          <w:rFonts w:eastAsia="" w:cs=""/>
          <w:color w:val="2F3B42"/>
          <w:sz w:val="22"/>
          <w:szCs w:val="24"/>
          <w:lang w:val="en-CA" w:eastAsia="en-CA" w:bidi="ar-SA"/>
        </w:rPr>
        <w:t>36.3.1 The Network establishes five categories of participation, each with defined rights, obligations, and institutional roles. A state or entity joins at the category negotiated with the Council and seeks advancement through the procedures of Article 36.3.4.</w:t>
      </w:r>
    </w:p>
    <w:p>
      <w:pPr>
        <w:pStyle w:val="Normal"/>
        <w:rPr/>
      </w:pPr>
      <w:r>
        <w:rPr>
          <w:rFonts w:eastAsia="Calibri" w:cs="Calibri"/>
          <w:b/>
          <w:color w:val="1F4E5F"/>
          <w:sz w:val="22"/>
          <w:szCs w:val="24"/>
          <w:lang w:val="en-CA" w:eastAsia="en-CA" w:bidi="ar-SA"/>
        </w:rPr>
        <w:t>36.3.1.1 Category I: Littoral States (Full Members)</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trPr>
        <w:tc>
          <w:tcPr>
            <w:tcW w:w="4513" w:type="dxa"/>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Element</w:t>
            </w:r>
          </w:p>
        </w:tc>
        <w:tc>
          <w:tcPr>
            <w:tcW w:w="4512" w:type="dxa"/>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Provision</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Who</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The four Littoral States of the Strait of Hormuz: Islamic Republic of Iran, Sultanate of Oman, United Arab Emirates, and State of Qatar.</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Rights</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Permanent seat on the Composite Council; voting rights under the Qualified Majority Rule; staff and inspector nominations; access to all revenue streams; primary responsibility for assigned passages; full access to operational data and incident archives; Article 2.4 sovereignty safeguard.</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Obligations</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Contribution to the Fund annual envelope by service volume and capacity; declared readiness rosters for search and rescue and pollution response; full implementation of the framework within their waters; quarterly service invoices and participation in the Multilateral Services Ledger; hosting of Network facilities where designated.</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Pathway to entry</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Signature of the full framework and ratification.</w:t>
            </w:r>
          </w:p>
        </w:tc>
      </w:tr>
    </w:tbl>
    <w:p>
      <w:pPr>
        <w:pStyle w:val="Normal"/>
        <w:rPr/>
      </w:pPr>
      <w:r>
        <w:rPr>
          <w:rFonts w:eastAsia="Calibri" w:cs="Calibri"/>
          <w:b/>
          <w:color w:val="1F4E5F"/>
          <w:sz w:val="22"/>
          <w:szCs w:val="24"/>
          <w:lang w:val="en-CA" w:eastAsia="en-CA" w:bidi="ar-SA"/>
        </w:rPr>
        <w:t>36.3.1.2 Category II: Major User States (Strategic Partners)</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trPr>
        <w:tc>
          <w:tcPr>
            <w:tcW w:w="4513" w:type="dxa"/>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Element</w:t>
            </w:r>
          </w:p>
        </w:tc>
        <w:tc>
          <w:tcPr>
            <w:tcW w:w="4512" w:type="dxa"/>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Provision</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Who</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States with substantial maritime traffic, energy imports, or security presence in the Gulf. First-priority partners: China, India, Japan, and South Korea. Second-priority partners: United Kingdom and France. The Council recognizes other states with significant commercial or security interests where traffic, imports, or presence meet the published thresholds.</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Rights</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Eligibility for rotational Composite Council seats; observer access with speaking rights when not seated; Stakeholder Panel representation; preferred Route Assurance Data Service rate; inspector roster nominations; direct liaison channel for Class S notifications; restricted incident archive access; security and de-confliction consultations.</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Obligations</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Annual strategic contribution under Annex C, Table C-13; respect for the Non-Interdiction Protocol; Class S notification filings; Quiet Water Window participation for military activities; annual exercise-notification transparency report.</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Pathway to entry</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Composite Council approval by Qualified Majority plus a liaison instrument concluded with the Facilitating States. The liaison instrument operates as a module under Article 18.2 and terminates on 12 months' notice.</w:t>
            </w:r>
          </w:p>
        </w:tc>
      </w:tr>
    </w:tbl>
    <w:p>
      <w:pPr>
        <w:pStyle w:val="Normal"/>
        <w:rPr/>
      </w:pPr>
      <w:r>
        <w:rPr>
          <w:rFonts w:eastAsia="Calibri" w:cs="Calibri"/>
          <w:b/>
          <w:color w:val="1F4E5F"/>
          <w:sz w:val="22"/>
          <w:szCs w:val="24"/>
          <w:lang w:val="en-CA" w:eastAsia="en-CA" w:bidi="ar-SA"/>
        </w:rPr>
        <w:t>36.3.1.3 Category III: Observer States (Engaged Observers)</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trPr>
        <w:tc>
          <w:tcPr>
            <w:tcW w:w="4513" w:type="dxa"/>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Element</w:t>
            </w:r>
          </w:p>
        </w:tc>
        <w:tc>
          <w:tcPr>
            <w:tcW w:w="4512" w:type="dxa"/>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Provision</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Who</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States with regional interest, developing maritime economies, or flag-state interests outside Categories I and II, including Pakistan, Turkey, Malaysia, Indonesia, Brazil, non-littoral Gulf Cooperation Council states, and other states approved by the Council.</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Rights</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Stakeholder Panel observer status; standard Data Service subscription; Open Water Review Conference participation; advisory opinions on incident reports and system performance; technical assistance and capacity-building eligibility; access to the Bulletin and public incident statistics.</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Obligations</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Good-faith commitment to the framework principles; voluntary contribution under Annex C, Table C-14; respect for the Non-Interdiction Protocol by flagged vessels; annual statement of support or concerns to the Council.</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Pathway to entry</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Application to the Council and approval by Qualified Majority. A failure to respect the framework core principles activates revocation proceedings and 90 days' notice.</w:t>
            </w:r>
          </w:p>
        </w:tc>
      </w:tr>
    </w:tbl>
    <w:p>
      <w:pPr>
        <w:pStyle w:val="Normal"/>
        <w:rPr/>
      </w:pPr>
      <w:r>
        <w:rPr>
          <w:rFonts w:eastAsia="Calibri" w:cs="Calibri"/>
          <w:b/>
          <w:color w:val="1F4E5F"/>
          <w:sz w:val="22"/>
          <w:szCs w:val="24"/>
          <w:lang w:val="en-CA" w:eastAsia="en-CA" w:bidi="ar-SA"/>
        </w:rPr>
        <w:t>36.3.1.4 Category IV: International Organizations and Industry Bodies (Technical Partners)</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trPr>
        <w:tc>
          <w:tcPr>
            <w:tcW w:w="4513" w:type="dxa"/>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Element</w:t>
            </w:r>
          </w:p>
        </w:tc>
        <w:tc>
          <w:tcPr>
            <w:tcW w:w="4512" w:type="dxa"/>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Provision</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Who</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International Maritime Organization, International Hydrographic Organization, United Nations agencies, protection and indemnity clubs, major shipping associations, port authorities, and other non-state entities with technical or advisory roles.</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Rights</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Permanent technical liaison interface with the Center; Stakeholder Panel participation; designation as an accredited training or audit partner; access to anonymized data for research and policy purposes; right to propose technical amendments to modules.</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Obligations</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Provision of technical expertise and standards alignment; annual advisory report on the Network technical performance; operational alignment with the framework principles.</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Pathway to entry</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Memorandum of understanding with the Council, approved by Qualified Majority.</w:t>
            </w:r>
          </w:p>
        </w:tc>
      </w:tr>
    </w:tbl>
    <w:p>
      <w:pPr>
        <w:pStyle w:val="Heading3"/>
        <w:rPr/>
      </w:pPr>
      <w:bookmarkStart w:id="205" w:name="__RefHeading___Toc9345_4022417266"/>
      <w:bookmarkEnd w:id="205"/>
      <w:r>
        <w:rPr>
          <w:rFonts w:eastAsia="Calibri" w:cs="Calibri" w:ascii="Calibri" w:hAnsi="Calibri"/>
          <w:b/>
          <w:color w:val="1F4E5F"/>
          <w:sz w:val="22"/>
          <w:szCs w:val="24"/>
          <w:lang w:val="en-CA" w:eastAsia="en-CA" w:bidi="ar-SA"/>
        </w:rPr>
        <w:t>36.3.1.5 Category V: User States (Advisory Participants)</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trPr>
        <w:tc>
          <w:tcPr>
            <w:tcW w:w="4513" w:type="dxa"/>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Element</w:t>
            </w:r>
          </w:p>
        </w:tc>
        <w:tc>
          <w:tcPr>
            <w:tcW w:w="4512" w:type="dxa"/>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Provision</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Who</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Major shipping nations outside Categories I and II with substantial tonnage transiting the Gulf, including European states, Singapore, Norway, Switzerland, and other states the Council admits on application.</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Rights</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Participation in discussions on passage management, voluntary service contribution arrangements, and service standards; a non-voting advisory seat on the Composite Council; Open Water Review Conference participation; standard Route Assurance Data Service subscription; technical assistance and training access.</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Obligations</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Good-faith commitment to the framework principles; respect for the Non-Interdiction Protocol by flagged vessels; voluntary service contributions under Article 23 and Annex C where elected; annual statement of support or concern.</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Pathway to entry</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Application to the Council and approval by Qualified Majority.</w:t>
            </w:r>
          </w:p>
        </w:tc>
      </w:tr>
    </w:tbl>
    <w:p>
      <w:pPr>
        <w:pStyle w:val="Normal"/>
        <w:rPr/>
      </w:pPr>
      <w:r>
        <w:rPr>
          <w:rStyle w:val="DefaultParagraphFont"/>
          <w:rFonts w:eastAsia="" w:cs=""/>
          <w:color w:val="2F3B42"/>
          <w:sz w:val="22"/>
          <w:szCs w:val="24"/>
          <w:lang w:val="en-CA" w:eastAsia="en-CA" w:bidi="ar-SA"/>
        </w:rPr>
        <w:t>36.3.2 The initial engagement sequence gives priority to the states with the most immediate stake in the strait. The United Arab Emirates and Qatar enter as Category I Littoral States. China, India, Japan, and South Korea form the first-priority Category II group because of their direct energy-security exposure. The United Kingdom and France form the second-priority Category II group because of their maritime security presence and de-confliction capability.</w:t>
      </w:r>
    </w:p>
    <w:p>
      <w:pPr>
        <w:pStyle w:val="Normal"/>
        <w:rPr/>
      </w:pPr>
      <w:r>
        <w:rPr>
          <w:rStyle w:val="DefaultParagraphFont"/>
          <w:rFonts w:eastAsia="" w:cs=""/>
          <w:color w:val="2F3B42"/>
          <w:sz w:val="22"/>
          <w:szCs w:val="24"/>
          <w:lang w:val="en-CA" w:eastAsia="en-CA" w:bidi="ar-SA"/>
        </w:rPr>
        <w:t>36.3.3 Existing third-state liaison instruments map into Category II or Category III according to the state's level of engagement, and the Council records the mapping in the participation register.</w:t>
      </w:r>
    </w:p>
    <w:p>
      <w:pPr>
        <w:pStyle w:val="Normal"/>
        <w:rPr/>
      </w:pPr>
      <w:r>
        <w:rPr>
          <w:rStyle w:val="DefaultParagraphFont"/>
          <w:rFonts w:eastAsia="" w:cs=""/>
          <w:color w:val="2F3B42"/>
          <w:sz w:val="22"/>
          <w:szCs w:val="24"/>
          <w:lang w:val="en-CA" w:eastAsia="en-CA" w:bidi="ar-SA"/>
        </w:rPr>
        <w:t>36.3.4 A participating state seeks advancement from Category III to Category II, or from Category II to Category I, after three years of consistent engagement, payment of contributions, and alignment with the framework's operational and security protocols. Advancement from Category III to Category II follows Council approval by Qualified Majority plus written confirmation by all Category I states. Advancement from Category II to Category I follows unanimity among Category I states plus ratification by the applicant state.</w:t>
      </w:r>
    </w:p>
    <w:p>
      <w:pPr>
        <w:pStyle w:val="Normal"/>
        <w:rPr/>
      </w:pPr>
      <w:r>
        <w:rPr>
          <w:rStyle w:val="DefaultParagraphFont"/>
          <w:rFonts w:eastAsia="" w:cs=""/>
          <w:color w:val="2F3B42"/>
          <w:sz w:val="22"/>
          <w:szCs w:val="24"/>
          <w:lang w:val="en-CA" w:eastAsia="en-CA" w:bidi="ar-SA"/>
        </w:rPr>
        <w:t>36.3.5 The Council reviews all participation categories at the Open Water Review Conference annually and recommends reclassification on performance, engagement, or changed circumstances. A Category I state that misses its obligations for two consecutive years moves, by Council Qualified Majority vote, to Category II or Category III for a one-year probationary period, with restoration on cure.</w:t>
      </w:r>
    </w:p>
    <w:p>
      <w:pPr>
        <w:pStyle w:val="Heading2"/>
        <w:rPr/>
      </w:pPr>
      <w:bookmarkStart w:id="206" w:name="__RefHeading___Toc9347_4022417266"/>
      <w:bookmarkEnd w:id="206"/>
      <w:r>
        <w:rPr>
          <w:rFonts w:eastAsia="Calibri" w:cs="Calibri" w:ascii="Calibri" w:hAnsi="Calibri"/>
          <w:b/>
          <w:color w:val="1F4E5F"/>
          <w:sz w:val="22"/>
          <w:szCs w:val="24"/>
          <w:lang w:val="en-CA" w:eastAsia="en-CA" w:bidi="ar-SA"/>
        </w:rPr>
        <w:t>Article 37: Transition, Succession, and General Provisions</w:t>
      </w:r>
    </w:p>
    <w:p>
      <w:pPr>
        <w:pStyle w:val="Heading3"/>
        <w:rPr/>
      </w:pPr>
      <w:bookmarkStart w:id="207" w:name="__RefHeading___Toc9349_4022417266"/>
      <w:bookmarkEnd w:id="207"/>
      <w:r>
        <w:rPr>
          <w:rFonts w:eastAsia="Calibri" w:cs="Calibri" w:ascii="Calibri" w:hAnsi="Calibri"/>
          <w:b/>
          <w:color w:val="1F4E5F"/>
          <w:sz w:val="24"/>
          <w:szCs w:val="24"/>
          <w:lang w:val="en-CA" w:eastAsia="en-CA" w:bidi="ar-SA"/>
        </w:rPr>
        <w:t>37.1 Succession of the Joint Work</w:t>
      </w:r>
    </w:p>
    <w:p>
      <w:pPr>
        <w:pStyle w:val="Normal"/>
        <w:rPr/>
      </w:pPr>
      <w:r>
        <w:rPr>
          <w:rFonts w:eastAsia="Calibri" w:cs="Calibri"/>
          <w:b/>
          <w:color w:val="2F3B42"/>
          <w:sz w:val="22"/>
          <w:szCs w:val="24"/>
          <w:lang w:val="en-CA" w:eastAsia="en-CA" w:bidi="ar-SA"/>
        </w:rPr>
        <w:t>37.1.1 The technical work of the Joint Hormuz Committee and its working groups passes into the Center's opening records, and the Committee's agreed points stand as the negotiating record of this framework.</w:t>
      </w:r>
    </w:p>
    <w:p>
      <w:pPr>
        <w:pStyle w:val="Heading3"/>
        <w:rPr/>
      </w:pPr>
      <w:bookmarkStart w:id="208" w:name="__RefHeading___Toc9351_4022417266"/>
      <w:bookmarkEnd w:id="208"/>
      <w:r>
        <w:rPr>
          <w:rFonts w:eastAsia="Calibri" w:cs="Calibri" w:ascii="Calibri" w:hAnsi="Calibri"/>
          <w:b/>
          <w:color w:val="1F4E5F"/>
          <w:sz w:val="24"/>
          <w:szCs w:val="24"/>
          <w:lang w:val="en-CA" w:eastAsia="en-CA" w:bidi="ar-SA"/>
        </w:rPr>
        <w:t>37.2 Transformation of the Prior Northern Apparatus</w:t>
      </w:r>
    </w:p>
    <w:p>
      <w:pPr>
        <w:pStyle w:val="Normal"/>
        <w:rPr/>
      </w:pPr>
      <w:r>
        <w:rPr>
          <w:rFonts w:eastAsia="Calibri" w:cs="Calibri"/>
          <w:b/>
          <w:color w:val="2F3B42"/>
          <w:sz w:val="22"/>
          <w:szCs w:val="24"/>
          <w:lang w:val="en-CA" w:eastAsia="en-CA" w:bidi="ar-SA"/>
        </w:rPr>
        <w:t>37.2.1 The prior national permit apparatus for the strait transforms into the Network's registration desk: its staff transfer into the Center's multinational structure as civilian maritime professionals, its data entries slim to the twelve fields of Annex D, and its permission character ends with the entry of Article 8.2 into operation.</w:t>
      </w:r>
    </w:p>
    <w:p>
      <w:pPr>
        <w:pStyle w:val="Normal"/>
        <w:rPr/>
      </w:pPr>
      <w:r>
        <w:rPr>
          <w:rFonts w:eastAsia="Calibri" w:cs="Calibri"/>
          <w:b/>
          <w:color w:val="2F3B42"/>
          <w:sz w:val="22"/>
          <w:szCs w:val="24"/>
          <w:lang w:val="en-CA" w:eastAsia="en-CA" w:bidi="ar-SA"/>
        </w:rPr>
        <w:t>37.2.2 Participant States record the transformation as internationalization with continuity of expertise: the institution survives as function, changes as structure, and loses only the elements the Register excludes.</w:t>
      </w:r>
    </w:p>
    <w:p>
      <w:pPr>
        <w:pStyle w:val="Normal"/>
        <w:rPr/>
      </w:pPr>
      <w:r>
        <w:rPr>
          <w:rFonts w:eastAsia="Calibri" w:cs="Calibri"/>
          <w:b/>
          <w:color w:val="2F3B42"/>
          <w:sz w:val="22"/>
          <w:szCs w:val="24"/>
          <w:lang w:val="en-CA" w:eastAsia="en-CA" w:bidi="ar-SA"/>
        </w:rPr>
        <w:t>37.2.3 The Facilitating States transmit the transformation record to relevant third-state authorities as part of the firewall presentation of Article 26.3.3.</w:t>
      </w:r>
    </w:p>
    <w:p>
      <w:pPr>
        <w:pStyle w:val="Heading3"/>
        <w:rPr/>
      </w:pPr>
      <w:bookmarkStart w:id="209" w:name="__RefHeading___Toc9353_4022417266"/>
      <w:bookmarkEnd w:id="209"/>
      <w:r>
        <w:rPr>
          <w:rFonts w:eastAsia="Calibri" w:cs="Calibri" w:ascii="Calibri" w:hAnsi="Calibri"/>
          <w:b/>
          <w:color w:val="1F4E5F"/>
          <w:sz w:val="24"/>
          <w:szCs w:val="24"/>
          <w:lang w:val="en-CA" w:eastAsia="en-CA" w:bidi="ar-SA"/>
        </w:rPr>
        <w:t>37.3 Depositary, Languages, and Authentic Texts</w:t>
      </w:r>
    </w:p>
    <w:p>
      <w:pPr>
        <w:pStyle w:val="Normal"/>
        <w:rPr/>
      </w:pPr>
      <w:r>
        <w:rPr>
          <w:rFonts w:eastAsia="Calibri" w:cs="Calibri"/>
          <w:b/>
          <w:color w:val="2F3B42"/>
          <w:sz w:val="22"/>
          <w:szCs w:val="24"/>
          <w:lang w:val="en-CA" w:eastAsia="en-CA" w:bidi="ar-SA"/>
        </w:rPr>
        <w:t>37.3.1 The Ministry of Foreign Affairs of the Sultanate of Oman acts as Depositary. The Depositary registers the framework, holds the authentic texts, and receives instruments of confirmation, accession, and liaison.</w:t>
      </w:r>
    </w:p>
    <w:p>
      <w:pPr>
        <w:pStyle w:val="Normal"/>
        <w:rPr/>
      </w:pPr>
      <w:r>
        <w:rPr>
          <w:rFonts w:eastAsia="Calibri" w:cs="Calibri"/>
          <w:b/>
          <w:color w:val="2F3B42"/>
          <w:sz w:val="22"/>
          <w:szCs w:val="24"/>
          <w:lang w:val="en-CA" w:eastAsia="en-CA" w:bidi="ar-SA"/>
        </w:rPr>
        <w:t>37.3.2 The Persian, Arabic, and English texts carry equal authority, and Article 4.2.4 governs divergence.</w:t>
      </w:r>
    </w:p>
    <w:p>
      <w:pPr>
        <w:pStyle w:val="Normal"/>
        <w:rPr/>
      </w:pPr>
      <w:r>
        <w:rPr>
          <w:rFonts w:eastAsia="Calibri" w:cs="Calibri"/>
          <w:b/>
          <w:color w:val="2F3B42"/>
          <w:sz w:val="22"/>
          <w:szCs w:val="24"/>
          <w:lang w:val="en-CA" w:eastAsia="en-CA" w:bidi="ar-SA"/>
        </w:rPr>
        <w:t>37.3.3 Signature activates Phase One. Participant States complete any domestic confirmations through their own procedures, and the framework operates in full from the Phase Five gate onward without further formality.</w:t>
      </w:r>
    </w:p>
    <w:p>
      <w:pPr>
        <w:pStyle w:val="heading1nb"/>
        <w:rPr/>
      </w:pPr>
      <w:bookmarkStart w:id="210" w:name="__RefHeading___Toc9355_4022417266"/>
      <w:bookmarkEnd w:id="210"/>
      <w:r>
        <w:rPr>
          <w:rFonts w:eastAsia="Calibri" w:cs="Calibri" w:ascii="Calibri" w:hAnsi="Calibri"/>
          <w:b/>
          <w:color w:val="1F4E5F"/>
          <w:sz w:val="24"/>
          <w:szCs w:val="24"/>
          <w:lang w:val="en-CA" w:eastAsia="en-CA" w:bidi="ar-SA"/>
        </w:rPr>
        <w:t>Annex A: Passage Coordinates and Geodetic Definitions</w:t>
      </w:r>
    </w:p>
    <w:p>
      <w:pPr>
        <w:pStyle w:val="Heading2"/>
        <w:rPr/>
      </w:pPr>
      <w:bookmarkStart w:id="211" w:name="__RefHeading___Toc9357_4022417266"/>
      <w:bookmarkEnd w:id="211"/>
      <w:r>
        <w:rPr>
          <w:rFonts w:eastAsia="Calibri" w:cs="Calibri" w:ascii="Calibri" w:hAnsi="Calibri"/>
          <w:b/>
          <w:color w:val="1F4E5F"/>
          <w:sz w:val="22"/>
          <w:szCs w:val="24"/>
          <w:lang w:val="en-CA" w:eastAsia="en-CA" w:bidi="ar-SA"/>
        </w:rPr>
        <w:t>A.1 Operating Area Boundary</w:t>
      </w:r>
    </w:p>
    <w:p>
      <w:pPr>
        <w:pStyle w:val="Normal"/>
        <w:rPr/>
      </w:pPr>
      <w:r>
        <w:rPr>
          <w:rFonts w:eastAsia="Calibri" w:cs="Calibri"/>
          <w:b/>
          <w:color w:val="2F3B42"/>
          <w:sz w:val="22"/>
          <w:szCs w:val="24"/>
          <w:lang w:val="en-CA" w:eastAsia="en-CA" w:bidi="ar-SA"/>
        </w:rPr>
        <w:t>A.1.1 The Operating Area comprises the waters enclosed by the rhumb lines joining the following points in sequence, datum WGS-84:</w:t>
      </w:r>
    </w:p>
    <w:tbl>
      <w:tblPr>
        <w:tblStyle w:val="TableNormal"/>
        <w:tblW w:w="9026" w:type="dxa"/>
        <w:jc w:val="left"/>
        <w:tblInd w:w="0" w:type="dxa"/>
        <w:tblLayout w:type="fixed"/>
        <w:tblCellMar>
          <w:top w:w="0" w:type="dxa"/>
          <w:left w:w="108" w:type="dxa"/>
          <w:bottom w:w="0" w:type="dxa"/>
          <w:right w:w="108" w:type="dxa"/>
        </w:tblCellMar>
      </w:tblPr>
      <w:tblGrid>
        <w:gridCol w:w="2256"/>
        <w:gridCol w:w="2256"/>
        <w:gridCol w:w="2255"/>
        <w:gridCol w:w="2258"/>
      </w:tblGrid>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Point</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Latitude</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Longitude</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Note</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OA-1</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26° 55.0′ N</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055° 55.0′ E</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Northwest corner, off the western approach</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OA-2</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26° 58.0′ N</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056° 40.0′ E</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North boundary, seaward of Larak Island</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OA-3</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26° 50.0′ N</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057° 25.0′ E</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Northeast corner, Gulf of Oman side</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OA-4</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26° 10.0′ N</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057° 30.0′ E</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Southeast corner, seaward of the Musandam approaches</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OA-5</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26° 08.0′ N</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056° 40.0′ E</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South boundary, off the Musandam coast</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OA-6</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26° 15.0′ N</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055° 58.0′ E</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Southwest corner, western approach</w:t>
            </w:r>
          </w:p>
        </w:tc>
      </w:tr>
    </w:tbl>
    <w:p>
      <w:pPr>
        <w:pStyle w:val="Normal"/>
        <w:rPr/>
      </w:pPr>
      <w:r>
        <w:rPr>
          <w:rFonts w:eastAsia="Calibri" w:cs="Calibri"/>
          <w:b/>
          <w:color w:val="2F3B42"/>
          <w:sz w:val="22"/>
          <w:szCs w:val="24"/>
          <w:lang w:val="en-CA" w:eastAsia="en-CA" w:bidi="ar-SA"/>
        </w:rPr>
        <w:t>A.1.2 The boundary describes traffic organization only, per Article 2.4. The multilateral chart record also identifies approach sectors under the sovereignty of the United Arab Emirates and the State of Qatar for coordination, holding, search and rescue, and data-service purposes.</w:t>
      </w:r>
    </w:p>
    <w:p>
      <w:pPr>
        <w:pStyle w:val="Normal"/>
        <w:rPr/>
      </w:pPr>
      <w:r>
        <w:rPr>
          <w:rFonts w:eastAsia="Calibri" w:cs="Calibri"/>
          <w:b/>
          <w:color w:val="2F3B42"/>
          <w:sz w:val="22"/>
          <w:szCs w:val="24"/>
          <w:lang w:val="en-CA" w:eastAsia="en-CA" w:bidi="ar-SA"/>
        </w:rPr>
        <w:t>A.1.3 The Council deposits any technical coordinate adjustment for those approach sectors with the International Maritime Organization through the Article 10 process.</w:t>
      </w:r>
    </w:p>
    <w:p>
      <w:pPr>
        <w:pStyle w:val="Heading2"/>
        <w:rPr/>
      </w:pPr>
      <w:bookmarkStart w:id="212" w:name="__RefHeading___Toc9359_4022417266"/>
      <w:bookmarkEnd w:id="212"/>
      <w:r>
        <w:rPr>
          <w:rFonts w:eastAsia="Calibri" w:cs="Calibri" w:ascii="Calibri" w:hAnsi="Calibri"/>
          <w:b/>
          <w:color w:val="1F4E5F"/>
          <w:sz w:val="22"/>
          <w:szCs w:val="24"/>
          <w:lang w:val="en-CA" w:eastAsia="en-CA" w:bidi="ar-SA"/>
        </w:rPr>
        <w:t>A.2 Southern Assurance Passage Boundaries</w:t>
      </w:r>
    </w:p>
    <w:p>
      <w:pPr>
        <w:pStyle w:val="Normal"/>
        <w:rPr/>
      </w:pPr>
      <w:r>
        <w:rPr>
          <w:rFonts w:eastAsia="Calibri" w:cs="Calibri"/>
          <w:b/>
          <w:color w:val="2F3B42"/>
          <w:sz w:val="22"/>
          <w:szCs w:val="24"/>
          <w:lang w:val="en-CA" w:eastAsia="en-CA" w:bidi="ar-SA"/>
        </w:rPr>
        <w:t>A.2.1 Centerline points, westbound then eastbound description, datum WGS-84:</w:t>
      </w:r>
    </w:p>
    <w:tbl>
      <w:tblPr>
        <w:tblStyle w:val="TableNormal"/>
        <w:tblW w:w="9026" w:type="dxa"/>
        <w:jc w:val="left"/>
        <w:tblInd w:w="0" w:type="dxa"/>
        <w:tblLayout w:type="fixed"/>
        <w:tblCellMar>
          <w:top w:w="0" w:type="dxa"/>
          <w:left w:w="108" w:type="dxa"/>
          <w:bottom w:w="0" w:type="dxa"/>
          <w:right w:w="108" w:type="dxa"/>
        </w:tblCellMar>
      </w:tblPr>
      <w:tblGrid>
        <w:gridCol w:w="2256"/>
        <w:gridCol w:w="2256"/>
        <w:gridCol w:w="2255"/>
        <w:gridCol w:w="2258"/>
      </w:tblGrid>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Point</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Latitude</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Longitude</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Note</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SAP-A</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26° 29.0′ N</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056° 05.0′ E</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Western entry, outer</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SAP-B</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26° 27.0′ N</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056° 28.0′ E</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Mid-west reach</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SAP-C</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26° 26.5′ N</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056° 45.0′ E</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North of the Musandam headland</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SAP-D</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26° 24.0′ N</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057° 05.0′ E</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Eastern reach</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SAP-E</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26° 27.5′ N</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057° 22.0′ E</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2F3B42"/>
                <w:sz w:val="22"/>
                <w:szCs w:val="24"/>
                <w:lang w:val="en-CA" w:eastAsia="en-CA" w:bidi="ar-SA"/>
              </w:rPr>
              <w:t>Eastern exit to the Gulf of Oman</w:t>
            </w:r>
          </w:p>
        </w:tc>
      </w:tr>
    </w:tbl>
    <w:p>
      <w:pPr>
        <w:pStyle w:val="Normal"/>
        <w:rPr/>
      </w:pPr>
      <w:r>
        <w:rPr/>
      </w:r>
    </w:p>
    <w:p>
      <w:pPr>
        <w:pStyle w:val="Normal"/>
        <w:rPr/>
      </w:pPr>
      <w:r>
        <w:rPr>
          <w:rFonts w:eastAsia="Calibri" w:cs="Calibri"/>
          <w:b/>
          <w:color w:val="2F3B42"/>
          <w:sz w:val="22"/>
          <w:szCs w:val="24"/>
          <w:lang w:val="en-CA" w:eastAsia="en-CA" w:bidi="ar-SA"/>
        </w:rPr>
        <w:t>A.2.2 The Passage extends from the line joining SAP-A to point 26° 22.0′ N 056° 05.0′ E in the west, to the line joining SAP-E to 26° 21.0′ N 057° 22.0′ E in the east. Its northern boundary follows the southern edge of the Central Separation Belt; its southern boundary follows the northern edge of the Omani Inshore Local Craft Band, at three nautical miles off the charted coast.</w:t>
      </w:r>
    </w:p>
    <w:p>
      <w:pPr>
        <w:pStyle w:val="Normal"/>
        <w:rPr/>
      </w:pPr>
      <w:r>
        <w:rPr>
          <w:rFonts w:eastAsia="Calibri" w:cs="Calibri"/>
          <w:b/>
          <w:color w:val="2F3B42"/>
          <w:sz w:val="22"/>
          <w:szCs w:val="24"/>
          <w:lang w:val="en-CA" w:eastAsia="en-CA" w:bidi="ar-SA"/>
        </w:rPr>
        <w:t>A.2.3 Lane split: the westbound lane occupies the northern half of the Passage; the eastbound lane occupies the southern half; a separation line one-half nautical mile wide divides them along the centerline points above.</w:t>
      </w:r>
    </w:p>
    <w:p>
      <w:pPr>
        <w:pStyle w:val="Heading2"/>
        <w:rPr/>
      </w:pPr>
      <w:bookmarkStart w:id="213" w:name="__RefHeading___Toc9361_4022417266"/>
      <w:bookmarkEnd w:id="213"/>
      <w:r>
        <w:rPr>
          <w:rFonts w:eastAsia="Calibri" w:cs="Calibri" w:ascii="Calibri" w:hAnsi="Calibri"/>
          <w:b/>
          <w:color w:val="1F4E5F"/>
          <w:sz w:val="22"/>
          <w:szCs w:val="24"/>
          <w:lang w:val="en-CA" w:eastAsia="en-CA" w:bidi="ar-SA"/>
        </w:rPr>
        <w:t>A.3 Northern Coordination Passage Boundaries</w:t>
      </w:r>
    </w:p>
    <w:p>
      <w:pPr>
        <w:pStyle w:val="Normal"/>
        <w:rPr/>
      </w:pPr>
      <w:r>
        <w:rPr>
          <w:rFonts w:eastAsia="Calibri" w:cs="Calibri"/>
          <w:b/>
          <w:color w:val="2F3B42"/>
          <w:sz w:val="22"/>
          <w:szCs w:val="24"/>
          <w:lang w:val="en-CA" w:eastAsia="en-CA" w:bidi="ar-SA"/>
        </w:rPr>
        <w:t>A.3.1 Centerline points, datum WGS-84:</w:t>
      </w:r>
    </w:p>
    <w:tbl>
      <w:tblPr>
        <w:tblStyle w:val="TableNormal"/>
        <w:tblW w:w="9026" w:type="dxa"/>
        <w:jc w:val="left"/>
        <w:tblInd w:w="0" w:type="dxa"/>
        <w:tblLayout w:type="fixed"/>
        <w:tblCellMar>
          <w:top w:w="0" w:type="dxa"/>
          <w:left w:w="108" w:type="dxa"/>
          <w:bottom w:w="0" w:type="dxa"/>
          <w:right w:w="108" w:type="dxa"/>
        </w:tblCellMar>
      </w:tblPr>
      <w:tblGrid>
        <w:gridCol w:w="2256"/>
        <w:gridCol w:w="2256"/>
        <w:gridCol w:w="2255"/>
        <w:gridCol w:w="2258"/>
      </w:tblGrid>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Point</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Latitude</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Longitude</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Note</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NCP-A</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26° 40.0′ N</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056° 06.0′ E</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Western entry, outer</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NCP-B</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26° 37.5′ N</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056° 30.0′ E</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South of Larak Island</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NCP-C</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26° 35.0′ N</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056° 58.0′ E</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Mid reach, off the Qeshm northeast shore</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NCP-D</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26° 37.0′ N</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057° 20.0′ E</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Eastern exit to the Gulf of Oman</w:t>
            </w:r>
          </w:p>
        </w:tc>
      </w:tr>
    </w:tbl>
    <w:p>
      <w:pPr>
        <w:pStyle w:val="Normal"/>
        <w:rPr/>
      </w:pPr>
      <w:r>
        <w:rPr/>
      </w:r>
    </w:p>
    <w:p>
      <w:pPr>
        <w:pStyle w:val="Normal"/>
        <w:rPr/>
      </w:pPr>
      <w:r>
        <w:rPr>
          <w:rStyle w:val="DefaultParagraphFont"/>
          <w:rFonts w:eastAsia="" w:cs=""/>
          <w:color w:val="2F3B42"/>
          <w:sz w:val="22"/>
          <w:szCs w:val="24"/>
          <w:lang w:val="en-CA" w:eastAsia="en-CA" w:bidi="ar-SA"/>
        </w:rPr>
        <w:t>A.3.2 The Passage extends from the line joining NCP-A to point 26° 47.0′ N 056° 06.0′ E in the west, to the line joining NCP-D to 26° 44.0′ N 057° 20.0′ E in the east. Its southern boundary follows the northern edge of the Central Separation Belt; its northern boundary follows the southern edge of the Iranian Inshore Local Craft Band, at three nautical miles off the charted coast and island shores.</w:t>
      </w:r>
    </w:p>
    <w:p>
      <w:pPr>
        <w:pStyle w:val="Normal"/>
        <w:rPr/>
      </w:pPr>
      <w:r>
        <w:rPr>
          <w:rStyle w:val="DefaultParagraphFont"/>
          <w:rFonts w:eastAsia="" w:cs=""/>
          <w:color w:val="2F3B42"/>
          <w:sz w:val="22"/>
          <w:szCs w:val="24"/>
          <w:lang w:val="en-CA" w:eastAsia="en-CA" w:bidi="ar-SA"/>
        </w:rPr>
        <w:t>A.3.3 Lane split mirrors A.2.3: westbound lane northern half, eastbound lane southern half, one-half nautical mile separation line.</w:t>
      </w:r>
    </w:p>
    <w:p>
      <w:pPr>
        <w:pStyle w:val="Heading2"/>
        <w:rPr/>
      </w:pPr>
      <w:bookmarkStart w:id="214" w:name="__RefHeading___Toc9363_4022417266"/>
      <w:bookmarkEnd w:id="214"/>
      <w:r>
        <w:rPr>
          <w:rFonts w:eastAsia="Calibri" w:cs="Calibri" w:ascii="Calibri" w:hAnsi="Calibri"/>
          <w:b/>
          <w:color w:val="1F4E5F"/>
          <w:sz w:val="22"/>
          <w:szCs w:val="24"/>
          <w:lang w:val="en-CA" w:eastAsia="en-CA" w:bidi="ar-SA"/>
        </w:rPr>
        <w:t>A.4 The Separation Belts and the Central International Passage</w:t>
      </w:r>
    </w:p>
    <w:p>
      <w:pPr>
        <w:pStyle w:val="Normal"/>
        <w:rPr/>
      </w:pPr>
      <w:r>
        <w:rPr>
          <w:rStyle w:val="DefaultParagraphFont"/>
          <w:rFonts w:eastAsia="" w:cs=""/>
          <w:color w:val="2F3B42"/>
          <w:sz w:val="22"/>
          <w:szCs w:val="24"/>
          <w:lang w:val="en-CA" w:eastAsia="en-CA" w:bidi="ar-SA"/>
        </w:rPr>
        <w:t>A.4.1 Northern-Central Separation Belt centerline points, datum WGS-84:</w:t>
      </w:r>
    </w:p>
    <w:tbl>
      <w:tblPr>
        <w:tblStyle w:val="TableNormal"/>
        <w:tblW w:w="9026" w:type="dxa"/>
        <w:jc w:val="left"/>
        <w:tblInd w:w="0" w:type="dxa"/>
        <w:tblLayout w:type="fixed"/>
        <w:tblCellMar>
          <w:top w:w="0" w:type="dxa"/>
          <w:left w:w="108" w:type="dxa"/>
          <w:bottom w:w="0" w:type="dxa"/>
          <w:right w:w="108" w:type="dxa"/>
        </w:tblCellMar>
      </w:tblPr>
      <w:tblGrid>
        <w:gridCol w:w="3008"/>
        <w:gridCol w:w="3007"/>
        <w:gridCol w:w="3011"/>
      </w:tblGrid>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Point</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Latitude</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Longitude</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NCB-S1</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26° 34.0′ N</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056° 10.0′ E</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NCB-S2</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26° 30.5′ N</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056° 30.0′ E</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NCB-S3</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26° 27.0′ N</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056° 55.0′ E</w:t>
            </w:r>
          </w:p>
        </w:tc>
      </w:tr>
      <w:tr>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NCB-S4</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26° 30.0′ N</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057° 15.0′ E</w:t>
            </w:r>
          </w:p>
        </w:tc>
      </w:tr>
    </w:tbl>
    <w:p>
      <w:pPr>
        <w:pStyle w:val="Normal"/>
        <w:rPr/>
      </w:pPr>
      <w:r>
        <w:rPr/>
      </w:r>
    </w:p>
    <w:p>
      <w:pPr>
        <w:pStyle w:val="Normal"/>
        <w:rPr/>
      </w:pPr>
      <w:r>
        <w:rPr>
          <w:rStyle w:val="DefaultParagraphFont"/>
          <w:rFonts w:eastAsia="" w:cs=""/>
          <w:color w:val="2F3B42"/>
          <w:sz w:val="22"/>
          <w:szCs w:val="24"/>
          <w:lang w:val="en-CA" w:eastAsia="en-CA" w:bidi="ar-SA"/>
        </w:rPr>
        <w:t>A.4.2 The Northern-Central Separation Belt extends one nautical mile either side of the centerline, from the western entry sector at 056° 10.0′ E to the eastern exit sector at 057° 15.0′ E. The Central-Southern Separation Belt runs two nautical miles wide, centered one nautical mile south of the Central International Passage centerline and parallel to the Northern-Central Separation Belt, and the geodetic file of Section A.1 carries its vertex set.</w:t>
      </w:r>
    </w:p>
    <w:p>
      <w:pPr>
        <w:pStyle w:val="Normal"/>
        <w:rPr/>
      </w:pPr>
      <w:r>
        <w:rPr>
          <w:rStyle w:val="DefaultParagraphFont"/>
          <w:rFonts w:eastAsia="" w:cs=""/>
          <w:color w:val="2F3B42"/>
          <w:sz w:val="22"/>
          <w:szCs w:val="24"/>
          <w:lang w:val="en-CA" w:eastAsia="en-CA" w:bidi="ar-SA"/>
        </w:rPr>
        <w:t>A.4.3 Central International Passage centerline waypoints, datum WGS-84:</w:t>
      </w:r>
    </w:p>
    <w:tbl>
      <w:tblPr>
        <w:tblStyle w:val="TableNormal"/>
        <w:tblW w:w="9026" w:type="dxa"/>
        <w:jc w:val="left"/>
        <w:tblInd w:w="0" w:type="dxa"/>
        <w:tblLayout w:type="fixed"/>
        <w:tblCellMar>
          <w:top w:w="0" w:type="dxa"/>
          <w:left w:w="108" w:type="dxa"/>
          <w:bottom w:w="0" w:type="dxa"/>
          <w:right w:w="108" w:type="dxa"/>
        </w:tblCellMar>
      </w:tblPr>
      <w:tblGrid>
        <w:gridCol w:w="3008"/>
        <w:gridCol w:w="3007"/>
        <w:gridCol w:w="3011"/>
      </w:tblGrid>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Point</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Latitude</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Longitude</w:t>
            </w:r>
          </w:p>
        </w:tc>
      </w:tr>
      <w:tr>
        <w:trPr>
          <w:cantSplit w:val="true"/>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CIP-1</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26° 33.5′ N</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056° 15.0′ E</w:t>
            </w:r>
          </w:p>
        </w:tc>
      </w:tr>
      <w:tr>
        <w:trPr>
          <w:cantSplit w:val="true"/>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CIP-2</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26° 31.0′ N</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056° 35.0′ E</w:t>
            </w:r>
          </w:p>
        </w:tc>
      </w:tr>
      <w:tr>
        <w:trPr>
          <w:cantSplit w:val="true"/>
        </w:trPr>
        <w:tc>
          <w:tcPr>
            <w:tcW w:w="300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CIP-3</w:t>
            </w:r>
          </w:p>
        </w:tc>
        <w:tc>
          <w:tcPr>
            <w:tcW w:w="3007"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26° 29.5′ N</w:t>
            </w:r>
          </w:p>
        </w:tc>
        <w:tc>
          <w:tcPr>
            <w:tcW w:w="3011"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056° 55.0′ E</w:t>
            </w:r>
          </w:p>
        </w:tc>
      </w:tr>
    </w:tbl>
    <w:p>
      <w:pPr>
        <w:pStyle w:val="Normal"/>
        <w:rPr/>
      </w:pPr>
      <w:r>
        <w:rPr>
          <w:rStyle w:val="DefaultParagraphFont"/>
          <w:rFonts w:eastAsia="" w:cs=""/>
          <w:color w:val="2F3B42"/>
          <w:sz w:val="22"/>
          <w:szCs w:val="24"/>
          <w:lang w:val="en-CA" w:eastAsia="en-CA" w:bidi="ar-SA"/>
        </w:rPr>
        <w:t>A.4.4 The Central International Passage extends between the two separation belts along the centerline, with its lane edges one nautical mile either side of the centerline.</w:t>
      </w:r>
    </w:p>
    <w:p>
      <w:pPr>
        <w:pStyle w:val="Heading2"/>
        <w:rPr/>
      </w:pPr>
      <w:bookmarkStart w:id="215" w:name="__RefHeading___Toc9365_4022417266"/>
      <w:bookmarkEnd w:id="215"/>
      <w:r>
        <w:rPr>
          <w:rFonts w:eastAsia="Calibri" w:cs="Calibri" w:ascii="Calibri" w:hAnsi="Calibri"/>
          <w:b/>
          <w:color w:val="1F4E5F"/>
          <w:sz w:val="22"/>
          <w:szCs w:val="24"/>
          <w:lang w:val="en-CA" w:eastAsia="en-CA" w:bidi="ar-SA"/>
        </w:rPr>
        <w:t>A.5 Precautionary Zones</w:t>
      </w:r>
    </w:p>
    <w:tbl>
      <w:tblPr>
        <w:tblStyle w:val="TableNormal"/>
        <w:tblW w:w="9026" w:type="dxa"/>
        <w:jc w:val="left"/>
        <w:tblInd w:w="0" w:type="dxa"/>
        <w:tblLayout w:type="fixed"/>
        <w:tblCellMar>
          <w:top w:w="0" w:type="dxa"/>
          <w:left w:w="108" w:type="dxa"/>
          <w:bottom w:w="0" w:type="dxa"/>
          <w:right w:w="108" w:type="dxa"/>
        </w:tblCellMar>
      </w:tblPr>
      <w:tblGrid>
        <w:gridCol w:w="2256"/>
        <w:gridCol w:w="2256"/>
        <w:gridCol w:w="2255"/>
        <w:gridCol w:w="2258"/>
      </w:tblGrid>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Zone</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Center</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Radius</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Note</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Eastern Precautionary Zone</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26° 30.0′ N 057° 10.0′ E</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6.0 NM</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Musandam headland turn; all three passages curve</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Western Precautionary Zone</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26° 33.0′ N 056° 12.0′ E</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5.0 NM</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Western entry convergence</w:t>
            </w:r>
          </w:p>
        </w:tc>
      </w:tr>
    </w:tbl>
    <w:p>
      <w:pPr>
        <w:pStyle w:val="Normal"/>
        <w:rPr/>
      </w:pPr>
      <w:r>
        <w:rPr/>
      </w:r>
    </w:p>
    <w:p>
      <w:pPr>
        <w:pStyle w:val="Heading2"/>
        <w:rPr/>
      </w:pPr>
      <w:bookmarkStart w:id="216" w:name="__RefHeading___Toc9367_4022417266"/>
      <w:bookmarkEnd w:id="216"/>
      <w:r>
        <w:rPr>
          <w:rFonts w:eastAsia="Calibri" w:cs="Calibri" w:ascii="Calibri" w:hAnsi="Calibri"/>
          <w:b/>
          <w:color w:val="1F4E5F"/>
          <w:sz w:val="22"/>
          <w:szCs w:val="24"/>
          <w:lang w:val="en-CA" w:eastAsia="en-CA" w:bidi="ar-SA"/>
        </w:rPr>
        <w:t>A.6 Holding Anchorages</w:t>
      </w:r>
    </w:p>
    <w:tbl>
      <w:tblPr>
        <w:tblStyle w:val="TableNormal"/>
        <w:tblW w:w="9026" w:type="dxa"/>
        <w:jc w:val="left"/>
        <w:tblInd w:w="0" w:type="dxa"/>
        <w:tblLayout w:type="fixed"/>
        <w:tblCellMar>
          <w:top w:w="0" w:type="dxa"/>
          <w:left w:w="108" w:type="dxa"/>
          <w:bottom w:w="0" w:type="dxa"/>
          <w:right w:w="108" w:type="dxa"/>
        </w:tblCellMar>
      </w:tblPr>
      <w:tblGrid>
        <w:gridCol w:w="2256"/>
        <w:gridCol w:w="2256"/>
        <w:gridCol w:w="2255"/>
        <w:gridCol w:w="2258"/>
      </w:tblGrid>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Anchorage</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Center</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Radius</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Depth note</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Eastern Holding Anchorage HA-1</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26° 15.0′ N 057° 05.0′ E</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3.0 NM</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40 to 60 m, sand, holding good</w:t>
            </w:r>
          </w:p>
        </w:tc>
      </w:tr>
      <w:tr>
        <w:trPr/>
        <w:tc>
          <w:tcPr>
            <w:tcW w:w="225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Western Holding Anchorage HA-2</w:t>
            </w:r>
          </w:p>
        </w:tc>
        <w:tc>
          <w:tcPr>
            <w:tcW w:w="225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26° 20.0′ N 055° 45.0′ E</w:t>
            </w:r>
          </w:p>
        </w:tc>
        <w:tc>
          <w:tcPr>
            <w:tcW w:w="225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3.0 NM</w:t>
            </w:r>
          </w:p>
        </w:tc>
        <w:tc>
          <w:tcPr>
            <w:tcW w:w="2258"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35 to 55 m, sand and shell</w:t>
            </w:r>
          </w:p>
        </w:tc>
      </w:tr>
    </w:tbl>
    <w:p>
      <w:pPr>
        <w:pStyle w:val="Normal"/>
        <w:rPr/>
      </w:pPr>
      <w:r>
        <w:rPr/>
      </w:r>
    </w:p>
    <w:p>
      <w:pPr>
        <w:pStyle w:val="Normal"/>
        <w:rPr/>
      </w:pPr>
      <w:r>
        <w:rPr>
          <w:rStyle w:val="DefaultParagraphFont"/>
          <w:rFonts w:eastAsia="" w:cs=""/>
          <w:color w:val="2F3B42"/>
          <w:sz w:val="22"/>
          <w:szCs w:val="24"/>
          <w:lang w:val="en-CA" w:eastAsia="en-CA" w:bidi="ar-SA"/>
        </w:rPr>
        <w:t>A.6.1 Anchorage allocation follows arrival order within class priority: Class H first, then Class E, then all others. The Center publishes occupancy in each Bulletin.</w:t>
      </w:r>
    </w:p>
    <w:p>
      <w:pPr>
        <w:pStyle w:val="Heading2"/>
        <w:rPr/>
      </w:pPr>
      <w:bookmarkStart w:id="217" w:name="__RefHeading___Toc9369_4022417266"/>
      <w:bookmarkEnd w:id="217"/>
      <w:r>
        <w:rPr>
          <w:rFonts w:eastAsia="Calibri" w:cs="Calibri" w:ascii="Calibri" w:hAnsi="Calibri"/>
          <w:b/>
          <w:color w:val="1F4E5F"/>
          <w:sz w:val="22"/>
          <w:szCs w:val="24"/>
          <w:lang w:val="en-CA" w:eastAsia="en-CA" w:bidi="ar-SA"/>
        </w:rPr>
        <w:t>A.7 Crossing Sectors and Class F Gates</w:t>
      </w:r>
    </w:p>
    <w:tbl>
      <w:tblPr>
        <w:tblStyle w:val="TableNormal"/>
        <w:tblW w:w="9026" w:type="dxa"/>
        <w:jc w:val="left"/>
        <w:tblInd w:w="0" w:type="dxa"/>
        <w:tblLayout w:type="fixed"/>
        <w:tblCellMar>
          <w:top w:w="0" w:type="dxa"/>
          <w:left w:w="108" w:type="dxa"/>
          <w:bottom w:w="0" w:type="dxa"/>
          <w:right w:w="108" w:type="dxa"/>
        </w:tblCellMar>
      </w:tblPr>
      <w:tblGrid>
        <w:gridCol w:w="2256"/>
        <w:gridCol w:w="2256"/>
        <w:gridCol w:w="2255"/>
        <w:gridCol w:w="2258"/>
      </w:tblGrid>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Sector</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Center</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Width</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Use</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Crossing Sector West</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26° 32.0′ N 056° 20.0′ E</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1.0 NM</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Passage-to-passage crossing</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Crossing Sector East</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26° 28.5′ N 057° 05.0′ E</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1.0 NM</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Passage-to-passage crossing</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Gate F-1</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26° 25.0′ N 056° 40.0′ E</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0.5 NM</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Class F crossing, Southern Assurance Passage</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Gate F-2</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26° 38.5′ N 056° 40.0′ E</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0.5 NM</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Class F crossing, Northern Coordination Passage</w:t>
            </w:r>
          </w:p>
        </w:tc>
      </w:tr>
    </w:tbl>
    <w:p>
      <w:pPr>
        <w:pStyle w:val="Normal"/>
        <w:rPr/>
      </w:pPr>
      <w:r>
        <w:rPr/>
      </w:r>
    </w:p>
    <w:p>
      <w:pPr>
        <w:pStyle w:val="Heading2"/>
        <w:rPr/>
      </w:pPr>
      <w:bookmarkStart w:id="218" w:name="__RefHeading___Toc9371_4022417266"/>
      <w:bookmarkEnd w:id="218"/>
      <w:r>
        <w:rPr>
          <w:rFonts w:eastAsia="Calibri" w:cs="Calibri" w:ascii="Calibri" w:hAnsi="Calibri"/>
          <w:b/>
          <w:color w:val="1F4E5F"/>
          <w:sz w:val="22"/>
          <w:szCs w:val="24"/>
          <w:lang w:val="en-CA" w:eastAsia="en-CA" w:bidi="ar-SA"/>
        </w:rPr>
        <w:t>A.8 Rendezvous Points</w:t>
      </w:r>
    </w:p>
    <w:tbl>
      <w:tblPr>
        <w:tblStyle w:val="TableNormal"/>
        <w:tblW w:w="9026" w:type="dxa"/>
        <w:jc w:val="left"/>
        <w:tblInd w:w="0" w:type="dxa"/>
        <w:tblLayout w:type="fixed"/>
        <w:tblCellMar>
          <w:top w:w="0" w:type="dxa"/>
          <w:left w:w="108" w:type="dxa"/>
          <w:bottom w:w="0" w:type="dxa"/>
          <w:right w:w="108" w:type="dxa"/>
        </w:tblCellMar>
      </w:tblPr>
      <w:tblGrid>
        <w:gridCol w:w="3008"/>
        <w:gridCol w:w="3007"/>
        <w:gridCol w:w="3011"/>
      </w:tblGrid>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Point</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Position</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Use</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PB-International</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26° 18.5′ N 057° 00.0′ E</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Observer embarkation, escort meeting, Southern Assurance approach</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PB-Regional</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26° 42.0′ N 056° 55.0′ E</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Observer embarkation, escort meeting, Northern Coordination approach</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RV-West</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26° 33.5′ N 056° 02.0′ E</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Western rendezvous for escorted groupings</w:t>
            </w:r>
          </w:p>
        </w:tc>
      </w:tr>
    </w:tbl>
    <w:p>
      <w:pPr>
        <w:pStyle w:val="Normal"/>
        <w:rPr/>
      </w:pPr>
      <w:r>
        <w:rPr/>
      </w:r>
    </w:p>
    <w:p>
      <w:pPr>
        <w:pStyle w:val="Heading2"/>
        <w:rPr/>
      </w:pPr>
      <w:bookmarkStart w:id="219" w:name="__RefHeading___Toc9373_4022417266"/>
      <w:bookmarkEnd w:id="219"/>
      <w:r>
        <w:rPr>
          <w:rFonts w:eastAsia="Calibri" w:cs="Calibri" w:ascii="Calibri" w:hAnsi="Calibri"/>
          <w:b/>
          <w:color w:val="1F4E5F"/>
          <w:sz w:val="22"/>
          <w:szCs w:val="24"/>
          <w:lang w:val="en-CA" w:eastAsia="en-CA" w:bidi="ar-SA"/>
        </w:rPr>
        <w:t>A.9 Voice Reporting Points</w:t>
      </w:r>
    </w:p>
    <w:tbl>
      <w:tblPr>
        <w:tblStyle w:val="TableNormal"/>
        <w:tblW w:w="9026" w:type="dxa"/>
        <w:jc w:val="left"/>
        <w:tblInd w:w="0" w:type="dxa"/>
        <w:tblLayout w:type="fixed"/>
        <w:tblCellMar>
          <w:top w:w="0" w:type="dxa"/>
          <w:left w:w="108" w:type="dxa"/>
          <w:bottom w:w="0" w:type="dxa"/>
          <w:right w:w="108" w:type="dxa"/>
        </w:tblCellMar>
      </w:tblPr>
      <w:tblGrid>
        <w:gridCol w:w="2256"/>
        <w:gridCol w:w="2256"/>
        <w:gridCol w:w="2255"/>
        <w:gridCol w:w="2258"/>
      </w:tblGrid>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Point</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Position</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Passage</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Classes reporting in Free Flow</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RP-1</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26° 29.0′ N 056° 05.0′ E</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Southern Assurance, entry west</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 P; E and G at entry and exit</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RP-2</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26° 26.5′ N 056° 45.0′ E</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Southern Assurance, mid</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 P; all classes in Managed Flow</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RP-3</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26° 27.5′ N 057° 22.0′ E</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Southern Assurance, exit east</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 P; E and G at entry and exit</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RP-4</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26° 40.0′ N 056° 06.0′ E</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Northern Coordination, entry west</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All registered classes</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RP-5</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26° 35.0′ N 056° 58.0′ E</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Northern Coordination, mid</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All registered classes</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RP-6</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26° 37.0′ N 057° 20.0′ E</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Northern Coordination, exit east</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All registered classes</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RP-7</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Gate F-1 and F-2</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Crossing gates</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w:t>
            </w:r>
          </w:p>
        </w:tc>
      </w:tr>
      <w:tr>
        <w:trPr>
          <w:tblHeader w:val="true"/>
          <w:cantSplit w:val="true"/>
        </w:trPr>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RP-8</w:t>
            </w:r>
          </w:p>
        </w:tc>
        <w:tc>
          <w:tcPr>
            <w:tcW w:w="225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Precautionary zone edges</w:t>
            </w:r>
          </w:p>
        </w:tc>
        <w:tc>
          <w:tcPr>
            <w:tcW w:w="225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Both</w:t>
            </w:r>
          </w:p>
        </w:tc>
        <w:tc>
          <w:tcPr>
            <w:tcW w:w="225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 and M at zone entry and exit</w:t>
            </w:r>
          </w:p>
        </w:tc>
      </w:tr>
    </w:tbl>
    <w:p>
      <w:pPr>
        <w:pStyle w:val="Normal"/>
        <w:rPr/>
      </w:pPr>
      <w:r>
        <w:rPr/>
      </w:r>
    </w:p>
    <w:p>
      <w:pPr>
        <w:pStyle w:val="Heading2"/>
        <w:rPr/>
      </w:pPr>
      <w:bookmarkStart w:id="220" w:name="__RefHeading___Toc9375_4022417266"/>
      <w:bookmarkEnd w:id="220"/>
      <w:r>
        <w:rPr>
          <w:rFonts w:eastAsia="Calibri" w:cs="Calibri" w:ascii="Calibri" w:hAnsi="Calibri"/>
          <w:b/>
          <w:color w:val="1F4E5F"/>
          <w:sz w:val="22"/>
          <w:szCs w:val="24"/>
          <w:lang w:val="en-CA" w:eastAsia="en-CA" w:bidi="ar-SA"/>
        </w:rPr>
        <w:t>A.10 Particularly Sensitive Areas</w:t>
      </w:r>
    </w:p>
    <w:p>
      <w:pPr>
        <w:pStyle w:val="Normal"/>
        <w:rPr/>
      </w:pPr>
      <w:r>
        <w:rPr>
          <w:rStyle w:val="DefaultParagraphFont"/>
          <w:rFonts w:eastAsia="" w:cs=""/>
          <w:color w:val="2F3B42"/>
          <w:sz w:val="22"/>
          <w:szCs w:val="24"/>
          <w:lang w:val="en-CA" w:eastAsia="en-CA" w:bidi="ar-SA"/>
        </w:rPr>
        <w:t>A.10.1 Participant States designate the following areas for joint submission: the coral grounds southeast of Larak Island within two nautical miles of the island's southern shore; the fishery nursery grounds inside the Musandam inshore band; and the seagrass beds inside the western approach within three nautical miles of the OA-6 sector.</w:t>
      </w:r>
    </w:p>
    <w:p>
      <w:pPr>
        <w:pStyle w:val="Normal"/>
        <w:rPr/>
      </w:pPr>
      <w:r>
        <w:rPr>
          <w:rStyle w:val="DefaultParagraphFont"/>
          <w:rFonts w:eastAsia="" w:cs=""/>
          <w:color w:val="2F3B42"/>
          <w:sz w:val="22"/>
          <w:szCs w:val="24"/>
          <w:lang w:val="en-CA" w:eastAsia="en-CA" w:bidi="ar-SA"/>
        </w:rPr>
        <w:t>A.10.2 Associated protective measures: no anchoring, discharge restrictions per the conventions in force, and a recommended speed reduction to twelve knots for Class E and X in the adjacent lane segments.</w:t>
      </w:r>
    </w:p>
    <w:p>
      <w:pPr>
        <w:pStyle w:val="heading1nb"/>
        <w:rPr/>
      </w:pPr>
      <w:bookmarkStart w:id="221" w:name="__RefHeading___Toc9377_4022417266"/>
      <w:bookmarkEnd w:id="221"/>
      <w:r>
        <w:rPr>
          <w:rFonts w:eastAsia="Calibri" w:cs="Calibri" w:ascii="Calibri" w:hAnsi="Calibri"/>
          <w:b/>
          <w:color w:val="1F4E5F"/>
          <w:sz w:val="22"/>
          <w:szCs w:val="24"/>
          <w:lang w:val="en-CA" w:eastAsia="en-CA" w:bidi="ar-SA"/>
        </w:rPr>
        <w:t>Annex B: Vessel Classification and Treatment Matrix</w:t>
      </w:r>
    </w:p>
    <w:p>
      <w:pPr>
        <w:pStyle w:val="Heading2"/>
        <w:rPr/>
      </w:pPr>
      <w:bookmarkStart w:id="222" w:name="__RefHeading___Toc9379_4022417266"/>
      <w:bookmarkEnd w:id="222"/>
      <w:r>
        <w:rPr>
          <w:rFonts w:eastAsia="Calibri" w:cs="Calibri" w:ascii="Calibri" w:hAnsi="Calibri"/>
          <w:b/>
          <w:color w:val="1F4E5F"/>
          <w:sz w:val="22"/>
          <w:szCs w:val="24"/>
          <w:lang w:val="en-CA" w:eastAsia="en-CA" w:bidi="ar-SA"/>
        </w:rPr>
        <w:t>B.1 The Matrix</w:t>
      </w:r>
    </w:p>
    <w:p>
      <w:pPr>
        <w:pStyle w:val="Normal"/>
        <w:rPr/>
      </w:pPr>
      <w:r>
        <w:rPr>
          <w:rFonts w:eastAsia="Calibri" w:cs="Calibri"/>
          <w:b/>
          <w:color w:val="1F4E5F"/>
          <w:sz w:val="22"/>
          <w:szCs w:val="24"/>
          <w:lang w:val="en-CA" w:eastAsia="en-CA" w:bidi="ar-SA"/>
        </w:rPr>
        <w:t>B.1.1 Commercial and Humanitarian Classes</w:t>
      </w:r>
    </w:p>
    <w:tbl>
      <w:tblPr>
        <w:tblStyle w:val="TableNormal"/>
        <w:tblW w:w="9026" w:type="dxa"/>
        <w:jc w:val="left"/>
        <w:tblInd w:w="0" w:type="dxa"/>
        <w:tblLayout w:type="fixed"/>
        <w:tblCellMar>
          <w:top w:w="0" w:type="dxa"/>
          <w:left w:w="108" w:type="dxa"/>
          <w:bottom w:w="0" w:type="dxa"/>
          <w:right w:w="108" w:type="dxa"/>
        </w:tblCellMar>
      </w:tblPr>
      <w:tblGrid>
        <w:gridCol w:w="1805"/>
        <w:gridCol w:w="1805"/>
        <w:gridCol w:w="1805"/>
        <w:gridCol w:w="1805"/>
        <w:gridCol w:w="1806"/>
      </w:tblGrid>
      <w:tr>
        <w:trPr>
          <w:tblHeader w:val="true"/>
          <w:cantSplit w:val="true"/>
        </w:trPr>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Class</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Purpose</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Registration and lead time</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Movement rules</w:t>
            </w:r>
          </w:p>
        </w:tc>
        <w:tc>
          <w:tcPr>
            <w:tcW w:w="180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Treatment and notes</w:t>
            </w:r>
          </w:p>
        </w:tc>
      </w:tr>
      <w:tr>
        <w:trPr>
          <w:tblHeader w:val="true"/>
          <w:cantSplit w:val="true"/>
        </w:trPr>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E</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Energy carriers</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Full 12-field; 24 h</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Priority windows after H; 2.0 NM spacing</w:t>
            </w:r>
          </w:p>
        </w:tc>
        <w:tc>
          <w:tcPr>
            <w:tcW w:w="180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Escort on election; second anchorage priority; deepest data support</w:t>
            </w:r>
          </w:p>
        </w:tc>
      </w:tr>
      <w:tr>
        <w:trPr>
          <w:tblHeader w:val="true"/>
          <w:cantSplit w:val="true"/>
        </w:trPr>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G</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General commercial cargo</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Full 12-field; 24 h</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Standard windows; 1.0 NM spacing</w:t>
            </w:r>
          </w:p>
        </w:tc>
        <w:tc>
          <w:tcPr>
            <w:tcW w:w="180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Escort on election; standard anchorage; statistical backbone</w:t>
            </w:r>
          </w:p>
        </w:tc>
      </w:tr>
      <w:tr>
        <w:trPr>
          <w:tblHeader w:val="true"/>
          <w:cantSplit w:val="true"/>
        </w:trPr>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Humanitarian and relief</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Fast-track 6-field; 6 h</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Immediate windows in every flow state</w:t>
            </w:r>
          </w:p>
        </w:tc>
        <w:tc>
          <w:tcPr>
            <w:tcW w:w="180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Priority escort and anchorage; zero service cost at point of use</w:t>
            </w:r>
          </w:p>
        </w:tc>
      </w:tr>
      <w:tr>
        <w:trPr>
          <w:tblHeader w:val="true"/>
          <w:cantSplit w:val="true"/>
        </w:trPr>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Passenger vessels</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Full 12-field; 48 h</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Schedule-matched windows; 1.0 NM spacing</w:t>
            </w:r>
          </w:p>
        </w:tc>
        <w:tc>
          <w:tcPr>
            <w:tcW w:w="180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Escort available; reports every point</w:t>
            </w:r>
          </w:p>
        </w:tc>
      </w:tr>
    </w:tbl>
    <w:p>
      <w:pPr>
        <w:pStyle w:val="Normal"/>
        <w:rPr/>
      </w:pPr>
      <w:r>
        <w:rPr>
          <w:rFonts w:eastAsia="Calibri" w:cs="Calibri"/>
          <w:b/>
          <w:color w:val="1F4E5F"/>
          <w:sz w:val="22"/>
          <w:szCs w:val="24"/>
          <w:lang w:val="en-CA" w:eastAsia="en-CA" w:bidi="ar-SA"/>
        </w:rPr>
        <w:t>B.1.2 State, Multinational, and Specialized Classes</w:t>
      </w:r>
    </w:p>
    <w:tbl>
      <w:tblPr>
        <w:tblStyle w:val="TableNormal"/>
        <w:tblW w:w="9026" w:type="dxa"/>
        <w:jc w:val="left"/>
        <w:tblInd w:w="0" w:type="dxa"/>
        <w:tblLayout w:type="fixed"/>
        <w:tblCellMar>
          <w:top w:w="0" w:type="dxa"/>
          <w:left w:w="108" w:type="dxa"/>
          <w:bottom w:w="0" w:type="dxa"/>
          <w:right w:w="108" w:type="dxa"/>
        </w:tblCellMar>
      </w:tblPr>
      <w:tblGrid>
        <w:gridCol w:w="1805"/>
        <w:gridCol w:w="1805"/>
        <w:gridCol w:w="1805"/>
        <w:gridCol w:w="1805"/>
        <w:gridCol w:w="1806"/>
      </w:tblGrid>
      <w:tr>
        <w:trPr>
          <w:tblHeader w:val="true"/>
          <w:cantSplit w:val="true"/>
        </w:trPr>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Class</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Purpose</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Registration and lead time</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Movement rules</w:t>
            </w:r>
          </w:p>
        </w:tc>
        <w:tc>
          <w:tcPr>
            <w:tcW w:w="180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Treatment and notes</w:t>
            </w:r>
          </w:p>
        </w:tc>
      </w:tr>
      <w:tr>
        <w:trPr>
          <w:tblHeader w:val="true"/>
          <w:cantSplit w:val="true"/>
        </w:trPr>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Fishing and local coastal craft</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Coastal state license</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Gate windows and crossing procedure</w:t>
            </w:r>
          </w:p>
        </w:tc>
        <w:tc>
          <w:tcPr>
            <w:tcW w:w="180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Inshore bands only; protected local user community</w:t>
            </w:r>
          </w:p>
        </w:tc>
      </w:tr>
      <w:tr>
        <w:trPr>
          <w:tblHeader w:val="true"/>
          <w:cantSplit w:val="true"/>
        </w:trPr>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State and naval vessels</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Diplomatic-military channel; 48 h</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Quiet Water Windows in zones; 2.0 NM separation from commercial traffic</w:t>
            </w:r>
          </w:p>
        </w:tc>
        <w:tc>
          <w:tcPr>
            <w:tcW w:w="180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Own forces outside passages; no exercises, launches, or stops</w:t>
            </w:r>
          </w:p>
        </w:tc>
      </w:tr>
      <w:tr>
        <w:trPr>
          <w:tblHeader w:val="true"/>
          <w:cantSplit w:val="true"/>
        </w:trPr>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Multinational vessels</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Standing accreditation initially at 72 h; streamlined registration at 24 h afterward</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Council-approved de-confliction windows; 2.0 NM separation from commercial traffic</w:t>
            </w:r>
          </w:p>
        </w:tc>
        <w:tc>
          <w:tcPr>
            <w:tcW w:w="180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Center-coordinated support for joint patrols and coalition tasks</w:t>
            </w:r>
          </w:p>
        </w:tc>
      </w:tr>
      <w:tr>
        <w:trPr>
          <w:tblHeader w:val="true"/>
          <w:cantSplit w:val="true"/>
        </w:trPr>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Research, survey, and cable vessels</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Voyage plan; 5 days</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Coordinated windows; 1.0 NM spacing</w:t>
            </w:r>
          </w:p>
        </w:tc>
        <w:tc>
          <w:tcPr>
            <w:tcW w:w="180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Shares relevant survey data with charting program</w:t>
            </w:r>
          </w:p>
        </w:tc>
      </w:tr>
      <w:tr>
        <w:trPr>
          <w:tblHeader w:val="true"/>
          <w:cantSplit w:val="true"/>
        </w:trPr>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X</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Hazardous and special cargoes</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Pre-completed 12-field plus cargo annex; 7 days</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Designated escorted windows; 5.0 NM sterile bubble</w:t>
            </w:r>
          </w:p>
        </w:tc>
        <w:tc>
          <w:tcPr>
            <w:tcW w:w="180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Included escort; designated anchorage; no charge of any kind</w:t>
            </w:r>
          </w:p>
        </w:tc>
      </w:tr>
    </w:tbl>
    <w:p>
      <w:pPr>
        <w:pStyle w:val="Heading3"/>
        <w:rPr/>
      </w:pPr>
      <w:bookmarkStart w:id="223" w:name="__RefHeading___Toc9381_4022417266"/>
      <w:bookmarkEnd w:id="223"/>
      <w:r>
        <w:rPr>
          <w:rFonts w:eastAsia="Calibri" w:cs="Calibri" w:ascii="Calibri" w:hAnsi="Calibri"/>
          <w:b/>
          <w:color w:val="1F4E5F"/>
          <w:sz w:val="22"/>
          <w:szCs w:val="24"/>
          <w:lang w:val="en-CA" w:eastAsia="en-CA" w:bidi="ar-SA"/>
        </w:rPr>
        <w:t>B.2 Lane Assignment</w:t>
      </w:r>
    </w:p>
    <w:p>
      <w:pPr>
        <w:pStyle w:val="Normal"/>
        <w:rPr/>
      </w:pPr>
      <w:r>
        <w:rPr>
          <w:rStyle w:val="DefaultParagraphFont"/>
          <w:rFonts w:eastAsia="" w:cs=""/>
          <w:color w:val="2F3B42"/>
          <w:sz w:val="22"/>
          <w:szCs w:val="24"/>
          <w:lang w:val="en-CA" w:eastAsia="en-CA" w:bidi="ar-SA"/>
        </w:rPr>
        <w:t>B.2.1 A vessel bound for a littoral port call follows the passage of that coastal state's shore: the Northern Coordination Passage for Iranian port calls, the Southern Assurance Passage for Omani and Gulf port calls, under the routing rules of Article 11.</w:t>
      </w:r>
    </w:p>
    <w:p>
      <w:pPr>
        <w:pStyle w:val="Normal"/>
        <w:rPr/>
      </w:pPr>
      <w:r>
        <w:rPr>
          <w:rStyle w:val="DefaultParagraphFont"/>
          <w:rFonts w:eastAsia="" w:cs=""/>
          <w:color w:val="2F3B42"/>
          <w:sz w:val="22"/>
          <w:szCs w:val="24"/>
          <w:lang w:val="en-CA" w:eastAsia="en-CA" w:bidi="ar-SA"/>
        </w:rPr>
        <w:t>B.2.2 A vessel without a littoral port call, and a vessel of a non-littoral state, defaults to the Central International Passage. The Network treats route choice as the master's own, always, and no default converts into assignment pressure.</w:t>
      </w:r>
    </w:p>
    <w:p>
      <w:pPr>
        <w:pStyle w:val="Normal"/>
        <w:rPr/>
      </w:pPr>
      <w:r>
        <w:rPr>
          <w:rStyle w:val="DefaultParagraphFont"/>
          <w:rFonts w:eastAsia="" w:cs=""/>
          <w:color w:val="2F3B42"/>
          <w:sz w:val="22"/>
          <w:szCs w:val="24"/>
          <w:lang w:val="en-CA" w:eastAsia="en-CA" w:bidi="ar-SA"/>
        </w:rPr>
        <w:t>B.2.3 The Open Water Bulletin publishes the day's lane assignments with the traffic image of Article 13.</w:t>
      </w:r>
    </w:p>
    <w:p>
      <w:pPr>
        <w:pStyle w:val="Normal"/>
        <w:rPr/>
      </w:pPr>
      <w:r>
        <w:rPr>
          <w:rFonts w:eastAsia="Calibri" w:cs="Calibri"/>
          <w:b/>
          <w:color w:val="1F4E5F"/>
          <w:sz w:val="22"/>
          <w:szCs w:val="24"/>
          <w:lang w:val="en-CA" w:eastAsia="en-CA" w:bidi="ar-SA"/>
        </w:rPr>
        <w:t>B.3 Treatment Rules</w:t>
      </w:r>
    </w:p>
    <w:p>
      <w:pPr>
        <w:pStyle w:val="Normal"/>
        <w:rPr/>
      </w:pPr>
      <w:r>
        <w:rPr>
          <w:rStyle w:val="DefaultParagraphFont"/>
          <w:rFonts w:eastAsia="" w:cs=""/>
          <w:color w:val="2F3B42"/>
          <w:sz w:val="22"/>
          <w:szCs w:val="24"/>
          <w:lang w:val="en-CA" w:eastAsia="en-CA" w:bidi="ar-SA"/>
        </w:rPr>
        <w:t>B.3.1 Window priority order in Managed Flow: Class H, then Class E, then Class P, then Class G, then Classes R, M, and others. Class X moves in its designated windows regardless of order.</w:t>
      </w:r>
    </w:p>
    <w:p>
      <w:pPr>
        <w:pStyle w:val="Normal"/>
        <w:rPr/>
      </w:pPr>
      <w:r>
        <w:rPr>
          <w:rStyle w:val="DefaultParagraphFont"/>
          <w:rFonts w:eastAsia="" w:cs=""/>
          <w:color w:val="2F3B42"/>
          <w:sz w:val="22"/>
          <w:szCs w:val="24"/>
          <w:lang w:val="en-CA" w:eastAsia="en-CA" w:bidi="ar-SA"/>
        </w:rPr>
        <w:t>B.3.2 Escort provision: the Center coordinates escort by Network-contracted civilian escort craft for electing classes; escort never implies inspection, and the escorted master keeps full command.</w:t>
      </w:r>
    </w:p>
    <w:p>
      <w:pPr>
        <w:pStyle w:val="Normal"/>
        <w:rPr/>
      </w:pPr>
      <w:r>
        <w:rPr>
          <w:rStyle w:val="DefaultParagraphFont"/>
          <w:rFonts w:eastAsia="" w:cs=""/>
          <w:color w:val="2F3B42"/>
          <w:sz w:val="22"/>
          <w:szCs w:val="24"/>
          <w:lang w:val="en-CA" w:eastAsia="en-CA" w:bidi="ar-SA"/>
        </w:rPr>
        <w:t>B.3.3 A vessel failing to declare its class correctly receives a Category One correction on first occurrence; deliberate misdeclaration to evade Class X procedures enters Category Three as a structural safety breach.</w:t>
      </w:r>
    </w:p>
    <w:p>
      <w:pPr>
        <w:pStyle w:val="Heading2"/>
        <w:rPr/>
      </w:pPr>
      <w:bookmarkStart w:id="224" w:name="__RefHeading___Toc9383_4022417266"/>
      <w:bookmarkEnd w:id="224"/>
      <w:r>
        <w:rPr>
          <w:rFonts w:eastAsia="Calibri" w:cs="Calibri" w:ascii="Calibri" w:hAnsi="Calibri"/>
          <w:b/>
          <w:color w:val="1F4E5F"/>
          <w:sz w:val="22"/>
          <w:szCs w:val="24"/>
          <w:lang w:val="en-CA" w:eastAsia="en-CA" w:bidi="ar-SA"/>
        </w:rPr>
        <w:t>B.4 Class S and Class M Protocol Details</w:t>
      </w:r>
    </w:p>
    <w:p>
      <w:pPr>
        <w:pStyle w:val="Normal"/>
        <w:rPr/>
      </w:pPr>
      <w:r>
        <w:rPr>
          <w:rStyle w:val="DefaultParagraphFont"/>
          <w:rFonts w:eastAsia="" w:cs=""/>
          <w:color w:val="2F3B42"/>
          <w:sz w:val="22"/>
          <w:szCs w:val="24"/>
          <w:lang w:val="en-CA" w:eastAsia="en-CA" w:bidi="ar-SA"/>
        </w:rPr>
        <w:t>B.4.1 Class S notification travels the diplomatic-military channel and reaches the Center through the liaison officers of Article 16.5.2. The notification states: vessel type, displacement band, transit window, lane, and speed band. It never states weapons fit or mission.</w:t>
      </w:r>
    </w:p>
    <w:p>
      <w:pPr>
        <w:pStyle w:val="Normal"/>
        <w:rPr/>
      </w:pPr>
      <w:r>
        <w:rPr>
          <w:rStyle w:val="DefaultParagraphFont"/>
          <w:rFonts w:eastAsia="" w:cs=""/>
          <w:color w:val="2F3B42"/>
          <w:sz w:val="22"/>
          <w:szCs w:val="24"/>
          <w:lang w:val="en-CA" w:eastAsia="en-CA" w:bidi="ar-SA"/>
        </w:rPr>
        <w:t>B.4.2 Class S craft observe a two nautical mile separation from commercial traffic, cross the precautionary zones inside Quiet Water Windows, and proceed without maneuvers, launches, or stops.</w:t>
      </w:r>
    </w:p>
    <w:p>
      <w:pPr>
        <w:pStyle w:val="Normal"/>
        <w:rPr/>
      </w:pPr>
      <w:r>
        <w:rPr>
          <w:rStyle w:val="DefaultParagraphFont"/>
          <w:rFonts w:eastAsia="" w:cs=""/>
          <w:color w:val="2F3B42"/>
          <w:sz w:val="22"/>
          <w:szCs w:val="24"/>
          <w:lang w:val="en-CA" w:eastAsia="en-CA" w:bidi="ar-SA"/>
        </w:rPr>
        <w:t>B.4.3 Third-state Class S craft concluding the liaison instrument of Article 36.3.2 follow the identical protocol.</w:t>
      </w:r>
    </w:p>
    <w:p>
      <w:pPr>
        <w:pStyle w:val="Normal"/>
        <w:rPr/>
      </w:pPr>
      <w:r>
        <w:rPr>
          <w:rStyle w:val="DefaultParagraphFont"/>
          <w:rFonts w:eastAsia="" w:cs=""/>
          <w:color w:val="2F3B42"/>
          <w:sz w:val="22"/>
          <w:szCs w:val="24"/>
          <w:lang w:val="en-CA" w:eastAsia="en-CA" w:bidi="ar-SA"/>
        </w:rPr>
        <w:t>B.4.4 Class M craft file an initial standing accreditation seventy-two hours ahead, follow streamlined registration twenty-four hours ahead on subsequent transits, observe the same separation and Quiet Water rules as Class S, and operate under a Council-approved de-confliction calendar.</w:t>
      </w:r>
    </w:p>
    <w:p>
      <w:pPr>
        <w:pStyle w:val="heading1nb"/>
        <w:rPr/>
      </w:pPr>
      <w:bookmarkStart w:id="225" w:name="__RefHeading___Toc9385_4022417266"/>
      <w:bookmarkEnd w:id="225"/>
      <w:r>
        <w:rPr>
          <w:rFonts w:eastAsia="Calibri" w:cs="Calibri" w:ascii="Calibri" w:hAnsi="Calibri"/>
          <w:b/>
          <w:color w:val="1F4E5F"/>
          <w:sz w:val="22"/>
          <w:szCs w:val="24"/>
          <w:lang w:val="en-CA" w:eastAsia="en-CA" w:bidi="ar-SA"/>
        </w:rPr>
        <w:t>Annex C: The Verified Services Catalog and Rate Schedule</w:t>
      </w:r>
    </w:p>
    <w:p>
      <w:pPr>
        <w:pStyle w:val="Heading2"/>
        <w:rPr/>
      </w:pPr>
      <w:bookmarkStart w:id="226" w:name="__RefHeading___Toc9387_4022417266"/>
      <w:bookmarkEnd w:id="226"/>
      <w:r>
        <w:rPr>
          <w:rFonts w:eastAsia="Calibri" w:cs="Calibri" w:ascii="Calibri" w:hAnsi="Calibri"/>
          <w:b/>
          <w:color w:val="1F4E5F"/>
          <w:sz w:val="22"/>
          <w:szCs w:val="24"/>
          <w:lang w:val="en-CA" w:eastAsia="en-CA" w:bidi="ar-SA"/>
        </w:rPr>
        <w:t>C.1 Catalog Structure</w:t>
      </w:r>
    </w:p>
    <w:p>
      <w:pPr>
        <w:pStyle w:val="Normal"/>
        <w:rPr/>
      </w:pPr>
      <w:r>
        <w:rPr>
          <w:rStyle w:val="DefaultParagraphFont"/>
          <w:rFonts w:eastAsia="" w:cs=""/>
          <w:color w:val="2F3B42"/>
          <w:sz w:val="22"/>
          <w:szCs w:val="24"/>
          <w:lang w:val="en-CA" w:eastAsia="en-CA" w:bidi="ar-SA"/>
        </w:rPr>
        <w:t>C.1.1 Each service entry states: definition, unit, evidence standard, rate band, and the benchmark source. Rates sit at civilian maritime benchmarks, audited annually against comparable straits.</w:t>
      </w:r>
    </w:p>
    <w:p>
      <w:pPr>
        <w:pStyle w:val="Heading2"/>
        <w:rPr/>
      </w:pPr>
      <w:bookmarkStart w:id="227" w:name="__RefHeading___Toc9389_4022417266"/>
      <w:bookmarkEnd w:id="227"/>
      <w:r>
        <w:rPr>
          <w:rFonts w:eastAsia="Calibri" w:cs="Calibri" w:ascii="Calibri" w:hAnsi="Calibri"/>
          <w:b/>
          <w:color w:val="1F4E5F"/>
          <w:sz w:val="22"/>
          <w:szCs w:val="24"/>
          <w:lang w:val="en-CA" w:eastAsia="en-CA" w:bidi="ar-SA"/>
        </w:rPr>
        <w:t>C.2 Service Families and Rates (Table C-1)</w:t>
      </w:r>
    </w:p>
    <w:tbl>
      <w:tblPr>
        <w:tblStyle w:val="TableNormal"/>
        <w:tblW w:w="9026" w:type="dxa"/>
        <w:jc w:val="left"/>
        <w:tblInd w:w="0" w:type="dxa"/>
        <w:tblLayout w:type="fixed"/>
        <w:tblCellMar>
          <w:top w:w="0" w:type="dxa"/>
          <w:left w:w="108" w:type="dxa"/>
          <w:bottom w:w="0" w:type="dxa"/>
          <w:right w:w="108" w:type="dxa"/>
        </w:tblCellMar>
      </w:tblPr>
      <w:tblGrid>
        <w:gridCol w:w="1805"/>
        <w:gridCol w:w="1805"/>
        <w:gridCol w:w="1805"/>
        <w:gridCol w:w="1805"/>
        <w:gridCol w:w="1806"/>
      </w:tblGrid>
      <w:tr>
        <w:trPr>
          <w:tblHeader w:val="true"/>
          <w:cantSplit w:val="true"/>
        </w:trPr>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Code</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Service</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Unit</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Evidence standard</w:t>
            </w:r>
          </w:p>
        </w:tc>
        <w:tc>
          <w:tcPr>
            <w:tcW w:w="180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Rate band (USD)</w:t>
            </w:r>
          </w:p>
        </w:tc>
      </w:tr>
      <w:tr>
        <w:trPr/>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S-01</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Traffic management, per lane-day</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Lane-day</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Watch logs, voice records</w:t>
            </w:r>
          </w:p>
        </w:tc>
        <w:tc>
          <w:tcPr>
            <w:tcW w:w="180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14,000 to 18,000</w:t>
            </w:r>
          </w:p>
        </w:tc>
      </w:tr>
      <w:tr>
        <w:trPr/>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S-02</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Registration desk operation</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Day</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Desk logs, issuance statistics</w:t>
            </w:r>
          </w:p>
        </w:tc>
        <w:tc>
          <w:tcPr>
            <w:tcW w:w="180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9,000 to 12,000</w:t>
            </w:r>
          </w:p>
        </w:tc>
      </w:tr>
      <w:tr>
        <w:trPr/>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S-03</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Hazard survey and buoy maintenance</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Survey-cycle</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Survey report, buoy log</w:t>
            </w:r>
          </w:p>
        </w:tc>
        <w:tc>
          <w:tcPr>
            <w:tcW w:w="180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220,000 to 300,000 per cycle</w:t>
            </w:r>
          </w:p>
        </w:tc>
      </w:tr>
      <w:tr>
        <w:trPr/>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S-04</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Hydrographic survey and charting</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Survey-day</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Sounding records, chart update</w:t>
            </w:r>
          </w:p>
        </w:tc>
        <w:tc>
          <w:tcPr>
            <w:tcW w:w="180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45,000 to 60,000</w:t>
            </w:r>
          </w:p>
        </w:tc>
      </w:tr>
      <w:tr>
        <w:trPr/>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S-05</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Search and rescue readiness</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Roster-day</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Roster, drill scores</w:t>
            </w:r>
          </w:p>
        </w:tc>
        <w:tc>
          <w:tcPr>
            <w:tcW w:w="180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28,000 to 36,000</w:t>
            </w:r>
          </w:p>
        </w:tc>
      </w:tr>
      <w:tr>
        <w:trPr/>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S-06</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Pollution response readiness</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Stock-month</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Stock inventory, equipment log</w:t>
            </w:r>
          </w:p>
        </w:tc>
        <w:tc>
          <w:tcPr>
            <w:tcW w:w="180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180,000 to 240,000</w:t>
            </w:r>
          </w:p>
        </w:tc>
      </w:tr>
      <w:tr>
        <w:trPr/>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S-07</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Escort coordination</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Escorted transit</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Escort board record</w:t>
            </w:r>
          </w:p>
        </w:tc>
        <w:tc>
          <w:tcPr>
            <w:tcW w:w="180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6,500 to 9,500</w:t>
            </w:r>
          </w:p>
        </w:tc>
      </w:tr>
      <w:tr>
        <w:trPr/>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S-08</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Observer program support</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Observer-day</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Embarkation log, reports</w:t>
            </w:r>
          </w:p>
        </w:tc>
        <w:tc>
          <w:tcPr>
            <w:tcW w:w="180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3,200 to 4,000</w:t>
            </w:r>
          </w:p>
        </w:tc>
      </w:tr>
      <w:tr>
        <w:trPr/>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S-09</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Bulletin and data services</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Day</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Publication record</w:t>
            </w:r>
          </w:p>
        </w:tc>
        <w:tc>
          <w:tcPr>
            <w:tcW w:w="180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7,500 to 10,000</w:t>
            </w:r>
          </w:p>
        </w:tc>
      </w:tr>
      <w:tr>
        <w:trPr/>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S-10</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Administration</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Quarter</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Audited accounts</w:t>
            </w:r>
          </w:p>
        </w:tc>
        <w:tc>
          <w:tcPr>
            <w:tcW w:w="1806"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Fixed, 6 percent of envelope</w:t>
            </w:r>
          </w:p>
        </w:tc>
      </w:tr>
    </w:tbl>
    <w:p>
      <w:pPr>
        <w:pStyle w:val="Normal"/>
        <w:rPr/>
      </w:pPr>
      <w:r>
        <w:rPr/>
      </w:r>
    </w:p>
    <w:p>
      <w:pPr>
        <w:pStyle w:val="Heading2"/>
        <w:rPr/>
      </w:pPr>
      <w:bookmarkStart w:id="228" w:name="__RefHeading___Toc9391_4022417266"/>
      <w:bookmarkEnd w:id="228"/>
      <w:r>
        <w:rPr>
          <w:rFonts w:eastAsia="Calibri" w:cs="Calibri" w:ascii="Calibri" w:hAnsi="Calibri"/>
          <w:b/>
          <w:color w:val="1F4E5F"/>
          <w:sz w:val="22"/>
          <w:szCs w:val="24"/>
          <w:lang w:val="en-CA" w:eastAsia="en-CA" w:bidi="ar-SA"/>
        </w:rPr>
        <w:t>C.3 Evidence Rules</w:t>
      </w:r>
    </w:p>
    <w:p>
      <w:pPr>
        <w:pStyle w:val="Normal"/>
        <w:rPr/>
      </w:pPr>
      <w:r>
        <w:rPr>
          <w:rStyle w:val="DefaultParagraphFont"/>
          <w:rFonts w:eastAsia="" w:cs=""/>
          <w:color w:val="2F3B42"/>
          <w:sz w:val="22"/>
          <w:szCs w:val="24"/>
          <w:lang w:val="en-CA" w:eastAsia="en-CA" w:bidi="ar-SA"/>
        </w:rPr>
        <w:t>C.3.1 An invoice without its evidence pack returns unpaid within five working days, with the gap identified.</w:t>
      </w:r>
    </w:p>
    <w:p>
      <w:pPr>
        <w:pStyle w:val="Normal"/>
        <w:rPr/>
      </w:pPr>
      <w:r>
        <w:rPr>
          <w:rStyle w:val="DefaultParagraphFont"/>
          <w:rFonts w:eastAsia="" w:cs=""/>
          <w:color w:val="2F3B42"/>
          <w:sz w:val="22"/>
          <w:szCs w:val="24"/>
          <w:lang w:val="en-CA" w:eastAsia="en-CA" w:bidi="ar-SA"/>
        </w:rPr>
        <w:t>C.3.2 The auditor samples twenty percent of each family quarterly and one hundred percent of any family where a discrepancy appears.</w:t>
      </w:r>
    </w:p>
    <w:p>
      <w:pPr>
        <w:pStyle w:val="Normal"/>
        <w:rPr/>
      </w:pPr>
      <w:r>
        <w:rPr>
          <w:rStyle w:val="DefaultParagraphFont"/>
          <w:rFonts w:eastAsia="" w:cs=""/>
          <w:color w:val="2F3B42"/>
          <w:sz w:val="22"/>
          <w:szCs w:val="24"/>
          <w:lang w:val="en-CA" w:eastAsia="en-CA" w:bidi="ar-SA"/>
        </w:rPr>
        <w:t>C.3.3 A service delivered below standard reimburses pro rata against the drill or performance score, per the deduction schedule of Table C-2.</w:t>
      </w:r>
    </w:p>
    <w:p>
      <w:pPr>
        <w:pStyle w:val="Heading2"/>
        <w:rPr/>
      </w:pPr>
      <w:bookmarkStart w:id="229" w:name="__RefHeading___Toc9393_4022417266"/>
      <w:bookmarkEnd w:id="229"/>
      <w:r>
        <w:rPr>
          <w:rFonts w:eastAsia="Calibri" w:cs="Calibri" w:ascii="Calibri" w:hAnsi="Calibri"/>
          <w:b/>
          <w:color w:val="1F4E5F"/>
          <w:sz w:val="22"/>
          <w:szCs w:val="24"/>
          <w:lang w:val="en-CA" w:eastAsia="en-CA" w:bidi="ar-SA"/>
        </w:rPr>
        <w:t>C.4 Deduction Schedule (Table C-2)</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Performance against standard</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Reimbursement</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Meets or exceeds</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100 percent</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Within 10 percent below</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90 percent</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10 to 25 percent below</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70 percent</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More than 25 percent below</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40 percent and a Category Two entry</w:t>
            </w:r>
          </w:p>
        </w:tc>
      </w:tr>
    </w:tbl>
    <w:p>
      <w:pPr>
        <w:pStyle w:val="Normal"/>
        <w:rPr/>
      </w:pPr>
      <w:r>
        <w:rPr/>
      </w:r>
    </w:p>
    <w:p>
      <w:pPr>
        <w:pStyle w:val="Normal"/>
        <w:rPr/>
      </w:pPr>
      <w:r>
        <w:rPr>
          <w:rFonts w:eastAsia="Calibri" w:cs="Calibri"/>
          <w:b/>
          <w:color w:val="1F4E5F"/>
          <w:sz w:val="22"/>
          <w:szCs w:val="24"/>
          <w:lang w:val="en-CA" w:eastAsia="en-CA" w:bidi="ar-SA"/>
        </w:rPr>
        <w:t>C.4.1 Deductions flow back into the envelope for reallocation, never into any Participant State's general account.</w:t>
      </w:r>
    </w:p>
    <w:p>
      <w:pPr>
        <w:pStyle w:val="Heading2"/>
        <w:rPr/>
      </w:pPr>
      <w:bookmarkStart w:id="230" w:name="__RefHeading___Toc9395_4022417266"/>
      <w:bookmarkEnd w:id="230"/>
      <w:r>
        <w:rPr>
          <w:rFonts w:eastAsia="Cambria" w:cs="Cambria"/>
          <w:b/>
          <w:color w:val="1F4E5F"/>
          <w:sz w:val="26"/>
          <w:szCs w:val="24"/>
          <w:lang w:val="en-CA" w:eastAsia="en-CA" w:bidi="ar-SA"/>
        </w:rPr>
        <w:t>C.5 Registry Contribution Schedule (Table C-9)</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Vessel class and band</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Annual contribution (USD)</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Class E, above 200,000 DWT</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28,500</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Class E, 50,000 to 200,000 DWT</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21,000</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Class E, below 50,000 DWT</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12,500</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Class G, above 60,000 DWT</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18,000</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Class G, below 60,000 DWT</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9,500</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Class P</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7,500</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Class H</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Nil, listing automatic on consignment recognition</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Class M</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Nil, standing accreditation through the Council</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Class R</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5,000</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Class X</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Nil, registration mandatory and free</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Small coastal traders below 5,000 DWT</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500</w:t>
            </w:r>
          </w:p>
        </w:tc>
      </w:tr>
    </w:tbl>
    <w:p>
      <w:pPr>
        <w:pStyle w:val="Normal"/>
        <w:rPr/>
      </w:pPr>
      <w:r>
        <w:rPr/>
      </w:r>
    </w:p>
    <w:p>
      <w:pPr>
        <w:pStyle w:val="Normal"/>
        <w:rPr/>
      </w:pPr>
      <w:r>
        <w:rPr>
          <w:rFonts w:eastAsia="Calibri" w:cs="Calibri"/>
          <w:b/>
          <w:color w:val="1F4E5F"/>
          <w:sz w:val="22"/>
          <w:szCs w:val="24"/>
          <w:lang w:val="en-CA" w:eastAsia="en-CA" w:bidi="ar-SA"/>
        </w:rPr>
        <w:t>C.5.1 Contributions cover unlimited transits for twelve months and all Registry services.</w:t>
      </w:r>
    </w:p>
    <w:p>
      <w:pPr>
        <w:pStyle w:val="Heading2"/>
        <w:rPr/>
      </w:pPr>
      <w:bookmarkStart w:id="231" w:name="__RefHeading___Toc9397_4022417266"/>
      <w:bookmarkEnd w:id="231"/>
      <w:r>
        <w:rPr>
          <w:rFonts w:eastAsia="Cambria" w:cs="Cambria"/>
          <w:b/>
          <w:color w:val="1F4E5F"/>
          <w:sz w:val="26"/>
          <w:szCs w:val="24"/>
          <w:lang w:val="en-CA" w:eastAsia="en-CA" w:bidi="ar-SA"/>
        </w:rPr>
        <w:t>C.6 Data Service Subscription Bands (Table C-10)</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Subscriber type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Annual subscription (USD)</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Protection and indemnity club</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2,400,000</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War-risk underwriter</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1,800,000</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Hull insurer</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900,000</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Charterer or energy desk</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300,000</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Port authority</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120,000</w:t>
            </w:r>
          </w:p>
        </w:tc>
      </w:tr>
    </w:tbl>
    <w:p>
      <w:pPr>
        <w:pStyle w:val="Normal"/>
        <w:rPr/>
      </w:pPr>
      <w:r>
        <w:rPr>
          <w:rFonts w:eastAsia="Cambria" w:cs="Cambria" w:ascii="Cambria" w:hAnsi="Cambria"/>
          <w:b/>
          <w:color w:val="1F4E5F"/>
          <w:sz w:val="26"/>
          <w:szCs w:val="24"/>
          <w:lang w:val="en-CA" w:eastAsia="en-CA" w:bidi="ar-SA"/>
        </w:rPr>
        <w:t>C.7 Flag, Transit User, and Industry Scales (Table C-11)</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Contributor</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Suggested annual contribution</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Flag state, fleet above 50 million GT</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5,000,000</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Flag state, fleet 10 to 50 million GT</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2,000,000</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Flag state, fleet below 10 million GT</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500,000</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Industry association</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1,000,000</w:t>
            </w:r>
          </w:p>
        </w:tc>
      </w:tr>
    </w:tbl>
    <w:p>
      <w:pPr>
        <w:pStyle w:val="Normal"/>
        <w:rPr/>
      </w:pPr>
      <w:r>
        <w:rPr/>
      </w:r>
    </w:p>
    <w:p>
      <w:pPr>
        <w:pStyle w:val="Heading2"/>
        <w:rPr/>
      </w:pPr>
      <w:bookmarkStart w:id="232" w:name="__RefHeading___Toc9399_4022417266"/>
      <w:bookmarkEnd w:id="232"/>
      <w:r>
        <w:rPr>
          <w:rFonts w:eastAsia="Cambria" w:cs="Cambria"/>
          <w:b/>
          <w:color w:val="1F4E5F"/>
          <w:sz w:val="26"/>
          <w:szCs w:val="24"/>
          <w:lang w:val="en-CA" w:eastAsia="en-CA" w:bidi="ar-SA"/>
        </w:rPr>
        <w:t>C.8 Port Processing Add-On (Table C-12)</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Call type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Add-on (USD)</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Gulf-transiting laden tanker call</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4,500</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Gulf-transiting other cargo call</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2,200</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Non-transiting call</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Nil</w:t>
            </w:r>
          </w:p>
        </w:tc>
      </w:tr>
    </w:tbl>
    <w:p>
      <w:pPr>
        <w:pStyle w:val="Heading3"/>
        <w:rPr/>
      </w:pPr>
      <w:bookmarkStart w:id="233" w:name="__RefHeading___Toc9401_4022417266"/>
      <w:bookmarkEnd w:id="233"/>
      <w:r>
        <w:rPr>
          <w:rFonts w:eastAsia="Calibri" w:cs="Calibri" w:ascii="Calibri" w:hAnsi="Calibri"/>
          <w:b/>
          <w:color w:val="1F4E5F"/>
          <w:sz w:val="22"/>
          <w:szCs w:val="24"/>
          <w:lang w:val="en-CA" w:eastAsia="en-CA" w:bidi="ar-SA"/>
        </w:rPr>
        <w:t>C.9 Strategic Partner Contribution Scale (Table C-13)</w:t>
      </w:r>
    </w:p>
    <w:p>
      <w:pPr>
        <w:pStyle w:val="Normal"/>
        <w:rPr/>
      </w:pPr>
      <w:r>
        <w:rPr>
          <w:rStyle w:val="DefaultParagraphFont"/>
          <w:rFonts w:eastAsia="" w:cs=""/>
          <w:color w:val="2F3B42"/>
          <w:sz w:val="22"/>
          <w:szCs w:val="24"/>
          <w:lang w:val="en-CA" w:eastAsia="en-CA" w:bidi="ar-SA"/>
        </w:rPr>
        <w:t>C.9.1 Category II Strategic Partners use the following annual scale, with the Council applying the scale against imports, tonnage, and security presence.</w:t>
      </w:r>
    </w:p>
    <w:tbl>
      <w:tblPr>
        <w:tblStyle w:val="TableNormal"/>
        <w:tblW w:w="9026" w:type="dxa"/>
        <w:jc w:val="left"/>
        <w:tblInd w:w="0" w:type="dxa"/>
        <w:tblLayout w:type="fixed"/>
        <w:tblCellMar>
          <w:top w:w="0" w:type="dxa"/>
          <w:left w:w="108" w:type="dxa"/>
          <w:bottom w:w="0" w:type="dxa"/>
          <w:right w:w="108" w:type="dxa"/>
        </w:tblCellMar>
      </w:tblPr>
      <w:tblGrid>
        <w:gridCol w:w="3008"/>
        <w:gridCol w:w="3007"/>
        <w:gridCol w:w="3011"/>
      </w:tblGrid>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Contributor type</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Basis of contribution</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Suggested annual contribution (USD)</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State with above 500 million barrels per year of Gulf oil imports</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Imports</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15,000,000</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State with 100 to 500 million barrels per year imports</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Imports</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7,500,000</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State with below 100 million barrels per year imports or significant security presence</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Regional interest</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3,000,000</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State with no imports but significant naval presence</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Security presence</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5,000,000</w:t>
            </w:r>
          </w:p>
        </w:tc>
      </w:tr>
    </w:tbl>
    <w:p>
      <w:pPr>
        <w:pStyle w:val="Heading3"/>
        <w:rPr/>
      </w:pPr>
      <w:bookmarkStart w:id="234" w:name="__RefHeading___Toc9403_4022417266"/>
      <w:bookmarkEnd w:id="234"/>
      <w:r>
        <w:rPr>
          <w:rFonts w:eastAsia="Calibri" w:cs="Calibri" w:ascii="Calibri" w:hAnsi="Calibri"/>
          <w:b/>
          <w:color w:val="1F4E5F"/>
          <w:sz w:val="22"/>
          <w:szCs w:val="24"/>
          <w:lang w:val="en-CA" w:eastAsia="en-CA" w:bidi="ar-SA"/>
        </w:rPr>
        <w:t>C.10 Observer State Contribution Scale (Table C-14)</w:t>
      </w:r>
    </w:p>
    <w:p>
      <w:pPr>
        <w:pStyle w:val="Normal"/>
        <w:rPr/>
      </w:pPr>
      <w:r>
        <w:rPr>
          <w:rStyle w:val="DefaultParagraphFont"/>
          <w:rFonts w:eastAsia="" w:cs=""/>
          <w:color w:val="2F3B42"/>
          <w:sz w:val="22"/>
          <w:szCs w:val="24"/>
          <w:lang w:val="en-CA" w:eastAsia="en-CA" w:bidi="ar-SA"/>
        </w:rPr>
        <w:t>C.10.1 Category III Observer States use the following voluntary annual scale, with technical assistance accepted in lieu for developing states.</w:t>
      </w:r>
    </w:p>
    <w:tbl>
      <w:tblPr>
        <w:tblStyle w:val="TableNormal"/>
        <w:tblW w:w="9026" w:type="dxa"/>
        <w:jc w:val="left"/>
        <w:tblInd w:w="0" w:type="dxa"/>
        <w:tblLayout w:type="fixed"/>
        <w:tblCellMar>
          <w:top w:w="0" w:type="dxa"/>
          <w:left w:w="108" w:type="dxa"/>
          <w:bottom w:w="0" w:type="dxa"/>
          <w:right w:w="108" w:type="dxa"/>
        </w:tblCellMar>
      </w:tblPr>
      <w:tblGrid>
        <w:gridCol w:w="3008"/>
        <w:gridCol w:w="3007"/>
        <w:gridCol w:w="3011"/>
      </w:tblGrid>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Contributor type</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Basis of contribution</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Suggested annual contribution (USD)</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State with significant flagged fleet in Gulf trades</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Flag tonnage</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500,000 to 2,000,000</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State with regional interest</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Goodwill</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100,000 to 500,000</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Developing state</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Technical assistance in lieu</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Variable, assessed annually</w:t>
            </w:r>
          </w:p>
        </w:tc>
      </w:tr>
    </w:tbl>
    <w:p>
      <w:pPr>
        <w:pStyle w:val="Heading3"/>
        <w:rPr/>
      </w:pPr>
      <w:bookmarkStart w:id="235" w:name="__RefHeading___Toc9405_4022417266"/>
      <w:bookmarkEnd w:id="235"/>
      <w:r>
        <w:rPr>
          <w:rFonts w:eastAsia="Calibri" w:cs="Calibri" w:ascii="Calibri" w:hAnsi="Calibri"/>
          <w:b/>
          <w:color w:val="1F4E5F"/>
          <w:sz w:val="22"/>
          <w:szCs w:val="24"/>
          <w:lang w:val="en-CA" w:eastAsia="en-CA" w:bidi="ar-SA"/>
        </w:rPr>
        <w:t>C.11 Voluntary Service Contributions</w:t>
      </w:r>
    </w:p>
    <w:p>
      <w:pPr>
        <w:pStyle w:val="Normal"/>
        <w:rPr/>
      </w:pPr>
      <w:r>
        <w:rPr>
          <w:rStyle w:val="DefaultParagraphFont"/>
          <w:rFonts w:eastAsia="" w:cs=""/>
          <w:color w:val="2F3B42"/>
          <w:sz w:val="22"/>
          <w:szCs w:val="24"/>
          <w:lang w:val="en-CA" w:eastAsia="en-CA" w:bidi="ar-SA"/>
        </w:rPr>
        <w:t>C.11.1 The voluntary service contribution operates under Article 23.5 and the Malacca model: contributions fund navigation safety, environmental protection, and search and rescue along all three passages, remain optional for every vessel and state, and never condition passage. The Registry issues a contribution certificate to each contributor, the Ledger records receipts against the three service pillars, and the quarterly audit verifies that no contribution carries the character of a transit charge.</w:t>
      </w:r>
    </w:p>
    <w:p>
      <w:pPr>
        <w:pStyle w:val="Normal"/>
        <w:rPr/>
      </w:pPr>
      <w:r>
        <w:rPr>
          <w:rStyle w:val="DefaultParagraphFont"/>
          <w:rFonts w:eastAsia="" w:cs=""/>
          <w:color w:val="2F3B42"/>
          <w:sz w:val="22"/>
          <w:szCs w:val="24"/>
          <w:lang w:val="en-CA" w:eastAsia="en-CA" w:bidi="ar-SA"/>
        </w:rPr>
        <w:t>C.11.2 The Voluntary Service Contribution row runs as follows (Table C-15):</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trPr>
        <w:tc>
          <w:tcPr>
            <w:tcW w:w="4513" w:type="dxa"/>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Contributor</w:t>
            </w:r>
          </w:p>
        </w:tc>
        <w:tc>
          <w:tcPr>
            <w:tcW w:w="4512" w:type="dxa"/>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Basis</w:t>
            </w:r>
          </w:p>
        </w:tc>
      </w:tr>
      <w:tr>
        <w:trPr/>
        <w:tc>
          <w:tcPr>
            <w:tcW w:w="4513" w:type="dxa"/>
            <w:tcBorders/>
          </w:tcPr>
          <w:p>
            <w:pPr>
              <w:pStyle w:val="Normal"/>
              <w:suppressAutoHyphens w:val="true"/>
              <w:spacing w:before="0" w:after="110"/>
              <w:rPr>
                <w:sz w:val="24"/>
              </w:rPr>
            </w:pPr>
            <w:r>
              <w:rPr>
                <w:rFonts w:eastAsia="Calibri" w:cs="Calibri"/>
                <w:b/>
                <w:color w:val="2F3B42"/>
                <w:sz w:val="22"/>
                <w:szCs w:val="24"/>
                <w:lang w:val="en-CA" w:eastAsia="en-CA" w:bidi="ar-SA"/>
              </w:rPr>
              <w:t>Voluntary Service Contributions</w:t>
            </w:r>
          </w:p>
        </w:tc>
        <w:tc>
          <w:tcPr>
            <w:tcW w:w="4512" w:type="dxa"/>
            <w:tcBorders/>
          </w:tcPr>
          <w:p>
            <w:pPr>
              <w:pStyle w:val="Normal"/>
              <w:suppressAutoHyphens w:val="true"/>
              <w:spacing w:before="0" w:after="110"/>
              <w:rPr>
                <w:sz w:val="24"/>
              </w:rPr>
            </w:pPr>
            <w:r>
              <w:rPr>
                <w:rFonts w:eastAsia="Calibri" w:cs="Calibri"/>
                <w:b/>
                <w:color w:val="2F3B42"/>
                <w:sz w:val="22"/>
                <w:szCs w:val="24"/>
                <w:lang w:val="en-CA" w:eastAsia="en-CA" w:bidi="ar-SA"/>
              </w:rPr>
              <w:t>Optional per-transit or annual service contribution; funds navigation safety, environmental protection, and search and rescue; contribution certificate and priority service under Article 23.5.3.</w:t>
            </w:r>
          </w:p>
        </w:tc>
      </w:tr>
    </w:tbl>
    <w:p>
      <w:pPr>
        <w:pStyle w:val="Normal"/>
        <w:rPr/>
      </w:pPr>
      <w:r>
        <w:rPr>
          <w:rFonts w:eastAsia="Cambria" w:cs="Cambria" w:ascii="Cambria" w:hAnsi="Cambria"/>
          <w:b/>
          <w:color w:val="1F4E5F"/>
          <w:sz w:val="32"/>
          <w:szCs w:val="24"/>
          <w:lang w:val="en-CA" w:eastAsia="en-CA" w:bidi="ar-SA"/>
        </w:rPr>
        <w:t>Annex D: Registration Formats and the Multilateral Transit Code</w:t>
      </w:r>
    </w:p>
    <w:p>
      <w:pPr>
        <w:pStyle w:val="Heading2"/>
        <w:rPr/>
      </w:pPr>
      <w:bookmarkStart w:id="236" w:name="__RefHeading___Toc9407_4022417266"/>
      <w:bookmarkEnd w:id="236"/>
      <w:r>
        <w:rPr>
          <w:rFonts w:eastAsia="Cambria" w:cs="Cambria"/>
          <w:b/>
          <w:color w:val="1F4E5F"/>
          <w:sz w:val="26"/>
          <w:szCs w:val="24"/>
          <w:lang w:val="en-CA" w:eastAsia="en-CA" w:bidi="ar-SA"/>
        </w:rPr>
        <w:t>D.1 The Twelve Fields</w:t>
      </w:r>
    </w:p>
    <w:p>
      <w:pPr>
        <w:pStyle w:val="Normal"/>
        <w:rPr/>
      </w:pPr>
      <w:r>
        <w:rPr>
          <w:rFonts w:eastAsia="Calibri" w:cs="Calibri"/>
          <w:b/>
          <w:color w:val="1F4E5F"/>
          <w:sz w:val="22"/>
          <w:szCs w:val="24"/>
          <w:lang w:val="en-CA" w:eastAsia="en-CA" w:bidi="ar-SA"/>
        </w:rPr>
        <w:t>D.1.1 The registration carries twelve fields and nothing more:</w:t>
      </w:r>
    </w:p>
    <w:p>
      <w:pPr>
        <w:pStyle w:val="Normal"/>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1: Vessel name and registration number.</w:t>
      </w:r>
    </w:p>
    <w:p>
      <w:pPr>
        <w:pStyle w:val="Normal"/>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2: Flag state.</w:t>
      </w:r>
    </w:p>
    <w:p>
      <w:pPr>
        <w:pStyle w:val="Normal"/>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3: Vessel class under Annex B.</w:t>
      </w:r>
    </w:p>
    <w:p>
      <w:pPr>
        <w:pStyle w:val="Normal"/>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4: Type and size band.</w:t>
      </w:r>
    </w:p>
    <w:p>
      <w:pPr>
        <w:pStyle w:val="Normal"/>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5: Last port and next port.</w:t>
      </w:r>
    </w:p>
    <w:p>
      <w:pPr>
        <w:pStyle w:val="Normal"/>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6: Passage and lane requested.</w:t>
      </w:r>
    </w:p>
    <w:p>
      <w:pPr>
        <w:pStyle w:val="Normal"/>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7: Requested transit window.</w:t>
      </w:r>
    </w:p>
    <w:p>
      <w:pPr>
        <w:pStyle w:val="Normal"/>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8: Cargo type band (energy, containerized, bulk, vehicles, humanitarian, passengers, research, special, ballast).</w:t>
      </w:r>
    </w:p>
    <w:p>
      <w:pPr>
        <w:pStyle w:val="Normal"/>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9: Dangerous goods declaration reference where applicable.</w:t>
      </w:r>
    </w:p>
    <w:p>
      <w:pPr>
        <w:pStyle w:val="Normal"/>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10: Environmental coverage reference under Article 30.2 where applicable.</w:t>
      </w:r>
    </w:p>
    <w:p>
      <w:pPr>
        <w:pStyle w:val="Normal"/>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11: Escort election, yes or no.</w:t>
      </w:r>
    </w:p>
    <w:p>
      <w:pPr>
        <w:pStyle w:val="Normal"/>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12: Master contact channel.</w:t>
      </w:r>
    </w:p>
    <w:p>
      <w:pPr>
        <w:pStyle w:val="Normal"/>
        <w:rPr/>
      </w:pPr>
      <w:r>
        <w:rPr>
          <w:rFonts w:eastAsia="Calibri" w:cs="Calibri"/>
          <w:b/>
          <w:color w:val="1F4E5F"/>
          <w:sz w:val="22"/>
          <w:szCs w:val="24"/>
          <w:lang w:val="en-CA" w:eastAsia="en-CA" w:bidi="ar-SA"/>
        </w:rPr>
        <w:t>D.1.2 The desk requests no ownership structure data, no crew manifests, no cargo values, and no consignee identities. The twelve fields serve traffic and safety; commerce stays with commerce.</w:t>
      </w:r>
    </w:p>
    <w:p>
      <w:pPr>
        <w:pStyle w:val="Heading2"/>
        <w:rPr/>
      </w:pPr>
      <w:bookmarkStart w:id="237" w:name="__RefHeading___Toc9409_4022417266"/>
      <w:bookmarkEnd w:id="237"/>
      <w:r>
        <w:rPr>
          <w:rFonts w:eastAsia="Cambria" w:cs="Cambria"/>
          <w:b/>
          <w:color w:val="1F4E5F"/>
          <w:sz w:val="26"/>
          <w:szCs w:val="24"/>
          <w:lang w:val="en-CA" w:eastAsia="en-CA" w:bidi="ar-SA"/>
        </w:rPr>
        <w:t>D.2 Filing Channels</w:t>
      </w:r>
    </w:p>
    <w:p>
      <w:pPr>
        <w:pStyle w:val="Normal"/>
        <w:rPr/>
      </w:pPr>
      <w:r>
        <w:rPr>
          <w:rFonts w:eastAsia="Calibri" w:cs="Calibri"/>
          <w:b/>
          <w:color w:val="1F4E5F"/>
          <w:sz w:val="22"/>
          <w:szCs w:val="24"/>
          <w:lang w:val="en-CA" w:eastAsia="en-CA" w:bidi="ar-SA"/>
        </w:rPr>
        <w:t>D.2.1 A vessel files: through the Network's web form; through its agent at the last port; through the participating port interface; or, in fallback, by voice to the registration desk with next-port written confirmation.</w:t>
      </w:r>
    </w:p>
    <w:p>
      <w:pPr>
        <w:pStyle w:val="Heading2"/>
        <w:rPr/>
      </w:pPr>
      <w:bookmarkStart w:id="238" w:name="__RefHeading___Toc9411_4022417266"/>
      <w:bookmarkEnd w:id="238"/>
      <w:r>
        <w:rPr>
          <w:rFonts w:eastAsia="Cambria" w:cs="Cambria"/>
          <w:b/>
          <w:color w:val="1F4E5F"/>
          <w:sz w:val="26"/>
          <w:szCs w:val="24"/>
          <w:lang w:val="en-CA" w:eastAsia="en-CA" w:bidi="ar-SA"/>
        </w:rPr>
        <w:t>D.3 The Multilateral Transit Code Format</w:t>
      </w:r>
    </w:p>
    <w:p>
      <w:pPr>
        <w:pStyle w:val="Normal"/>
        <w:rPr/>
      </w:pPr>
      <w:r>
        <w:rPr>
          <w:rFonts w:eastAsia="Calibri" w:cs="Calibri"/>
          <w:b/>
          <w:color w:val="1F4E5F"/>
          <w:sz w:val="22"/>
          <w:szCs w:val="24"/>
          <w:lang w:val="en-CA" w:eastAsia="en-CA" w:bidi="ar-SA"/>
        </w:rPr>
        <w:t>D.3.1 Code structure: date in six digits, passage letter, lane letter, window number, sequence in four digits. Example: 260823-R-W-03-0147 reads as the one hundred forty-seventh code of 23 August 2026, Northern Coordination Passage, westbound lane, window three.</w:t>
      </w:r>
    </w:p>
    <w:p>
      <w:pPr>
        <w:pStyle w:val="Normal"/>
        <w:rPr/>
      </w:pPr>
      <w:r>
        <w:rPr>
          <w:rFonts w:eastAsia="Calibri" w:cs="Calibri"/>
          <w:b/>
          <w:color w:val="1F4E5F"/>
          <w:sz w:val="22"/>
          <w:szCs w:val="24"/>
          <w:lang w:val="en-CA" w:eastAsia="en-CA" w:bidi="ar-SA"/>
        </w:rPr>
        <w:t>D.3.2 The code acknowledges receipt. It contains no approval element, and its text states: receipt acknowledged; transit unconditional under Article 8.2.</w:t>
      </w:r>
    </w:p>
    <w:p>
      <w:pPr>
        <w:pStyle w:val="Heading2"/>
        <w:rPr/>
      </w:pPr>
      <w:bookmarkStart w:id="239" w:name="__RefHeading___Toc9413_4022417266"/>
      <w:bookmarkEnd w:id="239"/>
      <w:r>
        <w:rPr>
          <w:rFonts w:eastAsia="Cambria" w:cs="Cambria"/>
          <w:b/>
          <w:color w:val="1F4E5F"/>
          <w:sz w:val="26"/>
          <w:szCs w:val="24"/>
          <w:lang w:val="en-CA" w:eastAsia="en-CA" w:bidi="ar-SA"/>
        </w:rPr>
        <w:t>D.4 Class H Fast-Track Form</w:t>
      </w:r>
    </w:p>
    <w:p>
      <w:pPr>
        <w:pStyle w:val="Normal"/>
        <w:rPr/>
      </w:pPr>
      <w:r>
        <w:rPr>
          <w:rFonts w:eastAsia="Calibri" w:cs="Calibri"/>
          <w:b/>
          <w:color w:val="1F4E5F"/>
          <w:sz w:val="22"/>
          <w:szCs w:val="24"/>
          <w:lang w:val="en-CA" w:eastAsia="en-CA" w:bidi="ar-SA"/>
        </w:rPr>
        <w:t>D.4.1 Six fields: vessel identity; consignment recognition reference; last and next port; requested window; escort election; contact channel. The desk acknowledges within fifteen minutes at all hours.</w:t>
      </w:r>
    </w:p>
    <w:p>
      <w:pPr>
        <w:pStyle w:val="Heading2"/>
        <w:rPr/>
      </w:pPr>
      <w:bookmarkStart w:id="240" w:name="__RefHeading___Toc9415_4022417266"/>
      <w:bookmarkEnd w:id="240"/>
      <w:r>
        <w:rPr>
          <w:rFonts w:eastAsia="Cambria" w:cs="Cambria"/>
          <w:b/>
          <w:color w:val="1F4E5F"/>
          <w:sz w:val="26"/>
          <w:szCs w:val="24"/>
          <w:lang w:val="en-CA" w:eastAsia="en-CA" w:bidi="ar-SA"/>
        </w:rPr>
        <w:t>D.5 Class S Channel Message</w:t>
      </w:r>
    </w:p>
    <w:p>
      <w:pPr>
        <w:pStyle w:val="Normal"/>
        <w:rPr/>
      </w:pPr>
      <w:r>
        <w:rPr>
          <w:rFonts w:eastAsia="Calibri" w:cs="Calibri"/>
          <w:b/>
          <w:color w:val="1F4E5F"/>
          <w:sz w:val="22"/>
          <w:szCs w:val="24"/>
          <w:lang w:val="en-CA" w:eastAsia="en-CA" w:bidi="ar-SA"/>
        </w:rPr>
        <w:t>D.5.1 The diplomatic-military message carries: vessel type; displacement band; window; lane; speed band. The liaison officer logs it and the Center sequences around it. The message never appears in the public Bulletin.</w:t>
      </w:r>
    </w:p>
    <w:p>
      <w:pPr>
        <w:pStyle w:val="Heading2"/>
        <w:rPr/>
      </w:pPr>
      <w:bookmarkStart w:id="241" w:name="__RefHeading___Toc9417_4022417266"/>
      <w:bookmarkEnd w:id="241"/>
      <w:r>
        <w:rPr>
          <w:rFonts w:eastAsia="Cambria" w:cs="Cambria"/>
          <w:b/>
          <w:color w:val="1F4E5F"/>
          <w:sz w:val="26"/>
          <w:szCs w:val="24"/>
          <w:lang w:val="en-CA" w:eastAsia="en-CA" w:bidi="ar-SA"/>
        </w:rPr>
        <w:t>D.6 Corrections and Updates</w:t>
      </w:r>
    </w:p>
    <w:p>
      <w:pPr>
        <w:pStyle w:val="Normal"/>
        <w:rPr/>
      </w:pPr>
      <w:r>
        <w:rPr>
          <w:rFonts w:eastAsia="Calibri" w:cs="Calibri"/>
          <w:b/>
          <w:color w:val="1F4E5F"/>
          <w:sz w:val="22"/>
          <w:szCs w:val="24"/>
          <w:lang w:val="en-CA" w:eastAsia="en-CA" w:bidi="ar-SA"/>
        </w:rPr>
        <w:t>D.6.1 A master updates any field before entry without consequence. Updates after entry travel the working channel and enter the log as running amendments.</w:t>
      </w:r>
    </w:p>
    <w:p>
      <w:pPr>
        <w:pStyle w:val="Heading2"/>
        <w:rPr/>
      </w:pPr>
      <w:bookmarkStart w:id="242" w:name="__RefHeading___Toc9419_4022417266"/>
      <w:bookmarkEnd w:id="242"/>
      <w:r>
        <w:rPr>
          <w:rFonts w:eastAsia="Cambria" w:cs="Cambria"/>
          <w:b/>
          <w:color w:val="1F4E5F"/>
          <w:sz w:val="26"/>
          <w:szCs w:val="24"/>
          <w:lang w:val="en-CA" w:eastAsia="en-CA" w:bidi="ar-SA"/>
        </w:rPr>
        <w:t>D.7 Listed-Vessel Practices</w:t>
      </w:r>
    </w:p>
    <w:p>
      <w:pPr>
        <w:pStyle w:val="Normal"/>
        <w:rPr/>
      </w:pPr>
      <w:r>
        <w:rPr>
          <w:rFonts w:eastAsia="Calibri" w:cs="Calibri"/>
          <w:b/>
          <w:color w:val="1F4E5F"/>
          <w:sz w:val="22"/>
          <w:szCs w:val="24"/>
          <w:lang w:val="en-CA" w:eastAsia="en-CA" w:bidi="ar-SA"/>
        </w:rPr>
        <w:t>D.7.1 Registry listing evidences four practices: advance registration in the Northern Coordination Passage where registration applies; observer embarkation consent on the published rota; voice reporting discipline; and environmental coverage. A listed vessel keeps the practices; the listing lapses only after three recorded lapses and a warning cycle.</w:t>
      </w:r>
    </w:p>
    <w:p>
      <w:pPr>
        <w:pStyle w:val="heading1nb"/>
        <w:rPr/>
      </w:pPr>
      <w:bookmarkStart w:id="243" w:name="__RefHeading___Toc9421_4022417266"/>
      <w:bookmarkEnd w:id="243"/>
      <w:r>
        <w:rPr>
          <w:rFonts w:eastAsia="Cambria" w:cs="Cambria"/>
          <w:b/>
          <w:color w:val="1F4E5F"/>
          <w:sz w:val="32"/>
          <w:szCs w:val="24"/>
          <w:lang w:val="en-CA" w:eastAsia="en-CA" w:bidi="ar-SA"/>
        </w:rPr>
        <w:t>Annex E: Incident Classification and Response Timelines</w:t>
      </w:r>
    </w:p>
    <w:p>
      <w:pPr>
        <w:pStyle w:val="Heading2"/>
        <w:rPr/>
      </w:pPr>
      <w:bookmarkStart w:id="244" w:name="__RefHeading___Toc9423_4022417266"/>
      <w:bookmarkEnd w:id="244"/>
      <w:r>
        <w:rPr>
          <w:rFonts w:eastAsia="Cambria" w:cs="Cambria"/>
          <w:b/>
          <w:color w:val="1F4E5F"/>
          <w:sz w:val="26"/>
          <w:szCs w:val="24"/>
          <w:lang w:val="en-CA" w:eastAsia="en-CA" w:bidi="ar-SA"/>
        </w:rPr>
        <w:t>E.1 The Ladder</w:t>
      </w:r>
    </w:p>
    <w:tbl>
      <w:tblPr>
        <w:tblStyle w:val="TableNormal"/>
        <w:tblW w:w="9026" w:type="dxa"/>
        <w:jc w:val="left"/>
        <w:tblInd w:w="0" w:type="dxa"/>
        <w:tblLayout w:type="fixed"/>
        <w:tblCellMar>
          <w:top w:w="0" w:type="dxa"/>
          <w:left w:w="108" w:type="dxa"/>
          <w:bottom w:w="0" w:type="dxa"/>
          <w:right w:w="108" w:type="dxa"/>
        </w:tblCellMar>
      </w:tblPr>
      <w:tblGrid>
        <w:gridCol w:w="1805"/>
        <w:gridCol w:w="1805"/>
        <w:gridCol w:w="1805"/>
        <w:gridCol w:w="1805"/>
        <w:gridCol w:w="1806"/>
      </w:tblGrid>
      <w:tr>
        <w:trPr>
          <w:tblHeader w:val="true"/>
          <w:cantSplit w:val="true"/>
        </w:trPr>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Rung</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Classification</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Definition</w:t>
            </w:r>
          </w:p>
        </w:tc>
        <w:tc>
          <w:tcPr>
            <w:tcW w:w="1805"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Response</w:t>
            </w:r>
          </w:p>
        </w:tc>
        <w:tc>
          <w:tcPr>
            <w:tcW w:w="1806"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mbria" w:cs="Cambria" w:ascii="Cambria" w:hAnsi="Cambria"/>
                <w:b/>
                <w:color w:val="33586A"/>
                <w:sz w:val="23"/>
                <w:szCs w:val="24"/>
                <w:lang w:val="en-CA" w:eastAsia="en-CA" w:bidi="ar-SA"/>
              </w:rPr>
              <w:t>Timeline</w:t>
            </w:r>
          </w:p>
        </w:tc>
      </w:tr>
      <w:tr>
        <w:trPr/>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1</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Navigational incident</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Collision risk, grounding, casualty without external cause</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Mishap Protocol, lessons note</w:t>
            </w:r>
          </w:p>
        </w:tc>
        <w:tc>
          <w:tcPr>
            <w:tcW w:w="180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Classification in 4 h</w:t>
            </w:r>
          </w:p>
        </w:tc>
      </w:tr>
      <w:tr>
        <w:trPr/>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2</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Procedural deviation</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Rule deviation without interference intent</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Correction notice; matrix check</w:t>
            </w:r>
          </w:p>
        </w:tc>
        <w:tc>
          <w:tcPr>
            <w:tcW w:w="180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Notice in 24 h</w:t>
            </w:r>
          </w:p>
        </w:tc>
      </w:tr>
      <w:tr>
        <w:trPr/>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3</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Service failure</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Catalog service below standard or unavailable</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Deduction schedule; Category Two</w:t>
            </w:r>
          </w:p>
        </w:tc>
        <w:tc>
          <w:tcPr>
            <w:tcW w:w="180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Assessment in 72 h</w:t>
            </w:r>
          </w:p>
        </w:tc>
      </w:tr>
      <w:tr>
        <w:trPr/>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4</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Interference event</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Boarding, harassment, charging, signal interference, selective hold</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Category Two or Three; Bulletin note; ladder entry</w:t>
            </w:r>
          </w:p>
        </w:tc>
        <w:tc>
          <w:tcPr>
            <w:tcW w:w="180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Classification in 24 h</w:t>
            </w:r>
          </w:p>
        </w:tc>
      </w:tr>
      <w:tr>
        <w:trPr/>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5</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Escalatory event</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Use or threat of force affecting transit</w:t>
            </w:r>
          </w:p>
        </w:tc>
        <w:tc>
          <w:tcPr>
            <w:tcW w:w="1805"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Category Three; Council in 48 h; facilitation tier</w:t>
            </w:r>
          </w:p>
        </w:tc>
        <w:tc>
          <w:tcPr>
            <w:tcW w:w="1806" w:type="dxa"/>
            <w:tcBorders>
              <w:top w:val="single" w:sz="6" w:space="0" w:color="000000"/>
              <w:bottom w:val="single" w:sz="6" w:space="0" w:color="000000"/>
            </w:tcBorders>
          </w:tcPr>
          <w:p>
            <w:pPr>
              <w:pStyle w:val="Normal"/>
              <w:suppressAutoHyphens w:val="true"/>
              <w:spacing w:before="0" w:after="110"/>
              <w:rPr>
                <w:sz w:val="24"/>
              </w:rPr>
            </w:pPr>
            <w:r>
              <w:rPr>
                <w:rFonts w:eastAsia="Calibri" w:cs="Calibri"/>
                <w:b/>
                <w:color w:val="1F4E5F"/>
                <w:sz w:val="22"/>
                <w:szCs w:val="24"/>
                <w:lang w:val="en-CA" w:eastAsia="en-CA" w:bidi="ar-SA"/>
              </w:rPr>
              <w:t>Immediate hotline; classification in 12 h</w:t>
            </w:r>
          </w:p>
        </w:tc>
      </w:tr>
    </w:tbl>
    <w:p>
      <w:pPr>
        <w:pStyle w:val="Normal"/>
        <w:rPr/>
      </w:pPr>
      <w:r>
        <w:rPr/>
      </w:r>
    </w:p>
    <w:p>
      <w:pPr>
        <w:pStyle w:val="Heading2"/>
        <w:rPr/>
      </w:pPr>
      <w:bookmarkStart w:id="245" w:name="__RefHeading___Toc9425_4022417266"/>
      <w:bookmarkEnd w:id="245"/>
      <w:r>
        <w:rPr>
          <w:rFonts w:eastAsia="Cambria" w:cs="Cambria"/>
          <w:b/>
          <w:color w:val="1F4E5F"/>
          <w:sz w:val="26"/>
          <w:szCs w:val="24"/>
          <w:lang w:val="en-CA" w:eastAsia="en-CA" w:bidi="ar-SA"/>
        </w:rPr>
        <w:t>E.2 Neutral Incident Language</w:t>
      </w:r>
    </w:p>
    <w:p>
      <w:pPr>
        <w:pStyle w:val="Normal"/>
        <w:rPr/>
      </w:pPr>
      <w:r>
        <w:rPr>
          <w:rStyle w:val="DefaultParagraphFont"/>
          <w:rFonts w:eastAsia="" w:cs=""/>
          <w:color w:val="2F3B42"/>
          <w:sz w:val="22"/>
          <w:szCs w:val="24"/>
          <w:lang w:val="en-CA" w:eastAsia="en-CA" w:bidi="ar-SA"/>
        </w:rPr>
        <w:t>E.2.1 The Bulletin reports incidents in fixed neutral phrasing: position, time, classes involved, actions taken, status. The phrasing never assigns motive, never names nationality outside the registration facts, and never characterizes beyond the classification rung.</w:t>
      </w:r>
    </w:p>
    <w:p>
      <w:pPr>
        <w:pStyle w:val="Normal"/>
        <w:rPr/>
      </w:pPr>
      <w:r>
        <w:rPr>
          <w:rStyle w:val="DefaultParagraphFont"/>
          <w:rFonts w:eastAsia="" w:cs=""/>
          <w:color w:val="2F3B42"/>
          <w:sz w:val="22"/>
          <w:szCs w:val="24"/>
          <w:lang w:val="en-CA" w:eastAsia="en-CA" w:bidi="ar-SA"/>
        </w:rPr>
        <w:t>E.2.2 The multinational duty team signs each incident note before publication.</w:t>
      </w:r>
    </w:p>
    <w:p>
      <w:pPr>
        <w:pStyle w:val="Heading2"/>
        <w:rPr/>
      </w:pPr>
      <w:bookmarkStart w:id="246" w:name="__RefHeading___Toc9427_4022417266"/>
      <w:bookmarkEnd w:id="246"/>
      <w:r>
        <w:rPr>
          <w:rFonts w:eastAsia="Calibri" w:cs="Calibri" w:ascii="Calibri" w:hAnsi="Calibri"/>
          <w:b/>
          <w:color w:val="1F4E5F"/>
          <w:sz w:val="24"/>
          <w:szCs w:val="24"/>
          <w:lang w:val="en-CA" w:eastAsia="en-CA" w:bidi="ar-SA"/>
        </w:rPr>
        <w:t>E.3 Response Timelines</w:t>
      </w:r>
    </w:p>
    <w:p>
      <w:pPr>
        <w:pStyle w:val="Normal"/>
        <w:rPr/>
      </w:pPr>
      <w:r>
        <w:rPr>
          <w:rStyle w:val="DefaultParagraphFont"/>
          <w:rFonts w:eastAsia="" w:cs=""/>
          <w:color w:val="2F3B42"/>
          <w:sz w:val="22"/>
          <w:szCs w:val="24"/>
          <w:lang w:val="en-CA" w:eastAsia="en-CA" w:bidi="ar-SA"/>
        </w:rPr>
        <w:t>E.3.1 Hotline answer: five minutes. Report acknowledgment: fifteen minutes. Rung 1 classification: four hours. Rung 4 classification: twenty-four hours. Council session on Rung 5: forty-eight hours. Facilitation convening on Still Water: twenty-four hours.</w:t>
      </w:r>
    </w:p>
    <w:p>
      <w:pPr>
        <w:pStyle w:val="Heading2"/>
        <w:rPr/>
      </w:pPr>
      <w:bookmarkStart w:id="247" w:name="__RefHeading___Toc9429_4022417266"/>
      <w:bookmarkEnd w:id="247"/>
      <w:r>
        <w:rPr>
          <w:rFonts w:eastAsia="Calibri" w:cs="Calibri" w:ascii="Calibri" w:hAnsi="Calibri"/>
          <w:b/>
          <w:color w:val="1F4E5F"/>
          <w:sz w:val="24"/>
          <w:szCs w:val="24"/>
          <w:lang w:val="en-CA" w:eastAsia="en-CA" w:bidi="ar-SA"/>
        </w:rPr>
        <w:t>E.4 The Sealed Incident File</w:t>
      </w:r>
    </w:p>
    <w:p>
      <w:pPr>
        <w:pStyle w:val="Normal"/>
        <w:rPr/>
      </w:pPr>
      <w:r>
        <w:rPr>
          <w:rStyle w:val="DefaultParagraphFont"/>
          <w:rFonts w:eastAsia="" w:cs=""/>
          <w:color w:val="2F3B42"/>
          <w:sz w:val="22"/>
          <w:szCs w:val="24"/>
          <w:lang w:val="en-CA" w:eastAsia="en-CA" w:bidi="ar-SA"/>
        </w:rPr>
        <w:t>E.4.1 Each Rung 4 and Rung 5 event opens a sealed file: position logs, voice records, observer reports, classification, and outcome. Category I states hold identical copies, Category II states hold restricted extracts, and the file opens to the Technical Arbitration Panel on request.</w:t>
      </w:r>
    </w:p>
    <w:p>
      <w:pPr>
        <w:pStyle w:val="Heading2"/>
        <w:rPr/>
      </w:pPr>
      <w:bookmarkStart w:id="248" w:name="__RefHeading___Toc9431_4022417266"/>
      <w:bookmarkEnd w:id="248"/>
      <w:r>
        <w:rPr>
          <w:rFonts w:eastAsia="Calibri" w:cs="Calibri" w:ascii="Calibri" w:hAnsi="Calibri"/>
          <w:b/>
          <w:color w:val="1F4E5F"/>
          <w:sz w:val="24"/>
          <w:szCs w:val="24"/>
          <w:lang w:val="en-CA" w:eastAsia="en-CA" w:bidi="ar-SA"/>
        </w:rPr>
        <w:t>E.5 Repeat Event Analysis</w:t>
      </w:r>
    </w:p>
    <w:p>
      <w:pPr>
        <w:pStyle w:val="Normal"/>
        <w:rPr/>
      </w:pPr>
      <w:r>
        <w:rPr>
          <w:rStyle w:val="DefaultParagraphFont"/>
          <w:rFonts w:eastAsia="" w:cs=""/>
          <w:color w:val="2F3B42"/>
          <w:sz w:val="22"/>
          <w:szCs w:val="24"/>
          <w:lang w:val="en-CA" w:eastAsia="en-CA" w:bidi="ar-SA"/>
        </w:rPr>
        <w:t>E.5.1 Three events of the same type in ninety days trigger a systemic review: the Neutral Keel Office analyzes the pattern and the Council adopts a procedural correction by Qualified Majority.</w:t>
      </w:r>
    </w:p>
    <w:p>
      <w:pPr>
        <w:pStyle w:val="Heading2"/>
        <w:rPr/>
      </w:pPr>
      <w:bookmarkStart w:id="249" w:name="__RefHeading___Toc9433_4022417266"/>
      <w:bookmarkEnd w:id="249"/>
      <w:r>
        <w:rPr>
          <w:rFonts w:eastAsia="Calibri" w:cs="Calibri" w:ascii="Calibri" w:hAnsi="Calibri"/>
          <w:b/>
          <w:color w:val="1F4E5F"/>
          <w:sz w:val="24"/>
          <w:szCs w:val="24"/>
          <w:lang w:val="en-CA" w:eastAsia="en-CA" w:bidi="ar-SA"/>
        </w:rPr>
        <w:t>E.6 False-Report Consequence</w:t>
      </w:r>
    </w:p>
    <w:p>
      <w:pPr>
        <w:pStyle w:val="Normal"/>
        <w:rPr/>
      </w:pPr>
      <w:r>
        <w:rPr>
          <w:rStyle w:val="DefaultParagraphFont"/>
          <w:rFonts w:eastAsia="" w:cs=""/>
          <w:color w:val="2F3B42"/>
          <w:sz w:val="22"/>
          <w:szCs w:val="24"/>
          <w:lang w:val="en-CA" w:eastAsia="en-CA" w:bidi="ar-SA"/>
        </w:rPr>
        <w:t>E.6.1 A demonstrably false interference report, by any actor, enters the record with equal prominence to the original report, and the reporting entity bears the investigation cost through the deduction schedule or the Registry practice record, as applicable.</w:t>
      </w:r>
    </w:p>
    <w:p>
      <w:pPr>
        <w:pStyle w:val="Heading3"/>
        <w:rPr/>
      </w:pPr>
      <w:bookmarkStart w:id="250" w:name="__RefHeading___Toc9435_4022417266"/>
      <w:bookmarkEnd w:id="250"/>
      <w:r>
        <w:rPr>
          <w:rFonts w:eastAsia="Calibri" w:cs="Calibri" w:ascii="Calibri" w:hAnsi="Calibri"/>
          <w:b/>
          <w:color w:val="1F4E5F"/>
          <w:sz w:val="22"/>
          <w:szCs w:val="24"/>
          <w:lang w:val="en-CA" w:eastAsia="en-CA" w:bidi="ar-SA"/>
        </w:rPr>
        <w:t>E.7 The Central Passage Incident Category</w:t>
      </w:r>
    </w:p>
    <w:p>
      <w:pPr>
        <w:pStyle w:val="Normal"/>
        <w:rPr/>
      </w:pPr>
      <w:r>
        <w:rPr>
          <w:rStyle w:val="DefaultParagraphFont"/>
          <w:rFonts w:eastAsia="" w:cs=""/>
          <w:color w:val="2F3B42"/>
          <w:sz w:val="22"/>
          <w:szCs w:val="24"/>
          <w:lang w:val="en-CA" w:eastAsia="en-CA" w:bidi="ar-SA"/>
        </w:rPr>
        <w:t>E.7.1 An incident within the Central International Passage, or one involving its traffic sequencing, enters the ladder as a Central Passage Incident: the Meridian Coordination Center acts as lead responder, the Central Corridor Management Board receives immediate notice, and the multinational duty team signs the incident note.</w:t>
      </w:r>
    </w:p>
    <w:p>
      <w:pPr>
        <w:pStyle w:val="Normal"/>
        <w:rPr/>
      </w:pPr>
      <w:r>
        <w:rPr>
          <w:rStyle w:val="DefaultParagraphFont"/>
          <w:rFonts w:eastAsia="" w:cs=""/>
          <w:color w:val="2F3B42"/>
          <w:sz w:val="22"/>
          <w:szCs w:val="24"/>
          <w:lang w:val="en-CA" w:eastAsia="en-CA" w:bidi="ar-SA"/>
        </w:rPr>
        <w:t>E.7.2 A Central Passage Incident classifies under the ladder's rungs exactly as any other incident, and the Anti-Cascade Firewall keeps its consequences inside the affected module.</w:t>
      </w:r>
    </w:p>
    <w:p>
      <w:pPr>
        <w:pStyle w:val="heading1nb"/>
        <w:rPr/>
      </w:pPr>
      <w:bookmarkStart w:id="251" w:name="__RefHeading___Toc9437_4022417266"/>
      <w:bookmarkEnd w:id="251"/>
      <w:r>
        <w:rPr>
          <w:rFonts w:eastAsia="Calibri" w:cs="Calibri" w:ascii="Calibri" w:hAnsi="Calibri"/>
          <w:b/>
          <w:color w:val="6E8B97"/>
          <w:sz w:val="18"/>
          <w:szCs w:val="24"/>
          <w:lang w:val="en-CA" w:eastAsia="en-CA" w:bidi="ar-SA"/>
        </w:rPr>
        <w:t>Annex F: The Core Principles Register (Full Operative Text)</w:t>
      </w:r>
    </w:p>
    <w:p>
      <w:pPr>
        <w:pStyle w:val="Heading2"/>
        <w:rPr/>
      </w:pPr>
      <w:bookmarkStart w:id="252" w:name="__RefHeading___Toc9439_4022417266"/>
      <w:bookmarkEnd w:id="252"/>
      <w:r>
        <w:rPr>
          <w:rFonts w:eastAsia="Calibri" w:cs="Calibri" w:ascii="Calibri" w:hAnsi="Calibri"/>
          <w:b/>
          <w:color w:val="1F4E5F"/>
          <w:sz w:val="24"/>
          <w:szCs w:val="24"/>
          <w:lang w:val="en-CA" w:eastAsia="en-CA" w:bidi="ar-SA"/>
        </w:rPr>
        <w:t>F.1 Reading the Register</w:t>
      </w:r>
    </w:p>
    <w:p>
      <w:pPr>
        <w:pStyle w:val="Normal"/>
        <w:rPr/>
      </w:pPr>
      <w:r>
        <w:rPr>
          <w:rStyle w:val="DefaultParagraphFont"/>
          <w:rFonts w:eastAsia="" w:cs=""/>
          <w:color w:val="2F3B42"/>
          <w:sz w:val="22"/>
          <w:szCs w:val="24"/>
          <w:lang w:val="en-CA" w:eastAsia="en-CA" w:bidi="ar-SA"/>
        </w:rPr>
        <w:t>F.1.1 Each entry states the principle in architectural terms, the shared interest it protects, and the safeguard that holds it. The Register binds the framework's future development: every measure passes the Perimeter Test of Article 5.3 against these entries.</w:t>
      </w:r>
    </w:p>
    <w:p>
      <w:pPr>
        <w:pStyle w:val="Heading2"/>
        <w:rPr/>
      </w:pPr>
      <w:bookmarkStart w:id="253" w:name="__RefHeading___Toc9441_4022417266"/>
      <w:bookmarkEnd w:id="253"/>
      <w:r>
        <w:rPr>
          <w:rFonts w:eastAsia="Calibri" w:cs="Calibri" w:ascii="Calibri" w:hAnsi="Calibri"/>
          <w:b/>
          <w:color w:val="1F4E5F"/>
          <w:sz w:val="24"/>
          <w:szCs w:val="24"/>
          <w:lang w:val="en-CA" w:eastAsia="en-CA" w:bidi="ar-SA"/>
        </w:rPr>
        <w:t>F.2 The Entries</w:t>
      </w:r>
    </w:p>
    <w:p>
      <w:pPr>
        <w:pStyle w:val="Normal"/>
        <w:rPr/>
      </w:pPr>
      <w:r>
        <w:rPr>
          <w:rFonts w:eastAsia="Calibri" w:cs="Calibri"/>
          <w:b/>
          <w:color w:val="1F4E5F"/>
          <w:sz w:val="22"/>
          <w:szCs w:val="24"/>
          <w:lang w:val="en-CA" w:eastAsia="en-CA" w:bidi="ar-SA"/>
        </w:rPr>
        <w:t>R-1. Free transit. No charge of any kind attaches to the act of transit, in any passage, at any time. Interest protected: the unconditional character of navigation in an international waterway. Safeguard: Article 21, the Zero-Toll Rule, and the Prohibited Instruments List.</w:t>
      </w:r>
    </w:p>
    <w:p>
      <w:pPr>
        <w:pStyle w:val="Normal"/>
        <w:rPr/>
      </w:pPr>
      <w:r>
        <w:rPr>
          <w:rFonts w:eastAsia="Calibri" w:cs="Calibri"/>
          <w:b/>
          <w:color w:val="1F4E5F"/>
          <w:sz w:val="22"/>
          <w:szCs w:val="24"/>
          <w:lang w:val="en-CA" w:eastAsia="en-CA" w:bidi="ar-SA"/>
        </w:rPr>
        <w:t>R-2. The unconditional assurance route. The Southern Assurance Passage operates without registration, code, or coordination of any kind. Interest protected: a guaranteed open lane available to every vessel regardless of politics. Safeguard: Article 7.2 and the Registry audit of Article 8.2.4 applied symmetrically.</w:t>
      </w:r>
    </w:p>
    <w:p>
      <w:pPr>
        <w:pStyle w:val="Normal"/>
        <w:rPr/>
      </w:pPr>
      <w:r>
        <w:rPr>
          <w:rFonts w:eastAsia="Calibri" w:cs="Calibri"/>
          <w:b/>
          <w:color w:val="1F4E5F"/>
          <w:sz w:val="22"/>
          <w:szCs w:val="24"/>
          <w:lang w:val="en-CA" w:eastAsia="en-CA" w:bidi="ar-SA"/>
        </w:rPr>
        <w:t>R-3. Recognized littoral stewardship. The role and interests of all Littoral States receive formal, visible, and permanent recognition through the Network's institutions. Interest protected: the legitimacy of the multilateral settlement. Safeguard: Articles 8.4, 14, 15, and 16, representative staffing, and the Ledger's recognition of service volume.</w:t>
      </w:r>
    </w:p>
    <w:p>
      <w:pPr>
        <w:pStyle w:val="Normal"/>
        <w:rPr/>
      </w:pPr>
      <w:r>
        <w:rPr>
          <w:rFonts w:eastAsia="Calibri" w:cs="Calibri"/>
          <w:b/>
          <w:color w:val="1F4E5F"/>
          <w:sz w:val="22"/>
          <w:szCs w:val="24"/>
          <w:lang w:val="en-CA" w:eastAsia="en-CA" w:bidi="ar-SA"/>
        </w:rPr>
        <w:t>R-4. No permission, anywhere. No actor grants or withholds passage. Registration acknowledges; it never approves. Interest protected: the legal firewall between coordination and gatekeeping. Safeguard: Article 8.2 and the monthly registration-desk audit.</w:t>
      </w:r>
    </w:p>
    <w:p>
      <w:pPr>
        <w:pStyle w:val="Normal"/>
        <w:rPr/>
      </w:pPr>
      <w:r>
        <w:rPr>
          <w:rFonts w:eastAsia="Calibri" w:cs="Calibri"/>
          <w:b/>
          <w:color w:val="1F4E5F"/>
          <w:sz w:val="22"/>
          <w:szCs w:val="24"/>
          <w:lang w:val="en-CA" w:eastAsia="en-CA" w:bidi="ar-SA"/>
        </w:rPr>
        <w:t>R-5. No hands on ships. No boarding, detention, diversion, seizure, or inspection of transiting vessels occurs inside the Operating Area. Interest protected: the physical safety and predictability of commerce. Safeguard: Article 12.2, the Non-Interdiction Protocol.</w:t>
      </w:r>
    </w:p>
    <w:p>
      <w:pPr>
        <w:pStyle w:val="Normal"/>
        <w:rPr/>
      </w:pPr>
      <w:r>
        <w:rPr>
          <w:rFonts w:eastAsia="Calibri" w:cs="Calibri"/>
          <w:b/>
          <w:color w:val="1F4E5F"/>
          <w:sz w:val="22"/>
          <w:szCs w:val="24"/>
          <w:lang w:val="en-CA" w:eastAsia="en-CA" w:bidi="ar-SA"/>
        </w:rPr>
        <w:t>R-6. Civilian water. Network operational bodies employ civilians; military liaison stays at the policy level. Interest protected: the demilitarized character of governance. Safeguard: Article 16.5 and the annual staffing verification.</w:t>
      </w:r>
    </w:p>
    <w:p>
      <w:pPr>
        <w:pStyle w:val="Normal"/>
        <w:rPr/>
      </w:pPr>
      <w:r>
        <w:rPr>
          <w:rFonts w:eastAsia="Calibri" w:cs="Calibri"/>
          <w:b/>
          <w:color w:val="1F4E5F"/>
          <w:sz w:val="22"/>
          <w:szCs w:val="24"/>
          <w:lang w:val="en-CA" w:eastAsia="en-CA" w:bidi="ar-SA"/>
        </w:rPr>
        <w:t>R-7. No direct money. No payment of any kind flows from a vessel or its interests to any Participant State in connection with transit. Interest protected: global regulatory compliance and the toll prohibition alike. Safeguard: Article 26.3, the four-wall firewall, quarterly audited.</w:t>
      </w:r>
    </w:p>
    <w:p>
      <w:pPr>
        <w:pStyle w:val="Normal"/>
        <w:rPr/>
      </w:pPr>
      <w:r>
        <w:rPr>
          <w:rFonts w:eastAsia="Calibri" w:cs="Calibri"/>
          <w:b/>
          <w:color w:val="1F4E5F"/>
          <w:sz w:val="22"/>
          <w:szCs w:val="24"/>
          <w:lang w:val="en-CA" w:eastAsia="en-CA" w:bidi="ar-SA"/>
        </w:rPr>
        <w:t>R-8. Sovereignty intact. Each Participant State's sovereignty over its own waters stands untouched; the Network governs movement and services, never title. Interest protected: the domestic defensibility of the framework in every participant capital. Safeguard: Articles 1.3.3 and 2.4.</w:t>
      </w:r>
    </w:p>
    <w:p>
      <w:pPr>
        <w:pStyle w:val="Normal"/>
        <w:rPr/>
      </w:pPr>
      <w:r>
        <w:rPr>
          <w:rFonts w:eastAsia="Calibri" w:cs="Calibri"/>
          <w:b/>
          <w:color w:val="1F4E5F"/>
          <w:sz w:val="22"/>
          <w:szCs w:val="24"/>
          <w:lang w:val="en-CA" w:eastAsia="en-CA" w:bidi="ar-SA"/>
        </w:rPr>
        <w:t>R-9. Nothing fades. No commitment expires silently; continuation is the default; ending is deliberate, noticed, and reversible. Interest protected: durability against political weather. Safeguard: Article 34, the Rolling Horizon.</w:t>
      </w:r>
    </w:p>
    <w:p>
      <w:pPr>
        <w:pStyle w:val="Normal"/>
        <w:rPr/>
      </w:pPr>
      <w:r>
        <w:rPr>
          <w:rFonts w:eastAsia="Calibri" w:cs="Calibri"/>
          <w:b/>
          <w:color w:val="1F4E5F"/>
          <w:sz w:val="22"/>
          <w:szCs w:val="24"/>
          <w:lang w:val="en-CA" w:eastAsia="en-CA" w:bidi="ar-SA"/>
        </w:rPr>
        <w:t>R-10. Relief always moves. Humanitarian traffic and search and rescue operate in every flow state and through every dispute. Interest protected: life at sea and the relief lifeline. Safeguard: Articles 32.4 and 29.3.</w:t>
      </w:r>
    </w:p>
    <w:p>
      <w:pPr>
        <w:pStyle w:val="Normal"/>
        <w:rPr/>
      </w:pPr>
      <w:r>
        <w:rPr>
          <w:rFonts w:eastAsia="Calibri" w:cs="Calibri"/>
          <w:b/>
          <w:color w:val="1F4E5F"/>
          <w:sz w:val="22"/>
          <w:szCs w:val="24"/>
          <w:lang w:val="en-CA" w:eastAsia="en-CA" w:bidi="ar-SA"/>
        </w:rPr>
        <w:t>R-11. Converged evidence to accuse. No compliance finding rests on a single input or a single Participant State's say-so. Interest protected: dignity and accuracy in verification. Safeguard: Article 27.2, the Convergence Standard.</w:t>
      </w:r>
    </w:p>
    <w:p>
      <w:pPr>
        <w:pStyle w:val="Normal"/>
        <w:rPr/>
      </w:pPr>
      <w:r>
        <w:rPr>
          <w:rFonts w:eastAsia="Calibri" w:cs="Calibri"/>
          <w:b/>
          <w:color w:val="1F4E5F"/>
          <w:sz w:val="22"/>
          <w:szCs w:val="24"/>
          <w:lang w:val="en-CA" w:eastAsia="en-CA" w:bidi="ar-SA"/>
        </w:rPr>
        <w:t>R-12. No Network muscle. Network assets, data, and facilities never support kinetic action, and Network activity never touches any Participant State's territory with hostile effect. Interest protected: the firewall between governance and force. Safeguard: Articles 28.5.3 and 33.4.</w:t>
      </w:r>
    </w:p>
    <w:p>
      <w:pPr>
        <w:pStyle w:val="Heading2"/>
        <w:rPr/>
      </w:pPr>
      <w:bookmarkStart w:id="254" w:name="__RefHeading___Toc9443_4022417266"/>
      <w:bookmarkEnd w:id="254"/>
      <w:r>
        <w:rPr>
          <w:rFonts w:eastAsia="Calibri" w:cs="Calibri" w:ascii="Calibri" w:hAnsi="Calibri"/>
          <w:b/>
          <w:color w:val="1F4E5F"/>
          <w:sz w:val="24"/>
          <w:szCs w:val="24"/>
          <w:lang w:val="en-CA" w:eastAsia="en-CA" w:bidi="ar-SA"/>
        </w:rPr>
        <w:t>F.3 Register Maintenance</w:t>
      </w:r>
    </w:p>
    <w:p>
      <w:pPr>
        <w:pStyle w:val="Normal"/>
        <w:rPr/>
      </w:pPr>
      <w:r>
        <w:rPr>
          <w:rStyle w:val="DefaultParagraphFont"/>
          <w:rFonts w:eastAsia="" w:cs=""/>
          <w:color w:val="2F3B42"/>
          <w:sz w:val="22"/>
          <w:szCs w:val="24"/>
          <w:lang w:val="en-CA" w:eastAsia="en-CA" w:bidi="ar-SA"/>
        </w:rPr>
        <w:t>F.3.1 The Register opens for amendment only under Article 36.2.3. The Neutral Keel annual integrity report tests the year's practice against every entry.</w:t>
      </w:r>
    </w:p>
    <w:p>
      <w:pPr>
        <w:pStyle w:val="heading1nb"/>
        <w:rPr/>
      </w:pPr>
      <w:bookmarkStart w:id="255" w:name="__RefHeading___Toc9445_4022417266"/>
      <w:bookmarkEnd w:id="255"/>
      <w:r>
        <w:rPr>
          <w:rFonts w:eastAsia="Calibri" w:cs="Calibri" w:ascii="Calibri" w:hAnsi="Calibri"/>
          <w:b/>
          <w:color w:val="6E8B97"/>
          <w:sz w:val="18"/>
          <w:szCs w:val="24"/>
          <w:lang w:val="en-CA" w:eastAsia="en-CA" w:bidi="ar-SA"/>
        </w:rPr>
        <w:t>Annex G: Worked Financial Examples</w:t>
      </w:r>
    </w:p>
    <w:p>
      <w:pPr>
        <w:pStyle w:val="Heading2"/>
        <w:rPr/>
      </w:pPr>
      <w:bookmarkStart w:id="256" w:name="__RefHeading___Toc9447_4022417266"/>
      <w:bookmarkEnd w:id="256"/>
      <w:r>
        <w:rPr>
          <w:rFonts w:eastAsia="Calibri" w:cs="Calibri" w:ascii="Calibri" w:hAnsi="Calibri"/>
          <w:b/>
          <w:color w:val="1F4E5F"/>
          <w:sz w:val="24"/>
          <w:szCs w:val="24"/>
          <w:lang w:val="en-CA" w:eastAsia="en-CA" w:bidi="ar-SA"/>
        </w:rPr>
        <w:t>G.1 Purpose</w:t>
      </w:r>
    </w:p>
    <w:p>
      <w:pPr>
        <w:pStyle w:val="Normal"/>
        <w:rPr/>
      </w:pPr>
      <w:r>
        <w:rPr>
          <w:rStyle w:val="DefaultParagraphFont"/>
          <w:rFonts w:eastAsia="" w:cs=""/>
          <w:color w:val="2F3B42"/>
          <w:sz w:val="22"/>
          <w:szCs w:val="24"/>
          <w:lang w:val="en-CA" w:eastAsia="en-CA" w:bidi="ar-SA"/>
        </w:rPr>
        <w:t>G.1.1 These examples show the system's arithmetic at vessel level and at fund level, using the rates of Annex C and the envelope of Article 26.1. The figures are planning values; the annual review adjusts them against actuals.</w:t>
      </w:r>
    </w:p>
    <w:p>
      <w:pPr>
        <w:pStyle w:val="Heading2"/>
        <w:rPr/>
      </w:pPr>
      <w:bookmarkStart w:id="257" w:name="__RefHeading___Toc9449_4022417266"/>
      <w:bookmarkEnd w:id="257"/>
      <w:r>
        <w:rPr>
          <w:rFonts w:eastAsia="Calibri" w:cs="Calibri" w:ascii="Calibri" w:hAnsi="Calibri"/>
          <w:b/>
          <w:color w:val="1F4E5F"/>
          <w:sz w:val="24"/>
          <w:szCs w:val="24"/>
          <w:lang w:val="en-CA" w:eastAsia="en-CA" w:bidi="ar-SA"/>
        </w:rPr>
        <w:t>G.2 Vessel-Level Examples</w:t>
      </w:r>
    </w:p>
    <w:p>
      <w:pPr>
        <w:pStyle w:val="Normal"/>
        <w:rPr/>
      </w:pPr>
      <w:r>
        <w:rPr>
          <w:rFonts w:eastAsia="Calibri" w:cs="Calibri"/>
          <w:b/>
          <w:color w:val="1F4E5F"/>
          <w:sz w:val="22"/>
          <w:szCs w:val="24"/>
          <w:lang w:val="en-CA" w:eastAsia="en-CA" w:bidi="ar-SA"/>
        </w:rPr>
        <w:t>Example 1: Very large crude carrier, 320,000 DWT, twenty-two Gulf round trips per year.</w:t>
      </w:r>
      <w:r>
        <w:rPr>
          <w:rStyle w:val="DefaultParagraphFont"/>
          <w:rFonts w:eastAsia="" w:cs=""/>
          <w:color w:val="2F3B42"/>
          <w:sz w:val="22"/>
          <w:szCs w:val="24"/>
          <w:lang w:val="en-CA" w:eastAsia="en-CA" w:bidi="ar-SA"/>
        </w:rPr>
        <w:t xml:space="preserve"> Registry contribution: USD 28,500 per year. The carrier's crisis-era war-risk premium for a single transit peaked near USD 2.5 million; even a partial normalization of the premium index repays the contribution many times over. The carrier receives priority windows, the data feed, and listed-vessel rating. Its passage itself: free, in all three passages.</w:t>
      </w:r>
    </w:p>
    <w:p>
      <w:pPr>
        <w:pStyle w:val="Normal"/>
        <w:rPr/>
      </w:pPr>
      <w:r>
        <w:rPr>
          <w:rFonts w:eastAsia="Calibri" w:cs="Calibri"/>
          <w:b/>
          <w:color w:val="1F4E5F"/>
          <w:sz w:val="22"/>
          <w:szCs w:val="24"/>
          <w:lang w:val="en-CA" w:eastAsia="en-CA" w:bidi="ar-SA"/>
        </w:rPr>
        <w:t>Example 2: Liquefied natural gas carrier, 174,000 cubic meters, eighteen round trips per year.</w:t>
      </w:r>
      <w:r>
        <w:rPr>
          <w:rStyle w:val="DefaultParagraphFont"/>
          <w:rFonts w:eastAsia="" w:cs=""/>
          <w:color w:val="2F3B42"/>
          <w:sz w:val="22"/>
          <w:szCs w:val="24"/>
          <w:lang w:val="en-CA" w:eastAsia="en-CA" w:bidi="ar-SA"/>
        </w:rPr>
        <w:t xml:space="preserve"> Registry contribution: USD 21,000 per year. The carrier elects escorted grouping on four laden transits per year; escort costs reimburse through the Fund, and the operator pays nothing at the point of use.</w:t>
      </w:r>
    </w:p>
    <w:p>
      <w:pPr>
        <w:pStyle w:val="Normal"/>
        <w:rPr/>
      </w:pPr>
      <w:r>
        <w:rPr>
          <w:rFonts w:eastAsia="Calibri" w:cs="Calibri"/>
          <w:b/>
          <w:color w:val="1F4E5F"/>
          <w:sz w:val="22"/>
          <w:szCs w:val="24"/>
          <w:lang w:val="en-CA" w:eastAsia="en-CA" w:bidi="ar-SA"/>
        </w:rPr>
        <w:t>Example 3: Container ship, 10,000 twenty-foot equivalent units, twelve Gulf calls per year.</w:t>
      </w:r>
      <w:r>
        <w:rPr>
          <w:rStyle w:val="DefaultParagraphFont"/>
          <w:rFonts w:eastAsia="" w:cs=""/>
          <w:color w:val="2F3B42"/>
          <w:sz w:val="22"/>
          <w:szCs w:val="24"/>
          <w:lang w:val="en-CA" w:eastAsia="en-CA" w:bidi="ar-SA"/>
        </w:rPr>
        <w:t xml:space="preserve"> Registry contribution: USD 18,000 per year. The vessel's operator also benefits from its flag state's solidarity contribution, which covers the shared statistical layer the whole fleet uses.</w:t>
      </w:r>
    </w:p>
    <w:p>
      <w:pPr>
        <w:pStyle w:val="Normal"/>
        <w:rPr/>
      </w:pPr>
      <w:r>
        <w:rPr>
          <w:rFonts w:eastAsia="Calibri" w:cs="Calibri"/>
          <w:b/>
          <w:color w:val="1F4E5F"/>
          <w:sz w:val="22"/>
          <w:szCs w:val="24"/>
          <w:lang w:val="en-CA" w:eastAsia="en-CA" w:bidi="ar-SA"/>
        </w:rPr>
        <w:t>Example 4: Bulk carrier, 38,000 DWT, eight transits per year, unlisted.</w:t>
      </w:r>
      <w:r>
        <w:rPr>
          <w:rStyle w:val="DefaultParagraphFont"/>
          <w:rFonts w:eastAsia="" w:cs=""/>
          <w:color w:val="2F3B42"/>
          <w:sz w:val="22"/>
          <w:szCs w:val="24"/>
          <w:lang w:val="en-CA" w:eastAsia="en-CA" w:bidi="ar-SA"/>
        </w:rPr>
        <w:t xml:space="preserve"> Contribution: nil. The vessel transits all three passages on identical safety terms, files registration in the Northern Coordination Passage, and pays nothing to anyone for passage. Its market layer remains unrated; the operator weighs that cost against the USD 9,500 listing, freely.</w:t>
      </w:r>
    </w:p>
    <w:p>
      <w:pPr>
        <w:pStyle w:val="Heading2"/>
        <w:rPr/>
      </w:pPr>
      <w:bookmarkStart w:id="258" w:name="__RefHeading___Toc9451_4022417266"/>
      <w:bookmarkEnd w:id="258"/>
      <w:r>
        <w:rPr>
          <w:rFonts w:eastAsia="Calibri" w:cs="Calibri" w:ascii="Calibri" w:hAnsi="Calibri"/>
          <w:b/>
          <w:color w:val="1F4E5F"/>
          <w:sz w:val="24"/>
          <w:szCs w:val="24"/>
          <w:lang w:val="en-CA" w:eastAsia="en-CA" w:bidi="ar-SA"/>
        </w:rPr>
        <w:t>G.3 The Premium Arithmetic</w:t>
      </w:r>
    </w:p>
    <w:p>
      <w:pPr>
        <w:pStyle w:val="Normal"/>
        <w:rPr/>
      </w:pPr>
      <w:r>
        <w:rPr>
          <w:rStyle w:val="DefaultParagraphFont"/>
          <w:rFonts w:eastAsia="" w:cs=""/>
          <w:color w:val="2F3B42"/>
          <w:sz w:val="22"/>
          <w:szCs w:val="24"/>
          <w:lang w:val="en-CA" w:eastAsia="en-CA" w:bidi="ar-SA"/>
        </w:rPr>
        <w:t>G.3.1 At crisis levels, a single supertanker transit carried war-risk premiums near USD 2.5 million, and hundreds of vessels waited at anchor. At a normalized premium index, the same transit costs a small fraction of that figure. The Registry and Data Service subscriptions across the entire market total a fraction of one day's crisis premium exposure. The Network's financial logic rests on that spread.</w:t>
      </w:r>
    </w:p>
    <w:p>
      <w:pPr>
        <w:pStyle w:val="Heading2"/>
        <w:rPr/>
      </w:pPr>
      <w:bookmarkStart w:id="259" w:name="__RefHeading___Toc9453_4022417266"/>
      <w:bookmarkEnd w:id="259"/>
      <w:r>
        <w:rPr>
          <w:rFonts w:eastAsia="Calibri" w:cs="Calibri" w:ascii="Calibri" w:hAnsi="Calibri"/>
          <w:b/>
          <w:color w:val="1F4E5F"/>
          <w:sz w:val="24"/>
          <w:szCs w:val="24"/>
          <w:lang w:val="en-CA" w:eastAsia="en-CA" w:bidi="ar-SA"/>
        </w:rPr>
        <w:t>G.4 Fund-Level Example: First Full Year</w:t>
      </w:r>
    </w:p>
    <w:p>
      <w:pPr>
        <w:pStyle w:val="Normal"/>
        <w:rPr/>
      </w:pPr>
      <w:r>
        <w:rPr>
          <w:rFonts w:eastAsia="Calibri" w:cs="Calibri"/>
          <w:b/>
          <w:color w:val="1F4E5F"/>
          <w:sz w:val="22"/>
          <w:szCs w:val="24"/>
          <w:lang w:val="en-CA" w:eastAsia="en-CA" w:bidi="ar-SA"/>
        </w:rPr>
        <w:t>Revenue plan (Table G-4). Planning assumptions: roughly 1,900 listed vessels across classes; twelve club and underwriter subscriptions; six Category II Transit User Contributors; twenty flag and industry contributors; twelve participating ports.</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Channel</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4"/>
                <w:szCs w:val="24"/>
                <w:lang w:val="en-CA" w:eastAsia="en-CA" w:bidi="ar-SA"/>
              </w:rPr>
              <w:t>Planning revenue (USD million)</w:t>
            </w:r>
          </w:p>
        </w:tc>
      </w:tr>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Assurance Registry</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38</w:t>
            </w:r>
          </w:p>
        </w:tc>
      </w:tr>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Route Assurance Data Service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60</w:t>
            </w:r>
          </w:p>
        </w:tc>
      </w:tr>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Transit User Contributions</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120</w:t>
            </w:r>
          </w:p>
        </w:tc>
      </w:tr>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Flag and industry contributions</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74</w:t>
            </w:r>
          </w:p>
        </w:tc>
      </w:tr>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Port processing add-on</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40</w:t>
            </w:r>
          </w:p>
        </w:tc>
      </w:tr>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Total planned revenue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332</w:t>
            </w:r>
          </w:p>
        </w:tc>
      </w:tr>
    </w:tbl>
    <w:p>
      <w:pPr>
        <w:pStyle w:val="Normal"/>
        <w:rPr/>
      </w:pPr>
      <w:r>
        <w:rPr/>
      </w:r>
    </w:p>
    <w:p>
      <w:pPr>
        <w:pStyle w:val="Normal"/>
        <w:rPr/>
      </w:pPr>
      <w:r>
        <w:rPr>
          <w:rFonts w:eastAsia="Calibri" w:cs="Calibri"/>
          <w:b/>
          <w:color w:val="1F4E5F"/>
          <w:sz w:val="22"/>
          <w:szCs w:val="24"/>
          <w:lang w:val="en-CA" w:eastAsia="en-CA" w:bidi="ar-SA"/>
        </w:rPr>
        <w:t>Envelope and phasing (Table G-5).</w:t>
      </w:r>
      <w:r>
        <w:rPr>
          <w:rStyle w:val="DefaultParagraphFont"/>
          <w:rFonts w:eastAsia="" w:cs=""/>
          <w:color w:val="2F3B42"/>
          <w:sz w:val="22"/>
          <w:szCs w:val="24"/>
          <w:lang w:val="en-CA" w:eastAsia="en-CA" w:bidi="ar-SA"/>
        </w:rPr>
        <w:t xml:space="preserve"> The first-year envelope stands at USD 412 million against full service volume. The phase-in of Article 35 covers the gap year one through the transition arrangements below.</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Allocation</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USD million</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Northern system services, 34 percent</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140</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Central system services, 34 percent</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140</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Southern system services, 32 percent</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132</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Total envelope</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412</w:t>
            </w:r>
          </w:p>
        </w:tc>
      </w:tr>
    </w:tbl>
    <w:p>
      <w:pPr>
        <w:pStyle w:val="Normal"/>
        <w:rPr/>
      </w:pPr>
      <w:r>
        <w:rPr>
          <w:rStyle w:val="DefaultParagraphFont"/>
          <w:rFonts w:eastAsia="" w:cs=""/>
          <w:color w:val="2F3B42"/>
          <w:sz w:val="22"/>
          <w:szCs w:val="24"/>
          <w:lang w:val="en-CA" w:eastAsia="en-CA" w:bidi="ar-SA"/>
        </w:rPr>
        <w:t>G.4.1 The first-year phase-in holds reimbursements to approximately 70 percent of the full envelope as traffic normalizes, approximately USD 288 million. Planned multilateral revenue of approximately USD 332 million covers that phased level and builds a stabilization reserve of approximately USD 44 million.</w:t>
      </w:r>
    </w:p>
    <w:p>
      <w:pPr>
        <w:pStyle w:val="Normal"/>
        <w:rPr/>
      </w:pPr>
      <w:r>
        <w:rPr>
          <w:rStyle w:val="DefaultParagraphFont"/>
          <w:rFonts w:eastAsia="" w:cs=""/>
          <w:color w:val="2F3B42"/>
          <w:sz w:val="22"/>
          <w:szCs w:val="24"/>
          <w:lang w:val="en-CA" w:eastAsia="en-CA" w:bidi="ar-SA"/>
        </w:rPr>
        <w:t>G.4.2 From year two, traffic normalization, Transit User Contributions, and Data Service general availability close the structural gap: planning revenue rises to approximately USD 390 million in year two and approximately USD 430 million in year three as listing rates climb toward market-clearing levels and the Infrastructure Interface absorbs any surplus.</w:t>
      </w:r>
    </w:p>
    <w:p>
      <w:pPr>
        <w:pStyle w:val="Heading2"/>
        <w:rPr/>
      </w:pPr>
      <w:bookmarkStart w:id="260" w:name="__RefHeading___Toc9455_4022417266"/>
      <w:bookmarkEnd w:id="260"/>
      <w:r>
        <w:rPr>
          <w:rFonts w:eastAsia="Calibri" w:cs="Calibri" w:ascii="Calibri" w:hAnsi="Calibri"/>
          <w:b/>
          <w:color w:val="1F4E5F"/>
          <w:sz w:val="24"/>
          <w:szCs w:val="24"/>
          <w:lang w:val="en-CA" w:eastAsia="en-CA" w:bidi="ar-SA"/>
        </w:rPr>
        <w:t>G.5 What Participants Take Home</w:t>
      </w:r>
    </w:p>
    <w:p>
      <w:pPr>
        <w:pStyle w:val="Normal"/>
        <w:rPr/>
      </w:pPr>
      <w:r>
        <w:rPr>
          <w:rStyle w:val="DefaultParagraphFont"/>
          <w:rFonts w:eastAsia="" w:cs=""/>
          <w:color w:val="2F3B42"/>
          <w:sz w:val="22"/>
          <w:szCs w:val="24"/>
          <w:lang w:val="en-CA" w:eastAsia="en-CA" w:bidi="ar-SA"/>
        </w:rPr>
        <w:t>G.5.1 The Northern Coordination system's service entities receive approximately USD 140 million per year in verified reimbursement at full operation: a legitimate, audited, sanctions-clean revenue stream that recognizes the shared regional management role in cash terms, without a single shipper paying a single toll.</w:t>
      </w:r>
    </w:p>
    <w:p>
      <w:pPr>
        <w:pStyle w:val="Normal"/>
        <w:rPr/>
      </w:pPr>
      <w:r>
        <w:rPr>
          <w:rStyle w:val="DefaultParagraphFont"/>
          <w:rFonts w:eastAsia="" w:cs=""/>
          <w:color w:val="2F3B42"/>
          <w:sz w:val="22"/>
          <w:szCs w:val="24"/>
          <w:lang w:val="en-CA" w:eastAsia="en-CA" w:bidi="ar-SA"/>
        </w:rPr>
        <w:t>G.5.2 The Central International system's service entities receive approximately USD 140 million per year in verified reimbursement at full operation, and the escrow split of Article 22.5.4 allocates that reimbursement between the dual administrations: a service revenue stream that funds the jointly managed lane without a single toll.</w:t>
      </w:r>
    </w:p>
    <w:p>
      <w:pPr>
        <w:pStyle w:val="Normal"/>
        <w:rPr/>
      </w:pPr>
      <w:r>
        <w:rPr>
          <w:rStyle w:val="DefaultParagraphFont"/>
          <w:rFonts w:eastAsia="" w:cs=""/>
          <w:color w:val="2F3B42"/>
          <w:sz w:val="22"/>
          <w:szCs w:val="24"/>
          <w:lang w:val="en-CA" w:eastAsia="en-CA" w:bidi="ar-SA"/>
        </w:rPr>
        <w:t>G.5.3 The Southern Assurance system's service entities receive approximately USD 132 million per year on the same basis, and the Southern Assurance Passage's unconditional character remains absolute.</w:t>
      </w:r>
    </w:p>
    <w:p>
      <w:pPr>
        <w:pStyle w:val="Normal"/>
        <w:rPr/>
      </w:pPr>
      <w:r>
        <w:rPr>
          <w:rStyle w:val="DefaultParagraphFont"/>
          <w:rFonts w:eastAsia="" w:cs=""/>
          <w:color w:val="2F3B42"/>
          <w:sz w:val="22"/>
          <w:szCs w:val="24"/>
          <w:lang w:val="en-CA" w:eastAsia="en-CA" w:bidi="ar-SA"/>
        </w:rPr>
        <w:t>G.5.4 The shipping community receives: toll-free transit in perpetuity, lower insurance costs, predictable windows, and a verified incident record. The market's savings exceed its contributions by design, per Article 24.3.</w:t>
      </w:r>
    </w:p>
    <w:p>
      <w:pPr>
        <w:pStyle w:val="Normal"/>
        <w:rPr/>
      </w:pPr>
      <w:r>
        <w:rPr>
          <w:rStyle w:val="DefaultParagraphFont"/>
          <w:rFonts w:eastAsia="" w:cs=""/>
          <w:color w:val="2F3B42"/>
          <w:sz w:val="22"/>
          <w:szCs w:val="24"/>
          <w:lang w:val="en-CA" w:eastAsia="en-CA" w:bidi="ar-SA"/>
        </w:rPr>
        <w:t>G.5.5 Regional and international stakeholders receive: a strait that stays open because every participant at the table profits from its openness.</w:t>
      </w:r>
    </w:p>
    <w:p>
      <w:pPr>
        <w:pStyle w:val="heading1nb"/>
        <w:rPr/>
      </w:pPr>
      <w:bookmarkStart w:id="261" w:name="__RefHeading___Toc9457_4022417266"/>
      <w:bookmarkEnd w:id="261"/>
      <w:r>
        <w:rPr>
          <w:rFonts w:eastAsia="Cambria" w:cs="Cambria"/>
          <w:b/>
          <w:color w:val="1F4E5F"/>
          <w:sz w:val="32"/>
          <w:szCs w:val="24"/>
          <w:lang w:val="en-CA" w:eastAsia="en-CA" w:bidi="ar-SA"/>
        </w:rPr>
        <w:t>Annex H: Model Forms</w:t>
      </w:r>
    </w:p>
    <w:p>
      <w:pPr>
        <w:pStyle w:val="Heading2"/>
        <w:rPr/>
      </w:pPr>
      <w:bookmarkStart w:id="262" w:name="__RefHeading___Toc9459_4022417266"/>
      <w:bookmarkEnd w:id="262"/>
      <w:r>
        <w:rPr>
          <w:rFonts w:eastAsia="Cambria" w:cs="Cambria"/>
          <w:b/>
          <w:color w:val="1F4E5F"/>
          <w:sz w:val="26"/>
          <w:szCs w:val="24"/>
          <w:lang w:val="en-CA" w:eastAsia="en-CA" w:bidi="ar-SA"/>
        </w:rPr>
        <w:t>H.1 Form R-1: Transit Registration</w:t>
      </w:r>
    </w:p>
    <w:tbl>
      <w:tblPr>
        <w:tblStyle w:val="TableNormal"/>
        <w:tblW w:w="9026" w:type="dxa"/>
        <w:jc w:val="left"/>
        <w:tblInd w:w="0" w:type="dxa"/>
        <w:tblLayout w:type="fixed"/>
        <w:tblCellMar>
          <w:top w:w="0" w:type="dxa"/>
          <w:left w:w="108" w:type="dxa"/>
          <w:bottom w:w="0" w:type="dxa"/>
          <w:right w:w="108" w:type="dxa"/>
        </w:tblCellMar>
      </w:tblPr>
      <w:tblGrid>
        <w:gridCol w:w="3008"/>
        <w:gridCol w:w="3007"/>
        <w:gridCol w:w="3011"/>
      </w:tblGrid>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Field</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Entry</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Guidance</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Vessel name and registration number</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As registered</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Flag state</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As registered</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3</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Class</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Per Annex B</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4</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Type and size band</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Type plus DWT or TEU or cubic meters band</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5</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Last port, next port</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UN location codes</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6</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Passage and lane</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I or R; W or E</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7</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Requested window</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From Bulletin cycle</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8</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Cargo type band</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One band only</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9</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Dangerous goods reference</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Where applicable</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10</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Environmental coverage reference</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Where applicable</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11</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Escort election</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Yes or no</w:t>
            </w:r>
          </w:p>
        </w:tc>
      </w:tr>
      <w:tr>
        <w:trPr>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12</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Master contact channel</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Working channel or satellite number</w:t>
            </w:r>
          </w:p>
        </w:tc>
      </w:tr>
    </w:tbl>
    <w:p>
      <w:pPr>
        <w:pStyle w:val="Normal"/>
        <w:rPr/>
      </w:pPr>
      <w:r>
        <w:rPr/>
      </w:r>
    </w:p>
    <w:p>
      <w:pPr>
        <w:pStyle w:val="Heading2"/>
        <w:rPr/>
      </w:pPr>
      <w:bookmarkStart w:id="263" w:name="__RefHeading___Toc9461_4022417266"/>
      <w:bookmarkEnd w:id="263"/>
      <w:r>
        <w:rPr>
          <w:rFonts w:eastAsia="Cambria" w:cs="Cambria"/>
          <w:b/>
          <w:color w:val="1F4E5F"/>
          <w:sz w:val="26"/>
          <w:szCs w:val="24"/>
          <w:lang w:val="en-CA" w:eastAsia="en-CA" w:bidi="ar-SA"/>
        </w:rPr>
        <w:t>H.2 Form I-1: Service Invoice Cover Sheet</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Field</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Entry</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Invoicing entity</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Designated service entity name</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Quarter</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Calendar quarter</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Service codes claimed</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Per Annex C, Table C-1</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Evidence pack contents</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Logs, reports, rosters per service</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Certification</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Signed by entity head and countersigned by liaison</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Auditor verification</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Stamp and reference</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Payment instruction</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Administrator reference only</w:t>
            </w:r>
          </w:p>
        </w:tc>
      </w:tr>
    </w:tbl>
    <w:p>
      <w:pPr>
        <w:pStyle w:val="Normal"/>
        <w:rPr/>
      </w:pPr>
      <w:r>
        <w:rPr/>
      </w:r>
    </w:p>
    <w:p>
      <w:pPr>
        <w:pStyle w:val="Heading2"/>
        <w:rPr/>
      </w:pPr>
      <w:bookmarkStart w:id="264" w:name="__RefHeading___Toc9463_4022417266"/>
      <w:bookmarkEnd w:id="264"/>
      <w:r>
        <w:rPr>
          <w:rFonts w:eastAsia="Cambria" w:cs="Cambria"/>
          <w:b/>
          <w:color w:val="1F4E5F"/>
          <w:sz w:val="26"/>
          <w:szCs w:val="24"/>
          <w:lang w:val="en-CA" w:eastAsia="en-CA" w:bidi="ar-SA"/>
        </w:rPr>
        <w:t>H.3 Form O-1: Observer Embarkation and Report</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Field</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Entry</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Observer identity</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Roster number</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Vessel and voyage</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Name, class, window</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Embarkation point</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Rendezvous or port</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Passage conduct record</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Timed observations</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Service delivery record</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Escort, bulletin, reporting observed</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Interference observation</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If any, with position and time</w:t>
            </w:r>
          </w:p>
        </w:tc>
      </w:tr>
      <w:tr>
        <w:trPr/>
        <w:tc>
          <w:tcPr>
            <w:tcW w:w="4513"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Signature and filing time</w:t>
            </w:r>
          </w:p>
        </w:tc>
        <w:tc>
          <w:tcPr>
            <w:tcW w:w="4512" w:type="dxa"/>
            <w:tcBorders>
              <w:top w:val="single" w:sz="6" w:space="0" w:color="000000"/>
              <w:bottom w:val="single" w:sz="6" w:space="0" w:color="000000"/>
            </w:tcBorders>
          </w:tcPr>
          <w:p>
            <w:pPr>
              <w:pStyle w:val="Normal"/>
              <w:suppressAutoHyphens w:val="true"/>
              <w:spacing w:before="0" w:after="110"/>
              <w:rPr>
                <w:sz w:val="24"/>
              </w:rPr>
            </w:pPr>
            <w:r>
              <w:rPr>
                <w:rStyle w:val="DefaultParagraphFont"/>
                <w:rFonts w:eastAsia="" w:cs=""/>
                <w:color w:val="2F3B42"/>
                <w:sz w:val="22"/>
                <w:szCs w:val="24"/>
                <w:lang w:val="en-CA" w:eastAsia="en-CA" w:bidi="ar-SA"/>
              </w:rPr>
              <w:t>Within twelve hours of disembarkation</w:t>
            </w:r>
          </w:p>
        </w:tc>
      </w:tr>
    </w:tbl>
    <w:p>
      <w:pPr>
        <w:pStyle w:val="Normal"/>
        <w:rPr/>
      </w:pPr>
      <w:r>
        <w:rPr/>
      </w:r>
    </w:p>
    <w:p>
      <w:pPr>
        <w:pStyle w:val="heading1nb"/>
        <w:rPr/>
      </w:pPr>
      <w:bookmarkStart w:id="265" w:name="__RefHeading___Toc9465_4022417266"/>
      <w:bookmarkEnd w:id="265"/>
      <w:r>
        <w:rPr>
          <w:rFonts w:eastAsia="Cambria" w:cs="Cambria"/>
          <w:b/>
          <w:color w:val="1F4E5F"/>
          <w:sz w:val="32"/>
          <w:szCs w:val="24"/>
          <w:lang w:val="en-CA" w:eastAsia="en-CA" w:bidi="ar-SA"/>
        </w:rPr>
        <w:t>Annex I: Governance Calendar and Standing Tables</w:t>
      </w:r>
    </w:p>
    <w:p>
      <w:pPr>
        <w:pStyle w:val="Heading2"/>
        <w:rPr/>
      </w:pPr>
      <w:bookmarkStart w:id="266" w:name="__RefHeading___Toc9467_4022417266"/>
      <w:bookmarkEnd w:id="266"/>
      <w:r>
        <w:rPr>
          <w:rFonts w:eastAsia="Cambria" w:cs="Cambria"/>
          <w:b/>
          <w:color w:val="1F4E5F"/>
          <w:sz w:val="26"/>
          <w:szCs w:val="24"/>
          <w:lang w:val="en-CA" w:eastAsia="en-CA" w:bidi="ar-SA"/>
        </w:rPr>
        <w:t>I.1 Annual Calendar</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Month</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Event</w:t>
            </w:r>
          </w:p>
        </w:tc>
      </w:tr>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First month of quarter</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Council ordinary session; horizon rolls</w:t>
            </w:r>
          </w:p>
        </w:tc>
      </w:tr>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Quarterly</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Search and rescue drill; Ledger publication; Fund audit cycle</w:t>
            </w:r>
          </w:p>
        </w:tc>
      </w:tr>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Mid-year</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Stakeholder Panel session one; premium index review; rotational Council seat election where applicable</w:t>
            </w:r>
          </w:p>
        </w:tc>
      </w:tr>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Twelfth month</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Open Water Review Conference as Assembly public session; annual report; Register integrity report; participation category review</w:t>
            </w:r>
          </w:p>
        </w:tc>
      </w:tr>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Weekly</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Neutral Keel observation summary; code issuance performance</w:t>
            </w:r>
          </w:p>
        </w:tc>
      </w:tr>
      <w:tr>
        <w:trPr>
          <w:tblHeader w:val="true"/>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Daily</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Bulletins at 0600 and 1800; hotline test at 0000</w:t>
            </w:r>
          </w:p>
        </w:tc>
      </w:tr>
    </w:tbl>
    <w:p>
      <w:pPr>
        <w:pStyle w:val="Normal"/>
        <w:rPr/>
      </w:pPr>
      <w:r>
        <w:rPr/>
      </w:r>
    </w:p>
    <w:p>
      <w:pPr>
        <w:pStyle w:val="Heading2"/>
        <w:rPr/>
      </w:pPr>
      <w:bookmarkStart w:id="267" w:name="__RefHeading___Toc9469_4022417266"/>
      <w:bookmarkEnd w:id="267"/>
      <w:r>
        <w:rPr>
          <w:rFonts w:eastAsia="Cambria" w:cs="Cambria"/>
          <w:b/>
          <w:color w:val="1F4E5F"/>
          <w:sz w:val="26"/>
          <w:szCs w:val="24"/>
          <w:lang w:val="en-CA" w:eastAsia="en-CA" w:bidi="ar-SA"/>
        </w:rPr>
        <w:t>I.2 Council Sessions</w:t>
      </w:r>
    </w:p>
    <w:p>
      <w:pPr>
        <w:pStyle w:val="Normal"/>
        <w:rPr/>
      </w:pPr>
      <w:r>
        <w:rPr>
          <w:rStyle w:val="DefaultParagraphFont"/>
          <w:rFonts w:eastAsia="" w:cs=""/>
          <w:color w:val="2F3B42"/>
          <w:sz w:val="22"/>
          <w:szCs w:val="24"/>
          <w:lang w:val="en-CA" w:eastAsia="en-CA" w:bidi="ar-SA"/>
        </w:rPr>
        <w:t>I.2.1 Ordinary sessions: first Monday of each quarter. Extraordinary sessions: within forty-eight hours of trigger events. Chair rotates quarterly.</w:t>
      </w:r>
    </w:p>
    <w:p>
      <w:pPr>
        <w:pStyle w:val="Heading2"/>
        <w:rPr/>
      </w:pPr>
      <w:bookmarkStart w:id="268" w:name="__RefHeading___Toc9471_4022417266"/>
      <w:bookmarkEnd w:id="268"/>
      <w:r>
        <w:rPr>
          <w:rFonts w:eastAsia="Cambria" w:cs="Cambria"/>
          <w:b/>
          <w:color w:val="1F4E5F"/>
          <w:sz w:val="26"/>
          <w:szCs w:val="24"/>
          <w:lang w:val="en-CA" w:eastAsia="en-CA" w:bidi="ar-SA"/>
        </w:rPr>
        <w:t>I.3 Review Cycles</w:t>
      </w:r>
    </w:p>
    <w:tbl>
      <w:tblPr>
        <w:tblStyle w:val="TableNormal"/>
        <w:tblW w:w="9026" w:type="dxa"/>
        <w:jc w:val="left"/>
        <w:tblInd w:w="0" w:type="dxa"/>
        <w:tblLayout w:type="fixed"/>
        <w:tblCellMar>
          <w:top w:w="0" w:type="dxa"/>
          <w:left w:w="108" w:type="dxa"/>
          <w:bottom w:w="0" w:type="dxa"/>
          <w:right w:w="108" w:type="dxa"/>
        </w:tblCellMar>
      </w:tblPr>
      <w:tblGrid>
        <w:gridCol w:w="3008"/>
        <w:gridCol w:w="3007"/>
        <w:gridCol w:w="3011"/>
      </w:tblGrid>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Element</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Cycle</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Body</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Catalog rates</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Annual</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Fund Board within Assembly formula and Council limits</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Envelope</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Annual</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Assembly formula, applied by Council</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Register</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Annual integrity test</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Neutral Keel Office</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Coordinates and scheme</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Every three years</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Multilateral survey, then International Maritime Organization</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Framework horizon</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Quarterly roll</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Council</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Participation categories</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Annual</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Hormuz Maritime Assembly</w:t>
            </w:r>
          </w:p>
        </w:tc>
      </w:tr>
    </w:tbl>
    <w:p>
      <w:pPr>
        <w:pStyle w:val="Normal"/>
        <w:rPr/>
      </w:pPr>
      <w:r>
        <w:rPr/>
      </w:r>
    </w:p>
    <w:p>
      <w:pPr>
        <w:pStyle w:val="Heading2"/>
        <w:rPr/>
      </w:pPr>
      <w:bookmarkStart w:id="269" w:name="__RefHeading___Toc9473_4022417266"/>
      <w:bookmarkEnd w:id="269"/>
      <w:r>
        <w:rPr>
          <w:rFonts w:eastAsia="Cambria" w:cs="Cambria"/>
          <w:b/>
          <w:color w:val="1F4E5F"/>
          <w:sz w:val="26"/>
          <w:szCs w:val="24"/>
          <w:lang w:val="en-CA" w:eastAsia="en-CA" w:bidi="ar-SA"/>
        </w:rPr>
        <w:t>I.4 Center Establishment (58 Posts)</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Function</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Posts</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Co-Directors</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Multinational duty teams, three watches</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12 posts</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Registration desk</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8</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Bulletin and data desk</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6</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Escort and anchorage board</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4</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Legal desk</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Hydrography and charting</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4</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Environmental desk</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Administration and logistics</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6</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Engineering and communications</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Central Passage watch and sequencing desk</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6</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Central Corridor Management Board secretariat</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Voluntary contribution desk</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w:t>
            </w:r>
          </w:p>
        </w:tc>
      </w:tr>
    </w:tbl>
    <w:p>
      <w:pPr>
        <w:pStyle w:val="Normal"/>
        <w:rPr/>
      </w:pPr>
      <w:r>
        <w:rPr/>
      </w:r>
    </w:p>
    <w:p>
      <w:pPr>
        <w:pStyle w:val="Heading2"/>
        <w:rPr/>
      </w:pPr>
      <w:bookmarkStart w:id="270" w:name="__RefHeading___Toc9475_4022417266"/>
      <w:bookmarkEnd w:id="270"/>
      <w:r>
        <w:rPr>
          <w:rFonts w:eastAsia="Cambria" w:cs="Cambria"/>
          <w:b/>
          <w:color w:val="1F4E5F"/>
          <w:sz w:val="26"/>
          <w:szCs w:val="24"/>
          <w:lang w:val="en-CA" w:eastAsia="en-CA" w:bidi="ar-SA"/>
        </w:rPr>
        <w:t>I.5 Performance Reserve Rates</w:t>
      </w:r>
    </w:p>
    <w:p>
      <w:pPr>
        <w:pStyle w:val="Normal"/>
        <w:rPr/>
      </w:pPr>
      <w:r>
        <w:rPr>
          <w:rStyle w:val="DefaultParagraphFont"/>
          <w:rFonts w:eastAsia="" w:cs=""/>
          <w:color w:val="2F3B42"/>
          <w:sz w:val="22"/>
          <w:szCs w:val="24"/>
          <w:lang w:val="en-CA" w:eastAsia="en-CA" w:bidi="ar-SA"/>
        </w:rPr>
        <w:t>I.5.1 A quarter of full compliance banks one unit of credit. Over-compliance banks one additional half unit. A Category Zero Good Governance Contribution banks one additional half unit. One unit absorbs one Category Two ladder consequence. The Reserve carries no cap and no expiry.</w:t>
      </w:r>
    </w:p>
    <w:p>
      <w:pPr>
        <w:pStyle w:val="heading1nb"/>
        <w:rPr/>
      </w:pPr>
      <w:bookmarkStart w:id="271" w:name="__RefHeading___Toc9477_4022417266"/>
      <w:bookmarkEnd w:id="271"/>
      <w:r>
        <w:rPr>
          <w:rFonts w:eastAsia="Cambria" w:cs="Cambria"/>
          <w:b/>
          <w:color w:val="1F4E5F"/>
          <w:sz w:val="32"/>
          <w:szCs w:val="24"/>
          <w:lang w:val="en-CA" w:eastAsia="en-CA" w:bidi="ar-SA"/>
        </w:rPr>
        <w:t>Annex J: Glossary of Network Terms</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Term</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Short meaning</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Anti-Cascade Firewall</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One module's failure never spreads</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Assurance Registry</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Voluntary vessel listing with market benefits and the Hormuz Safe Transporter designation</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Separation Belts</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Two-mile dividers between the three passages</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Category I</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Littoral State full membership</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Category II</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Major User State strategic partnership</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Category III</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Observer State engagement</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Category IV</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International organization or industry technical partnership</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Composite Council</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executive governing body</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Convergence Standard</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Two independent inputs before any finding</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Dignified Deactivation Protocol</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Orderly, honorable module wind-down</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Flow states</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Free Flow, Managed Flow, Protected Hold</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Good Faith Reset</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Annual clearing of minor records</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Graduated Response Ladder</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Proportional compliance responses with exits</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Hormuz Maritime Assembly</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Plenary body of all Participant States</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Hormuz Maritime Stewardship Fund</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independent financing institution</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Hormuz Safe Transporter</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Multilateral Registry designation for listed vessels and operators</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Human Anchor Method</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People-first verification</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Inshore Local Craft Bands</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Three-mile local craft zones</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Southern Assurance Passage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Unconditional toll-free southern route</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Meridian Coordination Center</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Joint operations center</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Modular Protocol Annex</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Self-contained operative module</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Multilateral Services Ledger</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Honest quarterly record of exchange</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Multilateral Transit Code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Receipt acknowledgment, never permission</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Neutral Keel Office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Standing verification office</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No-fade continuity</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Nothing expires silently</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Open Water Bulletin</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Daily public status publication</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Performance Reserve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Banked, never-expiring compliance and contribution credit</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Perimeter Test</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Core-principles screening for every measure</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Protected Hold</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Area-limited, time-limited safety pause</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Qualified Majority Rule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Majority of all Council members plus majority of Category I members</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Quiet Water Windows</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Daily reduced-posture periods</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Northern Coordination Passage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Registration-based northern route</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Rolling Horizon</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Twenty-four-month auto-renewing continuation</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Route Assurance Data Service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Verified data sold to the insurance market</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Still Water Clause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Automatic, module-limited pause mechanism</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Transit User Contribution</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Annual major-user contribution scaled by tonnage and imports</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Verified Services Catalog</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Priced list of reimbursable services</w:t>
            </w:r>
          </w:p>
        </w:tc>
      </w:tr>
      <w:tr>
        <w:trPr>
          <w:cantSplit w:val="true"/>
        </w:trPr>
        <w:tc>
          <w:tcPr>
            <w:tcW w:w="4513"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Zero-Toll Rule</w:t>
            </w:r>
          </w:p>
        </w:tc>
        <w:tc>
          <w:tcPr>
            <w:tcW w:w="4512"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Transit never carries a charge</w:t>
            </w:r>
          </w:p>
        </w:tc>
      </w:tr>
    </w:tbl>
    <w:p>
      <w:pPr>
        <w:pStyle w:val="Normal"/>
        <w:rPr/>
      </w:pPr>
      <w:r>
        <w:rPr/>
      </w:r>
    </w:p>
    <w:p>
      <w:pPr>
        <w:pStyle w:val="heading1nb"/>
        <w:rPr/>
      </w:pPr>
      <w:bookmarkStart w:id="272" w:name="__RefHeading___Toc9479_4022417266"/>
      <w:bookmarkEnd w:id="272"/>
      <w:r>
        <w:rPr>
          <w:rFonts w:eastAsia="Cambria" w:cs="Cambria"/>
          <w:b/>
          <w:color w:val="1F4E5F"/>
          <w:sz w:val="32"/>
          <w:szCs w:val="24"/>
          <w:lang w:val="en-CA" w:eastAsia="en-CA" w:bidi="ar-SA"/>
        </w:rPr>
        <w:t>Annex K: Activation Checklist</w:t>
      </w:r>
    </w:p>
    <w:p>
      <w:pPr>
        <w:pStyle w:val="Heading2"/>
        <w:rPr/>
      </w:pPr>
      <w:bookmarkStart w:id="273" w:name="__RefHeading___Toc9481_4022417266"/>
      <w:bookmarkEnd w:id="273"/>
      <w:r>
        <w:rPr>
          <w:rFonts w:eastAsia="Cambria" w:cs="Cambria"/>
          <w:b/>
          <w:color w:val="1F4E5F"/>
          <w:sz w:val="26"/>
          <w:szCs w:val="24"/>
          <w:lang w:val="en-CA" w:eastAsia="en-CA" w:bidi="ar-SA"/>
        </w:rPr>
        <w:t>K.1 Days 0 to 14</w:t>
      </w:r>
    </w:p>
    <w:tbl>
      <w:tblPr>
        <w:tblStyle w:val="TableNormal"/>
        <w:tblW w:w="9026" w:type="dxa"/>
        <w:jc w:val="left"/>
        <w:tblInd w:w="0" w:type="dxa"/>
        <w:tblLayout w:type="fixed"/>
        <w:tblCellMar>
          <w:top w:w="0" w:type="dxa"/>
          <w:left w:w="108" w:type="dxa"/>
          <w:bottom w:w="0" w:type="dxa"/>
          <w:right w:w="108" w:type="dxa"/>
        </w:tblCellMar>
      </w:tblPr>
      <w:tblGrid>
        <w:gridCol w:w="3008"/>
        <w:gridCol w:w="3007"/>
        <w:gridCol w:w="3011"/>
      </w:tblGrid>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Day</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Action</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Owner</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0</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Signature; Depositary receives instruments</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Category I states</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Hotline live and tested; liaison officers accredited</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Center advance team</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First Bulletin issued; interim forms published</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Center advance team</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3 to 7</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Co-Directors assume duty; watch floor partial staffing</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Category I states</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7</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Neutral Keel Director arrives; roster nomination opens</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Facilitating States and International Maritime Organization</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10</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Observer rota drafted; survey planning begins</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Center</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14</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Phase One gate: hotline drill passed, Bulletin unbroken</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Neutral Keel Office</w:t>
            </w:r>
          </w:p>
        </w:tc>
      </w:tr>
    </w:tbl>
    <w:p>
      <w:pPr>
        <w:pStyle w:val="Normal"/>
        <w:rPr/>
      </w:pPr>
      <w:r>
        <w:rPr/>
      </w:r>
    </w:p>
    <w:p>
      <w:pPr>
        <w:pStyle w:val="Heading2"/>
        <w:rPr/>
      </w:pPr>
      <w:bookmarkStart w:id="274" w:name="__RefHeading___Toc9483_4022417266"/>
      <w:bookmarkEnd w:id="274"/>
      <w:r>
        <w:rPr>
          <w:rFonts w:eastAsia="Cambria" w:cs="Cambria"/>
          <w:b/>
          <w:color w:val="1F4E5F"/>
          <w:sz w:val="26"/>
          <w:szCs w:val="24"/>
          <w:lang w:val="en-CA" w:eastAsia="en-CA" w:bidi="ar-SA"/>
        </w:rPr>
        <w:t>K.2 Days 15 to 45</w:t>
      </w:r>
    </w:p>
    <w:tbl>
      <w:tblPr>
        <w:tblStyle w:val="TableNormal"/>
        <w:tblW w:w="9026" w:type="dxa"/>
        <w:jc w:val="left"/>
        <w:tblInd w:w="0" w:type="dxa"/>
        <w:tblLayout w:type="fixed"/>
        <w:tblCellMar>
          <w:top w:w="0" w:type="dxa"/>
          <w:left w:w="108" w:type="dxa"/>
          <w:bottom w:w="0" w:type="dxa"/>
          <w:right w:w="108" w:type="dxa"/>
        </w:tblCellMar>
      </w:tblPr>
      <w:tblGrid>
        <w:gridCol w:w="3008"/>
        <w:gridCol w:w="3007"/>
        <w:gridCol w:w="3011"/>
      </w:tblGrid>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Day</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Action</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Owner</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15</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Southern Assurance Passage declared operational in Free Flow</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Council</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16 to 30</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Watch floor reaches full multinational staffing</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Center</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21</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First observer embarkations</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Neutral Keel Office</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30</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First weekly observation summary published</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Neutral Keel Office</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40</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Anchorage management live; gate windows published</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Center</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45</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Phase Two gate: seven consecutive Free Flow days published</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Neutral Keel Office</w:t>
            </w:r>
          </w:p>
        </w:tc>
      </w:tr>
    </w:tbl>
    <w:p>
      <w:pPr>
        <w:pStyle w:val="Normal"/>
        <w:rPr/>
      </w:pPr>
      <w:r>
        <w:rPr/>
      </w:r>
    </w:p>
    <w:p>
      <w:pPr>
        <w:pStyle w:val="Heading2"/>
        <w:rPr/>
      </w:pPr>
      <w:bookmarkStart w:id="275" w:name="__RefHeading___Toc9485_4022417266"/>
      <w:bookmarkEnd w:id="275"/>
      <w:r>
        <w:rPr>
          <w:rFonts w:eastAsia="Cambria" w:cs="Cambria"/>
          <w:b/>
          <w:color w:val="1F4E5F"/>
          <w:sz w:val="26"/>
          <w:szCs w:val="24"/>
          <w:lang w:val="en-CA" w:eastAsia="en-CA" w:bidi="ar-SA"/>
        </w:rPr>
        <w:t>K.3 Days 46 to 90</w:t>
      </w:r>
    </w:p>
    <w:tbl>
      <w:tblPr>
        <w:tblStyle w:val="TableNormal"/>
        <w:tblW w:w="9026" w:type="dxa"/>
        <w:jc w:val="left"/>
        <w:tblInd w:w="0" w:type="dxa"/>
        <w:tblLayout w:type="fixed"/>
        <w:tblCellMar>
          <w:top w:w="0" w:type="dxa"/>
          <w:left w:w="108" w:type="dxa"/>
          <w:bottom w:w="0" w:type="dxa"/>
          <w:right w:w="108" w:type="dxa"/>
        </w:tblCellMar>
      </w:tblPr>
      <w:tblGrid>
        <w:gridCol w:w="3008"/>
        <w:gridCol w:w="3007"/>
        <w:gridCol w:w="3011"/>
      </w:tblGrid>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Day</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Action</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Owner</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46</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Northern Coordination Passage registration desk opens</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Center</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50</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Prior apparatus staff complete transfer and civilian certification</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Category I states</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60</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Code issuance live across all filing channels</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Center</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75</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First monthly registration-desk audit</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Neutral Keel Office</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90</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Phase Three gate: issuance under ninety seconds, audit clean</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Neutral Keel Office</w:t>
            </w:r>
          </w:p>
        </w:tc>
      </w:tr>
    </w:tbl>
    <w:p>
      <w:pPr>
        <w:pStyle w:val="Normal"/>
        <w:rPr/>
      </w:pPr>
      <w:r>
        <w:rPr/>
      </w:r>
    </w:p>
    <w:p>
      <w:pPr>
        <w:pStyle w:val="Heading2"/>
        <w:rPr/>
      </w:pPr>
      <w:bookmarkStart w:id="276" w:name="__RefHeading___Toc9487_4022417266"/>
      <w:bookmarkEnd w:id="276"/>
      <w:r>
        <w:rPr>
          <w:rFonts w:eastAsia="Cambria" w:cs="Cambria"/>
          <w:b/>
          <w:color w:val="1F4E5F"/>
          <w:sz w:val="26"/>
          <w:szCs w:val="24"/>
          <w:lang w:val="en-CA" w:eastAsia="en-CA" w:bidi="ar-SA"/>
        </w:rPr>
        <w:t>K.4 Days 91 to 150</w:t>
      </w:r>
    </w:p>
    <w:tbl>
      <w:tblPr>
        <w:tblStyle w:val="TableNormal"/>
        <w:tblW w:w="9026" w:type="dxa"/>
        <w:jc w:val="left"/>
        <w:tblInd w:w="0" w:type="dxa"/>
        <w:tblLayout w:type="fixed"/>
        <w:tblCellMar>
          <w:top w:w="0" w:type="dxa"/>
          <w:left w:w="108" w:type="dxa"/>
          <w:bottom w:w="0" w:type="dxa"/>
          <w:right w:w="108" w:type="dxa"/>
        </w:tblCellMar>
      </w:tblPr>
      <w:tblGrid>
        <w:gridCol w:w="3008"/>
        <w:gridCol w:w="3007"/>
        <w:gridCol w:w="3011"/>
      </w:tblGrid>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Day</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Action</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Owner</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91</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Fund accounts open; Administrator contracted</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Fund Board</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100</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Registry opens for listing</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Fund</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120</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First service invoices filed</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Participant States</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135</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First auditor verification; first reimbursements</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Administrator</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140</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Data Service pilot with founding subscribers</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Fund</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150</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Phase Four gate: first audited reimbursement cycle complete</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Auditor</w:t>
            </w:r>
          </w:p>
        </w:tc>
      </w:tr>
    </w:tbl>
    <w:p>
      <w:pPr>
        <w:pStyle w:val="Normal"/>
        <w:rPr/>
      </w:pPr>
      <w:r>
        <w:rPr/>
      </w:r>
    </w:p>
    <w:p>
      <w:pPr>
        <w:pStyle w:val="Heading2"/>
        <w:rPr/>
      </w:pPr>
      <w:bookmarkStart w:id="277" w:name="__RefHeading___Toc9489_4022417266"/>
      <w:bookmarkEnd w:id="277"/>
      <w:r>
        <w:rPr>
          <w:rFonts w:eastAsia="Cambria" w:cs="Cambria"/>
          <w:b/>
          <w:color w:val="1F4E5F"/>
          <w:sz w:val="26"/>
          <w:szCs w:val="24"/>
          <w:lang w:val="en-CA" w:eastAsia="en-CA" w:bidi="ar-SA"/>
        </w:rPr>
        <w:t>K.5 Days 151 to 180 and Ongoing</w:t>
      </w:r>
    </w:p>
    <w:tbl>
      <w:tblPr>
        <w:tblStyle w:val="TableNormal"/>
        <w:tblW w:w="9026" w:type="dxa"/>
        <w:jc w:val="left"/>
        <w:tblInd w:w="0" w:type="dxa"/>
        <w:tblLayout w:type="fixed"/>
        <w:tblCellMar>
          <w:top w:w="0" w:type="dxa"/>
          <w:left w:w="108" w:type="dxa"/>
          <w:bottom w:w="0" w:type="dxa"/>
          <w:right w:w="108" w:type="dxa"/>
        </w:tblCellMar>
      </w:tblPr>
      <w:tblGrid>
        <w:gridCol w:w="3008"/>
        <w:gridCol w:w="3007"/>
        <w:gridCol w:w="3011"/>
      </w:tblGrid>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Day</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Action</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1F4E5F"/>
                <w:sz w:val="22"/>
                <w:szCs w:val="24"/>
                <w:lang w:val="en-CA" w:eastAsia="en-CA" w:bidi="ar-SA"/>
              </w:rPr>
              <w:t>Owner</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151</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Full Catalog in force</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Fund Board</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160</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Data Service general availability</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Fund</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170</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First quarterly review convenes; horizon rolls</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Council</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180</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Phase Five gate: Council minutes close the first quarter</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Council</w:t>
            </w:r>
          </w:p>
        </w:tc>
      </w:tr>
      <w:tr>
        <w:trPr>
          <w:tblHeader w:val="true"/>
          <w:cantSplit w:val="true"/>
        </w:trPr>
        <w:tc>
          <w:tcPr>
            <w:tcW w:w="3008"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Ongoing</w:t>
            </w:r>
          </w:p>
        </w:tc>
        <w:tc>
          <w:tcPr>
            <w:tcW w:w="3007"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The Network runs; nothing fades</w:t>
            </w:r>
          </w:p>
        </w:tc>
        <w:tc>
          <w:tcPr>
            <w:tcW w:w="3011" w:type="dxa"/>
            <w:tcBorders>
              <w:top w:val="single" w:sz="6" w:space="0" w:color="000000"/>
              <w:bottom w:val="single" w:sz="6" w:space="0" w:color="000000"/>
            </w:tcBorders>
            <w:shd w:color="auto" w:fill="DCE7EB" w:val="clear"/>
          </w:tcPr>
          <w:p>
            <w:pPr>
              <w:pStyle w:val="Normal"/>
              <w:suppressAutoHyphens w:val="true"/>
              <w:spacing w:before="0" w:after="110"/>
              <w:rPr>
                <w:sz w:val="24"/>
              </w:rPr>
            </w:pPr>
            <w:r>
              <w:rPr>
                <w:rFonts w:eastAsia="Calibri" w:cs="Calibri"/>
                <w:b/>
                <w:color w:val="2F3B42"/>
                <w:sz w:val="22"/>
                <w:szCs w:val="24"/>
                <w:lang w:val="en-CA" w:eastAsia="en-CA" w:bidi="ar-SA"/>
              </w:rPr>
              <w:t>All bodies</w:t>
            </w:r>
          </w:p>
        </w:tc>
      </w:tr>
    </w:tbl>
    <w:p>
      <w:pPr>
        <w:pStyle w:val="Normal"/>
        <w:rPr/>
      </w:pPr>
      <w:r>
        <w:rPr/>
      </w:r>
    </w:p>
    <w:p>
      <w:pPr>
        <w:pStyle w:val="heading1nb"/>
        <w:rPr/>
      </w:pPr>
      <w:bookmarkStart w:id="278" w:name="__RefHeading___Toc9491_4022417266"/>
      <w:bookmarkEnd w:id="278"/>
      <w:r>
        <w:rPr>
          <w:rFonts w:eastAsia="Cambria" w:cs="Cambria"/>
          <w:b/>
          <w:color w:val="1F4E5F"/>
          <w:sz w:val="32"/>
          <w:szCs w:val="24"/>
          <w:lang w:val="en-CA" w:eastAsia="en-CA" w:bidi="ar-SA"/>
        </w:rPr>
        <w:t>Closing Note of the Drafting Facilitators</w:t>
      </w:r>
    </w:p>
    <w:p>
      <w:pPr>
        <w:pStyle w:val="Normal"/>
        <w:rPr/>
      </w:pPr>
      <w:r>
        <w:rPr>
          <w:rStyle w:val="DefaultParagraphFont"/>
          <w:rFonts w:eastAsia="" w:cs=""/>
          <w:color w:val="2F3B42"/>
          <w:sz w:val="22"/>
          <w:szCs w:val="24"/>
          <w:lang w:val="en-CA" w:eastAsia="en-CA" w:bidi="ar-SA"/>
        </w:rPr>
        <w:t>This framework asks no Participant State to trust another. It asks all Participant States to inhabit a structure in which trust is unnecessary, because rules operate in the open, payments leave audit trails, findings rest on converged evidence, and commitments survive the calendar.</w:t>
      </w:r>
    </w:p>
    <w:p>
      <w:pPr>
        <w:pStyle w:val="Normal"/>
        <w:widowControl/>
        <w:suppressAutoHyphens w:val="true"/>
        <w:bidi w:val="0"/>
        <w:spacing w:lineRule="auto" w:line="264" w:before="0" w:after="110"/>
        <w:jc w:val="both"/>
        <w:rPr/>
      </w:pPr>
      <w:r>
        <w:rPr>
          <w:rStyle w:val="DefaultParagraphFont"/>
          <w:rFonts w:eastAsia="" w:cs=""/>
          <w:color w:val="2F3B42"/>
          <w:sz w:val="22"/>
          <w:szCs w:val="24"/>
          <w:lang w:val="en-CA" w:eastAsia="en-CA" w:bidi="ar-SA"/>
        </w:rPr>
        <w:t>The strait has carried world trade for centuries. The Gulf Transit Assurance Network gives littoral states, major users, and technical partners one shared rule: the water stays open, passage stays free, and the work never fades. Muscat, 29 July 2026.</w:t>
      </w:r>
    </w:p>
    <w:sectPr>
      <w:headerReference w:type="default" r:id="rId7"/>
      <w:headerReference w:type="first" r:id="rId8"/>
      <w:headerReference w:type="even" r:id="rId6"/>
      <w:footerReference w:type="default" r:id="rId10"/>
      <w:footerReference w:type="first" r:id="rId11"/>
      <w:footerReference w:type="even" r:id="rId9"/>
      <w:pgSz w:w="11906" w:h="16838"/>
      <w:pgMar w:top="1800" w:right="1440" w:bottom="1440" w:left="1440" w:header="720" w:footer="720"/>
      <w:titlePg/>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roman"/>
    <w:pitch w:val="variable"/>
  </w:font>
  <w:font w:name="Cambria">
    <w:charset w:val="01"/>
    <w:family w:val="roman"/>
    <w:pitch w:val="variable"/>
  </w:font>
  <w:font w:name="Aptos Display">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64" w:before="0" w:after="110"/>
      <w:jc w:val="both"/>
      <w:rPr/>
    </w:pPr>
    <w:r>
      <w:rPr>
        <w:rFonts w:eastAsia="Calibri" w:cs="Calibri"/>
        <w:color w:val="6E8B97"/>
        <w:sz w:val="16"/>
        <w:szCs w:val="24"/>
        <w:lang w:val="en-CA" w:eastAsia="en-CA" w:bidi="ar-SA"/>
      </w:rPr>
      <w:t>GTANF-2026-v3.0 · Multilateral Track</w:t>
    </w:r>
    <w:r>
      <w:rPr>
        <w:rFonts w:eastAsia="" w:cs=""/>
        <w:color w:val="2F3B42"/>
        <w:sz w:val="22"/>
        <w:szCs w:val="24"/>
        <w:lang w:val="en-CA" w:eastAsia="en-CA" w:bidi="ar-SA"/>
      </w:rPr>
      <w:tab/>
    </w:r>
    <w:r>
      <w:rPr>
        <w:rFonts w:eastAsia="Calibri" w:cs="Calibri"/>
        <w:color w:val="6E8B97"/>
        <w:sz w:val="16"/>
        <w:szCs w:val="24"/>
        <w:lang w:val="en-CA" w:eastAsia="en-CA" w:bidi="ar-SA"/>
      </w:rPr>
      <w:t xml:space="preserve">Page </w:t>
    </w:r>
    <w:r>
      <w:rPr/>
      <w:fldChar w:fldCharType="begin"/>
    </w:r>
    <w:r>
      <w:rPr/>
      <w:instrText xml:space="preserve"> PAGE </w:instrText>
    </w:r>
    <w:r>
      <w:rPr/>
      <w:fldChar w:fldCharType="separate"/>
    </w:r>
    <w:r>
      <w:rPr/>
      <w:t>83</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64" w:before="0" w:after="110"/>
      <w:jc w:val="both"/>
      <w:rPr/>
    </w:pPr>
    <w:r>
      <w:rPr>
        <w:rFonts w:eastAsia="Calibri" w:cs="Calibri"/>
        <w:color w:val="6E8B97"/>
        <w:sz w:val="16"/>
        <w:szCs w:val="24"/>
        <w:lang w:val="en-CA" w:eastAsia="en-CA" w:bidi="ar-SA"/>
      </w:rPr>
      <w:t>The Gulf Transit Assurance Network Framework (GTANF) v3.0 · Negotiation Draft</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evenAndOddHeaders/>
  <w:compat>
    <w:compatSetting w:name="compatibilityMode" w:uri="http://schemas.microsoft.com/office/word" w:val="12"/>
    <w:compatSetting w:name="useWord2013TrackBottomHyphenation" w:uri="http://schemas.microsoft.com/office/word" w:val="1"/>
  </w:compat>
  <w:themeFontLang w:val="en-CA"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CA" w:eastAsia="en-CA"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64" w:before="0" w:after="110"/>
      <w:jc w:val="both"/>
    </w:pPr>
    <w:rPr>
      <w:rFonts w:ascii="Calibri" w:hAnsi="Calibri" w:eastAsia="" w:cs=""/>
      <w:color w:val="2F3B42"/>
      <w:kern w:val="2"/>
      <w:sz w:val="22"/>
      <w:szCs w:val="24"/>
      <w:lang w:val="en-CA" w:eastAsia="en-CA" w:bidi="ar-SA"/>
    </w:rPr>
  </w:style>
  <w:style w:type="paragraph" w:styleId="Heading1">
    <w:name w:val="Heading 1"/>
    <w:basedOn w:val="Normal"/>
    <w:uiPriority w:val="9"/>
    <w:qFormat/>
    <w:pPr>
      <w:keepNext w:val="true"/>
      <w:keepLines/>
      <w:pageBreakBefore/>
      <w:spacing w:before="400" w:after="140"/>
      <w:outlineLvl w:val="0"/>
    </w:pPr>
    <w:rPr>
      <w:rFonts w:ascii="Cambria" w:hAnsi="Cambria"/>
      <w:b/>
      <w:color w:val="1F4E5F"/>
      <w:sz w:val="32"/>
    </w:rPr>
  </w:style>
  <w:style w:type="paragraph" w:styleId="Heading2">
    <w:name w:val="Heading 2"/>
    <w:basedOn w:val="Normal"/>
    <w:uiPriority w:val="9"/>
    <w:unhideWhenUsed/>
    <w:qFormat/>
    <w:pPr>
      <w:keepNext w:val="true"/>
      <w:keepLines/>
      <w:spacing w:before="300" w:after="100"/>
      <w:outlineLvl w:val="1"/>
    </w:pPr>
    <w:rPr>
      <w:rFonts w:ascii="Cambria" w:hAnsi="Cambria"/>
      <w:b/>
      <w:color w:val="1F4E5F"/>
      <w:sz w:val="26"/>
    </w:rPr>
  </w:style>
  <w:style w:type="paragraph" w:styleId="Heading3">
    <w:name w:val="Heading 3"/>
    <w:basedOn w:val="Normal"/>
    <w:uiPriority w:val="9"/>
    <w:unhideWhenUsed/>
    <w:qFormat/>
    <w:pPr>
      <w:keepNext w:val="true"/>
      <w:keepLines/>
      <w:spacing w:before="220" w:after="80"/>
      <w:outlineLvl w:val="2"/>
    </w:pPr>
    <w:rPr>
      <w:rFonts w:ascii="Cambria" w:hAnsi="Cambria"/>
      <w:b/>
      <w:color w:val="33586A"/>
      <w:sz w:val="23"/>
    </w:rPr>
  </w:style>
  <w:style w:type="paragraph" w:styleId="Heading4">
    <w:name w:val="Heading 4"/>
    <w:basedOn w:val="Normal"/>
    <w:uiPriority w:val="9"/>
    <w:semiHidden/>
    <w:unhideWhenUsed/>
    <w:qFormat/>
    <w:pPr>
      <w:keepNext w:val="true"/>
      <w:keepLines/>
      <w:spacing w:before="180" w:after="60"/>
      <w:outlineLvl w:val="3"/>
    </w:pPr>
    <w:rPr>
      <w:rFonts w:ascii="Cambria" w:hAnsi="Cambria"/>
      <w:b/>
      <w:i/>
      <w:color w:val="33586A"/>
    </w:rPr>
  </w:style>
  <w:style w:type="paragraph" w:styleId="Heading5">
    <w:name w:val="Heading 5"/>
    <w:basedOn w:val="Normal"/>
    <w:next w:val="Normal"/>
    <w:link w:val="Heading5Char"/>
    <w:uiPriority w:val="9"/>
    <w:semiHidden/>
    <w:unhideWhenUsed/>
    <w:qFormat/>
    <w:rsid w:val="00b9536c"/>
    <w:pPr>
      <w:keepNext w:val="true"/>
      <w:keepLines/>
      <w:spacing w:before="40" w:after="0"/>
      <w:outlineLvl w:val="4"/>
    </w:pPr>
    <w:rPr>
      <w:rFonts w:ascii="Aptos Display" w:hAnsi="Aptos Display" w:eastAsia="" w:cs="" w:asciiTheme="majorHAnsi" w:cstheme="majorBidi" w:eastAsiaTheme="majorEastAsia" w:hAnsiTheme="majorHAnsi"/>
      <w:color w:themeColor="accent1" w:themeShade="bf" w:val="0F4761"/>
    </w:rPr>
  </w:style>
  <w:style w:type="paragraph" w:styleId="Heading6">
    <w:name w:val="Heading 6"/>
    <w:basedOn w:val="Normal"/>
    <w:next w:val="Normal"/>
    <w:link w:val="Heading6Char"/>
    <w:uiPriority w:val="9"/>
    <w:semiHidden/>
    <w:unhideWhenUsed/>
    <w:qFormat/>
    <w:rsid w:val="00b9536c"/>
    <w:pPr>
      <w:keepNext w:val="true"/>
      <w:keepLines/>
      <w:spacing w:before="40" w:after="0"/>
      <w:outlineLvl w:val="5"/>
    </w:pPr>
    <w:rPr>
      <w:rFonts w:ascii="Aptos Display" w:hAnsi="Aptos Display" w:eastAsia="" w:cs="" w:asciiTheme="majorHAnsi" w:cstheme="majorBidi" w:eastAsiaTheme="majorEastAsia" w:hAnsiTheme="majorHAnsi"/>
      <w:color w:themeColor="accent1" w:themeShade="7f" w:val="0A2F40"/>
    </w:rPr>
  </w:style>
  <w:style w:type="paragraph" w:styleId="Heading7">
    <w:name w:val="Heading 7"/>
    <w:basedOn w:val="Normal"/>
    <w:next w:val="Normal"/>
    <w:link w:val="Heading7Char"/>
    <w:uiPriority w:val="9"/>
    <w:semiHidden/>
    <w:unhideWhenUsed/>
    <w:qFormat/>
    <w:rsid w:val="00b9536c"/>
    <w:pPr>
      <w:keepNext w:val="true"/>
      <w:keepLines/>
      <w:spacing w:before="40" w:after="0"/>
      <w:outlineLvl w:val="6"/>
    </w:pPr>
    <w:rPr>
      <w:rFonts w:ascii="Aptos Display" w:hAnsi="Aptos Display" w:eastAsia="" w:cs="" w:asciiTheme="majorHAnsi" w:cstheme="majorBidi" w:eastAsiaTheme="majorEastAsia" w:hAnsiTheme="majorHAnsi"/>
      <w:i/>
      <w:iCs/>
      <w:color w:themeColor="accent1" w:themeShade="7f" w:val="0A2F40"/>
    </w:rPr>
  </w:style>
  <w:style w:type="paragraph" w:styleId="Heading8">
    <w:name w:val="Heading 8"/>
    <w:basedOn w:val="Normal"/>
    <w:next w:val="Normal"/>
    <w:link w:val="Heading8Char"/>
    <w:uiPriority w:val="9"/>
    <w:semiHidden/>
    <w:unhideWhenUsed/>
    <w:qFormat/>
    <w:rsid w:val="00b9536c"/>
    <w:pPr>
      <w:keepNext w:val="true"/>
      <w:keepLines/>
      <w:spacing w:before="40" w:after="0"/>
      <w:outlineLvl w:val="7"/>
    </w:pPr>
    <w:rPr>
      <w:rFonts w:ascii="Aptos Display" w:hAnsi="Aptos Display"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b9536c"/>
    <w:pPr>
      <w:keepNext w:val="true"/>
      <w:keepLines/>
      <w:spacing w:before="40" w:after="0"/>
      <w:outlineLvl w:val="8"/>
    </w:pPr>
    <w:rPr>
      <w:rFonts w:ascii="Aptos Display" w:hAnsi="Aptos Display"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ce618e"/>
    <w:rPr>
      <w:color w:themeColor="hyperlink" w:val="467886"/>
      <w:u w:val="single"/>
    </w:rPr>
  </w:style>
  <w:style w:type="character" w:styleId="UnresolvedMention">
    <w:name w:val="Unresolved Mention"/>
    <w:basedOn w:val="DefaultParagraphFont"/>
    <w:uiPriority w:val="99"/>
    <w:semiHidden/>
    <w:unhideWhenUsed/>
    <w:qFormat/>
    <w:rsid w:val="00ce618e"/>
    <w:rPr>
      <w:color w:val="605E5C"/>
      <w:shd w:fill="E1DFDD" w:val="clear"/>
    </w:rPr>
  </w:style>
  <w:style w:type="character" w:styleId="HeaderChar" w:customStyle="1">
    <w:name w:val="Header Char"/>
    <w:basedOn w:val="DefaultParagraphFont"/>
    <w:link w:val="Header"/>
    <w:uiPriority w:val="99"/>
    <w:qFormat/>
    <w:rsid w:val="00b9536c"/>
    <w:rPr>
      <w:rFonts w:ascii="Calibri" w:hAnsi="Calibri"/>
      <w:color w:val="2F3B42"/>
      <w:sz w:val="22"/>
    </w:rPr>
  </w:style>
  <w:style w:type="character" w:styleId="FooterChar" w:customStyle="1">
    <w:name w:val="Footer Char"/>
    <w:basedOn w:val="DefaultParagraphFont"/>
    <w:link w:val="Footer"/>
    <w:uiPriority w:val="99"/>
    <w:qFormat/>
    <w:rsid w:val="00b9536c"/>
    <w:rPr>
      <w:rFonts w:ascii="Calibri" w:hAnsi="Calibri"/>
      <w:color w:val="2F3B42"/>
      <w:sz w:val="22"/>
    </w:rPr>
  </w:style>
  <w:style w:type="character" w:styleId="BookTitle">
    <w:name w:val="Book Title"/>
    <w:basedOn w:val="DefaultParagraphFont"/>
    <w:uiPriority w:val="33"/>
    <w:qFormat/>
    <w:rsid w:val="00b9536c"/>
    <w:rPr>
      <w:b/>
      <w:bCs/>
      <w:i/>
      <w:iCs/>
      <w:spacing w:val="5"/>
    </w:rPr>
  </w:style>
  <w:style w:type="character" w:styleId="Emphasis">
    <w:name w:val="Emphasis"/>
    <w:basedOn w:val="DefaultParagraphFont"/>
    <w:uiPriority w:val="20"/>
    <w:qFormat/>
    <w:rsid w:val="00b9536c"/>
    <w:rPr>
      <w:i/>
      <w:iCs/>
    </w:rPr>
  </w:style>
  <w:style w:type="character" w:styleId="Heading5Char" w:customStyle="1">
    <w:name w:val="Heading 5 Char"/>
    <w:basedOn w:val="DefaultParagraphFont"/>
    <w:link w:val="Heading5"/>
    <w:uiPriority w:val="9"/>
    <w:semiHidden/>
    <w:qFormat/>
    <w:rsid w:val="00b9536c"/>
    <w:rPr>
      <w:rFonts w:ascii="Aptos Display" w:hAnsi="Aptos Display" w:eastAsia="" w:cs="" w:asciiTheme="majorHAnsi" w:cstheme="majorBidi" w:eastAsiaTheme="majorEastAsia" w:hAnsiTheme="majorHAnsi"/>
      <w:color w:themeColor="accent1" w:themeShade="bf" w:val="0F4761"/>
      <w:sz w:val="22"/>
    </w:rPr>
  </w:style>
  <w:style w:type="character" w:styleId="Heading6Char" w:customStyle="1">
    <w:name w:val="Heading 6 Char"/>
    <w:basedOn w:val="DefaultParagraphFont"/>
    <w:link w:val="Heading6"/>
    <w:uiPriority w:val="9"/>
    <w:semiHidden/>
    <w:qFormat/>
    <w:rsid w:val="00b9536c"/>
    <w:rPr>
      <w:rFonts w:ascii="Aptos Display" w:hAnsi="Aptos Display" w:eastAsia="" w:cs="" w:asciiTheme="majorHAnsi" w:cstheme="majorBidi" w:eastAsiaTheme="majorEastAsia" w:hAnsiTheme="majorHAnsi"/>
      <w:color w:themeColor="accent1" w:themeShade="7f" w:val="0A2F40"/>
      <w:sz w:val="22"/>
    </w:rPr>
  </w:style>
  <w:style w:type="character" w:styleId="Heading7Char" w:customStyle="1">
    <w:name w:val="Heading 7 Char"/>
    <w:basedOn w:val="DefaultParagraphFont"/>
    <w:link w:val="Heading7"/>
    <w:uiPriority w:val="9"/>
    <w:semiHidden/>
    <w:qFormat/>
    <w:rsid w:val="00b9536c"/>
    <w:rPr>
      <w:rFonts w:ascii="Aptos Display" w:hAnsi="Aptos Display" w:eastAsia="" w:cs="" w:asciiTheme="majorHAnsi" w:cstheme="majorBidi" w:eastAsiaTheme="majorEastAsia" w:hAnsiTheme="majorHAnsi"/>
      <w:i/>
      <w:iCs/>
      <w:color w:themeColor="accent1" w:themeShade="7f" w:val="0A2F40"/>
      <w:sz w:val="22"/>
    </w:rPr>
  </w:style>
  <w:style w:type="character" w:styleId="Heading8Char" w:customStyle="1">
    <w:name w:val="Heading 8 Char"/>
    <w:basedOn w:val="DefaultParagraphFont"/>
    <w:link w:val="Heading8"/>
    <w:uiPriority w:val="9"/>
    <w:semiHidden/>
    <w:qFormat/>
    <w:rsid w:val="00b9536c"/>
    <w:rPr>
      <w:rFonts w:ascii="Aptos Display" w:hAnsi="Aptos Display" w:eastAsia="" w:cs="" w:asciiTheme="majorHAnsi" w:cstheme="majorBidi" w:eastAsiaTheme="majorEastAsia" w:hAnsiTheme="majorHAnsi"/>
      <w:color w:themeColor="text1" w:themeTint="d8" w:val="272727"/>
      <w:sz w:val="21"/>
      <w:szCs w:val="21"/>
    </w:rPr>
  </w:style>
  <w:style w:type="character" w:styleId="Heading9Char" w:customStyle="1">
    <w:name w:val="Heading 9 Char"/>
    <w:basedOn w:val="DefaultParagraphFont"/>
    <w:link w:val="Heading9"/>
    <w:uiPriority w:val="9"/>
    <w:semiHidden/>
    <w:qFormat/>
    <w:rsid w:val="00b9536c"/>
    <w:rPr>
      <w:rFonts w:ascii="Aptos Display" w:hAnsi="Aptos Display" w:eastAsia="" w:cs="" w:asciiTheme="majorHAnsi" w:cstheme="majorBidi" w:eastAsiaTheme="majorEastAsia" w:hAnsiTheme="majorHAnsi"/>
      <w:i/>
      <w:iCs/>
      <w:color w:themeColor="text1" w:themeTint="d8" w:val="272727"/>
      <w:sz w:val="21"/>
      <w:szCs w:val="21"/>
    </w:rPr>
  </w:style>
  <w:style w:type="character" w:styleId="IntenseEmphasis">
    <w:name w:val="Intense Emphasis"/>
    <w:basedOn w:val="DefaultParagraphFont"/>
    <w:uiPriority w:val="21"/>
    <w:qFormat/>
    <w:rsid w:val="00b9536c"/>
    <w:rPr>
      <w:i/>
      <w:iCs/>
      <w:color w:themeColor="accent1" w:val="156082"/>
    </w:rPr>
  </w:style>
  <w:style w:type="character" w:styleId="IntenseQuoteChar" w:customStyle="1">
    <w:name w:val="Intense Quote Char"/>
    <w:basedOn w:val="DefaultParagraphFont"/>
    <w:link w:val="IntenseQuote"/>
    <w:uiPriority w:val="30"/>
    <w:qFormat/>
    <w:rsid w:val="00b9536c"/>
    <w:rPr>
      <w:rFonts w:ascii="Calibri" w:hAnsi="Calibri"/>
      <w:i/>
      <w:iCs/>
      <w:color w:themeColor="accent1" w:val="156082"/>
      <w:sz w:val="22"/>
    </w:rPr>
  </w:style>
  <w:style w:type="character" w:styleId="IntenseReference">
    <w:name w:val="Intense Reference"/>
    <w:basedOn w:val="DefaultParagraphFont"/>
    <w:uiPriority w:val="32"/>
    <w:qFormat/>
    <w:rsid w:val="00b9536c"/>
    <w:rPr>
      <w:b/>
      <w:bCs/>
      <w:smallCaps/>
      <w:color w:themeColor="accent1" w:val="156082"/>
      <w:spacing w:val="5"/>
    </w:rPr>
  </w:style>
  <w:style w:type="character" w:styleId="QuoteChar" w:customStyle="1">
    <w:name w:val="Quote Char"/>
    <w:basedOn w:val="DefaultParagraphFont"/>
    <w:link w:val="Quote"/>
    <w:uiPriority w:val="29"/>
    <w:qFormat/>
    <w:rsid w:val="00b9536c"/>
    <w:rPr>
      <w:rFonts w:ascii="Calibri" w:hAnsi="Calibri"/>
      <w:i/>
      <w:iCs/>
      <w:color w:themeColor="text1" w:themeTint="bf" w:val="404040"/>
      <w:sz w:val="22"/>
    </w:rPr>
  </w:style>
  <w:style w:type="character" w:styleId="Strong">
    <w:name w:val="Strong"/>
    <w:basedOn w:val="DefaultParagraphFont"/>
    <w:uiPriority w:val="22"/>
    <w:qFormat/>
    <w:rsid w:val="00b9536c"/>
    <w:rPr>
      <w:b/>
      <w:bCs/>
    </w:rPr>
  </w:style>
  <w:style w:type="character" w:styleId="SubtitleChar" w:customStyle="1">
    <w:name w:val="Subtitle Char"/>
    <w:basedOn w:val="DefaultParagraphFont"/>
    <w:link w:val="Subtitle"/>
    <w:uiPriority w:val="11"/>
    <w:qFormat/>
    <w:rsid w:val="00b9536c"/>
    <w:rPr>
      <w:color w:themeColor="text1" w:themeTint="a5" w:val="5A5A5A"/>
      <w:spacing w:val="15"/>
      <w:sz w:val="22"/>
      <w:szCs w:val="22"/>
    </w:rPr>
  </w:style>
  <w:style w:type="character" w:styleId="SubtleEmphasis">
    <w:name w:val="Subtle Emphasis"/>
    <w:basedOn w:val="DefaultParagraphFont"/>
    <w:uiPriority w:val="19"/>
    <w:qFormat/>
    <w:rsid w:val="00b9536c"/>
    <w:rPr>
      <w:i/>
      <w:iCs/>
      <w:color w:themeColor="text1" w:themeTint="bf" w:val="404040"/>
    </w:rPr>
  </w:style>
  <w:style w:type="character" w:styleId="SubtleReference">
    <w:name w:val="Subtle Reference"/>
    <w:basedOn w:val="DefaultParagraphFont"/>
    <w:uiPriority w:val="31"/>
    <w:qFormat/>
    <w:rsid w:val="00b9536c"/>
    <w:rPr>
      <w:smallCaps/>
      <w:color w:themeColor="text1" w:themeTint="a5" w:val="5A5A5A"/>
    </w:rPr>
  </w:style>
  <w:style w:type="character" w:styleId="TitleChar" w:customStyle="1">
    <w:name w:val="Title Char"/>
    <w:basedOn w:val="DefaultParagraphFont"/>
    <w:link w:val="Title"/>
    <w:uiPriority w:val="10"/>
    <w:qFormat/>
    <w:rsid w:val="00b9536c"/>
    <w:rPr>
      <w:rFonts w:ascii="Aptos Display" w:hAnsi="Aptos Display" w:eastAsia="" w:cs="" w:asciiTheme="majorHAnsi" w:cstheme="majorBidi" w:eastAsiaTheme="majorEastAsia" w:hAnsiTheme="majorHAnsi"/>
      <w:spacing w:val="-10"/>
      <w:kern w:val="2"/>
      <w:sz w:val="56"/>
      <w:szCs w:val="5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semiHidden/>
    <w:unhideWhenUsed/>
    <w:qFormat/>
    <w:rsid w:val="00b9536c"/>
    <w:pPr>
      <w:spacing w:lineRule="auto" w:line="240" w:before="0" w:after="200"/>
    </w:pPr>
    <w:rPr>
      <w:i/>
      <w:iCs/>
      <w:color w:themeColor="text2" w:val="0E2841"/>
      <w:sz w:val="18"/>
      <w:szCs w:val="18"/>
    </w:rPr>
  </w:style>
  <w:style w:type="paragraph" w:styleId="Index">
    <w:name w:val="Index"/>
    <w:basedOn w:val="Normal"/>
    <w:qFormat/>
    <w:pPr>
      <w:suppressLineNumbers/>
    </w:pPr>
    <w:rPr>
      <w:rFonts w:cs="FreeSans"/>
    </w:rPr>
  </w:style>
  <w:style w:type="paragraph" w:styleId="TOC1">
    <w:name w:val="TOC 1"/>
    <w:next w:val="Normal"/>
    <w:autoRedefine/>
    <w:uiPriority w:val="39"/>
    <w:pPr>
      <w:widowControl/>
      <w:tabs>
        <w:tab w:val="clear" w:pos="720"/>
        <w:tab w:val="right" w:pos="9026" w:leader="dot"/>
      </w:tabs>
      <w:suppressAutoHyphens w:val="true"/>
      <w:bidi w:val="0"/>
      <w:spacing w:lineRule="auto" w:line="276" w:before="0" w:after="0"/>
      <w:jc w:val="left"/>
    </w:pPr>
    <w:rPr>
      <w:rFonts w:ascii="Calibri" w:hAnsi="Calibri" w:eastAsia="" w:cs="" w:cstheme="minorBidi" w:eastAsiaTheme="minorEastAsia"/>
      <w:b/>
      <w:color w:val="auto"/>
      <w:kern w:val="2"/>
      <w:sz w:val="16"/>
      <w:szCs w:val="24"/>
      <w:lang w:val="en-CA" w:eastAsia="en-CA" w:bidi="ar-SA"/>
      <w14:ligatures w14:val="standardContextual"/>
    </w:rPr>
  </w:style>
  <w:style w:type="paragraph" w:styleId="TOC2">
    <w:name w:val="TOC 2"/>
    <w:next w:val="Normal"/>
    <w:autoRedefine/>
    <w:uiPriority w:val="39"/>
    <w:pPr>
      <w:widowControl/>
      <w:tabs>
        <w:tab w:val="clear" w:pos="720"/>
        <w:tab w:val="right" w:pos="9026" w:leader="dot"/>
      </w:tabs>
      <w:suppressAutoHyphens w:val="true"/>
      <w:bidi w:val="0"/>
      <w:spacing w:lineRule="auto" w:line="276" w:before="0" w:after="0"/>
      <w:ind w:hanging="0" w:left="240"/>
      <w:jc w:val="left"/>
    </w:pPr>
    <w:rPr>
      <w:rFonts w:ascii="Calibri" w:hAnsi="Calibri" w:eastAsia="" w:cs="" w:cstheme="minorBidi" w:eastAsiaTheme="minorEastAsia"/>
      <w:color w:val="auto"/>
      <w:kern w:val="2"/>
      <w:sz w:val="16"/>
      <w:szCs w:val="24"/>
      <w:lang w:val="en-CA" w:eastAsia="en-CA" w:bidi="ar-SA"/>
      <w14:ligatures w14:val="standardContextual"/>
    </w:rPr>
  </w:style>
  <w:style w:type="paragraph" w:styleId="TOC3">
    <w:name w:val="TOC 3"/>
    <w:next w:val="Normal"/>
    <w:autoRedefine/>
    <w:uiPriority w:val="39"/>
    <w:pPr>
      <w:widowControl/>
      <w:tabs>
        <w:tab w:val="clear" w:pos="720"/>
        <w:tab w:val="right" w:pos="9026" w:leader="dot"/>
      </w:tabs>
      <w:suppressAutoHyphens w:val="true"/>
      <w:bidi w:val="0"/>
      <w:spacing w:lineRule="auto" w:line="276" w:before="0" w:after="0"/>
      <w:ind w:hanging="0" w:left="480"/>
      <w:jc w:val="left"/>
    </w:pPr>
    <w:rPr>
      <w:rFonts w:ascii="Calibri" w:hAnsi="Calibri" w:eastAsia="" w:cs="" w:cstheme="minorBidi" w:eastAsiaTheme="minorEastAsia"/>
      <w:color w:val="auto"/>
      <w:kern w:val="2"/>
      <w:sz w:val="16"/>
      <w:szCs w:val="24"/>
      <w:lang w:val="en-CA" w:eastAsia="en-CA" w:bidi="ar-SA"/>
      <w14:ligatures w14:val="standardContextual"/>
    </w:rPr>
  </w:style>
  <w:style w:type="paragraph" w:styleId="heading1nb" w:customStyle="1">
    <w:name w:val="heading 1 nb"/>
    <w:basedOn w:val="Normal"/>
    <w:qFormat/>
    <w:pPr>
      <w:keepNext w:val="true"/>
      <w:keepLines/>
      <w:spacing w:before="400" w:after="140"/>
      <w:outlineLvl w:val="0"/>
    </w:pPr>
    <w:rPr>
      <w:rFonts w:ascii="Cambria" w:hAnsi="Cambria"/>
      <w:b/>
      <w:color w:val="1F4E5F"/>
      <w:sz w:val="32"/>
    </w:rPr>
  </w:style>
  <w:style w:type="paragraph" w:styleId="TOC4">
    <w:name w:val="TOC 4"/>
    <w:basedOn w:val="Normal"/>
    <w:next w:val="Normal"/>
    <w:autoRedefine/>
    <w:uiPriority w:val="39"/>
    <w:unhideWhenUsed/>
    <w:rsid w:val="00ce618e"/>
    <w:pPr>
      <w:spacing w:lineRule="auto" w:line="276" w:before="0" w:after="100"/>
      <w:ind w:hanging="0" w:left="720"/>
      <w:jc w:val="left"/>
    </w:pPr>
    <w:rPr>
      <w:rFonts w:ascii="Aptos" w:hAnsi="Aptos" w:asciiTheme="minorHAnsi" w:hAnsiTheme="minorHAnsi"/>
      <w:color w:val="auto"/>
      <w:sz w:val="24"/>
    </w:rPr>
  </w:style>
  <w:style w:type="paragraph" w:styleId="TOC5">
    <w:name w:val="TOC 5"/>
    <w:basedOn w:val="Normal"/>
    <w:next w:val="Normal"/>
    <w:autoRedefine/>
    <w:uiPriority w:val="39"/>
    <w:unhideWhenUsed/>
    <w:rsid w:val="00ce618e"/>
    <w:pPr>
      <w:spacing w:lineRule="auto" w:line="276" w:before="0" w:after="100"/>
      <w:ind w:hanging="0" w:left="960"/>
      <w:jc w:val="left"/>
    </w:pPr>
    <w:rPr>
      <w:rFonts w:ascii="Aptos" w:hAnsi="Aptos" w:asciiTheme="minorHAnsi" w:hAnsiTheme="minorHAnsi"/>
      <w:color w:val="auto"/>
      <w:sz w:val="24"/>
    </w:rPr>
  </w:style>
  <w:style w:type="paragraph" w:styleId="TOC6">
    <w:name w:val="TOC 6"/>
    <w:basedOn w:val="Normal"/>
    <w:next w:val="Normal"/>
    <w:autoRedefine/>
    <w:uiPriority w:val="39"/>
    <w:unhideWhenUsed/>
    <w:rsid w:val="00ce618e"/>
    <w:pPr>
      <w:spacing w:lineRule="auto" w:line="276" w:before="0" w:after="100"/>
      <w:ind w:hanging="0" w:left="1200"/>
      <w:jc w:val="left"/>
    </w:pPr>
    <w:rPr>
      <w:rFonts w:ascii="Aptos" w:hAnsi="Aptos" w:asciiTheme="minorHAnsi" w:hAnsiTheme="minorHAnsi"/>
      <w:color w:val="auto"/>
      <w:sz w:val="24"/>
    </w:rPr>
  </w:style>
  <w:style w:type="paragraph" w:styleId="TOC7">
    <w:name w:val="TOC 7"/>
    <w:basedOn w:val="Normal"/>
    <w:next w:val="Normal"/>
    <w:autoRedefine/>
    <w:uiPriority w:val="39"/>
    <w:unhideWhenUsed/>
    <w:rsid w:val="00ce618e"/>
    <w:pPr>
      <w:spacing w:lineRule="auto" w:line="276" w:before="0" w:after="100"/>
      <w:ind w:hanging="0" w:left="1440"/>
      <w:jc w:val="left"/>
    </w:pPr>
    <w:rPr>
      <w:rFonts w:ascii="Aptos" w:hAnsi="Aptos" w:asciiTheme="minorHAnsi" w:hAnsiTheme="minorHAnsi"/>
      <w:color w:val="auto"/>
      <w:sz w:val="24"/>
    </w:rPr>
  </w:style>
  <w:style w:type="paragraph" w:styleId="TOC8">
    <w:name w:val="TOC 8"/>
    <w:basedOn w:val="Normal"/>
    <w:next w:val="Normal"/>
    <w:autoRedefine/>
    <w:uiPriority w:val="39"/>
    <w:unhideWhenUsed/>
    <w:rsid w:val="00ce618e"/>
    <w:pPr>
      <w:spacing w:lineRule="auto" w:line="276" w:before="0" w:after="100"/>
      <w:ind w:hanging="0" w:left="1680"/>
      <w:jc w:val="left"/>
    </w:pPr>
    <w:rPr>
      <w:rFonts w:ascii="Aptos" w:hAnsi="Aptos" w:asciiTheme="minorHAnsi" w:hAnsiTheme="minorHAnsi"/>
      <w:color w:val="auto"/>
      <w:sz w:val="24"/>
    </w:rPr>
  </w:style>
  <w:style w:type="paragraph" w:styleId="TOC9">
    <w:name w:val="TOC 9"/>
    <w:basedOn w:val="Normal"/>
    <w:next w:val="Normal"/>
    <w:autoRedefine/>
    <w:uiPriority w:val="39"/>
    <w:unhideWhenUsed/>
    <w:rsid w:val="00ce618e"/>
    <w:pPr>
      <w:spacing w:lineRule="auto" w:line="276" w:before="0" w:after="100"/>
      <w:ind w:hanging="0" w:left="1920"/>
      <w:jc w:val="left"/>
    </w:pPr>
    <w:rPr>
      <w:rFonts w:ascii="Aptos" w:hAnsi="Aptos" w:asciiTheme="minorHAnsi" w:hAnsiTheme="minorHAnsi"/>
      <w:color w:val="auto"/>
      <w:sz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b9536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b9536c"/>
    <w:pPr>
      <w:tabs>
        <w:tab w:val="clear" w:pos="720"/>
        <w:tab w:val="center" w:pos="4680" w:leader="none"/>
        <w:tab w:val="right" w:pos="9360" w:leader="none"/>
      </w:tabs>
      <w:spacing w:lineRule="auto" w:line="240" w:before="0" w:after="0"/>
    </w:pPr>
    <w:rPr/>
  </w:style>
  <w:style w:type="paragraph" w:styleId="IntenseQuote">
    <w:name w:val="Intense Quote"/>
    <w:basedOn w:val="Normal"/>
    <w:next w:val="Normal"/>
    <w:link w:val="IntenseQuoteChar"/>
    <w:uiPriority w:val="30"/>
    <w:qFormat/>
    <w:rsid w:val="00b9536c"/>
    <w:pPr>
      <w:pBdr>
        <w:top w:val="single" w:sz="4" w:space="10" w:color="156082"/>
        <w:bottom w:val="single" w:sz="4" w:space="10" w:color="156082"/>
      </w:pBdr>
      <w:spacing w:before="360" w:after="360"/>
      <w:ind w:hanging="0" w:left="864" w:right="864"/>
      <w:jc w:val="center"/>
    </w:pPr>
    <w:rPr>
      <w:i/>
      <w:iCs/>
      <w:color w:themeColor="accent1" w:val="156082"/>
    </w:rPr>
  </w:style>
  <w:style w:type="paragraph" w:styleId="ListParagraph">
    <w:name w:val="List Paragraph"/>
    <w:basedOn w:val="Normal"/>
    <w:uiPriority w:val="34"/>
    <w:qFormat/>
    <w:rsid w:val="00b9536c"/>
    <w:pPr>
      <w:spacing w:before="0" w:after="110"/>
      <w:ind w:hanging="0" w:left="720"/>
      <w:contextualSpacing/>
    </w:pPr>
    <w:rPr/>
  </w:style>
  <w:style w:type="paragraph" w:styleId="NoSpacing">
    <w:name w:val="No Spacing"/>
    <w:uiPriority w:val="1"/>
    <w:qFormat/>
    <w:rsid w:val="00b9536c"/>
    <w:pPr>
      <w:widowControl/>
      <w:suppressAutoHyphens w:val="true"/>
      <w:bidi w:val="0"/>
      <w:spacing w:lineRule="auto" w:line="240" w:before="0" w:after="0"/>
      <w:jc w:val="both"/>
    </w:pPr>
    <w:rPr>
      <w:rFonts w:ascii="Calibri" w:hAnsi="Calibri" w:eastAsia="" w:cs=""/>
      <w:color w:val="2F3B42"/>
      <w:kern w:val="2"/>
      <w:sz w:val="22"/>
      <w:szCs w:val="24"/>
      <w:lang w:val="en-CA" w:eastAsia="en-CA" w:bidi="ar-SA"/>
    </w:rPr>
  </w:style>
  <w:style w:type="paragraph" w:styleId="Quote">
    <w:name w:val="Quote"/>
    <w:basedOn w:val="Normal"/>
    <w:next w:val="Normal"/>
    <w:link w:val="QuoteChar"/>
    <w:uiPriority w:val="29"/>
    <w:qFormat/>
    <w:rsid w:val="00b9536c"/>
    <w:pPr>
      <w:spacing w:before="200" w:after="160"/>
      <w:ind w:hanging="0" w:left="864" w:right="864"/>
      <w:jc w:val="center"/>
    </w:pPr>
    <w:rPr>
      <w:i/>
      <w:iCs/>
      <w:color w:themeColor="text1" w:themeTint="bf" w:val="404040"/>
    </w:rPr>
  </w:style>
  <w:style w:type="paragraph" w:styleId="Subtitle">
    <w:name w:val="Subtitle"/>
    <w:basedOn w:val="Normal"/>
    <w:next w:val="Normal"/>
    <w:link w:val="SubtitleChar"/>
    <w:uiPriority w:val="11"/>
    <w:qFormat/>
    <w:rsid w:val="00b9536c"/>
    <w:pPr>
      <w:spacing w:before="0" w:after="160"/>
    </w:pPr>
    <w:rPr>
      <w:rFonts w:ascii="Aptos" w:hAnsi="Aptos" w:asciiTheme="minorHAnsi" w:hAnsiTheme="minorHAnsi"/>
      <w:color w:themeColor="text1" w:themeTint="a5" w:val="5A5A5A"/>
      <w:spacing w:val="15"/>
      <w:szCs w:val="22"/>
    </w:rPr>
  </w:style>
  <w:style w:type="paragraph" w:styleId="Title">
    <w:name w:val="Title"/>
    <w:basedOn w:val="Normal"/>
    <w:next w:val="Normal"/>
    <w:link w:val="TitleChar"/>
    <w:uiPriority w:val="10"/>
    <w:qFormat/>
    <w:rsid w:val="00b9536c"/>
    <w:pPr>
      <w:spacing w:lineRule="auto" w:line="240" w:before="0" w:after="0"/>
      <w:contextualSpacing/>
    </w:pPr>
    <w:rPr>
      <w:rFonts w:ascii="Aptos Display" w:hAnsi="Aptos Display" w:eastAsia="" w:cs="" w:asciiTheme="majorHAnsi" w:cstheme="majorBidi" w:eastAsiaTheme="majorEastAsia" w:hAnsiTheme="majorHAnsi"/>
      <w:color w:val="auto"/>
      <w:spacing w:val="-10"/>
      <w:kern w:val="2"/>
      <w:sz w:val="56"/>
      <w:szCs w:val="56"/>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b9536c"/>
    <w:pPr>
      <w:pageBreakBefore w:val="false"/>
      <w:spacing w:before="240" w:after="0"/>
      <w:outlineLvl w:val="9"/>
    </w:pPr>
    <w:rPr>
      <w:rFonts w:ascii="Aptos Display" w:hAnsi="Aptos Display" w:eastAsia="" w:cs="" w:asciiTheme="majorHAnsi" w:cstheme="majorBidi" w:eastAsiaTheme="majorEastAsia" w:hAnsiTheme="majorHAnsi"/>
      <w:b w:val="false"/>
      <w:color w:themeColor="accent1" w:themeShade="bf" w:val="0F4761"/>
      <w:szCs w:val="3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header" Target="header2.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3.xml" /><Relationship Id="rId7" Type="http://schemas.openxmlformats.org/officeDocument/2006/relationships/header" Target="header4.xml" /><Relationship Id="rId8" Type="http://schemas.openxmlformats.org/officeDocument/2006/relationships/header" Target="header5.xml" /><Relationship Id="rId9" Type="http://schemas.openxmlformats.org/officeDocument/2006/relationships/footer" Target="footer3.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fontTable" Target="fontTable.xml" /><Relationship Id="rId13" Type="http://schemas.openxmlformats.org/officeDocument/2006/relationships/settings" Target="settings.xml" /><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81</Pages>
  <Words>23404</Words>
  <Characters>136736</Characters>
  <CharactersWithSpaces>158191</CharactersWithSpaces>
  <Paragraphs>1951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2026-07-23T07:29:00Z</dcterms:created>
  <dc:creator/>
  <dc:description/>
  <dc:language>en-US</dc:language>
  <cp:lastModifiedBy/>
  <dcterms:modified xsi:type="dcterms:W3CDTF">2026-07-29T09:53:14Z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