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F75F5" w14:textId="77777777" w:rsidR="00EE2283" w:rsidRDefault="00000000">
      <w:pPr>
        <w:rPr>
          <w:rFonts w:hint="eastAsia"/>
        </w:rPr>
      </w:pPr>
      <w:r>
        <w:rPr>
          <w:noProof/>
        </w:rPr>
        <w:drawing>
          <wp:anchor distT="0" distB="0" distL="0" distR="0" simplePos="0" relativeHeight="251657216" behindDoc="1" locked="0" layoutInCell="1" allowOverlap="1" wp14:anchorId="719D55A1" wp14:editId="3BEAF567">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Bg.png"/>
                    <pic:cNvPicPr/>
                  </pic:nvPicPr>
                  <pic:blipFill>
                    <a:blip r:embed="rId6"/>
                    <a:stretch>
                      <a:fillRect/>
                    </a:stretch>
                  </pic:blipFill>
                  <pic:spPr>
                    <a:xfrm>
                      <a:off x="0" y="0"/>
                      <a:ext cx="7560000" cy="10692000"/>
                    </a:xfrm>
                    <a:prstGeom prst="rect">
                      <a:avLst/>
                    </a:prstGeom>
                  </pic:spPr>
                </pic:pic>
              </a:graphicData>
            </a:graphic>
          </wp:anchor>
        </w:drawing>
      </w:r>
    </w:p>
    <w:p w14:paraId="56AD39C7" w14:textId="77777777" w:rsidR="00EE2283" w:rsidRDefault="00EE2283">
      <w:pPr>
        <w:spacing w:before="2000"/>
        <w:rPr>
          <w:rFonts w:hint="eastAsia"/>
        </w:rPr>
      </w:pPr>
    </w:p>
    <w:p w14:paraId="4E8E7836" w14:textId="77777777" w:rsidR="00EE2283" w:rsidRDefault="00000000">
      <w:pPr>
        <w:spacing w:after="400"/>
        <w:jc w:val="center"/>
        <w:rPr>
          <w:rFonts w:hint="eastAsia"/>
        </w:rPr>
      </w:pPr>
      <w:r>
        <w:rPr>
          <w:rFonts w:cs="Garamond"/>
          <w:b/>
          <w:color w:val="C9A84C"/>
          <w:spacing w:val="80"/>
          <w:sz w:val="26"/>
          <w:szCs w:val="26"/>
        </w:rPr>
        <w:t>DRAFT — FOR CONSULTATION</w:t>
      </w:r>
    </w:p>
    <w:p w14:paraId="4AA67F31" w14:textId="77777777" w:rsidR="00EE2283" w:rsidRDefault="00000000">
      <w:pPr>
        <w:spacing w:before="400" w:after="200"/>
        <w:jc w:val="center"/>
        <w:rPr>
          <w:rFonts w:hint="eastAsia"/>
        </w:rPr>
      </w:pPr>
      <w:r>
        <w:rPr>
          <w:rFonts w:cs="Garamond"/>
          <w:b/>
          <w:color w:val="E8E2D4"/>
          <w:spacing w:val="40"/>
          <w:sz w:val="48"/>
          <w:szCs w:val="48"/>
        </w:rPr>
        <w:t>MEDIAN LANE</w:t>
      </w:r>
    </w:p>
    <w:p w14:paraId="706A50E4" w14:textId="77777777" w:rsidR="00EE2283" w:rsidRDefault="00000000">
      <w:pPr>
        <w:spacing w:after="400"/>
        <w:jc w:val="center"/>
        <w:rPr>
          <w:rFonts w:hint="eastAsia"/>
        </w:rPr>
      </w:pPr>
      <w:r>
        <w:rPr>
          <w:rFonts w:cs="Garamond"/>
          <w:b/>
          <w:color w:val="E8E2D4"/>
          <w:spacing w:val="40"/>
          <w:sz w:val="48"/>
          <w:szCs w:val="48"/>
        </w:rPr>
        <w:t>PROTOCOL</w:t>
      </w:r>
    </w:p>
    <w:p w14:paraId="39AE2FB8" w14:textId="77777777" w:rsidR="00EE2283" w:rsidRDefault="00000000">
      <w:pPr>
        <w:spacing w:after="200"/>
        <w:jc w:val="center"/>
        <w:rPr>
          <w:rFonts w:hint="eastAsia"/>
        </w:rPr>
      </w:pPr>
      <w:r>
        <w:rPr>
          <w:rFonts w:cs="Garamond"/>
          <w:i/>
          <w:color w:val="D4B76A"/>
          <w:sz w:val="24"/>
        </w:rPr>
        <w:t>Technical Annex to the Oman-Iran Maritime Safety Framework</w:t>
      </w:r>
    </w:p>
    <w:p w14:paraId="6A69671B" w14:textId="77777777" w:rsidR="00EE2283" w:rsidRDefault="00000000">
      <w:pPr>
        <w:spacing w:after="100"/>
        <w:jc w:val="center"/>
        <w:rPr>
          <w:rFonts w:hint="eastAsia"/>
        </w:rPr>
      </w:pPr>
      <w:r>
        <w:rPr>
          <w:rFonts w:cs="Garamond"/>
          <w:color w:val="C8C2B4"/>
          <w:szCs w:val="22"/>
        </w:rPr>
        <w:t>Reference: MOU-OMAN/2026-07-11/ANNEX-B</w:t>
      </w:r>
    </w:p>
    <w:p w14:paraId="68A558AA" w14:textId="77777777" w:rsidR="00EE2283" w:rsidRDefault="00000000">
      <w:pPr>
        <w:spacing w:after="1600"/>
        <w:jc w:val="center"/>
        <w:rPr>
          <w:rFonts w:hint="eastAsia"/>
        </w:rPr>
      </w:pPr>
      <w:r>
        <w:rPr>
          <w:rFonts w:cs="Garamond"/>
          <w:color w:val="C8C2B4"/>
          <w:szCs w:val="22"/>
        </w:rPr>
        <w:t>July 11, 2026</w:t>
      </w:r>
    </w:p>
    <w:p w14:paraId="2A475424" w14:textId="77777777" w:rsidR="00EE2283" w:rsidRDefault="00000000">
      <w:pPr>
        <w:spacing w:after="100"/>
        <w:jc w:val="center"/>
        <w:rPr>
          <w:rFonts w:hint="eastAsia"/>
        </w:rPr>
      </w:pPr>
      <w:r>
        <w:rPr>
          <w:rFonts w:cs="Garamond"/>
          <w:color w:val="C8C2B4"/>
          <w:sz w:val="20"/>
          <w:szCs w:val="20"/>
        </w:rPr>
        <w:t xml:space="preserve">Sultanate of </w:t>
      </w:r>
      <w:proofErr w:type="gramStart"/>
      <w:r>
        <w:rPr>
          <w:rFonts w:cs="Garamond"/>
          <w:color w:val="C8C2B4"/>
          <w:sz w:val="20"/>
          <w:szCs w:val="20"/>
        </w:rPr>
        <w:t>Oman  |</w:t>
      </w:r>
      <w:proofErr w:type="gramEnd"/>
      <w:r>
        <w:rPr>
          <w:rFonts w:cs="Garamond"/>
          <w:color w:val="C8C2B4"/>
          <w:sz w:val="20"/>
          <w:szCs w:val="20"/>
        </w:rPr>
        <w:t xml:space="preserve">  Islamic Republic of Iran</w:t>
      </w:r>
    </w:p>
    <w:p w14:paraId="0D73AF84" w14:textId="77777777" w:rsidR="00EE2283" w:rsidRDefault="00000000">
      <w:pPr>
        <w:jc w:val="center"/>
        <w:rPr>
          <w:rFonts w:hint="eastAsia"/>
        </w:rPr>
      </w:pPr>
      <w:r>
        <w:rPr>
          <w:rFonts w:cs="Garamond"/>
          <w:i/>
          <w:color w:val="C8C2B4"/>
          <w:sz w:val="20"/>
          <w:szCs w:val="20"/>
        </w:rPr>
        <w:t>With U.S. Acknowledgment</w:t>
      </w:r>
    </w:p>
    <w:p w14:paraId="2A21048A" w14:textId="77777777" w:rsidR="00EE2283" w:rsidRDefault="00EE2283">
      <w:pPr>
        <w:rPr>
          <w:rFonts w:hint="eastAsia"/>
        </w:rPr>
        <w:sectPr w:rsidR="00EE2283">
          <w:pgSz w:w="11906" w:h="16838"/>
          <w:pgMar w:top="0" w:right="0" w:bottom="0" w:left="0" w:header="0" w:footer="0" w:gutter="0"/>
          <w:cols w:space="720"/>
          <w:titlePg/>
        </w:sectPr>
      </w:pPr>
    </w:p>
    <w:p w14:paraId="4FB7F4B4" w14:textId="77777777" w:rsidR="00EE2283" w:rsidRDefault="00000000">
      <w:pPr>
        <w:pStyle w:val="Heading1"/>
        <w:rPr>
          <w:rFonts w:hint="eastAsia"/>
        </w:rPr>
      </w:pPr>
      <w:r>
        <w:rPr>
          <w:rFonts w:eastAsia="Garamond" w:cs="Garamond"/>
          <w:szCs w:val="28"/>
        </w:rPr>
        <w:lastRenderedPageBreak/>
        <w:t>1. PURPOSE AND SCOPE</w:t>
      </w:r>
    </w:p>
    <w:p w14:paraId="5F337DAC" w14:textId="77777777" w:rsidR="00EE2283" w:rsidRDefault="00000000">
      <w:pPr>
        <w:pStyle w:val="Heading2"/>
        <w:rPr>
          <w:rFonts w:hint="eastAsia"/>
        </w:rPr>
      </w:pPr>
      <w:r>
        <w:rPr>
          <w:rFonts w:eastAsia="Garamond" w:cs="Garamond"/>
        </w:rPr>
        <w:t>1.1 Establishment of the Median Lane</w:t>
      </w:r>
    </w:p>
    <w:p w14:paraId="556918FC" w14:textId="77777777" w:rsidR="00EE2283" w:rsidRDefault="00000000">
      <w:pPr>
        <w:jc w:val="both"/>
        <w:rPr>
          <w:rFonts w:hint="eastAsia"/>
        </w:rPr>
      </w:pPr>
      <w:r>
        <w:rPr>
          <w:rFonts w:cs="Garamond"/>
          <w:b/>
          <w:szCs w:val="22"/>
        </w:rPr>
        <w:t xml:space="preserve">Provision: </w:t>
      </w:r>
      <w:r>
        <w:rPr>
          <w:rFonts w:cs="Garamond"/>
          <w:szCs w:val="22"/>
        </w:rPr>
        <w:t>A "median lane" in the Strait of Hormuz, located in international waters, is under discussion and shall be established upon mutual consent of all parties for full and free movement of commercial vessels, consistent with the U.S. demand for open, toll-free transit through all lanes.</w:t>
      </w:r>
    </w:p>
    <w:p w14:paraId="3BF04BCC" w14:textId="77777777" w:rsidR="00EE2283" w:rsidRDefault="00000000">
      <w:pPr>
        <w:jc w:val="both"/>
        <w:rPr>
          <w:rFonts w:hint="eastAsia"/>
        </w:rPr>
      </w:pPr>
      <w:r>
        <w:rPr>
          <w:rFonts w:cs="Garamond"/>
          <w:szCs w:val="22"/>
        </w:rPr>
        <w:t>This lane provides an alternative transit corridor that does not require Iranian permission or Omani coordination, addressing the core routing dispute between the northern (Iranian) and southern (Omani) corridors. The establishment of the median lane represents a practical compromise that preserves the sovereignty positions of both coastal states while providing a navigable pathway for international commercial shipping.</w:t>
      </w:r>
    </w:p>
    <w:p w14:paraId="0C989932" w14:textId="77777777" w:rsidR="00EE2283" w:rsidRDefault="00000000">
      <w:pPr>
        <w:pStyle w:val="Heading2"/>
        <w:rPr>
          <w:rFonts w:hint="eastAsia"/>
        </w:rPr>
      </w:pPr>
      <w:r>
        <w:rPr>
          <w:rFonts w:eastAsia="Garamond" w:cs="Garamond"/>
        </w:rPr>
        <w:t>1.2 Technical Purpose</w:t>
      </w:r>
    </w:p>
    <w:p w14:paraId="5539BC99" w14:textId="77777777" w:rsidR="00EE2283" w:rsidRDefault="00000000">
      <w:pPr>
        <w:jc w:val="both"/>
        <w:rPr>
          <w:rFonts w:hint="eastAsia"/>
        </w:rPr>
      </w:pPr>
      <w:r>
        <w:rPr>
          <w:rFonts w:cs="Garamond"/>
          <w:b/>
          <w:szCs w:val="22"/>
        </w:rPr>
        <w:t xml:space="preserve">Provision: </w:t>
      </w:r>
      <w:r>
        <w:rPr>
          <w:rFonts w:cs="Garamond"/>
          <w:szCs w:val="22"/>
        </w:rPr>
        <w:t>This Protocol is established for the exclusive technical purpose of enhancing maritime safety, navigation security, and risk reduction through the creation of a neutral transit corridor.</w:t>
      </w:r>
    </w:p>
    <w:p w14:paraId="23052495" w14:textId="77777777" w:rsidR="00EE2283" w:rsidRDefault="00000000">
      <w:pPr>
        <w:jc w:val="both"/>
        <w:rPr>
          <w:rFonts w:hint="eastAsia"/>
        </w:rPr>
      </w:pPr>
      <w:r>
        <w:rPr>
          <w:rFonts w:cs="Garamond"/>
          <w:szCs w:val="22"/>
        </w:rPr>
        <w:t>The median lane serves as a third option that resolves the "dual-corridor" deadlock by providing a lane in international waters, avoiding the sovereignty concerns of both coastal states. By locating the corridor in international waters, this Protocol ensures that neither Iran nor Oman is required to concede any position regarding the legal status of the Strait or the legitimacy of existing traffic separation schemes.</w:t>
      </w:r>
    </w:p>
    <w:p w14:paraId="17592A4B" w14:textId="77777777" w:rsidR="00EE2283" w:rsidRDefault="00000000">
      <w:pPr>
        <w:pStyle w:val="Heading2"/>
        <w:rPr>
          <w:rFonts w:hint="eastAsia"/>
        </w:rPr>
      </w:pPr>
      <w:r>
        <w:rPr>
          <w:rFonts w:eastAsia="Garamond" w:cs="Garamond"/>
        </w:rPr>
        <w:t>1.3 Legal Status</w:t>
      </w:r>
    </w:p>
    <w:p w14:paraId="52B841A2" w14:textId="77777777" w:rsidR="00EE2283" w:rsidRDefault="00000000">
      <w:pPr>
        <w:jc w:val="both"/>
        <w:rPr>
          <w:rFonts w:hint="eastAsia"/>
        </w:rPr>
      </w:pPr>
      <w:r>
        <w:rPr>
          <w:rFonts w:cs="Garamond"/>
          <w:b/>
          <w:szCs w:val="22"/>
        </w:rPr>
        <w:t xml:space="preserve">Provision: </w:t>
      </w:r>
      <w:r>
        <w:rPr>
          <w:rFonts w:cs="Garamond"/>
          <w:szCs w:val="22"/>
        </w:rPr>
        <w:t>The median lane is established in international waters and operates under the transit passage provisions of the United Nations Convention on the Law of the Sea (UNCLOS).</w:t>
      </w:r>
    </w:p>
    <w:p w14:paraId="01BABB26" w14:textId="77777777" w:rsidR="00EE2283" w:rsidRDefault="00000000">
      <w:pPr>
        <w:jc w:val="both"/>
        <w:rPr>
          <w:rFonts w:hint="eastAsia"/>
        </w:rPr>
      </w:pPr>
      <w:r>
        <w:rPr>
          <w:rFonts w:cs="Garamond"/>
          <w:szCs w:val="22"/>
        </w:rPr>
        <w:t>This lane does not alter the sovereign claims of Iran or Oman over their respective territorial waters. It provides a neutral transit route that all parties can accept without conceding sovereignty positions. In addition to Omani facilitation, Qatari mediators have participated in discussions regarding the establishment of the median lane. Qatar's role shall remain facilitative and does not alter the bilateral Iran-Oman framework. The legal basis for the median lane rests on the well-established principle of transit passage through straits used for international navigation, as reflected in customary international law and codified in UNCLOS Part III.</w:t>
      </w:r>
    </w:p>
    <w:p w14:paraId="73AA455E" w14:textId="77777777" w:rsidR="00EE2283" w:rsidRDefault="00EE2283">
      <w:pPr>
        <w:pageBreakBefore/>
        <w:rPr>
          <w:rFonts w:hint="eastAsia"/>
        </w:rPr>
      </w:pPr>
    </w:p>
    <w:p w14:paraId="66341990" w14:textId="77777777" w:rsidR="00EE2283" w:rsidRDefault="00000000">
      <w:pPr>
        <w:pStyle w:val="Heading1"/>
        <w:rPr>
          <w:rFonts w:hint="eastAsia"/>
        </w:rPr>
      </w:pPr>
      <w:r>
        <w:rPr>
          <w:rFonts w:eastAsia="Garamond" w:cs="Garamond"/>
          <w:szCs w:val="28"/>
        </w:rPr>
        <w:t>2. OPERATIONAL PARAMETERS</w:t>
      </w:r>
    </w:p>
    <w:p w14:paraId="77C5A82A" w14:textId="77777777" w:rsidR="00EE2283" w:rsidRDefault="00000000">
      <w:pPr>
        <w:pStyle w:val="Heading2"/>
        <w:rPr>
          <w:rFonts w:hint="eastAsia"/>
        </w:rPr>
      </w:pPr>
      <w:r>
        <w:rPr>
          <w:rFonts w:eastAsia="Garamond" w:cs="Garamond"/>
        </w:rPr>
        <w:t>2.1 Geographic Coordinates</w:t>
      </w:r>
    </w:p>
    <w:p w14:paraId="74D140F3" w14:textId="77777777" w:rsidR="00EE2283" w:rsidRDefault="00000000">
      <w:pPr>
        <w:jc w:val="both"/>
        <w:rPr>
          <w:rFonts w:hint="eastAsia"/>
        </w:rPr>
      </w:pPr>
      <w:r>
        <w:rPr>
          <w:rFonts w:cs="Garamond"/>
          <w:szCs w:val="22"/>
        </w:rPr>
        <w:t>The median lane shall be established at the midpoint between the Iranian and Omani coasts, consistent with the existing Traffic Separation Scheme (TSS) median. The following operational parameters shall govern the physical dimensions of the corridor:</w:t>
      </w:r>
    </w:p>
    <w:tbl>
      <w:tblPr>
        <w:tblW w:w="5000" w:type="pct"/>
        <w:tblInd w:w="10" w:type="dxa"/>
        <w:tblBorders>
          <w:top w:val="single" w:sz="8" w:space="0" w:color="1A5F6A"/>
          <w:left w:val="nil"/>
          <w:bottom w:val="single" w:sz="8" w:space="0" w:color="1A5F6A"/>
          <w:right w:val="nil"/>
          <w:insideH w:val="single" w:sz="4" w:space="0" w:color="2A5A60"/>
          <w:insideV w:val="nil"/>
        </w:tblBorders>
        <w:tblCellMar>
          <w:left w:w="10" w:type="dxa"/>
          <w:right w:w="10" w:type="dxa"/>
        </w:tblCellMar>
        <w:tblLook w:val="0000" w:firstRow="0" w:lastRow="0" w:firstColumn="0" w:lastColumn="0" w:noHBand="0" w:noVBand="0"/>
      </w:tblPr>
      <w:tblGrid>
        <w:gridCol w:w="3518"/>
        <w:gridCol w:w="5528"/>
      </w:tblGrid>
      <w:tr w:rsidR="00EE2283" w14:paraId="4B1B8AB1" w14:textId="77777777">
        <w:tblPrEx>
          <w:tblCellMar>
            <w:top w:w="0" w:type="dxa"/>
            <w:bottom w:w="0" w:type="dxa"/>
          </w:tblCellMar>
        </w:tblPrEx>
        <w:trPr>
          <w:tblHeader/>
        </w:trPr>
        <w:tc>
          <w:tcPr>
            <w:tcW w:w="3500" w:type="dxa"/>
            <w:shd w:val="clear" w:color="auto" w:fill="EDF3F4"/>
          </w:tcPr>
          <w:p w14:paraId="1AB5A77C" w14:textId="77777777" w:rsidR="00EE2283" w:rsidRDefault="00000000">
            <w:pPr>
              <w:spacing w:before="40" w:after="40"/>
              <w:rPr>
                <w:rFonts w:hint="eastAsia"/>
              </w:rPr>
            </w:pPr>
            <w:r>
              <w:rPr>
                <w:rFonts w:cs="Garamond"/>
                <w:b/>
                <w:color w:val="0D3D45"/>
                <w:sz w:val="20"/>
                <w:szCs w:val="20"/>
              </w:rPr>
              <w:t>Parameter</w:t>
            </w:r>
          </w:p>
        </w:tc>
        <w:tc>
          <w:tcPr>
            <w:tcW w:w="5500" w:type="dxa"/>
            <w:shd w:val="clear" w:color="auto" w:fill="EDF3F4"/>
          </w:tcPr>
          <w:p w14:paraId="45E7079A" w14:textId="77777777" w:rsidR="00EE2283" w:rsidRDefault="00000000">
            <w:pPr>
              <w:spacing w:before="40" w:after="40"/>
              <w:rPr>
                <w:rFonts w:hint="eastAsia"/>
              </w:rPr>
            </w:pPr>
            <w:r>
              <w:rPr>
                <w:rFonts w:cs="Garamond"/>
                <w:b/>
                <w:color w:val="0D3D45"/>
                <w:sz w:val="20"/>
                <w:szCs w:val="20"/>
              </w:rPr>
              <w:t>Specification</w:t>
            </w:r>
          </w:p>
        </w:tc>
      </w:tr>
      <w:tr w:rsidR="00EE2283" w14:paraId="51FD7FFC" w14:textId="77777777">
        <w:tblPrEx>
          <w:tblCellMar>
            <w:top w:w="0" w:type="dxa"/>
            <w:bottom w:w="0" w:type="dxa"/>
          </w:tblCellMar>
        </w:tblPrEx>
        <w:tc>
          <w:tcPr>
            <w:tcW w:w="3500" w:type="dxa"/>
          </w:tcPr>
          <w:p w14:paraId="7AA489C7" w14:textId="77777777" w:rsidR="00EE2283" w:rsidRDefault="00000000">
            <w:pPr>
              <w:spacing w:before="40" w:after="40"/>
              <w:rPr>
                <w:rFonts w:hint="eastAsia"/>
              </w:rPr>
            </w:pPr>
            <w:r>
              <w:rPr>
                <w:rFonts w:cs="Garamond"/>
                <w:sz w:val="20"/>
                <w:szCs w:val="20"/>
              </w:rPr>
              <w:t>Centerline</w:t>
            </w:r>
          </w:p>
        </w:tc>
        <w:tc>
          <w:tcPr>
            <w:tcW w:w="5500" w:type="dxa"/>
          </w:tcPr>
          <w:p w14:paraId="1546A390" w14:textId="77777777" w:rsidR="00EE2283" w:rsidRDefault="00000000">
            <w:pPr>
              <w:spacing w:before="40" w:after="40"/>
              <w:rPr>
                <w:rFonts w:hint="eastAsia"/>
              </w:rPr>
            </w:pPr>
            <w:r>
              <w:rPr>
                <w:rFonts w:cs="Garamond"/>
                <w:sz w:val="20"/>
                <w:szCs w:val="20"/>
              </w:rPr>
              <w:t>Midpoint between Iranian and Omani territorial sea limits</w:t>
            </w:r>
          </w:p>
        </w:tc>
      </w:tr>
      <w:tr w:rsidR="00EE2283" w14:paraId="287188CB" w14:textId="77777777">
        <w:tblPrEx>
          <w:tblCellMar>
            <w:top w:w="0" w:type="dxa"/>
            <w:bottom w:w="0" w:type="dxa"/>
          </w:tblCellMar>
        </w:tblPrEx>
        <w:tc>
          <w:tcPr>
            <w:tcW w:w="3500" w:type="dxa"/>
          </w:tcPr>
          <w:p w14:paraId="0523DAFD" w14:textId="77777777" w:rsidR="00EE2283" w:rsidRDefault="00000000">
            <w:pPr>
              <w:spacing w:before="40" w:after="40"/>
              <w:rPr>
                <w:rFonts w:hint="eastAsia"/>
              </w:rPr>
            </w:pPr>
            <w:r>
              <w:rPr>
                <w:rFonts w:cs="Garamond"/>
                <w:sz w:val="20"/>
                <w:szCs w:val="20"/>
              </w:rPr>
              <w:t>Width</w:t>
            </w:r>
          </w:p>
        </w:tc>
        <w:tc>
          <w:tcPr>
            <w:tcW w:w="5500" w:type="dxa"/>
          </w:tcPr>
          <w:p w14:paraId="4B94D9BA" w14:textId="77777777" w:rsidR="00EE2283" w:rsidRDefault="00000000">
            <w:pPr>
              <w:spacing w:before="40" w:after="40"/>
              <w:rPr>
                <w:rFonts w:hint="eastAsia"/>
              </w:rPr>
            </w:pPr>
            <w:r>
              <w:rPr>
                <w:rFonts w:cs="Garamond"/>
                <w:sz w:val="20"/>
                <w:szCs w:val="20"/>
              </w:rPr>
              <w:t>6 nautical miles (2nm inbound / 2nm outbound / 2nm separation)</w:t>
            </w:r>
          </w:p>
        </w:tc>
      </w:tr>
      <w:tr w:rsidR="00EE2283" w14:paraId="2CD68C72" w14:textId="77777777">
        <w:tblPrEx>
          <w:tblCellMar>
            <w:top w:w="0" w:type="dxa"/>
            <w:bottom w:w="0" w:type="dxa"/>
          </w:tblCellMar>
        </w:tblPrEx>
        <w:tc>
          <w:tcPr>
            <w:tcW w:w="3500" w:type="dxa"/>
          </w:tcPr>
          <w:p w14:paraId="26998D85" w14:textId="77777777" w:rsidR="00EE2283" w:rsidRDefault="00000000">
            <w:pPr>
              <w:spacing w:before="40" w:after="40"/>
              <w:rPr>
                <w:rFonts w:hint="eastAsia"/>
              </w:rPr>
            </w:pPr>
            <w:r>
              <w:rPr>
                <w:rFonts w:cs="Garamond"/>
                <w:sz w:val="20"/>
                <w:szCs w:val="20"/>
              </w:rPr>
              <w:t>Length</w:t>
            </w:r>
          </w:p>
        </w:tc>
        <w:tc>
          <w:tcPr>
            <w:tcW w:w="5500" w:type="dxa"/>
          </w:tcPr>
          <w:p w14:paraId="6BD6DC83" w14:textId="77777777" w:rsidR="00EE2283" w:rsidRDefault="00000000">
            <w:pPr>
              <w:spacing w:before="40" w:after="40"/>
              <w:rPr>
                <w:rFonts w:hint="eastAsia"/>
              </w:rPr>
            </w:pPr>
            <w:r>
              <w:rPr>
                <w:rFonts w:cs="Garamond"/>
                <w:sz w:val="20"/>
                <w:szCs w:val="20"/>
              </w:rPr>
              <w:t>Full length of Strait (~54 km / 29 nm at narrowest point)</w:t>
            </w:r>
          </w:p>
        </w:tc>
      </w:tr>
    </w:tbl>
    <w:p w14:paraId="3DD6B8D2" w14:textId="77777777" w:rsidR="00EE2283" w:rsidRDefault="00000000">
      <w:pPr>
        <w:jc w:val="both"/>
        <w:rPr>
          <w:rFonts w:hint="eastAsia"/>
        </w:rPr>
      </w:pPr>
      <w:r>
        <w:rPr>
          <w:rFonts w:cs="Garamond"/>
          <w:szCs w:val="22"/>
        </w:rPr>
        <w:t>The geographic positioning of the median lane ensures equitable distance from both coastal states' territorial sea limits, eliminating any perception of preferential treatment or encroachment upon sovereign waters.</w:t>
      </w:r>
    </w:p>
    <w:p w14:paraId="717D2E19" w14:textId="77777777" w:rsidR="00EE2283" w:rsidRDefault="00000000">
      <w:pPr>
        <w:pStyle w:val="Heading2"/>
        <w:rPr>
          <w:rFonts w:hint="eastAsia"/>
        </w:rPr>
      </w:pPr>
      <w:r>
        <w:rPr>
          <w:rFonts w:eastAsia="Garamond" w:cs="Garamond"/>
        </w:rPr>
        <w:t>2.2 Transit Protocol</w:t>
      </w:r>
    </w:p>
    <w:p w14:paraId="6A5E5ECE" w14:textId="77777777" w:rsidR="00EE2283" w:rsidRDefault="00000000">
      <w:pPr>
        <w:jc w:val="both"/>
        <w:rPr>
          <w:rFonts w:hint="eastAsia"/>
        </w:rPr>
      </w:pPr>
      <w:r>
        <w:rPr>
          <w:rFonts w:cs="Garamond"/>
          <w:b/>
          <w:szCs w:val="22"/>
        </w:rPr>
        <w:t xml:space="preserve">Provision: </w:t>
      </w:r>
      <w:r>
        <w:rPr>
          <w:rFonts w:cs="Garamond"/>
          <w:szCs w:val="22"/>
        </w:rPr>
        <w:t>Commercial vessels may transit the median lane without:</w:t>
      </w:r>
    </w:p>
    <w:p w14:paraId="4167EA10" w14:textId="77777777" w:rsidR="00EE2283" w:rsidRDefault="00000000">
      <w:pPr>
        <w:ind w:left="720" w:hanging="360"/>
        <w:jc w:val="both"/>
        <w:rPr>
          <w:rFonts w:hint="eastAsia"/>
        </w:rPr>
      </w:pPr>
      <w:r>
        <w:rPr>
          <w:rFonts w:cs="Garamond"/>
          <w:szCs w:val="22"/>
        </w:rPr>
        <w:t>•  Prior authorization from Iran or Oman;</w:t>
      </w:r>
    </w:p>
    <w:p w14:paraId="4A8B50DD" w14:textId="77777777" w:rsidR="00EE2283" w:rsidRDefault="00000000">
      <w:pPr>
        <w:ind w:left="720" w:hanging="360"/>
        <w:jc w:val="both"/>
        <w:rPr>
          <w:rFonts w:hint="eastAsia"/>
        </w:rPr>
      </w:pPr>
      <w:r>
        <w:rPr>
          <w:rFonts w:cs="Garamond"/>
          <w:szCs w:val="22"/>
        </w:rPr>
        <w:t>•  Payment of tolls or fees;</w:t>
      </w:r>
    </w:p>
    <w:p w14:paraId="5DA9FB16" w14:textId="77777777" w:rsidR="00EE2283" w:rsidRDefault="00000000">
      <w:pPr>
        <w:ind w:left="720" w:hanging="360"/>
        <w:jc w:val="both"/>
        <w:rPr>
          <w:rFonts w:hint="eastAsia"/>
        </w:rPr>
      </w:pPr>
      <w:r>
        <w:rPr>
          <w:rFonts w:cs="Garamond"/>
          <w:szCs w:val="22"/>
        </w:rPr>
        <w:t>•  Mandatory escort or boarding;</w:t>
      </w:r>
    </w:p>
    <w:p w14:paraId="5D125BCC" w14:textId="77777777" w:rsidR="00EE2283" w:rsidRDefault="00000000">
      <w:pPr>
        <w:ind w:left="720" w:hanging="360"/>
        <w:jc w:val="both"/>
        <w:rPr>
          <w:rFonts w:hint="eastAsia"/>
        </w:rPr>
      </w:pPr>
      <w:r>
        <w:rPr>
          <w:rFonts w:cs="Garamond"/>
          <w:szCs w:val="22"/>
        </w:rPr>
        <w:t>•  Coordination with coastal state authorities.</w:t>
      </w:r>
    </w:p>
    <w:p w14:paraId="24589507" w14:textId="77777777" w:rsidR="00EE2283" w:rsidRDefault="00000000">
      <w:pPr>
        <w:jc w:val="both"/>
        <w:rPr>
          <w:rFonts w:hint="eastAsia"/>
        </w:rPr>
      </w:pPr>
      <w:r>
        <w:rPr>
          <w:rFonts w:cs="Garamond"/>
          <w:szCs w:val="22"/>
        </w:rPr>
        <w:t>Vessels transiting the median lane shall:</w:t>
      </w:r>
    </w:p>
    <w:p w14:paraId="7559E0F1" w14:textId="77777777" w:rsidR="00EE2283" w:rsidRDefault="00000000">
      <w:pPr>
        <w:ind w:left="720" w:hanging="360"/>
        <w:jc w:val="both"/>
        <w:rPr>
          <w:rFonts w:hint="eastAsia"/>
        </w:rPr>
      </w:pPr>
      <w:r>
        <w:rPr>
          <w:rFonts w:cs="Garamond"/>
          <w:szCs w:val="22"/>
        </w:rPr>
        <w:t>•  Maintain continuous Automatic Identification System (AIS) transmission;</w:t>
      </w:r>
    </w:p>
    <w:p w14:paraId="14176E9F" w14:textId="77777777" w:rsidR="00EE2283" w:rsidRDefault="00000000">
      <w:pPr>
        <w:ind w:left="720" w:hanging="360"/>
        <w:jc w:val="both"/>
        <w:rPr>
          <w:rFonts w:hint="eastAsia"/>
        </w:rPr>
      </w:pPr>
      <w:r>
        <w:rPr>
          <w:rFonts w:cs="Garamond"/>
          <w:szCs w:val="22"/>
        </w:rPr>
        <w:t>•  Monitor VHF Channel 16 (156.800 MHz) for maritime safety communications;</w:t>
      </w:r>
    </w:p>
    <w:p w14:paraId="61FB80FB" w14:textId="77777777" w:rsidR="00EE2283" w:rsidRDefault="00000000">
      <w:pPr>
        <w:ind w:left="720" w:hanging="360"/>
        <w:jc w:val="both"/>
        <w:rPr>
          <w:rFonts w:hint="eastAsia"/>
        </w:rPr>
      </w:pPr>
      <w:r>
        <w:rPr>
          <w:rFonts w:cs="Garamond"/>
          <w:szCs w:val="22"/>
        </w:rPr>
        <w:t>•  Comply with international maritime safety standards as established by the International Maritime Organization.</w:t>
      </w:r>
    </w:p>
    <w:p w14:paraId="0890185F" w14:textId="77777777" w:rsidR="00EE2283" w:rsidRDefault="00000000">
      <w:pPr>
        <w:jc w:val="both"/>
        <w:rPr>
          <w:rFonts w:hint="eastAsia"/>
        </w:rPr>
      </w:pPr>
      <w:r>
        <w:rPr>
          <w:rFonts w:cs="Garamond"/>
          <w:szCs w:val="22"/>
        </w:rPr>
        <w:t>These requirements are standard for international shipping and do not impose any burden beyond what is customary for transit through international waterways.</w:t>
      </w:r>
    </w:p>
    <w:p w14:paraId="1B03994E" w14:textId="77777777" w:rsidR="00EE2283" w:rsidRDefault="00000000">
      <w:pPr>
        <w:pStyle w:val="Heading2"/>
        <w:rPr>
          <w:rFonts w:hint="eastAsia"/>
        </w:rPr>
      </w:pPr>
      <w:r>
        <w:rPr>
          <w:rFonts w:eastAsia="Garamond" w:cs="Garamond"/>
        </w:rPr>
        <w:t xml:space="preserve">2.3 </w:t>
      </w:r>
      <w:proofErr w:type="gramStart"/>
      <w:r>
        <w:rPr>
          <w:rFonts w:eastAsia="Garamond" w:cs="Garamond"/>
        </w:rPr>
        <w:t>Non-Discrimination</w:t>
      </w:r>
      <w:proofErr w:type="gramEnd"/>
    </w:p>
    <w:p w14:paraId="741CFFED" w14:textId="77777777" w:rsidR="00EE2283" w:rsidRDefault="00000000">
      <w:pPr>
        <w:jc w:val="both"/>
        <w:rPr>
          <w:rFonts w:hint="eastAsia"/>
        </w:rPr>
      </w:pPr>
      <w:r>
        <w:rPr>
          <w:rFonts w:cs="Garamond"/>
          <w:b/>
          <w:szCs w:val="22"/>
        </w:rPr>
        <w:t xml:space="preserve">Provision: </w:t>
      </w:r>
      <w:r>
        <w:rPr>
          <w:rFonts w:cs="Garamond"/>
          <w:szCs w:val="22"/>
        </w:rPr>
        <w:t>All commercial vessels, regardless of flag state, cargo, or destination, enjoy equal rights of transit through the median lane.</w:t>
      </w:r>
    </w:p>
    <w:p w14:paraId="179328F4" w14:textId="77777777" w:rsidR="00EE2283" w:rsidRDefault="00000000">
      <w:pPr>
        <w:jc w:val="both"/>
        <w:rPr>
          <w:rFonts w:hint="eastAsia"/>
        </w:rPr>
      </w:pPr>
      <w:r>
        <w:rPr>
          <w:rFonts w:cs="Garamond"/>
          <w:szCs w:val="22"/>
        </w:rPr>
        <w:t>No party shall discriminate against vessels based on flag state, cargo origin, or destination. The principle of non-discrimination is fundamental to the integrity of the median lane as an international transit corridor. Any report of discriminatory treatment shall be investigated by the Joint Working Group and addressed through the dispute resolution mechanisms established in Annex A.</w:t>
      </w:r>
    </w:p>
    <w:p w14:paraId="0396C3E1" w14:textId="77777777" w:rsidR="00EE2283" w:rsidRDefault="00EE2283">
      <w:pPr>
        <w:pageBreakBefore/>
        <w:rPr>
          <w:rFonts w:hint="eastAsia"/>
        </w:rPr>
      </w:pPr>
    </w:p>
    <w:p w14:paraId="49E53ACC" w14:textId="77777777" w:rsidR="00EE2283" w:rsidRDefault="00000000">
      <w:pPr>
        <w:pStyle w:val="Heading1"/>
        <w:rPr>
          <w:rFonts w:hint="eastAsia"/>
        </w:rPr>
      </w:pPr>
      <w:r>
        <w:rPr>
          <w:rFonts w:eastAsia="Garamond" w:cs="Garamond"/>
          <w:szCs w:val="28"/>
        </w:rPr>
        <w:t>3. VERIFICATION AND MONITORING</w:t>
      </w:r>
    </w:p>
    <w:p w14:paraId="7A0D7674" w14:textId="77777777" w:rsidR="00EE2283" w:rsidRDefault="00000000">
      <w:pPr>
        <w:pStyle w:val="Heading2"/>
        <w:rPr>
          <w:rFonts w:hint="eastAsia"/>
        </w:rPr>
      </w:pPr>
      <w:r>
        <w:rPr>
          <w:rFonts w:eastAsia="Garamond" w:cs="Garamond"/>
        </w:rPr>
        <w:t>3.1 Omani Monitoring Role</w:t>
      </w:r>
    </w:p>
    <w:p w14:paraId="718631E1" w14:textId="77777777" w:rsidR="00EE2283" w:rsidRDefault="00000000">
      <w:pPr>
        <w:jc w:val="both"/>
        <w:rPr>
          <w:rFonts w:hint="eastAsia"/>
        </w:rPr>
      </w:pPr>
      <w:r>
        <w:rPr>
          <w:rFonts w:cs="Garamond"/>
          <w:b/>
          <w:szCs w:val="22"/>
        </w:rPr>
        <w:t xml:space="preserve">Provision: </w:t>
      </w:r>
      <w:r>
        <w:rPr>
          <w:rFonts w:cs="Garamond"/>
          <w:szCs w:val="22"/>
        </w:rPr>
        <w:t>The Sultanate of Oman shall monitor transit through the median lane using its existing radar site on the Musandam Peninsula.</w:t>
      </w:r>
    </w:p>
    <w:p w14:paraId="44347AC0" w14:textId="77777777" w:rsidR="00EE2283" w:rsidRDefault="00000000">
      <w:pPr>
        <w:jc w:val="both"/>
        <w:rPr>
          <w:rFonts w:hint="eastAsia"/>
        </w:rPr>
      </w:pPr>
      <w:r>
        <w:rPr>
          <w:rFonts w:cs="Garamond"/>
          <w:szCs w:val="22"/>
        </w:rPr>
        <w:t>Oman shall perform the following monitoring functions:</w:t>
      </w:r>
    </w:p>
    <w:p w14:paraId="2C55F4E3" w14:textId="77777777" w:rsidR="00EE2283" w:rsidRDefault="00000000">
      <w:pPr>
        <w:ind w:left="720" w:hanging="360"/>
        <w:jc w:val="both"/>
        <w:rPr>
          <w:rFonts w:hint="eastAsia"/>
        </w:rPr>
      </w:pPr>
      <w:r>
        <w:rPr>
          <w:rFonts w:cs="Garamond"/>
          <w:szCs w:val="22"/>
        </w:rPr>
        <w:t>•  Track vessel movements through the median lane;</w:t>
      </w:r>
    </w:p>
    <w:p w14:paraId="78A079D5" w14:textId="77777777" w:rsidR="00EE2283" w:rsidRDefault="00000000">
      <w:pPr>
        <w:ind w:left="720" w:hanging="360"/>
        <w:jc w:val="both"/>
        <w:rPr>
          <w:rFonts w:hint="eastAsia"/>
        </w:rPr>
      </w:pPr>
      <w:r>
        <w:rPr>
          <w:rFonts w:cs="Garamond"/>
          <w:szCs w:val="22"/>
        </w:rPr>
        <w:t>•  Report any incidents or anomalies to both Iran and the United States;</w:t>
      </w:r>
    </w:p>
    <w:p w14:paraId="3F6EEA9F" w14:textId="77777777" w:rsidR="00EE2283" w:rsidRDefault="00000000">
      <w:pPr>
        <w:ind w:left="720" w:hanging="360"/>
        <w:jc w:val="both"/>
        <w:rPr>
          <w:rFonts w:hint="eastAsia"/>
        </w:rPr>
      </w:pPr>
      <w:r>
        <w:rPr>
          <w:rFonts w:cs="Garamond"/>
          <w:szCs w:val="22"/>
        </w:rPr>
        <w:t>•  Provide compliance assessments to the Joint Working Group as established under Annex A.</w:t>
      </w:r>
    </w:p>
    <w:p w14:paraId="1D2BB48C" w14:textId="77777777" w:rsidR="00EE2283" w:rsidRDefault="00000000">
      <w:pPr>
        <w:jc w:val="both"/>
        <w:rPr>
          <w:rFonts w:hint="eastAsia"/>
        </w:rPr>
      </w:pPr>
      <w:r>
        <w:rPr>
          <w:rFonts w:cs="Garamond"/>
          <w:szCs w:val="22"/>
        </w:rPr>
        <w:t>Oman's monitoring function is observational and reporting in character. It does not include enforcement authority or the ability to compel vessel movements. Oman's role is to observe, record, verify, and report on maritime activities within the median lane.</w:t>
      </w:r>
    </w:p>
    <w:p w14:paraId="30BA3015" w14:textId="77777777" w:rsidR="00EE2283" w:rsidRDefault="00000000">
      <w:pPr>
        <w:pStyle w:val="Heading2"/>
        <w:rPr>
          <w:rFonts w:hint="eastAsia"/>
        </w:rPr>
      </w:pPr>
      <w:r>
        <w:rPr>
          <w:rFonts w:eastAsia="Garamond" w:cs="Garamond"/>
        </w:rPr>
        <w:t>3.2 Iranian Assurance</w:t>
      </w:r>
    </w:p>
    <w:p w14:paraId="71D36B92" w14:textId="77777777" w:rsidR="00EE2283" w:rsidRDefault="00000000">
      <w:pPr>
        <w:jc w:val="both"/>
        <w:rPr>
          <w:rFonts w:hint="eastAsia"/>
        </w:rPr>
      </w:pPr>
      <w:r>
        <w:rPr>
          <w:rFonts w:cs="Garamond"/>
          <w:b/>
          <w:szCs w:val="22"/>
        </w:rPr>
        <w:t xml:space="preserve">Provision: </w:t>
      </w:r>
      <w:r>
        <w:rPr>
          <w:rFonts w:cs="Garamond"/>
          <w:szCs w:val="22"/>
        </w:rPr>
        <w:t>Iran shall not interfere with vessels transiting the median lane, consistent with the private assurances provided to Oman on July 11, 2026.</w:t>
      </w:r>
    </w:p>
    <w:p w14:paraId="56D2A6FD" w14:textId="77777777" w:rsidR="00EE2283" w:rsidRDefault="00000000">
      <w:pPr>
        <w:jc w:val="both"/>
        <w:rPr>
          <w:rFonts w:hint="eastAsia"/>
        </w:rPr>
      </w:pPr>
      <w:r>
        <w:rPr>
          <w:rFonts w:cs="Garamond"/>
          <w:szCs w:val="22"/>
        </w:rPr>
        <w:t>Iranian naval units shall maintain a minimum distance from the median lane, as specified in the Iranian Maritime Notice (PMO/NOTMAR/2026-07-11/HORMUZ-01). This commitment is incorporated by reference into this Protocol and shall be treated as binding upon the Islamic Republic of Iran for the duration of this agreement.</w:t>
      </w:r>
    </w:p>
    <w:p w14:paraId="6A5D27ED" w14:textId="77777777" w:rsidR="00EE2283" w:rsidRDefault="00000000">
      <w:pPr>
        <w:pStyle w:val="Heading2"/>
        <w:rPr>
          <w:rFonts w:hint="eastAsia"/>
        </w:rPr>
      </w:pPr>
      <w:r>
        <w:rPr>
          <w:rFonts w:eastAsia="Garamond" w:cs="Garamond"/>
        </w:rPr>
        <w:t>3.3 Incident Reporting</w:t>
      </w:r>
    </w:p>
    <w:p w14:paraId="12D19E25" w14:textId="77777777" w:rsidR="00EE2283" w:rsidRDefault="00000000">
      <w:pPr>
        <w:jc w:val="both"/>
        <w:rPr>
          <w:rFonts w:hint="eastAsia"/>
        </w:rPr>
      </w:pPr>
      <w:r>
        <w:rPr>
          <w:rFonts w:cs="Garamond"/>
          <w:b/>
          <w:szCs w:val="22"/>
        </w:rPr>
        <w:t xml:space="preserve">Provision: </w:t>
      </w:r>
      <w:r>
        <w:rPr>
          <w:rFonts w:cs="Garamond"/>
          <w:szCs w:val="22"/>
        </w:rPr>
        <w:t>Any incident involving a commercial vessel in the median lane shall be reported through the established Omani verification channel.</w:t>
      </w:r>
    </w:p>
    <w:tbl>
      <w:tblPr>
        <w:tblW w:w="5000" w:type="pct"/>
        <w:tblInd w:w="10" w:type="dxa"/>
        <w:tblBorders>
          <w:top w:val="single" w:sz="8" w:space="0" w:color="1A5F6A"/>
          <w:left w:val="nil"/>
          <w:bottom w:val="single" w:sz="8" w:space="0" w:color="1A5F6A"/>
          <w:right w:val="nil"/>
          <w:insideH w:val="single" w:sz="4" w:space="0" w:color="2A5A60"/>
          <w:insideV w:val="nil"/>
        </w:tblBorders>
        <w:tblCellMar>
          <w:left w:w="10" w:type="dxa"/>
          <w:right w:w="10" w:type="dxa"/>
        </w:tblCellMar>
        <w:tblLook w:val="0000" w:firstRow="0" w:lastRow="0" w:firstColumn="0" w:lastColumn="0" w:noHBand="0" w:noVBand="0"/>
      </w:tblPr>
      <w:tblGrid>
        <w:gridCol w:w="1974"/>
        <w:gridCol w:w="3439"/>
        <w:gridCol w:w="3633"/>
      </w:tblGrid>
      <w:tr w:rsidR="00EE2283" w14:paraId="354BC010" w14:textId="77777777">
        <w:tblPrEx>
          <w:tblCellMar>
            <w:top w:w="0" w:type="dxa"/>
            <w:bottom w:w="0" w:type="dxa"/>
          </w:tblCellMar>
        </w:tblPrEx>
        <w:trPr>
          <w:tblHeader/>
        </w:trPr>
        <w:tc>
          <w:tcPr>
            <w:tcW w:w="2000" w:type="dxa"/>
            <w:shd w:val="clear" w:color="auto" w:fill="EDF3F4"/>
          </w:tcPr>
          <w:p w14:paraId="0EACAC43" w14:textId="77777777" w:rsidR="00EE2283" w:rsidRDefault="00000000">
            <w:pPr>
              <w:spacing w:before="40" w:after="40"/>
              <w:rPr>
                <w:rFonts w:hint="eastAsia"/>
              </w:rPr>
            </w:pPr>
            <w:r>
              <w:rPr>
                <w:rFonts w:cs="Garamond"/>
                <w:b/>
                <w:color w:val="0D3D45"/>
                <w:sz w:val="20"/>
                <w:szCs w:val="20"/>
              </w:rPr>
              <w:t>Category</w:t>
            </w:r>
          </w:p>
        </w:tc>
        <w:tc>
          <w:tcPr>
            <w:tcW w:w="3500" w:type="dxa"/>
            <w:shd w:val="clear" w:color="auto" w:fill="EDF3F4"/>
          </w:tcPr>
          <w:p w14:paraId="1159505F" w14:textId="77777777" w:rsidR="00EE2283" w:rsidRDefault="00000000">
            <w:pPr>
              <w:spacing w:before="40" w:after="40"/>
              <w:rPr>
                <w:rFonts w:hint="eastAsia"/>
              </w:rPr>
            </w:pPr>
            <w:r>
              <w:rPr>
                <w:rFonts w:cs="Garamond"/>
                <w:b/>
                <w:color w:val="0D3D45"/>
                <w:sz w:val="20"/>
                <w:szCs w:val="20"/>
              </w:rPr>
              <w:t>Description</w:t>
            </w:r>
          </w:p>
        </w:tc>
        <w:tc>
          <w:tcPr>
            <w:tcW w:w="3700" w:type="dxa"/>
            <w:shd w:val="clear" w:color="auto" w:fill="EDF3F4"/>
          </w:tcPr>
          <w:p w14:paraId="2A6D11AC" w14:textId="77777777" w:rsidR="00EE2283" w:rsidRDefault="00000000">
            <w:pPr>
              <w:spacing w:before="40" w:after="40"/>
              <w:rPr>
                <w:rFonts w:hint="eastAsia"/>
              </w:rPr>
            </w:pPr>
            <w:r>
              <w:rPr>
                <w:rFonts w:cs="Garamond"/>
                <w:b/>
                <w:color w:val="0D3D45"/>
                <w:sz w:val="20"/>
                <w:szCs w:val="20"/>
              </w:rPr>
              <w:t>Reporting Timeframe</w:t>
            </w:r>
          </w:p>
        </w:tc>
      </w:tr>
      <w:tr w:rsidR="00EE2283" w14:paraId="297E6C26" w14:textId="77777777">
        <w:tblPrEx>
          <w:tblCellMar>
            <w:top w:w="0" w:type="dxa"/>
            <w:bottom w:w="0" w:type="dxa"/>
          </w:tblCellMar>
        </w:tblPrEx>
        <w:tc>
          <w:tcPr>
            <w:tcW w:w="2000" w:type="dxa"/>
          </w:tcPr>
          <w:p w14:paraId="3613F1B7" w14:textId="77777777" w:rsidR="00EE2283" w:rsidRDefault="00000000">
            <w:pPr>
              <w:spacing w:before="40" w:after="40"/>
              <w:rPr>
                <w:rFonts w:hint="eastAsia"/>
              </w:rPr>
            </w:pPr>
            <w:r>
              <w:rPr>
                <w:rFonts w:cs="Garamond"/>
                <w:sz w:val="20"/>
                <w:szCs w:val="20"/>
              </w:rPr>
              <w:t>A (Immediate)</w:t>
            </w:r>
          </w:p>
        </w:tc>
        <w:tc>
          <w:tcPr>
            <w:tcW w:w="3500" w:type="dxa"/>
          </w:tcPr>
          <w:p w14:paraId="362CD365" w14:textId="77777777" w:rsidR="00EE2283" w:rsidRDefault="00000000">
            <w:pPr>
              <w:spacing w:before="40" w:after="40"/>
              <w:rPr>
                <w:rFonts w:hint="eastAsia"/>
              </w:rPr>
            </w:pPr>
            <w:r>
              <w:rPr>
                <w:rFonts w:cs="Garamond"/>
                <w:sz w:val="20"/>
                <w:szCs w:val="20"/>
              </w:rPr>
              <w:t>Life-threatening incidents</w:t>
            </w:r>
          </w:p>
        </w:tc>
        <w:tc>
          <w:tcPr>
            <w:tcW w:w="3700" w:type="dxa"/>
          </w:tcPr>
          <w:p w14:paraId="70B6A254" w14:textId="77777777" w:rsidR="00EE2283" w:rsidRDefault="00000000">
            <w:pPr>
              <w:spacing w:before="40" w:after="40"/>
              <w:rPr>
                <w:rFonts w:hint="eastAsia"/>
              </w:rPr>
            </w:pPr>
            <w:r>
              <w:rPr>
                <w:rFonts w:cs="Garamond"/>
                <w:sz w:val="20"/>
                <w:szCs w:val="20"/>
              </w:rPr>
              <w:t>Immediate</w:t>
            </w:r>
          </w:p>
        </w:tc>
      </w:tr>
      <w:tr w:rsidR="00EE2283" w14:paraId="05336B8F" w14:textId="77777777">
        <w:tblPrEx>
          <w:tblCellMar>
            <w:top w:w="0" w:type="dxa"/>
            <w:bottom w:w="0" w:type="dxa"/>
          </w:tblCellMar>
        </w:tblPrEx>
        <w:tc>
          <w:tcPr>
            <w:tcW w:w="2000" w:type="dxa"/>
          </w:tcPr>
          <w:p w14:paraId="7207BC8D" w14:textId="77777777" w:rsidR="00EE2283" w:rsidRDefault="00000000">
            <w:pPr>
              <w:spacing w:before="40" w:after="40"/>
              <w:rPr>
                <w:rFonts w:hint="eastAsia"/>
              </w:rPr>
            </w:pPr>
            <w:r>
              <w:rPr>
                <w:rFonts w:cs="Garamond"/>
                <w:sz w:val="20"/>
                <w:szCs w:val="20"/>
              </w:rPr>
              <w:t>B (Urgent)</w:t>
            </w:r>
          </w:p>
        </w:tc>
        <w:tc>
          <w:tcPr>
            <w:tcW w:w="3500" w:type="dxa"/>
          </w:tcPr>
          <w:p w14:paraId="2DD969C1" w14:textId="77777777" w:rsidR="00EE2283" w:rsidRDefault="00000000">
            <w:pPr>
              <w:spacing w:before="40" w:after="40"/>
              <w:rPr>
                <w:rFonts w:hint="eastAsia"/>
              </w:rPr>
            </w:pPr>
            <w:r>
              <w:rPr>
                <w:rFonts w:cs="Garamond"/>
                <w:sz w:val="20"/>
                <w:szCs w:val="20"/>
              </w:rPr>
              <w:t>Non-life-threatening incidents</w:t>
            </w:r>
          </w:p>
        </w:tc>
        <w:tc>
          <w:tcPr>
            <w:tcW w:w="3700" w:type="dxa"/>
          </w:tcPr>
          <w:p w14:paraId="08BAE6C3" w14:textId="77777777" w:rsidR="00EE2283" w:rsidRDefault="00000000">
            <w:pPr>
              <w:spacing w:before="40" w:after="40"/>
              <w:rPr>
                <w:rFonts w:hint="eastAsia"/>
              </w:rPr>
            </w:pPr>
            <w:r>
              <w:rPr>
                <w:rFonts w:cs="Garamond"/>
                <w:sz w:val="20"/>
                <w:szCs w:val="20"/>
              </w:rPr>
              <w:t>Within 1 hour</w:t>
            </w:r>
          </w:p>
        </w:tc>
      </w:tr>
      <w:tr w:rsidR="00EE2283" w14:paraId="066C0623" w14:textId="77777777">
        <w:tblPrEx>
          <w:tblCellMar>
            <w:top w:w="0" w:type="dxa"/>
            <w:bottom w:w="0" w:type="dxa"/>
          </w:tblCellMar>
        </w:tblPrEx>
        <w:tc>
          <w:tcPr>
            <w:tcW w:w="2000" w:type="dxa"/>
          </w:tcPr>
          <w:p w14:paraId="20B20094" w14:textId="77777777" w:rsidR="00EE2283" w:rsidRDefault="00000000">
            <w:pPr>
              <w:spacing w:before="40" w:after="40"/>
              <w:rPr>
                <w:rFonts w:hint="eastAsia"/>
              </w:rPr>
            </w:pPr>
            <w:r>
              <w:rPr>
                <w:rFonts w:cs="Garamond"/>
                <w:sz w:val="20"/>
                <w:szCs w:val="20"/>
              </w:rPr>
              <w:t>C (Routine)</w:t>
            </w:r>
          </w:p>
        </w:tc>
        <w:tc>
          <w:tcPr>
            <w:tcW w:w="3500" w:type="dxa"/>
          </w:tcPr>
          <w:p w14:paraId="67CCE702" w14:textId="77777777" w:rsidR="00EE2283" w:rsidRDefault="00000000">
            <w:pPr>
              <w:spacing w:before="40" w:after="40"/>
              <w:rPr>
                <w:rFonts w:hint="eastAsia"/>
              </w:rPr>
            </w:pPr>
            <w:r>
              <w:rPr>
                <w:rFonts w:cs="Garamond"/>
                <w:sz w:val="20"/>
                <w:szCs w:val="20"/>
              </w:rPr>
              <w:t>Minor deviations</w:t>
            </w:r>
          </w:p>
        </w:tc>
        <w:tc>
          <w:tcPr>
            <w:tcW w:w="3700" w:type="dxa"/>
          </w:tcPr>
          <w:p w14:paraId="3AC72F3D" w14:textId="77777777" w:rsidR="00EE2283" w:rsidRDefault="00000000">
            <w:pPr>
              <w:spacing w:before="40" w:after="40"/>
              <w:rPr>
                <w:rFonts w:hint="eastAsia"/>
              </w:rPr>
            </w:pPr>
            <w:r>
              <w:rPr>
                <w:rFonts w:cs="Garamond"/>
                <w:sz w:val="20"/>
                <w:szCs w:val="20"/>
              </w:rPr>
              <w:t>Within 12 hours</w:t>
            </w:r>
          </w:p>
        </w:tc>
      </w:tr>
    </w:tbl>
    <w:p w14:paraId="7934316C" w14:textId="77777777" w:rsidR="00EE2283" w:rsidRDefault="00000000">
      <w:pPr>
        <w:jc w:val="both"/>
        <w:rPr>
          <w:rFonts w:hint="eastAsia"/>
        </w:rPr>
      </w:pPr>
      <w:r>
        <w:rPr>
          <w:rFonts w:cs="Garamond"/>
          <w:szCs w:val="22"/>
        </w:rPr>
        <w:t>Incident reporting procedures shall follow the protocols established in Section 7 of Annex A to the Oman-Iran Memorandum of Understanding. All parties shall adhere to the classification, reporting, and dispute resolution frameworks set forth therein.</w:t>
      </w:r>
    </w:p>
    <w:p w14:paraId="6258EBBA" w14:textId="77777777" w:rsidR="00EE2283" w:rsidRDefault="00EE2283">
      <w:pPr>
        <w:pageBreakBefore/>
        <w:rPr>
          <w:rFonts w:hint="eastAsia"/>
        </w:rPr>
      </w:pPr>
    </w:p>
    <w:p w14:paraId="08582334" w14:textId="77777777" w:rsidR="00EE2283" w:rsidRDefault="00000000">
      <w:pPr>
        <w:pStyle w:val="Heading1"/>
        <w:rPr>
          <w:rFonts w:hint="eastAsia"/>
        </w:rPr>
      </w:pPr>
      <w:r>
        <w:rPr>
          <w:rFonts w:eastAsia="Garamond" w:cs="Garamond"/>
          <w:szCs w:val="28"/>
        </w:rPr>
        <w:t>4. RELATIONSHIP TO EXISTING FRAMEWORK</w:t>
      </w:r>
    </w:p>
    <w:p w14:paraId="384B3332" w14:textId="77777777" w:rsidR="00EE2283" w:rsidRDefault="00000000">
      <w:pPr>
        <w:pStyle w:val="Heading2"/>
        <w:rPr>
          <w:rFonts w:hint="eastAsia"/>
        </w:rPr>
      </w:pPr>
      <w:r>
        <w:rPr>
          <w:rFonts w:eastAsia="Garamond" w:cs="Garamond"/>
        </w:rPr>
        <w:t>4.1 Dual-Corridor Integration</w:t>
      </w:r>
    </w:p>
    <w:p w14:paraId="37F7CC92" w14:textId="77777777" w:rsidR="00EE2283" w:rsidRDefault="00000000">
      <w:pPr>
        <w:jc w:val="both"/>
        <w:rPr>
          <w:rFonts w:hint="eastAsia"/>
        </w:rPr>
      </w:pPr>
      <w:r>
        <w:rPr>
          <w:rFonts w:cs="Garamond"/>
          <w:b/>
          <w:szCs w:val="22"/>
        </w:rPr>
        <w:t xml:space="preserve">Provision: </w:t>
      </w:r>
      <w:r>
        <w:rPr>
          <w:rFonts w:cs="Garamond"/>
          <w:szCs w:val="22"/>
        </w:rPr>
        <w:t>The median lane operates in addition to, and not in replacement of, the existing northern and southern corridors. The median lane provides an alternative to the contested northern and southern corridors. The southern corridor, while nominally open under pre-war conditions, has been subject to Iranian attacks. The northern corridor requires Iranian coordination. The median lane in international waters offers a neutral third option.</w:t>
      </w:r>
    </w:p>
    <w:p w14:paraId="386FDADA" w14:textId="77777777" w:rsidR="00EE2283" w:rsidRDefault="00000000">
      <w:pPr>
        <w:jc w:val="both"/>
        <w:rPr>
          <w:rFonts w:hint="eastAsia"/>
        </w:rPr>
      </w:pPr>
      <w:r>
        <w:rPr>
          <w:rFonts w:cs="Garamond"/>
          <w:szCs w:val="22"/>
        </w:rPr>
        <w:t>Vessels may choose between the following transit corridors:</w:t>
      </w:r>
    </w:p>
    <w:tbl>
      <w:tblPr>
        <w:tblW w:w="5000" w:type="pct"/>
        <w:tblInd w:w="10" w:type="dxa"/>
        <w:tblBorders>
          <w:top w:val="single" w:sz="8" w:space="0" w:color="1A5F6A"/>
          <w:left w:val="nil"/>
          <w:bottom w:val="single" w:sz="8" w:space="0" w:color="1A5F6A"/>
          <w:right w:val="nil"/>
          <w:insideH w:val="single" w:sz="4" w:space="0" w:color="2A5A60"/>
          <w:insideV w:val="nil"/>
        </w:tblBorders>
        <w:tblCellMar>
          <w:left w:w="10" w:type="dxa"/>
          <w:right w:w="10" w:type="dxa"/>
        </w:tblCellMar>
        <w:tblLook w:val="0000" w:firstRow="0" w:lastRow="0" w:firstColumn="0" w:lastColumn="0" w:noHBand="0" w:noVBand="0"/>
      </w:tblPr>
      <w:tblGrid>
        <w:gridCol w:w="2164"/>
        <w:gridCol w:w="3146"/>
        <w:gridCol w:w="3736"/>
      </w:tblGrid>
      <w:tr w:rsidR="00EE2283" w14:paraId="7703D9F1" w14:textId="77777777">
        <w:tblPrEx>
          <w:tblCellMar>
            <w:top w:w="0" w:type="dxa"/>
            <w:bottom w:w="0" w:type="dxa"/>
          </w:tblCellMar>
        </w:tblPrEx>
        <w:trPr>
          <w:tblHeader/>
        </w:trPr>
        <w:tc>
          <w:tcPr>
            <w:tcW w:w="2200" w:type="dxa"/>
            <w:shd w:val="clear" w:color="auto" w:fill="EDF3F4"/>
          </w:tcPr>
          <w:p w14:paraId="362BA08F" w14:textId="77777777" w:rsidR="00EE2283" w:rsidRDefault="00000000">
            <w:pPr>
              <w:spacing w:before="40" w:after="40"/>
              <w:rPr>
                <w:rFonts w:hint="eastAsia"/>
              </w:rPr>
            </w:pPr>
            <w:r>
              <w:rPr>
                <w:rFonts w:cs="Garamond"/>
                <w:b/>
                <w:color w:val="0D3D45"/>
                <w:sz w:val="20"/>
                <w:szCs w:val="20"/>
              </w:rPr>
              <w:t>Corridor</w:t>
            </w:r>
          </w:p>
        </w:tc>
        <w:tc>
          <w:tcPr>
            <w:tcW w:w="3200" w:type="dxa"/>
            <w:shd w:val="clear" w:color="auto" w:fill="EDF3F4"/>
          </w:tcPr>
          <w:p w14:paraId="42BB4CBD" w14:textId="77777777" w:rsidR="00EE2283" w:rsidRDefault="00000000">
            <w:pPr>
              <w:spacing w:before="40" w:after="40"/>
              <w:rPr>
                <w:rFonts w:hint="eastAsia"/>
              </w:rPr>
            </w:pPr>
            <w:r>
              <w:rPr>
                <w:rFonts w:cs="Garamond"/>
                <w:b/>
                <w:color w:val="0D3D45"/>
                <w:sz w:val="20"/>
                <w:szCs w:val="20"/>
              </w:rPr>
              <w:t>Location</w:t>
            </w:r>
          </w:p>
        </w:tc>
        <w:tc>
          <w:tcPr>
            <w:tcW w:w="3800" w:type="dxa"/>
            <w:shd w:val="clear" w:color="auto" w:fill="EDF3F4"/>
          </w:tcPr>
          <w:p w14:paraId="267BD0BE" w14:textId="77777777" w:rsidR="00EE2283" w:rsidRDefault="00000000">
            <w:pPr>
              <w:spacing w:before="40" w:after="40"/>
              <w:rPr>
                <w:rFonts w:hint="eastAsia"/>
              </w:rPr>
            </w:pPr>
            <w:r>
              <w:rPr>
                <w:rFonts w:cs="Garamond"/>
                <w:b/>
                <w:color w:val="0D3D45"/>
                <w:sz w:val="20"/>
                <w:szCs w:val="20"/>
              </w:rPr>
              <w:t>Requirements</w:t>
            </w:r>
          </w:p>
        </w:tc>
      </w:tr>
      <w:tr w:rsidR="00EE2283" w14:paraId="3669BD41" w14:textId="77777777">
        <w:tblPrEx>
          <w:tblCellMar>
            <w:top w:w="0" w:type="dxa"/>
            <w:bottom w:w="0" w:type="dxa"/>
          </w:tblCellMar>
        </w:tblPrEx>
        <w:tc>
          <w:tcPr>
            <w:tcW w:w="2200" w:type="dxa"/>
          </w:tcPr>
          <w:p w14:paraId="69CCF958" w14:textId="77777777" w:rsidR="00EE2283" w:rsidRDefault="00000000">
            <w:pPr>
              <w:spacing w:before="40" w:after="40"/>
              <w:rPr>
                <w:rFonts w:hint="eastAsia"/>
              </w:rPr>
            </w:pPr>
            <w:r>
              <w:rPr>
                <w:rFonts w:cs="Garamond"/>
                <w:sz w:val="20"/>
                <w:szCs w:val="20"/>
              </w:rPr>
              <w:t>Northern</w:t>
            </w:r>
          </w:p>
        </w:tc>
        <w:tc>
          <w:tcPr>
            <w:tcW w:w="3200" w:type="dxa"/>
          </w:tcPr>
          <w:p w14:paraId="77869C7A" w14:textId="77777777" w:rsidR="00EE2283" w:rsidRDefault="00000000">
            <w:pPr>
              <w:spacing w:before="40" w:after="40"/>
              <w:rPr>
                <w:rFonts w:hint="eastAsia"/>
              </w:rPr>
            </w:pPr>
            <w:r>
              <w:rPr>
                <w:rFonts w:cs="Garamond"/>
                <w:sz w:val="20"/>
                <w:szCs w:val="20"/>
              </w:rPr>
              <w:t>Iranian territorial waters</w:t>
            </w:r>
          </w:p>
        </w:tc>
        <w:tc>
          <w:tcPr>
            <w:tcW w:w="3800" w:type="dxa"/>
          </w:tcPr>
          <w:p w14:paraId="022DE9AA" w14:textId="77777777" w:rsidR="00EE2283" w:rsidRDefault="00000000">
            <w:pPr>
              <w:spacing w:before="40" w:after="40"/>
              <w:rPr>
                <w:rFonts w:hint="eastAsia"/>
              </w:rPr>
            </w:pPr>
            <w:r>
              <w:rPr>
                <w:rFonts w:cs="Garamond"/>
                <w:sz w:val="20"/>
                <w:szCs w:val="20"/>
              </w:rPr>
              <w:t>Iranian coordination required</w:t>
            </w:r>
          </w:p>
        </w:tc>
      </w:tr>
      <w:tr w:rsidR="00EE2283" w14:paraId="245482CD" w14:textId="77777777">
        <w:tblPrEx>
          <w:tblCellMar>
            <w:top w:w="0" w:type="dxa"/>
            <w:bottom w:w="0" w:type="dxa"/>
          </w:tblCellMar>
        </w:tblPrEx>
        <w:tc>
          <w:tcPr>
            <w:tcW w:w="2200" w:type="dxa"/>
          </w:tcPr>
          <w:p w14:paraId="118E3DAF" w14:textId="77777777" w:rsidR="00EE2283" w:rsidRDefault="00000000">
            <w:pPr>
              <w:spacing w:before="40" w:after="40"/>
              <w:rPr>
                <w:rFonts w:hint="eastAsia"/>
              </w:rPr>
            </w:pPr>
            <w:r>
              <w:rPr>
                <w:rFonts w:cs="Garamond"/>
                <w:sz w:val="20"/>
                <w:szCs w:val="20"/>
              </w:rPr>
              <w:t>Southern</w:t>
            </w:r>
          </w:p>
        </w:tc>
        <w:tc>
          <w:tcPr>
            <w:tcW w:w="3200" w:type="dxa"/>
          </w:tcPr>
          <w:p w14:paraId="18E12F9A" w14:textId="77777777" w:rsidR="00EE2283" w:rsidRDefault="00000000">
            <w:pPr>
              <w:spacing w:before="40" w:after="40"/>
              <w:rPr>
                <w:rFonts w:hint="eastAsia"/>
              </w:rPr>
            </w:pPr>
            <w:r>
              <w:rPr>
                <w:rFonts w:cs="Garamond"/>
                <w:sz w:val="20"/>
                <w:szCs w:val="20"/>
              </w:rPr>
              <w:t>Omani territorial waters</w:t>
            </w:r>
          </w:p>
        </w:tc>
        <w:tc>
          <w:tcPr>
            <w:tcW w:w="3800" w:type="dxa"/>
          </w:tcPr>
          <w:p w14:paraId="11EBF64C" w14:textId="77777777" w:rsidR="00EE2283" w:rsidRDefault="00000000">
            <w:pPr>
              <w:spacing w:before="40" w:after="40"/>
              <w:rPr>
                <w:rFonts w:hint="eastAsia"/>
              </w:rPr>
            </w:pPr>
            <w:r>
              <w:rPr>
                <w:rFonts w:cs="Garamond"/>
                <w:sz w:val="20"/>
                <w:szCs w:val="20"/>
              </w:rPr>
              <w:t>Free navigation</w:t>
            </w:r>
          </w:p>
        </w:tc>
      </w:tr>
      <w:tr w:rsidR="00EE2283" w14:paraId="3F1DB42F" w14:textId="77777777">
        <w:tblPrEx>
          <w:tblCellMar>
            <w:top w:w="0" w:type="dxa"/>
            <w:bottom w:w="0" w:type="dxa"/>
          </w:tblCellMar>
        </w:tblPrEx>
        <w:tc>
          <w:tcPr>
            <w:tcW w:w="2200" w:type="dxa"/>
          </w:tcPr>
          <w:p w14:paraId="592AA6FF" w14:textId="77777777" w:rsidR="00EE2283" w:rsidRDefault="00000000">
            <w:pPr>
              <w:spacing w:before="40" w:after="40"/>
              <w:rPr>
                <w:rFonts w:hint="eastAsia"/>
              </w:rPr>
            </w:pPr>
            <w:r>
              <w:rPr>
                <w:rFonts w:cs="Garamond"/>
                <w:sz w:val="20"/>
                <w:szCs w:val="20"/>
              </w:rPr>
              <w:t>Median Lane</w:t>
            </w:r>
          </w:p>
        </w:tc>
        <w:tc>
          <w:tcPr>
            <w:tcW w:w="3200" w:type="dxa"/>
          </w:tcPr>
          <w:p w14:paraId="54556B23" w14:textId="77777777" w:rsidR="00EE2283" w:rsidRDefault="00000000">
            <w:pPr>
              <w:spacing w:before="40" w:after="40"/>
              <w:rPr>
                <w:rFonts w:hint="eastAsia"/>
              </w:rPr>
            </w:pPr>
            <w:r>
              <w:rPr>
                <w:rFonts w:cs="Garamond"/>
                <w:sz w:val="20"/>
                <w:szCs w:val="20"/>
              </w:rPr>
              <w:t>International waters</w:t>
            </w:r>
          </w:p>
        </w:tc>
        <w:tc>
          <w:tcPr>
            <w:tcW w:w="3800" w:type="dxa"/>
          </w:tcPr>
          <w:p w14:paraId="6BFC0A22" w14:textId="77777777" w:rsidR="00EE2283" w:rsidRDefault="00000000">
            <w:pPr>
              <w:spacing w:before="40" w:after="40"/>
              <w:rPr>
                <w:rFonts w:hint="eastAsia"/>
              </w:rPr>
            </w:pPr>
            <w:r>
              <w:rPr>
                <w:rFonts w:cs="Garamond"/>
                <w:sz w:val="20"/>
                <w:szCs w:val="20"/>
              </w:rPr>
              <w:t>Free and full movement</w:t>
            </w:r>
          </w:p>
        </w:tc>
      </w:tr>
    </w:tbl>
    <w:p w14:paraId="71965666" w14:textId="77777777" w:rsidR="00EE2283" w:rsidRDefault="00000000">
      <w:pPr>
        <w:jc w:val="both"/>
        <w:rPr>
          <w:rFonts w:hint="eastAsia"/>
        </w:rPr>
      </w:pPr>
      <w:r>
        <w:rPr>
          <w:rFonts w:cs="Garamond"/>
          <w:szCs w:val="22"/>
        </w:rPr>
        <w:t>The three-corridor system provides maximum flexibility for commercial shipping while respecting the sovereignty positions of both coastal states. Vessel operators shall select the corridor most appropriate to their operational requirements.</w:t>
      </w:r>
    </w:p>
    <w:p w14:paraId="2F7D7367" w14:textId="77777777" w:rsidR="00EE2283" w:rsidRDefault="00000000">
      <w:pPr>
        <w:pStyle w:val="Heading2"/>
        <w:rPr>
          <w:rFonts w:hint="eastAsia"/>
        </w:rPr>
      </w:pPr>
      <w:r>
        <w:rPr>
          <w:rFonts w:eastAsia="Garamond" w:cs="Garamond"/>
        </w:rPr>
        <w:t>4.2 Article 5 Implementation</w:t>
      </w:r>
    </w:p>
    <w:p w14:paraId="7AC10311" w14:textId="77777777" w:rsidR="00EE2283" w:rsidRDefault="00000000">
      <w:pPr>
        <w:jc w:val="both"/>
        <w:rPr>
          <w:rFonts w:hint="eastAsia"/>
        </w:rPr>
      </w:pPr>
      <w:r>
        <w:rPr>
          <w:rFonts w:cs="Garamond"/>
          <w:b/>
          <w:szCs w:val="22"/>
        </w:rPr>
        <w:t xml:space="preserve">Provision: </w:t>
      </w:r>
      <w:r>
        <w:rPr>
          <w:rFonts w:cs="Garamond"/>
          <w:szCs w:val="22"/>
        </w:rPr>
        <w:t>This Protocol implements the commitment under Article 5 of the Islamabad MoU for Iran to coordinate with Oman on defining the future administration and maritime services in the Strait of Hormuz.</w:t>
      </w:r>
    </w:p>
    <w:p w14:paraId="599F9C69" w14:textId="77777777" w:rsidR="00EE2283" w:rsidRDefault="00000000">
      <w:pPr>
        <w:jc w:val="both"/>
        <w:rPr>
          <w:rFonts w:hint="eastAsia"/>
        </w:rPr>
      </w:pPr>
      <w:r>
        <w:rPr>
          <w:rFonts w:cs="Garamond"/>
          <w:szCs w:val="22"/>
        </w:rPr>
        <w:t>The median lane provides a practical mechanism for restoring normal shipping arrangements without requiring either party to concede sovereignty claims. By establishing a neutral corridor in international waters, this Protocol fulfills the Article 5 mandate for coordination on strait administration while preserving the legal positions of all parties.</w:t>
      </w:r>
    </w:p>
    <w:p w14:paraId="5B403E16" w14:textId="77777777" w:rsidR="00EE2283" w:rsidRDefault="00000000">
      <w:pPr>
        <w:pStyle w:val="Heading2"/>
        <w:rPr>
          <w:rFonts w:hint="eastAsia"/>
        </w:rPr>
      </w:pPr>
      <w:r>
        <w:rPr>
          <w:rFonts w:eastAsia="Garamond" w:cs="Garamond"/>
        </w:rPr>
        <w:t>4.3 Toll-Free Passage</w:t>
      </w:r>
    </w:p>
    <w:p w14:paraId="4A9AB8F1" w14:textId="77777777" w:rsidR="00EE2283" w:rsidRDefault="00000000">
      <w:pPr>
        <w:jc w:val="both"/>
        <w:rPr>
          <w:rFonts w:hint="eastAsia"/>
        </w:rPr>
      </w:pPr>
      <w:r>
        <w:rPr>
          <w:rFonts w:cs="Garamond"/>
          <w:b/>
          <w:szCs w:val="22"/>
        </w:rPr>
        <w:t xml:space="preserve">Provision: </w:t>
      </w:r>
      <w:r>
        <w:rPr>
          <w:rFonts w:cs="Garamond"/>
          <w:szCs w:val="22"/>
        </w:rPr>
        <w:t>Transit through the median lane shall remain toll-free for the duration of the 60-day transitional period established under the Islamabad MoU.</w:t>
      </w:r>
    </w:p>
    <w:p w14:paraId="2CB5E56C" w14:textId="77777777" w:rsidR="00EE2283" w:rsidRDefault="00000000">
      <w:pPr>
        <w:jc w:val="both"/>
        <w:rPr>
          <w:rFonts w:hint="eastAsia"/>
        </w:rPr>
      </w:pPr>
      <w:r>
        <w:rPr>
          <w:rFonts w:cs="Garamond"/>
          <w:szCs w:val="22"/>
        </w:rPr>
        <w:t>Future fee arrangements, if any, shall be discussed by the Joint Working Group following the transitional period. Any proposal for fee-based services shall be subject to the agreement of all parties and shall comply with applicable international law governing transit passage through international straits.</w:t>
      </w:r>
    </w:p>
    <w:p w14:paraId="592F1AFA" w14:textId="77777777" w:rsidR="00EE2283" w:rsidRDefault="00EE2283">
      <w:pPr>
        <w:pageBreakBefore/>
        <w:rPr>
          <w:rFonts w:hint="eastAsia"/>
        </w:rPr>
      </w:pPr>
    </w:p>
    <w:p w14:paraId="7F2AD23E" w14:textId="77777777" w:rsidR="00EE2283" w:rsidRDefault="00000000">
      <w:pPr>
        <w:pStyle w:val="Heading1"/>
        <w:rPr>
          <w:rFonts w:hint="eastAsia"/>
        </w:rPr>
      </w:pPr>
      <w:r>
        <w:rPr>
          <w:rFonts w:eastAsia="Garamond" w:cs="Garamond"/>
          <w:szCs w:val="28"/>
        </w:rPr>
        <w:t>5. SOVEREIGNTY AND SUSPENSION</w:t>
      </w:r>
    </w:p>
    <w:p w14:paraId="28D0842B" w14:textId="77777777" w:rsidR="00EE2283" w:rsidRDefault="00000000">
      <w:pPr>
        <w:pStyle w:val="Heading2"/>
        <w:rPr>
          <w:rFonts w:hint="eastAsia"/>
        </w:rPr>
      </w:pPr>
      <w:r>
        <w:rPr>
          <w:rFonts w:eastAsia="Garamond" w:cs="Garamond"/>
        </w:rPr>
        <w:t>5.1 Sovereignty Clause</w:t>
      </w:r>
    </w:p>
    <w:p w14:paraId="626B31F9" w14:textId="77777777" w:rsidR="00EE2283" w:rsidRDefault="00000000">
      <w:pPr>
        <w:jc w:val="both"/>
        <w:rPr>
          <w:rFonts w:hint="eastAsia"/>
        </w:rPr>
      </w:pPr>
      <w:r>
        <w:rPr>
          <w:rFonts w:cs="Garamond"/>
          <w:szCs w:val="22"/>
        </w:rPr>
        <w:t>This Protocol does not:</w:t>
      </w:r>
    </w:p>
    <w:p w14:paraId="4568FAD1" w14:textId="77777777" w:rsidR="00EE2283" w:rsidRDefault="00000000">
      <w:pPr>
        <w:ind w:left="720" w:hanging="360"/>
        <w:jc w:val="both"/>
        <w:rPr>
          <w:rFonts w:hint="eastAsia"/>
        </w:rPr>
      </w:pPr>
      <w:r>
        <w:rPr>
          <w:rFonts w:cs="Garamond"/>
          <w:szCs w:val="22"/>
        </w:rPr>
        <w:t>•  Alter Iran's sovereign claims over its territorial waters, exclusive economic zone, or continental shelf;</w:t>
      </w:r>
    </w:p>
    <w:p w14:paraId="676B0A33" w14:textId="77777777" w:rsidR="00EE2283" w:rsidRDefault="00000000">
      <w:pPr>
        <w:ind w:left="720" w:hanging="360"/>
        <w:jc w:val="both"/>
        <w:rPr>
          <w:rFonts w:hint="eastAsia"/>
        </w:rPr>
      </w:pPr>
      <w:r>
        <w:rPr>
          <w:rFonts w:cs="Garamond"/>
          <w:szCs w:val="22"/>
        </w:rPr>
        <w:t>•  Change the legal positions of the United States regarding the Strait of Hormuz;</w:t>
      </w:r>
    </w:p>
    <w:p w14:paraId="10734469" w14:textId="77777777" w:rsidR="00EE2283" w:rsidRDefault="00000000">
      <w:pPr>
        <w:ind w:left="720" w:hanging="360"/>
        <w:jc w:val="both"/>
        <w:rPr>
          <w:rFonts w:hint="eastAsia"/>
        </w:rPr>
      </w:pPr>
      <w:r>
        <w:rPr>
          <w:rFonts w:cs="Garamond"/>
          <w:szCs w:val="22"/>
        </w:rPr>
        <w:t>•  Affect the territorial integrity or sovereign rights of the Sultanate of Oman;</w:t>
      </w:r>
    </w:p>
    <w:p w14:paraId="3114299E" w14:textId="77777777" w:rsidR="00EE2283" w:rsidRDefault="00000000">
      <w:pPr>
        <w:ind w:left="720" w:hanging="360"/>
        <w:jc w:val="both"/>
        <w:rPr>
          <w:rFonts w:hint="eastAsia"/>
        </w:rPr>
      </w:pPr>
      <w:r>
        <w:rPr>
          <w:rFonts w:cs="Garamond"/>
          <w:szCs w:val="22"/>
        </w:rPr>
        <w:t>•  Prejudice the rights of any party under international law.</w:t>
      </w:r>
    </w:p>
    <w:p w14:paraId="6D8D5216" w14:textId="77777777" w:rsidR="00EE2283" w:rsidRDefault="00000000">
      <w:pPr>
        <w:jc w:val="both"/>
        <w:rPr>
          <w:rFonts w:hint="eastAsia"/>
        </w:rPr>
      </w:pPr>
      <w:r>
        <w:rPr>
          <w:rFonts w:cs="Garamond"/>
          <w:szCs w:val="22"/>
        </w:rPr>
        <w:t>This sovereignty clause ensures that participation in this technical framework does not constitute recognition of, or acquiescence in, any position regarding the legal status of the Strait of Hormuz that is inconsistent with a party's established legal positions. The median lane, by its location in international waters, inherently respects the sovereignty of both coastal states.</w:t>
      </w:r>
    </w:p>
    <w:p w14:paraId="6192FEF7" w14:textId="77777777" w:rsidR="00EE2283" w:rsidRDefault="00000000">
      <w:pPr>
        <w:pStyle w:val="Heading2"/>
        <w:rPr>
          <w:rFonts w:hint="eastAsia"/>
        </w:rPr>
      </w:pPr>
      <w:r>
        <w:rPr>
          <w:rFonts w:eastAsia="Garamond" w:cs="Garamond"/>
        </w:rPr>
        <w:t>5.2 Suspension Clause</w:t>
      </w:r>
    </w:p>
    <w:p w14:paraId="5F4C3600" w14:textId="77777777" w:rsidR="00EE2283" w:rsidRDefault="00000000">
      <w:pPr>
        <w:jc w:val="both"/>
        <w:rPr>
          <w:rFonts w:hint="eastAsia"/>
        </w:rPr>
      </w:pPr>
      <w:r>
        <w:rPr>
          <w:rFonts w:cs="Garamond"/>
          <w:szCs w:val="22"/>
        </w:rPr>
        <w:t>This Protocol may be suspended under the following circumstances:</w:t>
      </w:r>
    </w:p>
    <w:tbl>
      <w:tblPr>
        <w:tblW w:w="5000" w:type="pct"/>
        <w:tblInd w:w="10" w:type="dxa"/>
        <w:tblBorders>
          <w:top w:val="single" w:sz="8" w:space="0" w:color="1A5F6A"/>
          <w:left w:val="nil"/>
          <w:bottom w:val="single" w:sz="8" w:space="0" w:color="1A5F6A"/>
          <w:right w:val="nil"/>
          <w:insideH w:val="single" w:sz="4" w:space="0" w:color="2A5A60"/>
          <w:insideV w:val="nil"/>
        </w:tblBorders>
        <w:tblCellMar>
          <w:left w:w="10" w:type="dxa"/>
          <w:right w:w="10" w:type="dxa"/>
        </w:tblCellMar>
        <w:tblLook w:val="0000" w:firstRow="0" w:lastRow="0" w:firstColumn="0" w:lastColumn="0" w:noHBand="0" w:noVBand="0"/>
      </w:tblPr>
      <w:tblGrid>
        <w:gridCol w:w="3518"/>
        <w:gridCol w:w="5528"/>
      </w:tblGrid>
      <w:tr w:rsidR="00EE2283" w14:paraId="031F0F56" w14:textId="77777777">
        <w:tblPrEx>
          <w:tblCellMar>
            <w:top w:w="0" w:type="dxa"/>
            <w:bottom w:w="0" w:type="dxa"/>
          </w:tblCellMar>
        </w:tblPrEx>
        <w:trPr>
          <w:tblHeader/>
        </w:trPr>
        <w:tc>
          <w:tcPr>
            <w:tcW w:w="3500" w:type="dxa"/>
            <w:shd w:val="clear" w:color="auto" w:fill="EDF3F4"/>
          </w:tcPr>
          <w:p w14:paraId="09C089E6" w14:textId="77777777" w:rsidR="00EE2283" w:rsidRDefault="00000000">
            <w:pPr>
              <w:spacing w:before="40" w:after="40"/>
              <w:rPr>
                <w:rFonts w:hint="eastAsia"/>
              </w:rPr>
            </w:pPr>
            <w:r>
              <w:rPr>
                <w:rFonts w:cs="Garamond"/>
                <w:b/>
                <w:color w:val="0D3D45"/>
                <w:sz w:val="20"/>
                <w:szCs w:val="20"/>
              </w:rPr>
              <w:t>Trigger</w:t>
            </w:r>
          </w:p>
        </w:tc>
        <w:tc>
          <w:tcPr>
            <w:tcW w:w="5500" w:type="dxa"/>
            <w:shd w:val="clear" w:color="auto" w:fill="EDF3F4"/>
          </w:tcPr>
          <w:p w14:paraId="3A77059C" w14:textId="77777777" w:rsidR="00EE2283" w:rsidRDefault="00000000">
            <w:pPr>
              <w:spacing w:before="40" w:after="40"/>
              <w:rPr>
                <w:rFonts w:hint="eastAsia"/>
              </w:rPr>
            </w:pPr>
            <w:r>
              <w:rPr>
                <w:rFonts w:cs="Garamond"/>
                <w:b/>
                <w:color w:val="0D3D45"/>
                <w:sz w:val="20"/>
                <w:szCs w:val="20"/>
              </w:rPr>
              <w:t>Notice Required</w:t>
            </w:r>
          </w:p>
        </w:tc>
      </w:tr>
      <w:tr w:rsidR="00EE2283" w14:paraId="6FF3DE80" w14:textId="77777777">
        <w:tblPrEx>
          <w:tblCellMar>
            <w:top w:w="0" w:type="dxa"/>
            <w:bottom w:w="0" w:type="dxa"/>
          </w:tblCellMar>
        </w:tblPrEx>
        <w:tc>
          <w:tcPr>
            <w:tcW w:w="3500" w:type="dxa"/>
          </w:tcPr>
          <w:p w14:paraId="599C0BAA" w14:textId="77777777" w:rsidR="00EE2283" w:rsidRDefault="00000000">
            <w:pPr>
              <w:spacing w:before="40" w:after="40"/>
              <w:rPr>
                <w:rFonts w:hint="eastAsia"/>
              </w:rPr>
            </w:pPr>
            <w:r>
              <w:rPr>
                <w:rFonts w:cs="Garamond"/>
                <w:sz w:val="20"/>
                <w:szCs w:val="20"/>
              </w:rPr>
              <w:t>Formal notification by any party</w:t>
            </w:r>
          </w:p>
        </w:tc>
        <w:tc>
          <w:tcPr>
            <w:tcW w:w="5500" w:type="dxa"/>
          </w:tcPr>
          <w:p w14:paraId="52786628" w14:textId="77777777" w:rsidR="00EE2283" w:rsidRDefault="00000000">
            <w:pPr>
              <w:spacing w:before="40" w:after="40"/>
              <w:rPr>
                <w:rFonts w:hint="eastAsia"/>
              </w:rPr>
            </w:pPr>
            <w:r>
              <w:rPr>
                <w:rFonts w:cs="Garamond"/>
                <w:sz w:val="20"/>
                <w:szCs w:val="20"/>
              </w:rPr>
              <w:t>72 hours to all parties</w:t>
            </w:r>
          </w:p>
        </w:tc>
      </w:tr>
      <w:tr w:rsidR="00EE2283" w14:paraId="0BEDEE1D" w14:textId="77777777">
        <w:tblPrEx>
          <w:tblCellMar>
            <w:top w:w="0" w:type="dxa"/>
            <w:bottom w:w="0" w:type="dxa"/>
          </w:tblCellMar>
        </w:tblPrEx>
        <w:tc>
          <w:tcPr>
            <w:tcW w:w="3500" w:type="dxa"/>
          </w:tcPr>
          <w:p w14:paraId="79ABC9C2" w14:textId="77777777" w:rsidR="00EE2283" w:rsidRDefault="00000000">
            <w:pPr>
              <w:spacing w:before="40" w:after="40"/>
              <w:rPr>
                <w:rFonts w:hint="eastAsia"/>
              </w:rPr>
            </w:pPr>
            <w:r>
              <w:rPr>
                <w:rFonts w:cs="Garamond"/>
                <w:sz w:val="20"/>
                <w:szCs w:val="20"/>
              </w:rPr>
              <w:t>Resumption of hostilities in the Strait</w:t>
            </w:r>
          </w:p>
        </w:tc>
        <w:tc>
          <w:tcPr>
            <w:tcW w:w="5500" w:type="dxa"/>
          </w:tcPr>
          <w:p w14:paraId="4E682205" w14:textId="77777777" w:rsidR="00EE2283" w:rsidRDefault="00000000">
            <w:pPr>
              <w:spacing w:before="40" w:after="40"/>
              <w:rPr>
                <w:rFonts w:hint="eastAsia"/>
              </w:rPr>
            </w:pPr>
            <w:r>
              <w:rPr>
                <w:rFonts w:cs="Garamond"/>
                <w:sz w:val="20"/>
                <w:szCs w:val="20"/>
              </w:rPr>
              <w:t>Immediate (effective upon occurrence)</w:t>
            </w:r>
          </w:p>
        </w:tc>
      </w:tr>
      <w:tr w:rsidR="00EE2283" w14:paraId="37970EE1" w14:textId="77777777">
        <w:tblPrEx>
          <w:tblCellMar>
            <w:top w:w="0" w:type="dxa"/>
            <w:bottom w:w="0" w:type="dxa"/>
          </w:tblCellMar>
        </w:tblPrEx>
        <w:tc>
          <w:tcPr>
            <w:tcW w:w="3500" w:type="dxa"/>
          </w:tcPr>
          <w:p w14:paraId="41D48F46" w14:textId="77777777" w:rsidR="00EE2283" w:rsidRDefault="00000000">
            <w:pPr>
              <w:spacing w:before="40" w:after="40"/>
              <w:rPr>
                <w:rFonts w:hint="eastAsia"/>
              </w:rPr>
            </w:pPr>
            <w:r>
              <w:rPr>
                <w:rFonts w:cs="Garamond"/>
                <w:sz w:val="20"/>
                <w:szCs w:val="20"/>
              </w:rPr>
              <w:t>Material breach by any party</w:t>
            </w:r>
          </w:p>
        </w:tc>
        <w:tc>
          <w:tcPr>
            <w:tcW w:w="5500" w:type="dxa"/>
          </w:tcPr>
          <w:p w14:paraId="128947E0" w14:textId="77777777" w:rsidR="00EE2283" w:rsidRDefault="00000000">
            <w:pPr>
              <w:spacing w:before="40" w:after="40"/>
              <w:rPr>
                <w:rFonts w:hint="eastAsia"/>
              </w:rPr>
            </w:pPr>
            <w:r>
              <w:rPr>
                <w:rFonts w:cs="Garamond"/>
                <w:sz w:val="20"/>
                <w:szCs w:val="20"/>
              </w:rPr>
              <w:t>24 hours to all parties</w:t>
            </w:r>
          </w:p>
        </w:tc>
      </w:tr>
      <w:tr w:rsidR="00EE2283" w14:paraId="0E50C83A" w14:textId="77777777">
        <w:tblPrEx>
          <w:tblCellMar>
            <w:top w:w="0" w:type="dxa"/>
            <w:bottom w:w="0" w:type="dxa"/>
          </w:tblCellMar>
        </w:tblPrEx>
        <w:tc>
          <w:tcPr>
            <w:tcW w:w="3500" w:type="dxa"/>
          </w:tcPr>
          <w:p w14:paraId="3922918D" w14:textId="77777777" w:rsidR="00EE2283" w:rsidRDefault="00000000">
            <w:pPr>
              <w:spacing w:before="40" w:after="40"/>
              <w:rPr>
                <w:rFonts w:hint="eastAsia"/>
              </w:rPr>
            </w:pPr>
            <w:proofErr w:type="gramStart"/>
            <w:r>
              <w:rPr>
                <w:rFonts w:cs="Garamond"/>
                <w:sz w:val="20"/>
                <w:szCs w:val="20"/>
              </w:rPr>
              <w:t>Mutual agreement</w:t>
            </w:r>
            <w:proofErr w:type="gramEnd"/>
            <w:r>
              <w:rPr>
                <w:rFonts w:cs="Garamond"/>
                <w:sz w:val="20"/>
                <w:szCs w:val="20"/>
              </w:rPr>
              <w:t xml:space="preserve"> of all parties</w:t>
            </w:r>
          </w:p>
        </w:tc>
        <w:tc>
          <w:tcPr>
            <w:tcW w:w="5500" w:type="dxa"/>
          </w:tcPr>
          <w:p w14:paraId="7E369075" w14:textId="77777777" w:rsidR="00EE2283" w:rsidRDefault="00000000">
            <w:pPr>
              <w:spacing w:before="40" w:after="40"/>
              <w:rPr>
                <w:rFonts w:hint="eastAsia"/>
              </w:rPr>
            </w:pPr>
            <w:r>
              <w:rPr>
                <w:rFonts w:cs="Garamond"/>
                <w:sz w:val="20"/>
                <w:szCs w:val="20"/>
              </w:rPr>
              <w:t>Immediate upon signature</w:t>
            </w:r>
          </w:p>
        </w:tc>
      </w:tr>
    </w:tbl>
    <w:p w14:paraId="4C1E05F4" w14:textId="77777777" w:rsidR="00EE2283" w:rsidRDefault="00000000">
      <w:pPr>
        <w:jc w:val="both"/>
        <w:rPr>
          <w:rFonts w:hint="eastAsia"/>
        </w:rPr>
      </w:pPr>
      <w:r>
        <w:rPr>
          <w:rFonts w:cs="Garamond"/>
          <w:szCs w:val="22"/>
        </w:rPr>
        <w:t>The 72-hour suspension notice period prevents immediate unilateral termination while allowing any party a meaningful exit from the framework. The provision for immediate suspension in the event of resumed hostilities recognizes that continued cooperation may be impossible during active military operations.</w:t>
      </w:r>
    </w:p>
    <w:p w14:paraId="36D733EA" w14:textId="77777777" w:rsidR="00EE2283" w:rsidRDefault="00EE2283">
      <w:pPr>
        <w:pageBreakBefore/>
        <w:rPr>
          <w:rFonts w:hint="eastAsia"/>
        </w:rPr>
      </w:pPr>
    </w:p>
    <w:p w14:paraId="78EF5C6A" w14:textId="77777777" w:rsidR="00EE2283" w:rsidRDefault="00000000">
      <w:pPr>
        <w:pStyle w:val="Heading1"/>
        <w:rPr>
          <w:rFonts w:hint="eastAsia"/>
        </w:rPr>
      </w:pPr>
      <w:r>
        <w:rPr>
          <w:rFonts w:eastAsia="Garamond" w:cs="Garamond"/>
          <w:szCs w:val="28"/>
        </w:rPr>
        <w:t>6. FINAL PROVISIONS</w:t>
      </w:r>
    </w:p>
    <w:p w14:paraId="11B9487F" w14:textId="77777777" w:rsidR="00EE2283" w:rsidRDefault="00000000">
      <w:pPr>
        <w:pStyle w:val="Heading2"/>
        <w:rPr>
          <w:rFonts w:hint="eastAsia"/>
        </w:rPr>
      </w:pPr>
      <w:r>
        <w:rPr>
          <w:rFonts w:eastAsia="Garamond" w:cs="Garamond"/>
        </w:rPr>
        <w:t>6.1 Entry into Force</w:t>
      </w:r>
    </w:p>
    <w:p w14:paraId="0C1ED887" w14:textId="77777777" w:rsidR="00EE2283" w:rsidRDefault="00000000">
      <w:pPr>
        <w:jc w:val="both"/>
        <w:rPr>
          <w:rFonts w:hint="eastAsia"/>
        </w:rPr>
      </w:pPr>
      <w:r>
        <w:rPr>
          <w:rFonts w:cs="Garamond"/>
          <w:szCs w:val="22"/>
        </w:rPr>
        <w:t>This Protocol shall enter into force upon signature by duly authorized representatives of the Sultanate of Oman and the Islamic Republic of Iran, and acknowledgment by the United States of America. Entry into force is contingent upon the completion of internal review processes by the Islamic Republic of Iran. The Islamic Republic of Iran shall provide notification to the Sultanate of Oman and the United States of America upon completion of its internal approvals.</w:t>
      </w:r>
    </w:p>
    <w:p w14:paraId="166562DA" w14:textId="77777777" w:rsidR="00EE2283" w:rsidRDefault="00000000">
      <w:pPr>
        <w:pStyle w:val="Heading2"/>
        <w:rPr>
          <w:rFonts w:hint="eastAsia"/>
        </w:rPr>
      </w:pPr>
      <w:r>
        <w:rPr>
          <w:rFonts w:eastAsia="Garamond" w:cs="Garamond"/>
        </w:rPr>
        <w:t>6.2 Duration</w:t>
      </w:r>
    </w:p>
    <w:p w14:paraId="4A8DF453" w14:textId="77777777" w:rsidR="00EE2283" w:rsidRDefault="00000000">
      <w:pPr>
        <w:jc w:val="both"/>
        <w:rPr>
          <w:rFonts w:hint="eastAsia"/>
        </w:rPr>
      </w:pPr>
      <w:r>
        <w:rPr>
          <w:rFonts w:cs="Garamond"/>
          <w:szCs w:val="22"/>
        </w:rPr>
        <w:t>This Protocol shall remain in force for an initial period of 60 days from the date of entry into force, coterminous with the toll-free passage commitment established under the Islamabad MoU. The Protocol may be extended by mutual agreement of all parties.</w:t>
      </w:r>
    </w:p>
    <w:p w14:paraId="42E2F7A8" w14:textId="77777777" w:rsidR="00EE2283" w:rsidRDefault="00000000">
      <w:pPr>
        <w:pStyle w:val="Heading2"/>
        <w:rPr>
          <w:rFonts w:hint="eastAsia"/>
        </w:rPr>
      </w:pPr>
      <w:r>
        <w:rPr>
          <w:rFonts w:eastAsia="Garamond" w:cs="Garamond"/>
        </w:rPr>
        <w:t>6.3 Amendment</w:t>
      </w:r>
    </w:p>
    <w:p w14:paraId="1843CA44" w14:textId="77777777" w:rsidR="00EE2283" w:rsidRDefault="00000000">
      <w:pPr>
        <w:jc w:val="both"/>
        <w:rPr>
          <w:rFonts w:hint="eastAsia"/>
        </w:rPr>
      </w:pPr>
      <w:r>
        <w:rPr>
          <w:rFonts w:cs="Garamond"/>
          <w:szCs w:val="22"/>
        </w:rPr>
        <w:t>This Protocol may be amended only by written agreement of all parties. Any amendment shall be documented through an exchange of diplomatic notes and shall enter into force in accordance with the procedures set forth in Section 6.1.</w:t>
      </w:r>
    </w:p>
    <w:p w14:paraId="7BB34B32" w14:textId="77777777" w:rsidR="00EE2283" w:rsidRDefault="00EE2283">
      <w:pPr>
        <w:pageBreakBefore/>
        <w:rPr>
          <w:rFonts w:hint="eastAsia"/>
        </w:rPr>
      </w:pPr>
    </w:p>
    <w:p w14:paraId="2858BBB8" w14:textId="77777777" w:rsidR="00EE2283" w:rsidRDefault="00000000">
      <w:pPr>
        <w:pStyle w:val="Heading1"/>
        <w:rPr>
          <w:rFonts w:hint="eastAsia"/>
        </w:rPr>
      </w:pPr>
      <w:r>
        <w:rPr>
          <w:rFonts w:eastAsia="Garamond" w:cs="Garamond"/>
          <w:szCs w:val="28"/>
        </w:rPr>
        <w:t>SIGNATURE BLOCK</w:t>
      </w:r>
    </w:p>
    <w:p w14:paraId="6F2653BD" w14:textId="77777777" w:rsidR="00EE2283" w:rsidRDefault="00000000">
      <w:pPr>
        <w:jc w:val="both"/>
        <w:rPr>
          <w:rFonts w:hint="eastAsia"/>
        </w:rPr>
      </w:pPr>
      <w:r>
        <w:rPr>
          <w:rFonts w:cs="Garamond"/>
          <w:szCs w:val="22"/>
        </w:rPr>
        <w:t>This Protocol is executed in triplicate, with original copies retained by each party.</w:t>
      </w:r>
    </w:p>
    <w:p w14:paraId="2C6767F5" w14:textId="77777777" w:rsidR="00EE2283" w:rsidRDefault="00EE2283">
      <w:pPr>
        <w:jc w:val="both"/>
        <w:rPr>
          <w:rFonts w:hint="eastAsia"/>
        </w:rPr>
      </w:pPr>
    </w:p>
    <w:tbl>
      <w:tblPr>
        <w:tblW w:w="5000" w:type="pct"/>
        <w:tblInd w:w="10" w:type="dxa"/>
        <w:tblBorders>
          <w:top w:val="single" w:sz="8" w:space="0" w:color="1A5F6A"/>
          <w:left w:val="nil"/>
          <w:bottom w:val="single" w:sz="8" w:space="0" w:color="1A5F6A"/>
          <w:right w:val="nil"/>
          <w:insideH w:val="single" w:sz="4" w:space="0" w:color="2A5A60"/>
          <w:insideV w:val="nil"/>
        </w:tblBorders>
        <w:tblCellMar>
          <w:left w:w="10" w:type="dxa"/>
          <w:right w:w="10" w:type="dxa"/>
        </w:tblCellMar>
        <w:tblLook w:val="0000" w:firstRow="0" w:lastRow="0" w:firstColumn="0" w:lastColumn="0" w:noHBand="0" w:noVBand="0"/>
      </w:tblPr>
      <w:tblGrid>
        <w:gridCol w:w="3016"/>
        <w:gridCol w:w="3015"/>
        <w:gridCol w:w="3015"/>
      </w:tblGrid>
      <w:tr w:rsidR="00EE2283" w14:paraId="34CDA5EF" w14:textId="77777777">
        <w:tblPrEx>
          <w:tblCellMar>
            <w:top w:w="0" w:type="dxa"/>
            <w:bottom w:w="0" w:type="dxa"/>
          </w:tblCellMar>
        </w:tblPrEx>
        <w:trPr>
          <w:tblHeader/>
        </w:trPr>
        <w:tc>
          <w:tcPr>
            <w:tcW w:w="3000" w:type="dxa"/>
            <w:shd w:val="clear" w:color="auto" w:fill="EDF3F4"/>
          </w:tcPr>
          <w:p w14:paraId="160BE3DE" w14:textId="77777777" w:rsidR="00EE2283" w:rsidRDefault="00000000">
            <w:pPr>
              <w:spacing w:before="40" w:after="40"/>
              <w:rPr>
                <w:rFonts w:hint="eastAsia"/>
              </w:rPr>
            </w:pPr>
            <w:r>
              <w:rPr>
                <w:rFonts w:cs="Garamond"/>
                <w:b/>
                <w:color w:val="0D3D45"/>
                <w:sz w:val="20"/>
                <w:szCs w:val="20"/>
              </w:rPr>
              <w:t>SULTANATE OF OMAN</w:t>
            </w:r>
          </w:p>
        </w:tc>
        <w:tc>
          <w:tcPr>
            <w:tcW w:w="3000" w:type="dxa"/>
            <w:shd w:val="clear" w:color="auto" w:fill="EDF3F4"/>
          </w:tcPr>
          <w:p w14:paraId="61318886" w14:textId="77777777" w:rsidR="00EE2283" w:rsidRDefault="00000000">
            <w:pPr>
              <w:spacing w:before="40" w:after="40"/>
              <w:rPr>
                <w:rFonts w:hint="eastAsia"/>
              </w:rPr>
            </w:pPr>
            <w:r>
              <w:rPr>
                <w:rFonts w:cs="Garamond"/>
                <w:b/>
                <w:color w:val="0D3D45"/>
                <w:sz w:val="20"/>
                <w:szCs w:val="20"/>
              </w:rPr>
              <w:t>ISLAMIC REPUBLIC OF IRAN</w:t>
            </w:r>
          </w:p>
        </w:tc>
        <w:tc>
          <w:tcPr>
            <w:tcW w:w="3000" w:type="dxa"/>
            <w:shd w:val="clear" w:color="auto" w:fill="EDF3F4"/>
          </w:tcPr>
          <w:p w14:paraId="444F6475" w14:textId="77777777" w:rsidR="00EE2283" w:rsidRDefault="00000000">
            <w:pPr>
              <w:spacing w:before="40" w:after="40"/>
              <w:rPr>
                <w:rFonts w:hint="eastAsia"/>
              </w:rPr>
            </w:pPr>
            <w:r>
              <w:rPr>
                <w:rFonts w:cs="Garamond"/>
                <w:b/>
                <w:color w:val="0D3D45"/>
                <w:sz w:val="20"/>
                <w:szCs w:val="20"/>
              </w:rPr>
              <w:t>UNITED STATES OF AMERICA</w:t>
            </w:r>
          </w:p>
        </w:tc>
      </w:tr>
      <w:tr w:rsidR="00EE2283" w14:paraId="0C0B56BC" w14:textId="77777777">
        <w:tblPrEx>
          <w:tblCellMar>
            <w:top w:w="0" w:type="dxa"/>
            <w:bottom w:w="0" w:type="dxa"/>
          </w:tblCellMar>
        </w:tblPrEx>
        <w:tc>
          <w:tcPr>
            <w:tcW w:w="3000" w:type="dxa"/>
          </w:tcPr>
          <w:p w14:paraId="50639BF6" w14:textId="77777777" w:rsidR="00EE2283" w:rsidRDefault="00EE2283">
            <w:pPr>
              <w:spacing w:before="40" w:after="40"/>
              <w:rPr>
                <w:rFonts w:hint="eastAsia"/>
              </w:rPr>
            </w:pPr>
          </w:p>
        </w:tc>
        <w:tc>
          <w:tcPr>
            <w:tcW w:w="3000" w:type="dxa"/>
          </w:tcPr>
          <w:p w14:paraId="186319EA" w14:textId="77777777" w:rsidR="00EE2283" w:rsidRDefault="00EE2283">
            <w:pPr>
              <w:spacing w:before="40" w:after="40"/>
              <w:rPr>
                <w:rFonts w:hint="eastAsia"/>
              </w:rPr>
            </w:pPr>
          </w:p>
        </w:tc>
        <w:tc>
          <w:tcPr>
            <w:tcW w:w="3000" w:type="dxa"/>
          </w:tcPr>
          <w:p w14:paraId="2CE5EEEA" w14:textId="77777777" w:rsidR="00EE2283" w:rsidRDefault="00EE2283">
            <w:pPr>
              <w:spacing w:before="40" w:after="40"/>
              <w:rPr>
                <w:rFonts w:hint="eastAsia"/>
              </w:rPr>
            </w:pPr>
          </w:p>
        </w:tc>
      </w:tr>
      <w:tr w:rsidR="00EE2283" w14:paraId="6A641C0B" w14:textId="77777777">
        <w:tblPrEx>
          <w:tblCellMar>
            <w:top w:w="0" w:type="dxa"/>
            <w:bottom w:w="0" w:type="dxa"/>
          </w:tblCellMar>
        </w:tblPrEx>
        <w:tc>
          <w:tcPr>
            <w:tcW w:w="3000" w:type="dxa"/>
          </w:tcPr>
          <w:p w14:paraId="2A0B27F7" w14:textId="77777777" w:rsidR="00EE2283" w:rsidRDefault="00000000">
            <w:pPr>
              <w:spacing w:before="40" w:after="40"/>
              <w:rPr>
                <w:rFonts w:hint="eastAsia"/>
              </w:rPr>
            </w:pPr>
            <w:r>
              <w:rPr>
                <w:rFonts w:cs="Garamond"/>
                <w:sz w:val="20"/>
                <w:szCs w:val="20"/>
              </w:rPr>
              <w:t>Signed:</w:t>
            </w:r>
          </w:p>
        </w:tc>
        <w:tc>
          <w:tcPr>
            <w:tcW w:w="3000" w:type="dxa"/>
          </w:tcPr>
          <w:p w14:paraId="0908F504" w14:textId="77777777" w:rsidR="00EE2283" w:rsidRDefault="00000000">
            <w:pPr>
              <w:spacing w:before="40" w:after="40"/>
              <w:rPr>
                <w:rFonts w:hint="eastAsia"/>
              </w:rPr>
            </w:pPr>
            <w:r>
              <w:rPr>
                <w:rFonts w:cs="Garamond"/>
                <w:sz w:val="20"/>
                <w:szCs w:val="20"/>
              </w:rPr>
              <w:t>Signed:</w:t>
            </w:r>
          </w:p>
        </w:tc>
        <w:tc>
          <w:tcPr>
            <w:tcW w:w="3000" w:type="dxa"/>
          </w:tcPr>
          <w:p w14:paraId="37AC5C77" w14:textId="77777777" w:rsidR="00EE2283" w:rsidRDefault="00000000">
            <w:pPr>
              <w:spacing w:before="40" w:after="40"/>
              <w:rPr>
                <w:rFonts w:hint="eastAsia"/>
              </w:rPr>
            </w:pPr>
            <w:r>
              <w:rPr>
                <w:rFonts w:cs="Garamond"/>
                <w:sz w:val="20"/>
                <w:szCs w:val="20"/>
              </w:rPr>
              <w:t>Acknowledged:</w:t>
            </w:r>
          </w:p>
        </w:tc>
      </w:tr>
      <w:tr w:rsidR="00EE2283" w14:paraId="345D9644" w14:textId="77777777">
        <w:tblPrEx>
          <w:tblCellMar>
            <w:top w:w="0" w:type="dxa"/>
            <w:bottom w:w="0" w:type="dxa"/>
          </w:tblCellMar>
        </w:tblPrEx>
        <w:tc>
          <w:tcPr>
            <w:tcW w:w="3000" w:type="dxa"/>
          </w:tcPr>
          <w:p w14:paraId="1D94B188" w14:textId="77777777" w:rsidR="00EE2283" w:rsidRDefault="00000000">
            <w:pPr>
              <w:spacing w:before="40" w:after="40"/>
              <w:rPr>
                <w:rFonts w:hint="eastAsia"/>
              </w:rPr>
            </w:pPr>
            <w:r>
              <w:rPr>
                <w:rFonts w:cs="Garamond"/>
                <w:sz w:val="20"/>
                <w:szCs w:val="20"/>
              </w:rPr>
              <w:t>_________________________</w:t>
            </w:r>
          </w:p>
        </w:tc>
        <w:tc>
          <w:tcPr>
            <w:tcW w:w="3000" w:type="dxa"/>
          </w:tcPr>
          <w:p w14:paraId="6C6B7895" w14:textId="77777777" w:rsidR="00EE2283" w:rsidRDefault="00000000">
            <w:pPr>
              <w:spacing w:before="40" w:after="40"/>
              <w:rPr>
                <w:rFonts w:hint="eastAsia"/>
              </w:rPr>
            </w:pPr>
            <w:r>
              <w:rPr>
                <w:rFonts w:cs="Garamond"/>
                <w:sz w:val="20"/>
                <w:szCs w:val="20"/>
              </w:rPr>
              <w:t>_________________________</w:t>
            </w:r>
          </w:p>
        </w:tc>
        <w:tc>
          <w:tcPr>
            <w:tcW w:w="3000" w:type="dxa"/>
          </w:tcPr>
          <w:p w14:paraId="71FDE596" w14:textId="77777777" w:rsidR="00EE2283" w:rsidRDefault="00000000">
            <w:pPr>
              <w:spacing w:before="40" w:after="40"/>
              <w:rPr>
                <w:rFonts w:hint="eastAsia"/>
              </w:rPr>
            </w:pPr>
            <w:r>
              <w:rPr>
                <w:rFonts w:cs="Garamond"/>
                <w:sz w:val="20"/>
                <w:szCs w:val="20"/>
              </w:rPr>
              <w:t>_________________________</w:t>
            </w:r>
          </w:p>
        </w:tc>
      </w:tr>
      <w:tr w:rsidR="00EE2283" w14:paraId="2BBDCDC4" w14:textId="77777777">
        <w:tblPrEx>
          <w:tblCellMar>
            <w:top w:w="0" w:type="dxa"/>
            <w:bottom w:w="0" w:type="dxa"/>
          </w:tblCellMar>
        </w:tblPrEx>
        <w:tc>
          <w:tcPr>
            <w:tcW w:w="3000" w:type="dxa"/>
          </w:tcPr>
          <w:p w14:paraId="055A8267" w14:textId="77777777" w:rsidR="00EE2283" w:rsidRDefault="00000000">
            <w:pPr>
              <w:spacing w:before="40" w:after="40"/>
              <w:rPr>
                <w:rFonts w:hint="eastAsia"/>
              </w:rPr>
            </w:pPr>
            <w:r>
              <w:rPr>
                <w:rFonts w:cs="Garamond"/>
                <w:sz w:val="20"/>
                <w:szCs w:val="20"/>
              </w:rPr>
              <w:t>[Name]</w:t>
            </w:r>
          </w:p>
        </w:tc>
        <w:tc>
          <w:tcPr>
            <w:tcW w:w="3000" w:type="dxa"/>
          </w:tcPr>
          <w:p w14:paraId="7C4958C5" w14:textId="77777777" w:rsidR="00EE2283" w:rsidRDefault="00000000">
            <w:pPr>
              <w:spacing w:before="40" w:after="40"/>
              <w:rPr>
                <w:rFonts w:hint="eastAsia"/>
              </w:rPr>
            </w:pPr>
            <w:r>
              <w:rPr>
                <w:rFonts w:cs="Garamond"/>
                <w:sz w:val="20"/>
                <w:szCs w:val="20"/>
              </w:rPr>
              <w:t>[Name]</w:t>
            </w:r>
          </w:p>
        </w:tc>
        <w:tc>
          <w:tcPr>
            <w:tcW w:w="3000" w:type="dxa"/>
          </w:tcPr>
          <w:p w14:paraId="24DF75FA" w14:textId="77777777" w:rsidR="00EE2283" w:rsidRDefault="00000000">
            <w:pPr>
              <w:spacing w:before="40" w:after="40"/>
              <w:rPr>
                <w:rFonts w:hint="eastAsia"/>
              </w:rPr>
            </w:pPr>
            <w:r>
              <w:rPr>
                <w:rFonts w:cs="Garamond"/>
                <w:sz w:val="20"/>
                <w:szCs w:val="20"/>
              </w:rPr>
              <w:t>[Name]</w:t>
            </w:r>
          </w:p>
        </w:tc>
      </w:tr>
      <w:tr w:rsidR="00EE2283" w14:paraId="3E9BB97C" w14:textId="77777777">
        <w:tblPrEx>
          <w:tblCellMar>
            <w:top w:w="0" w:type="dxa"/>
            <w:bottom w:w="0" w:type="dxa"/>
          </w:tblCellMar>
        </w:tblPrEx>
        <w:tc>
          <w:tcPr>
            <w:tcW w:w="3000" w:type="dxa"/>
          </w:tcPr>
          <w:p w14:paraId="2B8B98CB" w14:textId="77777777" w:rsidR="00EE2283" w:rsidRDefault="00000000">
            <w:pPr>
              <w:spacing w:before="40" w:after="40"/>
              <w:rPr>
                <w:rFonts w:hint="eastAsia"/>
              </w:rPr>
            </w:pPr>
            <w:r>
              <w:rPr>
                <w:rFonts w:cs="Garamond"/>
                <w:sz w:val="20"/>
                <w:szCs w:val="20"/>
              </w:rPr>
              <w:t>Ministry of Foreign Affairs</w:t>
            </w:r>
          </w:p>
        </w:tc>
        <w:tc>
          <w:tcPr>
            <w:tcW w:w="3000" w:type="dxa"/>
          </w:tcPr>
          <w:p w14:paraId="25716D41" w14:textId="77777777" w:rsidR="00EE2283" w:rsidRDefault="00000000">
            <w:pPr>
              <w:spacing w:before="40" w:after="40"/>
              <w:rPr>
                <w:rFonts w:hint="eastAsia"/>
              </w:rPr>
            </w:pPr>
            <w:r>
              <w:rPr>
                <w:rFonts w:cs="Garamond"/>
                <w:sz w:val="20"/>
                <w:szCs w:val="20"/>
              </w:rPr>
              <w:t>Deputy Minister</w:t>
            </w:r>
          </w:p>
        </w:tc>
        <w:tc>
          <w:tcPr>
            <w:tcW w:w="3000" w:type="dxa"/>
          </w:tcPr>
          <w:p w14:paraId="0B79115C" w14:textId="77777777" w:rsidR="00EE2283" w:rsidRDefault="00000000">
            <w:pPr>
              <w:spacing w:before="40" w:after="40"/>
              <w:rPr>
                <w:rFonts w:hint="eastAsia"/>
              </w:rPr>
            </w:pPr>
            <w:r>
              <w:rPr>
                <w:rFonts w:cs="Garamond"/>
                <w:sz w:val="20"/>
                <w:szCs w:val="20"/>
              </w:rPr>
              <w:t>Department of State</w:t>
            </w:r>
          </w:p>
        </w:tc>
      </w:tr>
      <w:tr w:rsidR="00EE2283" w14:paraId="01376A19" w14:textId="77777777">
        <w:tblPrEx>
          <w:tblCellMar>
            <w:top w:w="0" w:type="dxa"/>
            <w:bottom w:w="0" w:type="dxa"/>
          </w:tblCellMar>
        </w:tblPrEx>
        <w:tc>
          <w:tcPr>
            <w:tcW w:w="3000" w:type="dxa"/>
          </w:tcPr>
          <w:p w14:paraId="77279353" w14:textId="77777777" w:rsidR="00EE2283" w:rsidRDefault="00000000">
            <w:pPr>
              <w:spacing w:before="40" w:after="40"/>
              <w:rPr>
                <w:rFonts w:hint="eastAsia"/>
              </w:rPr>
            </w:pPr>
            <w:r>
              <w:rPr>
                <w:rFonts w:cs="Garamond"/>
                <w:sz w:val="20"/>
                <w:szCs w:val="20"/>
              </w:rPr>
              <w:t>Sultanate of Oman</w:t>
            </w:r>
          </w:p>
        </w:tc>
        <w:tc>
          <w:tcPr>
            <w:tcW w:w="3000" w:type="dxa"/>
          </w:tcPr>
          <w:p w14:paraId="444BC9B8" w14:textId="77777777" w:rsidR="00EE2283" w:rsidRDefault="00000000">
            <w:pPr>
              <w:spacing w:before="40" w:after="40"/>
              <w:rPr>
                <w:rFonts w:hint="eastAsia"/>
              </w:rPr>
            </w:pPr>
            <w:r>
              <w:rPr>
                <w:rFonts w:cs="Garamond"/>
                <w:sz w:val="20"/>
                <w:szCs w:val="20"/>
              </w:rPr>
              <w:t>Ministry of Foreign Affairs</w:t>
            </w:r>
          </w:p>
        </w:tc>
        <w:tc>
          <w:tcPr>
            <w:tcW w:w="3000" w:type="dxa"/>
          </w:tcPr>
          <w:p w14:paraId="2A866758" w14:textId="77777777" w:rsidR="00EE2283" w:rsidRDefault="00000000">
            <w:pPr>
              <w:spacing w:before="40" w:after="40"/>
              <w:rPr>
                <w:rFonts w:hint="eastAsia"/>
              </w:rPr>
            </w:pPr>
            <w:r>
              <w:rPr>
                <w:rFonts w:cs="Garamond"/>
                <w:sz w:val="20"/>
                <w:szCs w:val="20"/>
              </w:rPr>
              <w:t>United States of America</w:t>
            </w:r>
          </w:p>
        </w:tc>
      </w:tr>
      <w:tr w:rsidR="00EE2283" w14:paraId="25D97325" w14:textId="77777777">
        <w:tblPrEx>
          <w:tblCellMar>
            <w:top w:w="0" w:type="dxa"/>
            <w:bottom w:w="0" w:type="dxa"/>
          </w:tblCellMar>
        </w:tblPrEx>
        <w:tc>
          <w:tcPr>
            <w:tcW w:w="3000" w:type="dxa"/>
          </w:tcPr>
          <w:p w14:paraId="45EDED5D" w14:textId="77777777" w:rsidR="00EE2283" w:rsidRDefault="00EE2283">
            <w:pPr>
              <w:spacing w:before="40" w:after="40"/>
              <w:rPr>
                <w:rFonts w:hint="eastAsia"/>
              </w:rPr>
            </w:pPr>
          </w:p>
        </w:tc>
        <w:tc>
          <w:tcPr>
            <w:tcW w:w="3000" w:type="dxa"/>
          </w:tcPr>
          <w:p w14:paraId="53B7F009" w14:textId="77777777" w:rsidR="00EE2283" w:rsidRDefault="00000000">
            <w:pPr>
              <w:spacing w:before="40" w:after="40"/>
              <w:rPr>
                <w:rFonts w:hint="eastAsia"/>
              </w:rPr>
            </w:pPr>
            <w:r>
              <w:rPr>
                <w:rFonts w:cs="Garamond"/>
                <w:sz w:val="20"/>
                <w:szCs w:val="20"/>
              </w:rPr>
              <w:t>Islamic Republic of Iran</w:t>
            </w:r>
          </w:p>
        </w:tc>
        <w:tc>
          <w:tcPr>
            <w:tcW w:w="3000" w:type="dxa"/>
          </w:tcPr>
          <w:p w14:paraId="52807A1C" w14:textId="77777777" w:rsidR="00EE2283" w:rsidRDefault="00EE2283">
            <w:pPr>
              <w:spacing w:before="40" w:after="40"/>
              <w:rPr>
                <w:rFonts w:hint="eastAsia"/>
              </w:rPr>
            </w:pPr>
          </w:p>
        </w:tc>
      </w:tr>
      <w:tr w:rsidR="00EE2283" w14:paraId="52AA8234" w14:textId="77777777">
        <w:tblPrEx>
          <w:tblCellMar>
            <w:top w:w="0" w:type="dxa"/>
            <w:bottom w:w="0" w:type="dxa"/>
          </w:tblCellMar>
        </w:tblPrEx>
        <w:tc>
          <w:tcPr>
            <w:tcW w:w="3000" w:type="dxa"/>
          </w:tcPr>
          <w:p w14:paraId="2223064B" w14:textId="77777777" w:rsidR="00EE2283" w:rsidRDefault="00000000">
            <w:pPr>
              <w:spacing w:before="40" w:after="40"/>
              <w:rPr>
                <w:rFonts w:hint="eastAsia"/>
              </w:rPr>
            </w:pPr>
            <w:r>
              <w:rPr>
                <w:rFonts w:cs="Garamond"/>
                <w:sz w:val="20"/>
                <w:szCs w:val="20"/>
              </w:rPr>
              <w:t>Date: July 11, 2026</w:t>
            </w:r>
          </w:p>
        </w:tc>
        <w:tc>
          <w:tcPr>
            <w:tcW w:w="3000" w:type="dxa"/>
          </w:tcPr>
          <w:p w14:paraId="34B53966" w14:textId="77777777" w:rsidR="00EE2283" w:rsidRDefault="00000000">
            <w:pPr>
              <w:spacing w:before="40" w:after="40"/>
              <w:rPr>
                <w:rFonts w:hint="eastAsia"/>
              </w:rPr>
            </w:pPr>
            <w:r>
              <w:rPr>
                <w:rFonts w:cs="Garamond"/>
                <w:sz w:val="20"/>
                <w:szCs w:val="20"/>
              </w:rPr>
              <w:t>Date: July 11, 2026</w:t>
            </w:r>
          </w:p>
        </w:tc>
        <w:tc>
          <w:tcPr>
            <w:tcW w:w="3000" w:type="dxa"/>
          </w:tcPr>
          <w:p w14:paraId="2767C2D7" w14:textId="77777777" w:rsidR="00EE2283" w:rsidRDefault="00000000">
            <w:pPr>
              <w:spacing w:before="40" w:after="40"/>
              <w:rPr>
                <w:rFonts w:hint="eastAsia"/>
              </w:rPr>
            </w:pPr>
            <w:r>
              <w:rPr>
                <w:rFonts w:cs="Garamond"/>
                <w:sz w:val="20"/>
                <w:szCs w:val="20"/>
              </w:rPr>
              <w:t>Date: July 11, 2026</w:t>
            </w:r>
          </w:p>
        </w:tc>
      </w:tr>
      <w:tr w:rsidR="00EE2283" w14:paraId="05746F2C" w14:textId="77777777">
        <w:tblPrEx>
          <w:tblCellMar>
            <w:top w:w="0" w:type="dxa"/>
            <w:bottom w:w="0" w:type="dxa"/>
          </w:tblCellMar>
        </w:tblPrEx>
        <w:tc>
          <w:tcPr>
            <w:tcW w:w="3000" w:type="dxa"/>
          </w:tcPr>
          <w:p w14:paraId="7251E565" w14:textId="77777777" w:rsidR="00EE2283" w:rsidRDefault="00EE2283">
            <w:pPr>
              <w:spacing w:before="40" w:after="40"/>
              <w:rPr>
                <w:rFonts w:hint="eastAsia"/>
              </w:rPr>
            </w:pPr>
          </w:p>
        </w:tc>
        <w:tc>
          <w:tcPr>
            <w:tcW w:w="3000" w:type="dxa"/>
          </w:tcPr>
          <w:p w14:paraId="4ADA5218" w14:textId="77777777" w:rsidR="00EE2283" w:rsidRDefault="00EE2283">
            <w:pPr>
              <w:spacing w:before="40" w:after="40"/>
              <w:rPr>
                <w:rFonts w:hint="eastAsia"/>
              </w:rPr>
            </w:pPr>
          </w:p>
        </w:tc>
        <w:tc>
          <w:tcPr>
            <w:tcW w:w="3000" w:type="dxa"/>
          </w:tcPr>
          <w:p w14:paraId="348C4D0B" w14:textId="77777777" w:rsidR="00EE2283" w:rsidRDefault="00EE2283">
            <w:pPr>
              <w:spacing w:before="40" w:after="40"/>
              <w:rPr>
                <w:rFonts w:hint="eastAsia"/>
              </w:rPr>
            </w:pPr>
          </w:p>
        </w:tc>
      </w:tr>
      <w:tr w:rsidR="00EE2283" w14:paraId="2FBC88CF" w14:textId="77777777">
        <w:tblPrEx>
          <w:tblCellMar>
            <w:top w:w="0" w:type="dxa"/>
            <w:bottom w:w="0" w:type="dxa"/>
          </w:tblCellMar>
        </w:tblPrEx>
        <w:tc>
          <w:tcPr>
            <w:tcW w:w="3000" w:type="dxa"/>
          </w:tcPr>
          <w:p w14:paraId="5ED9AC18" w14:textId="77777777" w:rsidR="00EE2283" w:rsidRDefault="00000000">
            <w:pPr>
              <w:spacing w:before="40" w:after="40"/>
              <w:rPr>
                <w:rFonts w:hint="eastAsia"/>
              </w:rPr>
            </w:pPr>
            <w:r>
              <w:rPr>
                <w:rFonts w:cs="Garamond"/>
                <w:sz w:val="20"/>
                <w:szCs w:val="20"/>
              </w:rPr>
              <w:t>Seal:</w:t>
            </w:r>
          </w:p>
        </w:tc>
        <w:tc>
          <w:tcPr>
            <w:tcW w:w="3000" w:type="dxa"/>
          </w:tcPr>
          <w:p w14:paraId="5FAC0F00" w14:textId="77777777" w:rsidR="00EE2283" w:rsidRDefault="00000000">
            <w:pPr>
              <w:spacing w:before="40" w:after="40"/>
              <w:rPr>
                <w:rFonts w:hint="eastAsia"/>
              </w:rPr>
            </w:pPr>
            <w:r>
              <w:rPr>
                <w:rFonts w:cs="Garamond"/>
                <w:sz w:val="20"/>
                <w:szCs w:val="20"/>
              </w:rPr>
              <w:t>Seal:</w:t>
            </w:r>
          </w:p>
        </w:tc>
        <w:tc>
          <w:tcPr>
            <w:tcW w:w="3000" w:type="dxa"/>
          </w:tcPr>
          <w:p w14:paraId="66C85D9F" w14:textId="77777777" w:rsidR="00EE2283" w:rsidRDefault="00EE2283">
            <w:pPr>
              <w:spacing w:before="40" w:after="40"/>
              <w:rPr>
                <w:rFonts w:hint="eastAsia"/>
              </w:rPr>
            </w:pPr>
          </w:p>
        </w:tc>
      </w:tr>
      <w:tr w:rsidR="00EE2283" w14:paraId="47D58717" w14:textId="77777777">
        <w:tblPrEx>
          <w:tblCellMar>
            <w:top w:w="0" w:type="dxa"/>
            <w:bottom w:w="0" w:type="dxa"/>
          </w:tblCellMar>
        </w:tblPrEx>
        <w:tc>
          <w:tcPr>
            <w:tcW w:w="3000" w:type="dxa"/>
          </w:tcPr>
          <w:p w14:paraId="6ED94430" w14:textId="77777777" w:rsidR="00EE2283" w:rsidRDefault="00000000">
            <w:pPr>
              <w:spacing w:before="40" w:after="40"/>
              <w:rPr>
                <w:rFonts w:hint="eastAsia"/>
              </w:rPr>
            </w:pPr>
            <w:r>
              <w:rPr>
                <w:rFonts w:cs="Garamond"/>
                <w:sz w:val="20"/>
                <w:szCs w:val="20"/>
              </w:rPr>
              <w:t>[Official Seal of Oman]</w:t>
            </w:r>
          </w:p>
        </w:tc>
        <w:tc>
          <w:tcPr>
            <w:tcW w:w="3000" w:type="dxa"/>
          </w:tcPr>
          <w:p w14:paraId="2019E139" w14:textId="77777777" w:rsidR="00EE2283" w:rsidRDefault="00000000">
            <w:pPr>
              <w:spacing w:before="40" w:after="40"/>
              <w:rPr>
                <w:rFonts w:hint="eastAsia"/>
              </w:rPr>
            </w:pPr>
            <w:r>
              <w:rPr>
                <w:rFonts w:cs="Garamond"/>
                <w:sz w:val="20"/>
                <w:szCs w:val="20"/>
              </w:rPr>
              <w:t>[Official Seal of Iran]</w:t>
            </w:r>
          </w:p>
        </w:tc>
        <w:tc>
          <w:tcPr>
            <w:tcW w:w="3000" w:type="dxa"/>
          </w:tcPr>
          <w:p w14:paraId="1BE1FDE2" w14:textId="77777777" w:rsidR="00EE2283" w:rsidRDefault="00EE2283">
            <w:pPr>
              <w:spacing w:before="40" w:after="40"/>
              <w:rPr>
                <w:rFonts w:hint="eastAsia"/>
              </w:rPr>
            </w:pPr>
          </w:p>
        </w:tc>
      </w:tr>
    </w:tbl>
    <w:p w14:paraId="204C22D2" w14:textId="77777777" w:rsidR="00EE2283" w:rsidRDefault="00EE2283">
      <w:pPr>
        <w:rPr>
          <w:rFonts w:hint="eastAsia"/>
        </w:rPr>
        <w:sectPr w:rsidR="00EE2283">
          <w:headerReference w:type="default" r:id="rId7"/>
          <w:footerReference w:type="default" r:id="rId8"/>
          <w:pgSz w:w="11906" w:h="16838"/>
          <w:pgMar w:top="1800" w:right="1440" w:bottom="1440" w:left="1440" w:header="720" w:footer="720" w:gutter="0"/>
          <w:cols w:space="720"/>
        </w:sectPr>
      </w:pPr>
    </w:p>
    <w:p w14:paraId="23E0925B" w14:textId="77777777" w:rsidR="00EE2283" w:rsidRDefault="00000000">
      <w:pPr>
        <w:rPr>
          <w:rFonts w:hint="eastAsia"/>
        </w:rPr>
      </w:pPr>
      <w:r>
        <w:rPr>
          <w:noProof/>
        </w:rPr>
        <w:lastRenderedPageBreak/>
        <w:drawing>
          <wp:anchor distT="0" distB="0" distL="0" distR="0" simplePos="0" relativeHeight="251658240" behindDoc="1" locked="0" layoutInCell="1" allowOverlap="1" wp14:anchorId="3FD54A42" wp14:editId="748E97A5">
            <wp:simplePos x="0" y="0"/>
            <wp:positionH relativeFrom="page">
              <wp:posOffset>0</wp:posOffset>
            </wp:positionH>
            <wp:positionV relativeFrom="page">
              <wp:posOffset>0</wp:posOffset>
            </wp:positionV>
            <wp:extent cx="7560000" cy="10692000"/>
            <wp:effectExtent l="0" t="0" r="0" b="0"/>
            <wp:wrapNone/>
            <wp:docPr id="2" name="Back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Bg.png"/>
                    <pic:cNvPicPr/>
                  </pic:nvPicPr>
                  <pic:blipFill>
                    <a:blip r:embed="rId9"/>
                    <a:stretch>
                      <a:fillRect/>
                    </a:stretch>
                  </pic:blipFill>
                  <pic:spPr>
                    <a:xfrm>
                      <a:off x="0" y="0"/>
                      <a:ext cx="7560000" cy="10692000"/>
                    </a:xfrm>
                    <a:prstGeom prst="rect">
                      <a:avLst/>
                    </a:prstGeom>
                  </pic:spPr>
                </pic:pic>
              </a:graphicData>
            </a:graphic>
          </wp:anchor>
        </w:drawing>
      </w:r>
    </w:p>
    <w:p w14:paraId="795B6C25" w14:textId="77777777" w:rsidR="00EE2283" w:rsidRDefault="00EE2283">
      <w:pPr>
        <w:spacing w:before="5000"/>
        <w:rPr>
          <w:rFonts w:hint="eastAsia"/>
        </w:rPr>
      </w:pPr>
    </w:p>
    <w:p w14:paraId="4350C565" w14:textId="77777777" w:rsidR="00EE2283" w:rsidRDefault="00000000">
      <w:pPr>
        <w:spacing w:after="400"/>
        <w:jc w:val="center"/>
        <w:rPr>
          <w:rFonts w:hint="eastAsia"/>
        </w:rPr>
      </w:pPr>
      <w:r>
        <w:rPr>
          <w:b/>
          <w:color w:val="E8E2D4"/>
          <w:spacing w:val="40"/>
          <w:sz w:val="36"/>
        </w:rPr>
        <w:t>DRAFT — FOR CONSULTATION</w:t>
      </w:r>
    </w:p>
    <w:p w14:paraId="0CB19A92" w14:textId="77777777" w:rsidR="00EE2283" w:rsidRDefault="00000000">
      <w:pPr>
        <w:spacing w:after="600"/>
        <w:jc w:val="center"/>
        <w:rPr>
          <w:rFonts w:hint="eastAsia"/>
        </w:rPr>
      </w:pPr>
      <w:r>
        <w:rPr>
          <w:i/>
          <w:color w:val="C8C2B4"/>
        </w:rPr>
        <w:t>MOU-OMAN/2026-07-11/ANNEX-B</w:t>
      </w:r>
    </w:p>
    <w:p w14:paraId="14839594" w14:textId="77777777" w:rsidR="00EE2283" w:rsidRDefault="00000000">
      <w:pPr>
        <w:spacing w:after="200"/>
        <w:jc w:val="center"/>
        <w:rPr>
          <w:rFonts w:hint="eastAsia"/>
        </w:rPr>
      </w:pPr>
      <w:r>
        <w:rPr>
          <w:color w:val="C8C2B4"/>
          <w:sz w:val="20"/>
        </w:rPr>
        <w:t>Distribution: Not for further distribution without consent of all parties.</w:t>
      </w:r>
    </w:p>
    <w:p w14:paraId="170E0DA2" w14:textId="77777777" w:rsidR="00EE2283" w:rsidRDefault="00000000">
      <w:pPr>
        <w:spacing w:after="200"/>
        <w:jc w:val="center"/>
        <w:rPr>
          <w:rFonts w:hint="eastAsia"/>
        </w:rPr>
      </w:pPr>
      <w:r>
        <w:rPr>
          <w:color w:val="C8C2B4"/>
          <w:sz w:val="20"/>
        </w:rPr>
        <w:t>Original held by: Sultanate of Oman</w:t>
      </w:r>
    </w:p>
    <w:p w14:paraId="112DC28A" w14:textId="77777777" w:rsidR="00EE2283" w:rsidRDefault="00000000">
      <w:pPr>
        <w:spacing w:after="200"/>
        <w:jc w:val="center"/>
        <w:rPr>
          <w:rFonts w:hint="eastAsia"/>
        </w:rPr>
      </w:pPr>
      <w:r>
        <w:rPr>
          <w:color w:val="C8C2B4"/>
          <w:sz w:val="20"/>
        </w:rPr>
        <w:t>Copy retained by: Islamic Republic of Iran</w:t>
      </w:r>
    </w:p>
    <w:p w14:paraId="238CF4F0" w14:textId="77777777" w:rsidR="00EE2283" w:rsidRDefault="00000000">
      <w:pPr>
        <w:jc w:val="center"/>
        <w:rPr>
          <w:rFonts w:hint="eastAsia"/>
        </w:rPr>
      </w:pPr>
      <w:r>
        <w:rPr>
          <w:color w:val="C8C2B4"/>
          <w:sz w:val="20"/>
        </w:rPr>
        <w:t>Copy acknowledged by: United States of America</w:t>
      </w:r>
    </w:p>
    <w:sectPr w:rsidR="00EE2283">
      <w:pgSz w:w="11906" w:h="16838"/>
      <w:pgMar w:top="0" w:right="0" w:bottom="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C3E0D" w14:textId="77777777" w:rsidR="00F51ECF" w:rsidRDefault="00F51ECF">
      <w:pPr>
        <w:spacing w:after="0" w:line="240" w:lineRule="auto"/>
        <w:rPr>
          <w:rFonts w:hint="eastAsia"/>
        </w:rPr>
      </w:pPr>
      <w:r>
        <w:separator/>
      </w:r>
    </w:p>
  </w:endnote>
  <w:endnote w:type="continuationSeparator" w:id="0">
    <w:p w14:paraId="76B8D092" w14:textId="77777777" w:rsidR="00F51ECF" w:rsidRDefault="00F51EC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1" w:usb1="080E0000" w:usb2="00000010" w:usb3="00000000" w:csb0="0004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7C1CD" w14:textId="77777777" w:rsidR="00EE2283" w:rsidRDefault="00000000">
    <w:pPr>
      <w:jc w:val="center"/>
      <w:rPr>
        <w:rFonts w:hint="eastAsia"/>
      </w:rPr>
    </w:pPr>
    <w:r>
      <w:rPr>
        <w:color w:val="7A8A8E"/>
        <w:sz w:val="18"/>
      </w:rPr>
      <w:t xml:space="preserve">Page </w:t>
    </w:r>
    <w:r>
      <w:rPr>
        <w:color w:val="7A8A8E"/>
        <w:sz w:val="18"/>
      </w:rPr>
      <w:fldChar w:fldCharType="begin"/>
    </w:r>
    <w:r>
      <w:rPr>
        <w:color w:val="7A8A8E"/>
        <w:sz w:val="18"/>
      </w:rPr>
      <w:instrText xml:space="preserve"> PAGE </w:instrText>
    </w:r>
    <w:r>
      <w:rPr>
        <w:color w:val="7A8A8E"/>
        <w:sz w:val="18"/>
      </w:rPr>
      <w:fldChar w:fldCharType="separate"/>
    </w:r>
    <w:r>
      <w:rPr>
        <w:color w:val="7A8A8E"/>
        <w:sz w:val="18"/>
      </w:rPr>
      <w:t>1</w:t>
    </w:r>
    <w:r>
      <w:rPr>
        <w:color w:val="7A8A8E"/>
        <w:sz w:val="18"/>
      </w:rPr>
      <w:fldChar w:fldCharType="end"/>
    </w:r>
    <w:r>
      <w:rPr>
        <w:color w:val="7A8A8E"/>
        <w:sz w:val="18"/>
      </w:rPr>
      <w:t xml:space="preserve"> of </w:t>
    </w:r>
    <w:r>
      <w:rPr>
        <w:color w:val="7A8A8E"/>
        <w:sz w:val="18"/>
      </w:rPr>
      <w:fldChar w:fldCharType="begin"/>
    </w:r>
    <w:r>
      <w:rPr>
        <w:color w:val="7A8A8E"/>
        <w:sz w:val="18"/>
      </w:rPr>
      <w:instrText xml:space="preserve"> NUMPAGES </w:instrText>
    </w:r>
    <w:r>
      <w:rPr>
        <w:color w:val="7A8A8E"/>
        <w:sz w:val="18"/>
      </w:rPr>
      <w:fldChar w:fldCharType="separate"/>
    </w:r>
    <w:r>
      <w:rPr>
        <w:color w:val="7A8A8E"/>
        <w:sz w:val="18"/>
      </w:rPr>
      <w:t>1</w:t>
    </w:r>
    <w:r>
      <w:rPr>
        <w:color w:val="7A8A8E"/>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C5B1A" w14:textId="77777777" w:rsidR="00F51ECF" w:rsidRDefault="00F51ECF">
      <w:pPr>
        <w:spacing w:after="0" w:line="240" w:lineRule="auto"/>
        <w:rPr>
          <w:rFonts w:hint="eastAsia"/>
        </w:rPr>
      </w:pPr>
      <w:r>
        <w:separator/>
      </w:r>
    </w:p>
  </w:footnote>
  <w:footnote w:type="continuationSeparator" w:id="0">
    <w:p w14:paraId="5BE1A078" w14:textId="77777777" w:rsidR="00F51ECF" w:rsidRDefault="00F51ECF">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E3AB0" w14:textId="77777777" w:rsidR="00EE2283" w:rsidRDefault="00000000">
    <w:pPr>
      <w:pBdr>
        <w:bottom w:val="single" w:sz="4" w:space="1" w:color="C9A84C"/>
      </w:pBdr>
      <w:jc w:val="center"/>
      <w:rPr>
        <w:rFonts w:hint="eastAsia"/>
      </w:rPr>
    </w:pPr>
    <w:r>
      <w:rPr>
        <w:i/>
        <w:color w:val="7A8A8E"/>
        <w:sz w:val="18"/>
      </w:rPr>
      <w:t>Median Lane Protocol | MOU-OMAN/2026-07-11/ANNEX-B | DRAFT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E2283"/>
    <w:rsid w:val="000F38A2"/>
    <w:rsid w:val="001911E6"/>
    <w:rsid w:val="00442251"/>
    <w:rsid w:val="0083553E"/>
    <w:rsid w:val="009474E4"/>
    <w:rsid w:val="00975A19"/>
    <w:rsid w:val="00E741E8"/>
    <w:rsid w:val="00EE2283"/>
    <w:rsid w:val="00F51ECF"/>
    <w:rsid w:val="00F75D79"/>
    <w:rsid w:val="00FF779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996E7"/>
  <w15:docId w15:val="{38E3203B-8F1D-4D5B-8B31-0D86D7F04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0" w:line="276" w:lineRule="auto"/>
    </w:pPr>
    <w:rPr>
      <w:rFonts w:ascii="Garamond" w:eastAsia="SimSun" w:hAnsi="Garamond"/>
      <w:color w:val="1E2A2E"/>
      <w:sz w:val="22"/>
    </w:rPr>
  </w:style>
  <w:style w:type="paragraph" w:styleId="Heading1">
    <w:name w:val="heading 1"/>
    <w:basedOn w:val="Normal"/>
    <w:uiPriority w:val="9"/>
    <w:qFormat/>
    <w:pPr>
      <w:keepNext/>
      <w:keepLines/>
      <w:spacing w:before="400" w:after="200"/>
      <w:outlineLvl w:val="0"/>
    </w:pPr>
    <w:rPr>
      <w:b/>
      <w:color w:val="0D3D45"/>
      <w:sz w:val="28"/>
    </w:rPr>
  </w:style>
  <w:style w:type="paragraph" w:styleId="Heading2">
    <w:name w:val="heading 2"/>
    <w:basedOn w:val="Normal"/>
    <w:uiPriority w:val="9"/>
    <w:unhideWhenUsed/>
    <w:qFormat/>
    <w:pPr>
      <w:keepNext/>
      <w:keepLines/>
      <w:spacing w:before="280" w:after="140"/>
      <w:outlineLvl w:val="1"/>
    </w:pPr>
    <w:rPr>
      <w:b/>
      <w:color w:val="1A5F6A"/>
      <w:sz w:val="24"/>
    </w:rPr>
  </w:style>
  <w:style w:type="paragraph" w:styleId="Heading3">
    <w:name w:val="heading 3"/>
    <w:basedOn w:val="Normal"/>
    <w:uiPriority w:val="9"/>
    <w:semiHidden/>
    <w:unhideWhenUsed/>
    <w:qFormat/>
    <w:pPr>
      <w:keepNext/>
      <w:keepLines/>
      <w:spacing w:before="200" w:after="100"/>
      <w:outlineLvl w:val="2"/>
    </w:pPr>
    <w:rPr>
      <w:b/>
      <w:color w:val="4A5A5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1686</Words>
  <Characters>10102</Characters>
  <Application>Microsoft Office Word</Application>
  <DocSecurity>0</DocSecurity>
  <Lines>246</Lines>
  <Paragraphs>181</Paragraphs>
  <ScaleCrop>false</ScaleCrop>
  <Company/>
  <LinksUpToDate>false</LinksUpToDate>
  <CharactersWithSpaces>11607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Heather Leblanc</cp:lastModifiedBy>
  <cp:revision>13</cp:revision>
  <dcterms:created xsi:type="dcterms:W3CDTF">2026-07-12T03:42:00Z</dcterms:created>
  <dcterms:modified xsi:type="dcterms:W3CDTF">2026-07-12T03:43:00Z</dcterms:modified>
</cp:coreProperties>
</file>