
<file path=[Content_Types].xml><?xml version="1.0" encoding="utf-8"?>
<Types xmlns="http://schemas.openxmlformats.org/package/2006/content-types">
  <Default Extension="xml" ContentType="application/xml"/>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Type="http://schemas.openxmlformats.org/officeDocument/2006/relationships/officeDocument" Target="word/document.xml" Id="Rdd65f3af40974cfb" /></Relationships>
</file>

<file path=word/document.xml><?xml version="1.0" encoding="utf-8"?>
<w:document xmlns:r="http://schemas.openxmlformats.org/officeDocument/2006/relationships" xmlns:w="http://schemas.openxmlformats.org/wordprocessingml/2006/main">
  <w:body>
    <w:p>
      <w:pPr>
        <w:spacing w:before="3600"/>
      </w:pPr>
      <w:r/>
    </w:p>
    <w:p>
      <w:pPr>
        <w:spacing w:after="200"/>
        <w:jc w:val="center"/>
      </w:pPr>
      <w:r>
        <w:rPr>
          <w:smallCaps/>
          <w:color w:val="4a4a4a"/>
          <w:sz w:val="24"/>
        </w:rPr>
        <w:t>Annex ES</w:t>
      </w:r>
    </w:p>
    <w:p>
      <w:pPr>
        <w:spacing w:after="400"/>
        <w:jc w:val="center"/>
      </w:pPr>
      <w:r>
        <w:rPr>
          <w:b/>
          <w:color w:val="1E3A5F"/>
          <w:spacing w:val="30"/>
          <w:sz w:val="56"/>
        </w:rPr>
        <w:t>Escrow and Trigger Sequence Protocol</w:t>
      </w:r>
    </w:p>
    <w:p>
      <w:pPr>
        <w:spacing w:after="200"/>
        <w:jc w:val="center"/>
      </w:pPr>
      <w:r>
        <w:rPr>
          <w:color w:val="4A6B8A"/>
          <w:sz w:val="28"/>
        </w:rPr>
        <w:t>Two-Pool Synchronized Disbursement</w:t>
      </w:r>
    </w:p>
    <w:p>
      <w:pPr>
        <w:spacing w:after="600"/>
        <w:jc w:val="center"/>
      </w:pPr>
      <w:r>
        <w:rPr>
          <w:color w:val="4A6B8A"/>
          <w:sz w:val="26"/>
        </w:rPr>
        <w:t>For the Phased Release of $12 Billion in Frozen Assets</w:t>
      </w:r>
    </w:p>
    <w:p>
      <w:pPr>
        <w:spacing w:after="200"/>
        <w:jc w:val="center"/>
      </w:pPr>
      <w:r>
        <w:rPr>
          <w:i/>
          <w:color w:val="4a4a4a"/>
          <w:sz w:val="22"/>
        </w:rPr>
        <w:t>A Modular · Self-Contained · Incorporable by Reference Protocol</w:t>
      </w:r>
    </w:p>
    <w:p>
      <w:pPr>
        <w:spacing w:after="3600"/>
        <w:jc w:val="center"/>
      </w:pPr>
      <w:r>
        <w:rPr>
          <w:i/>
          <w:color w:val="4a4a4a"/>
          <w:sz w:val="22"/>
        </w:rPr>
        <w:t>For the Islamabad Accord</w:t>
      </w:r>
    </w:p>
    <w:p>
      <w:pPr>
        <w:spacing w:after="200"/>
        <w:jc w:val="center"/>
      </w:pPr>
      <w:r>
        <w:rPr>
          <w:color w:val="1a1a1a"/>
          <w:sz w:val="22"/>
        </w:rPr>
        <w:t>Islamic Republic of Iran</w:t>
      </w:r>
    </w:p>
    <w:p>
      <w:pPr>
        <w:spacing w:after="200"/>
        <w:jc w:val="center"/>
      </w:pPr>
      <w:r>
        <w:rPr>
          <w:color w:val="1a1a1a"/>
          <w:sz w:val="22"/>
        </w:rPr>
        <w:t>United States of America</w:t>
      </w:r>
    </w:p>
    <w:p>
      <w:pPr>
        <w:spacing w:after="200"/>
        <w:jc w:val="center"/>
      </w:pPr>
      <w:r>
        <w:rPr>
          <w:color w:val="1a1a1a"/>
          <w:sz w:val="22"/>
        </w:rPr>
        <w:t>State of Qatar (Escrow Agent)</w:t>
      </w:r>
    </w:p>
    <w:p>
      <w:pPr>
        <w:spacing w:before="1200"/>
        <w:jc w:val="center"/>
      </w:pPr>
      <w:r>
        <w:rPr>
          <w:color w:val="6e6e6e"/>
          <w:sz w:val="22"/>
        </w:rPr>
        <w:t>Doha, Qatar · 2026</w:t>
      </w:r>
    </w:p>
    <w:p>
      <w:pPr>
        <w:sectPr>
          <w:type w:val="nextPage"/>
          <w:pgSz w:w="11906" w:h="16838"/>
          <w:pgMar w:top="1440" w:right="1440" w:bottom="1440" w:left="1440" w:header="720" w:footer="720"/>
          <w:titlePg/>
        </w:sectPr>
      </w:pPr>
    </w:p>
    <w:p>
      <w:pPr>
        <w:pStyle w:val="Heading1"/>
      </w:pPr>
      <w:r>
        <w:t>Table of Contents</w:t>
      </w:r>
      <w:bookmarkStart w:name="_Toc000" w:id="1"/>
      <w:bookmarkEnd w:id="1"/>
    </w:p>
    <w:p>
      <w:pPr>
        <w:spacing w:after="300"/>
      </w:pPr>
      <w:r>
        <w:rPr>
          <w:color w:val="6e6e6e"/>
          <w:sz w:val="18"/>
        </w:rPr>
        <w:t>Right-click the TOC and select "Update Field" to refresh page numbers</w:t>
      </w:r>
    </w:p>
    <w:p>
      <w:r>
        <w:fldChar w:fldCharType="begin"/>
      </w:r>
      <w:r>
        <w:instrText xml:space="preserve"> TOC \o "1-3" \h \z \u </w:instrText>
      </w:r>
      <w:r>
        <w:fldChar w:fldCharType="separate"/>
      </w:r>
    </w:p>
    <w:p>
      <w:pPr>
        <w:pStyle w:val="TOC1"/>
      </w:pPr>
      <w:r>
        <w:t>Preamble</w:t>
      </w:r>
      <w:r>
        <w:tab/>
      </w:r>
      <w:r>
        <w:t>1</w:t>
      </w:r>
    </w:p>
    <w:p>
      <w:pPr>
        <w:pStyle w:val="TOC1"/>
      </w:pPr>
      <w:r>
        <w:t>Article 1: Definitions</w:t>
      </w:r>
      <w:r>
        <w:tab/>
      </w:r>
      <w:r>
        <w:t>2</w:t>
      </w:r>
    </w:p>
    <w:p>
      <w:pPr>
        <w:pStyle w:val="TOC1"/>
      </w:pPr>
      <w:r>
        <w:t>Article 2: Two-Pool Escrow Architecture</w:t>
      </w:r>
      <w:r>
        <w:tab/>
      </w:r>
      <w:r>
        <w:t>4</w:t>
      </w:r>
    </w:p>
    <w:p>
      <w:pPr>
        <w:pStyle w:val="TOC1"/>
      </w:pPr>
      <w:r>
        <w:t>Article 3: Release Triggers (T1 and T2)</w:t>
      </w:r>
      <w:r>
        <w:tab/>
      </w:r>
      <w:r>
        <w:t>7</w:t>
      </w:r>
    </w:p>
    <w:p>
      <w:pPr>
        <w:pStyle w:val="TOC2"/>
      </w:pPr>
      <w:r>
        <w:t>3.1 Tranche 1 — The Verification Tranche</w:t>
      </w:r>
      <w:r>
        <w:tab/>
      </w:r>
      <w:r>
        <w:t>7</w:t>
      </w:r>
    </w:p>
    <w:p>
      <w:pPr>
        <w:pStyle w:val="TOC2"/>
      </w:pPr>
      <w:r>
        <w:t>3.2 Tranche 2 — The Downblending Tranche</w:t>
      </w:r>
      <w:r>
        <w:tab/>
      </w:r>
      <w:r>
        <w:t>9</w:t>
      </w:r>
    </w:p>
    <w:p>
      <w:pPr>
        <w:pStyle w:val="TOC1"/>
      </w:pPr>
      <w:r>
        <w:t>Article 4: Synchronized Disbursement</w:t>
      </w:r>
      <w:r>
        <w:tab/>
      </w:r>
      <w:r>
        <w:t>10</w:t>
      </w:r>
    </w:p>
    <w:p>
      <w:pPr>
        <w:pStyle w:val="TOC1"/>
      </w:pPr>
      <w:r>
        <w:t>Article 5: Step-Back, Earn-Back, Compliance Resilience</w:t>
      </w:r>
      <w:r>
        <w:tab/>
      </w:r>
      <w:r>
        <w:t>12</w:t>
      </w:r>
    </w:p>
    <w:p>
      <w:pPr>
        <w:pStyle w:val="TOC1"/>
      </w:pPr>
      <w:r>
        <w:t>Article 6: Sovereign Use and Non-Directed Procurement</w:t>
      </w:r>
      <w:r>
        <w:tab/>
      </w:r>
      <w:r>
        <w:t>14</w:t>
      </w:r>
    </w:p>
    <w:p>
      <w:pPr>
        <w:pStyle w:val="TOC1"/>
      </w:pPr>
      <w:r>
        <w:t>Article 7: Duration, Supersession, and Interpretation</w:t>
      </w:r>
      <w:r>
        <w:tab/>
      </w:r>
      <w:r>
        <w:t>16</w:t>
      </w:r>
    </w:p>
    <w:p>
      <w:pPr>
        <w:pStyle w:val="TOC1"/>
      </w:pPr>
      <w:r>
        <w:t>Article 8: Good-Faith Facilitation and Dispute Resolution</w:t>
      </w:r>
      <w:r>
        <w:tab/>
      </w:r>
      <w:r>
        <w:t>17</w:t>
      </w:r>
    </w:p>
    <w:p>
      <w:pPr>
        <w:pStyle w:val="TOC1"/>
      </w:pPr>
      <w:r>
        <w:t>Signature Block</w:t>
      </w:r>
      <w:r>
        <w:tab/>
      </w:r>
      <w:r>
        <w:t>18</w:t>
      </w:r>
    </w:p>
    <w:p>
      <w:pPr>
        <w:pStyle w:val="TOC2"/>
      </w:pPr>
      <w:r>
        <w:t>Affirmation</w:t>
      </w:r>
      <w:r>
        <w:tab/>
      </w:r>
      <w:r>
        <w:t>18</w:t>
      </w:r>
    </w:p>
    <w:p>
      <w:pPr>
        <w:pStyle w:val="TOC2"/>
      </w:pPr>
      <w:r>
        <w:t>Pakistan — Witnessing State</w:t>
      </w:r>
      <w:r>
        <w:tab/>
      </w:r>
      <w:r>
        <w:t>18</w:t>
      </w:r>
    </w:p>
    <w:p>
      <w:r>
        <w:fldChar w:fldCharType="end"/>
      </w:r>
    </w:p>
    <w:p>
      <w:pPr>
        <w:sectPr>
          <w:type w:val="nextPage"/>
          <w:pgSz w:w="11906" w:h="16838"/>
          <w:pgMar w:top="1440" w:right="1440" w:bottom="1440" w:left="1440" w:header="720" w:footer="720"/>
        </w:sectPr>
      </w:pPr>
    </w:p>
    <w:p>
      <w:pPr>
        <w:pStyle w:val="Heading1"/>
      </w:pPr>
      <w:r>
        <w:t>Preamble</w:t>
      </w:r>
      <w:bookmarkStart w:name="_Toc001" w:id="2"/>
      <w:bookmarkEnd w:id="2"/>
    </w:p>
    <w:p>
      <w:pPr>
        <w:pStyle w:val="Normal"/>
      </w:pPr>
      <w:r>
        <w:t>The Parties — the Islamic Republic of Iran and the United States of America — acknowledge the binding agreement to release $12 billion in frozen Iranian sovereign assets. In response to evolving negotiating positions and the imperative to secure a durable arrangement within a compressed timeline, the Parties adopt a Two-Pool Synchronized Disbursement architecture. Under this architecture, the $12 Billion Asset Pool divides into Pool A (Humanitarian and Agricultural Pool: $4 billion) and Pool B (Sovereign Reconstruction Pool: $8 billion). Both pools release simultaneously upon the same IAEA verification milestones, but operate under distinct escrow mechanisms and use conditions that reflect the respective priorities of both Parties.</w:t>
      </w:r>
    </w:p>
    <w:p>
      <w:pPr>
        <w:pStyle w:val="Normal"/>
      </w:pPr>
      <w:r>
        <w:t>Pool A addresses the United States' priority of ensuring that a dedicated portion of released funds supports humanitarian goods and agricultural commodities. Pool B addresses Iran's priority of securing sovereign, unconditional access to the majority of its assets for reconstruction and development, free from foreign oversight or procurement direction. This dual-pool structure transforms a zero-sum negotiation into a positive-sum arrangement: both Parties secure their core interests through the same synchronized verification process.</w:t>
      </w:r>
    </w:p>
    <w:p>
      <w:pPr>
        <w:pStyle w:val="Normal"/>
      </w:pPr>
      <w:r>
        <w:t>The Parties establish a clear, explicit distinction between the two tranches of synchronized release. Tranche 1 releases upon IAEA verification of the 60% enriched uranium stockpile and establishment of dual-key custody — a lower bar that confirms the IAEA has the access and visibility it needs to monitor the stockpile. This is the Verification Tranche: it buys unimpeded access, baseline inventory confirmation, and custody transfer. It does not require downblending or irreversible transformation. Tranche 2 releases only upon IAEA confirmation that the entire 60% stockpile has undergone irreversible downblending to the Natural Abundance Level (0.711% U-235) or lower and conversion into peaceful products such as agricultural fertilizer through Pathway W. This is the Downblending Tranche: it buys physical elimination of the stockpile. Both sides know exactly what each tranche purchases.</w:t>
      </w:r>
    </w:p>
    <w:p>
      <w:pPr>
        <w:pStyle w:val="Normal"/>
      </w:pPr>
      <w:r>
        <w:t>The Parties affirm Iran's inalienable right to develop, produce, and use nuclear energy for peaceful purposes, as recognized under Article IV of the Treaty on the Non-Proliferation of Nuclear Weapons (NPT). The 3.67% enrichment level established under the Joint Comprehensive Plan of Action (JCPOA) serves as the appropriate benchmark for civilian nuclear fuel. The Parties further affirm that the 60% enriched uranium stockpile is downblended to the natural abundance level of 0.711% U-235 or lower and converted into phosphate-based agricultural fertilizer through Pathway W, ensuring permanent elimination of the proliferation risk. This transformation converts weapons-grade material into food security — from bombs to bread.</w:t>
      </w:r>
    </w:p>
    <w:p>
      <w:pPr>
        <w:pStyle w:val="Normal"/>
      </w:pPr>
      <w:r>
        <w:t>The Parties recognize the deep mutual distrust that persists regarding long-term compliance. Recognizing this distrust as a material fact rather than an emotional obstacle, the Parties construct this Annex around the principle of Synchronized Reciprocal Motion. Under this principle, neither Party advances unilaterally. Every forward step by one Party pairs with a simultaneous, verifiable, and irreversible forward step by the other. The architecture eliminates the incentive to defect mid-stream because defection yields no advantage: the Party that fails to perform simply loses access to the corresponding benefit, while the Party that performed retains what it gained.</w:t>
      </w:r>
    </w:p>
    <w:p>
      <w:pPr>
        <w:pStyle w:val="Normal"/>
      </w:pPr>
      <w:r>
        <w:t>The entire Two-Pool Synchronized Disbursement mechanism operates within the 60-Day Initial Operating Period established in Article 7.1 of this Annex. Tranche 1 targets release within 45 days of escrow establishment; Tranche 2 targets release within 60 days. These compressed timelines reflect the emergency character of this Protocol and the Parties' shared interest in demonstrating tangible progress within a defined, finite window. The architecture is irrevocable by design: compliance triggers release; failure to comply triggers automatic suspension of future releases only, with no clawback of already-released funds. This is the Step-Back and Earn-Back system — a calibrated, reversible, confidence-building mechanism that replaces the toxic snapback provisions of prior agreements with a structural logic of earned restoration.</w:t>
      </w:r>
    </w:p>
    <w:p>
      <w:pPr>
        <w:pStyle w:val="Normal"/>
      </w:pPr>
      <w:r>
        <w:t>This Annex is a component of the broader Islamabad Accord framework, executed in Doha as a dedicated financial and verification track. The Escrow Agent’s release of funds from both pools depends exclusively on its receipt of a Joint Disbursement Instruction from the Political and Compliance Council (PCC), and the PCC issues those instructions exclusively upon verification of pre-defined nuclear milestones by the International Atomic Energy Agency (IAEA). No Party touches the funds directly.</w:t>
      </w:r>
    </w:p>
    <w:p>
      <w:pPr>
        <w:pStyle w:val="Heading1"/>
      </w:pPr>
      <w:r>
        <w:t>Article 1: Definitions</w:t>
      </w:r>
      <w:bookmarkStart w:name="_Toc002" w:id="3"/>
      <w:bookmarkEnd w:id="3"/>
    </w:p>
    <w:p>
      <w:pPr>
        <w:pStyle w:val="Normal"/>
      </w:pPr>
      <w:r>
        <w:t>For the purposes of this Annex, the following terms carry the meanings set out below. Terms not defined in this Article retain the meanings given in Islamabad Accord Article 1.6. Where a conflict exists between a definition in this Annex and a definition in the Islamabad Accord or another Annex, the definition in this Annex governs.</w:t>
      </w:r>
    </w:p>
    <w:p>
      <w:pPr>
        <w:pStyle w:val="Heading2"/>
      </w:pPr>
      <w:r>
        <w:t>1.1 Escrow Agent</w:t>
      </w:r>
    </w:p>
    <w:p>
      <w:pPr>
        <w:pStyle w:val="Normal"/>
      </w:pPr>
      <w:r>
        <w:t>"Escrow Agent" means the State of Qatar, acting through its Central Bank (the Qatar Central Bank, or QCB), serving as the neutral custodian of both Pool A and Pool B. The QCB administers each pool through its respective escrow mechanism. The Escrow Agent assumes a direct, enforceable fiduciary duty to both Parties equally. This fiduciary duty requires the QCB to exercise independent professional judgment in verifying Joint Disbursement Instructions, to maintain each pool as a segregated, bankruptcy-remote holding, and to bear liability for any loss of funds attributable to its negligence, willful misconduct, or failure to follow a valid Joint Disbursement Instruction. The fiduciary duty is enforceable by either Party through the dispute resolution procedures of Islamabad Accord Article 11.</w:t>
      </w:r>
    </w:p>
    <w:p>
      <w:pPr>
        <w:pStyle w:val="Heading2"/>
      </w:pPr>
      <w:r>
        <w:t>1.2 $12 Billion Asset Pool</w:t>
      </w:r>
    </w:p>
    <w:p>
      <w:pPr>
        <w:pStyle w:val="Normal"/>
      </w:pPr>
      <w:r>
        <w:t>"$12 Billion Asset Pool" means the total frozen Iranian sovereign assets subject to this Annex. The Asset Pool includes the principal sum of $12,000,000,000 (United States Dollars) plus all interest, earnings, and accretions accrued from the date of deposit into the escrow accounts. The United States identifies the specific accounts, institutions, and legal instruments comprising the Asset Pool in Schedule A to this Annex. Upon deposit, the Asset Pool divides into Pool A and Pool B as specified in Article 2.</w:t>
      </w:r>
    </w:p>
    <w:p>
      <w:pPr>
        <w:pStyle w:val="Heading2"/>
      </w:pPr>
      <w:r>
        <w:t>1.3 Pool A — Humanitarian and Agricultural Pool</w:t>
      </w:r>
    </w:p>
    <w:p>
      <w:pPr>
        <w:pStyle w:val="Normal"/>
      </w:pPr>
      <w:r>
        <w:t>"Pool A" or "Humanitarian and Agricultural Pool" means the sum of $4,000,000,000 (four billion United States Dollars) of the $12 Billion Asset Pool, held in the US-Qatar Joint Oversight Escrow. Pool A funds release exclusively for the purchase of food and agricultural commodities, medical supplies and pharmaceuticals, humanitarian goods as defined by UN OCHA and the ICRC, and agricultural inputs including seeds, fertilizers, and equipment. Pool A disburses in two tranches: $1.5 billion with Tranche 1 and $2.5 billion with Tranche 2.</w:t>
      </w:r>
    </w:p>
    <w:p>
      <w:pPr>
        <w:pStyle w:val="Heading2"/>
      </w:pPr>
      <w:r>
        <w:t>1.4 Pool B — Sovereign Reconstruction Pool</w:t>
      </w:r>
    </w:p>
    <w:p>
      <w:pPr>
        <w:pStyle w:val="Normal"/>
      </w:pPr>
      <w:r>
        <w:t>"Pool B" or "Sovereign Reconstruction Pool" means the sum of $8,000,000,000 (eight billion United States Dollars) of the $12 Billion Asset Pool, held in the Neutral Qatar Escrow. Pool B funds release to the Central Bank of Iran for any purpose consistent with Iranian sovereign interests and applicable international law. No purchasing conditions, oversight requirements, or procurement restrictions attach to Pool B. Pool B disburses in two tranches: $3 billion with Tranche 1 and $5 billion with Tranche 2.</w:t>
      </w:r>
    </w:p>
    <w:p>
      <w:pPr>
        <w:pStyle w:val="Heading2"/>
      </w:pPr>
      <w:r>
        <w:t>1.5 US-Qatar Joint Oversight Escrow</w:t>
      </w:r>
    </w:p>
    <w:p>
      <w:pPr>
        <w:pStyle w:val="Normal"/>
      </w:pPr>
      <w:r>
        <w:t>"US-Qatar Joint Oversight Escrow" means the escrow mechanism for Pool A, jointly administered by the State of Qatar and the United States. The Qatar Central Bank holds Pool A funds, but the United States exercises oversight authority over disbursement requests as specified in Article 2.2.4. Both the United States and Qatar jointly approve each Pool A disbursement. The US-Qatar Joint Oversight Escrow maintains a segregated account separate from Pool B, the Escrow Agent’s own funds, and all other escrow or client funds.</w:t>
      </w:r>
    </w:p>
    <w:p>
      <w:pPr>
        <w:pStyle w:val="Heading2"/>
      </w:pPr>
      <w:r>
        <w:t>1.6 Neutral Qatar Escrow</w:t>
      </w:r>
    </w:p>
    <w:p>
      <w:pPr>
        <w:pStyle w:val="Normal"/>
      </w:pPr>
      <w:r>
        <w:t>"Neutral Qatar Escrow" means the escrow mechanism for Pool B, administered solely by the State of Qatar through the Qatar Central Bank. The United States holds no oversight authority, approval power, or veto over Pool B disbursements. The Neutral Qatar Escrow maintains a segregated account separate from Pool A, the Escrow Agent’s own funds, and all other escrow or client funds. The Escrow Agent releases Pool B funds exclusively upon receipt of a valid Joint Disbursement Instruction from the PCC.</w:t>
      </w:r>
    </w:p>
    <w:p>
      <w:pPr>
        <w:pStyle w:val="Heading2"/>
      </w:pPr>
      <w:r>
        <w:t>1.7 IAEA Verification Certificate</w:t>
      </w:r>
    </w:p>
    <w:p>
      <w:pPr>
        <w:pStyle w:val="Normal"/>
      </w:pPr>
      <w:r>
        <w:t>"IAEA Verification Certificate" means an official, signed certificate issued by the Director General of the International Atomic Energy Agency confirming the completion of a specific, pre-defined nuclear milestone identified in this Annex. Each certificate contains: (a) a unique certificate number; (b) the date and time of issuance; (c) the specific milestone certified as complete; (d) a detailed technical description of the verified activities, including a statement of each sub-element satisfied; (e) the names and credentials of the IAEA inspectors who conducted the verification; (f) references to the specific IAEA safeguards agreements and Additional Protocol provisions under which the verification occurred; (g) a statement that the milestone satisfies the criteria defined in the applicable Annex (O, P, V, or Y); and (h) the Director General’s signature and the IAEA’s official seal. No other form of IAEA communication constitutes an IAEA Verification Certificate for purposes of this Annex.</w:t>
      </w:r>
    </w:p>
    <w:p>
      <w:pPr>
        <w:pStyle w:val="Heading2"/>
      </w:pPr>
      <w:r>
        <w:t>1.8 National HEU Verification and Custody Certificate</w:t>
      </w:r>
    </w:p>
    <w:p>
      <w:pPr>
        <w:pStyle w:val="Normal"/>
      </w:pPr>
      <w:r>
        <w:t>"National HEU Verification and Custody Certificate" means the specific IAEA Verification Certificate issued under Part B-1.2 of the Islamabad Accord and Annexes O and P, confirming that Iran has completed the National HEU Verification and Custody Milestone. This certificate confirms that: (a) the IAEA has resumed full, unimpeded access to all declared nuclear facilities and all sites where 60% enriched uranium is stored; (b) the IAEA has completed a baseline inventory of the entire 60% enriched uranium stockpile, including mass spectrometry verification; (c) Iran has placed the entire 60% enriched uranium stockpile under IAEA dual-key custody, such that no unilateral Iranian access is possible; and (d) the IAEA has installed continuous monitoring equipment including seals, cameras, and sensors at all relevant facilities. This certificate represents the first Release Trigger under this Annex. This milestone requires verification and custody. It does not require downblending or irreversible transformation.</w:t>
      </w:r>
    </w:p>
    <w:p>
      <w:pPr>
        <w:pStyle w:val="Heading2"/>
      </w:pPr>
      <w:r>
        <w:t>1.9 Downblending Completion Certificate</w:t>
      </w:r>
    </w:p>
    <w:p>
      <w:pPr>
        <w:pStyle w:val="Normal"/>
      </w:pPr>
      <w:r>
        <w:t>"Downblending Completion Certificate" means the specific IAEA Verification Certificate issued under Annexes P and V, confirming that Iran has completed the Downblending Completion Milestone. This certificate confirms that: (a) the entire 60% enriched uranium stockpile has undergone irreversible transformation through downblending to the Natural Abundance Level of 0.711% U-235 or lower, rendering it unsuitable for nuclear weapons production; (b) the transformation occurred through one or more IAEA-approved pathways, including Pathway W as defined in Annex Z; (c) the IAEA has verified the mass balance of all material, confirming that 100% of the stockpile (within measurement tolerance) is accounted for; and (d) the IAEA has confirmed that reconversion to weapons-usable form requires at least 12 months of detectable activity. This certificate represents the second Release Trigger under this Annex. This milestone requires downblending and irreversible transformation of the entire 60% enriched uranium stockpile to the Natural Abundance Level (0.711% U-235) or lower.</w:t>
      </w:r>
    </w:p>
    <w:p>
      <w:pPr>
        <w:pStyle w:val="Heading2"/>
      </w:pPr>
      <w:r>
        <w:t>1.10 Release Trigger</w:t>
      </w:r>
    </w:p>
    <w:p>
      <w:pPr>
        <w:pStyle w:val="Normal"/>
      </w:pPr>
      <w:r>
        <w:t>"Release Trigger" means the specific, unambiguous, objectively verifiable event that authorizes the Escrow Agent to disburse a tranche from both Pool A and Pool B simultaneously. A Release Trigger occurs exclusively upon the Escrow Agent’s receipt of a valid IAEA Verification Certificate corresponding to the milestone specified for that tranche, accompanied by a Joint Disbursement Instruction from the PCC. No other event, communication, or circumstance constitutes a Release Trigger.</w:t>
      </w:r>
    </w:p>
    <w:p>
      <w:pPr>
        <w:pStyle w:val="Heading2"/>
      </w:pPr>
      <w:r>
        <w:t>1.11 Joint Disbursement Instruction</w:t>
      </w:r>
    </w:p>
    <w:p>
      <w:pPr>
        <w:pStyle w:val="Normal"/>
      </w:pPr>
      <w:r>
        <w:t>"Joint Disbursement Instruction" means a written instruction to the Escrow Agent, issued by the PCC under Islamabad Accord Article 10, directing the simultaneous release of the applicable tranches from both Pool A and Pool B. A valid Joint Disbursement Instruction requires: (a) affirmative votes from both Iranian and United States representatives on the PCC; (b) reference to the specific IAEA Verification Certificate that triggered the instruction; (c) the exact amounts to be released from each pool; (d) the designated recipient accounts; (e) the date of intended transfer; and (f) signatures from both PCC co-chairs. A Joint Disbursement Instruction is not valid unless all six elements are present and complete.</w:t>
      </w:r>
    </w:p>
    <w:p>
      <w:pPr>
        <w:pStyle w:val="Heading2"/>
      </w:pPr>
      <w:r>
        <w:t>1.12 Political and Compliance Council (PCC)</w:t>
      </w:r>
    </w:p>
    <w:p>
      <w:pPr>
        <w:pStyle w:val="Normal"/>
      </w:pPr>
      <w:r>
        <w:t>"Political and Compliance Council" or "PCC" means the joint oversight body established under Islamabad Accord Article 10. The PCC exercises its authority to verify that IAEA milestones are complete and to issue Joint Disbursement Instructions for both pools simultaneously. The PCC operates on the basis of consensus between the Iranian and United States representatives; absent such consensus, no Joint Disbursement Instruction issues. If either PCC co-chair unreasonably withholds signature on a Joint Disbursement Instruction after the IAEA has issued the corresponding Verification Certificate, the withholding constitutes an abuse of the consensus mechanism. In such event, the other co-chair refers the matter to the Guarantor Matrix within 72 hours. The Guarantor Matrix convenes an expedited arbitration panel within 14 days comprising one arbitrator nominated by each Party and one by the Guarantor Matrix chair. The panel determines whether the withholding is unreasonable based on the technical sufficiency of the IAEA certificate and the terms of this Annex. If the panel determines the withholding is unreasonable, it issues a binding determination authorizing the Escrow Agent to execute the release upon receipt of a single co-chair signature accompanied by the panel’s authorization certificate. This safeguard prevents either Party from using the consensus requirement as a weapon to block a release after the technical milestone has been objectively satisfied.</w:t>
      </w:r>
    </w:p>
    <w:p>
      <w:pPr>
        <w:pStyle w:val="Heading2"/>
      </w:pPr>
      <w:r>
        <w:t>1.13 Step-Back</w:t>
      </w:r>
    </w:p>
    <w:p>
      <w:pPr>
        <w:pStyle w:val="Normal"/>
      </w:pPr>
      <w:r>
        <w:t>"Step-Back" means the automatic suspension of future tranche releases from both pools when a Party fails to achieve a Release Trigger milestone within the agreed timeframe. Step-Back is not a penalty; it is a pause. Step-Back does not affect funds already released from either pool. Step-Back is reversible upon the non-complying Party’s verified completion of the required milestone. Step-Back replaces the "snapback" mechanisms of prior agreements, which the Parties recognize as toxic because they incentivize defection, reward bad faith, and destroy the trust necessary for sustained cooperation.</w:t>
      </w:r>
    </w:p>
    <w:p>
      <w:pPr>
        <w:pStyle w:val="Heading2"/>
      </w:pPr>
      <w:r>
        <w:t>1.14 Earn-Back</w:t>
      </w:r>
    </w:p>
    <w:p>
      <w:pPr>
        <w:pStyle w:val="Normal"/>
      </w:pPr>
      <w:r>
        <w:t>"Earn-Back" means the restoration of forward motion following a Step-Back event. Earn-Back occurs when the Party that triggered the Step-Back completes the originally required milestone, obtains the corresponding IAEA Verification Certificate, and submits that certificate through the Joint Secretariat to the PCC. Upon PCC verification of the certificate, the corresponding Joint Disbursement Instruction issues, and the Escrow Agent releases the suspended tranches from both pools simultaneously. Earn-Back restores the Parties to the position they would have occupied had the Step-Back never occurred, without penalty, without prejudice, and without additional conditions.</w:t>
      </w:r>
    </w:p>
    <w:p>
      <w:pPr>
        <w:pStyle w:val="Heading2"/>
      </w:pPr>
      <w:r>
        <w:t>1.15 Interest Accrual</w:t>
      </w:r>
    </w:p>
    <w:p>
      <w:pPr>
        <w:pStyle w:val="Normal"/>
      </w:pPr>
      <w:r>
        <w:t>"Interest Accrual" means all interest, dividends, returns, and other earnings generated by the $12 Billion Asset Pool during the period of escrow holding. The Escrow Agent invests each pool in short-term sovereign instruments of the State of Qatar or other AAA-rated instruments approved by both Parties. Interest Accrual for Pool A disburses with the final Pool A tranche; Interest Accrual for Pool B disburses with the final Pool B tranche. If both pools release simultaneously, Interest Accrual splits pro rata between the pools based on the duration each pool remained in escrow.</w:t>
      </w:r>
    </w:p>
    <w:p>
      <w:pPr>
        <w:pStyle w:val="Heading2"/>
      </w:pPr>
      <w:r>
        <w:t>1.16 Joint Secretariat (Muscat)</w:t>
      </w:r>
    </w:p>
    <w:p>
      <w:pPr>
        <w:pStyle w:val="Normal"/>
      </w:pPr>
      <w:r>
        <w:t>"Joint Secretariat" means the administrative body established in Muscat, Sultanate of Oman, under Islamabad Accord Article 10.3, responsible for routing all formal notifications, transmitting IAEA Verification Certificates, maintaining the official record of compliance, and ensuring that no Party acts on information not shared through official channels. The Joint Secretariat operates as the communications backbone of this Annex, and all notifications regarding both escrow pools and the verification status flow through it.</w:t>
      </w:r>
    </w:p>
    <w:p>
      <w:pPr>
        <w:pStyle w:val="Heading2"/>
      </w:pPr>
      <w:r>
        <w:t>1.17 Priority Consideration</w:t>
      </w:r>
    </w:p>
    <w:p>
      <w:pPr>
        <w:pStyle w:val="Normal"/>
      </w:pPr>
      <w:r>
        <w:t>"Priority Consideration" means the obligation of Iranian procurement authorities to include suppliers from the United States in a fair and transparent evaluation process when procuring goods using Pool A funds. Priority Consideration requires that Iranian procurement authorities evaluate suppliers from all countries, including the United States, alongside other qualified bidders using objective criteria including price, quality, delivery timeline, and technical specifications. Priority Consideration does not require: any price preference for any supplier; any quota or minimum purchase requirement from any country or supplier; any guaranteed contract award to any specific supplier; or any exclusion of qualified suppliers from the evaluation process. The final procurement decision remains with the Islamic Republic of Iran, based on the best overall value to Iran. No supplier receives a price preference, quota, or guaranteed contract award. Priority Consideration applies solely to Pool A and does not attach to Pool B.</w:t>
      </w:r>
    </w:p>
    <w:p>
      <w:pPr>
        <w:pStyle w:val="Heading2"/>
      </w:pPr>
      <w:r>
        <w:t>1.18 Civilian Enrichment Level</w:t>
      </w:r>
    </w:p>
    <w:p>
      <w:pPr>
        <w:pStyle w:val="Normal"/>
      </w:pPr>
      <w:r>
        <w:t>"Civilian Enrichment Level" means uranium enriched to 3.67% U-235 or lower, consistent with the standard established under the Joint Comprehensive Plan of Action (JCPOA). This level is suitable for civilian nuclear power generation and research purposes and does not constitute weapons-usable material. The Parties affirm Iran's rights under Article IV of the NPT to research, produce, and use nuclear energy for peaceful purposes, including enrichment to the Civilian Enrichment Level, subject to IAEA safeguards and verification.</w:t>
      </w:r>
    </w:p>
    <w:p>
      <w:pPr>
        <w:pStyle w:val="Heading2"/>
      </w:pPr>
      <w:r>
        <w:t>1.19 Natural Abundance Level</w:t>
      </w:r>
    </w:p>
    <w:p>
      <w:pPr>
        <w:pStyle w:val="Normal"/>
      </w:pPr>
      <w:r>
        <w:t>"Natural Abundance Level" means uranium enriched to 0.711% U-235, the standard abundance of U-235 in natural uranium ore. This level is not weapons-usable and constitutes the target for downblending the 60% enriched uranium stockpile under the Downblending Completion Milestone. Material at the Natural Abundance Level is suitable for peaceful applications including agricultural fertilizer production through Pathway W.</w:t>
      </w:r>
    </w:p>
    <w:p>
      <w:pPr>
        <w:pStyle w:val="Heading2"/>
      </w:pPr>
      <w:r>
        <w:t>1.20 Pathway W</w:t>
      </w:r>
    </w:p>
    <w:p>
      <w:pPr>
        <w:pStyle w:val="Normal"/>
      </w:pPr>
      <w:r>
        <w:t>"Pathway W" means the fertilizer pathway defined in Annex Z, under which uranium at the Natural Abundance Level (0.711% U-235) is combined with phosphate rock to produce phosphate-based agricultural fertilizer. Pathway W ensures permanent dispersion of uranium molecules into a dilute, non-recoverable form and constitutes an irreversible disposition pathway. The IAEA verifies the conversion process and confirms that the resulting fertilizer cannot be reprocessed to extract weapons-usable material within fewer than 12 months. Pathway W converts weapons-grade material into food security — from bombs to bread.</w:t>
      </w:r>
    </w:p>
    <w:p>
      <w:pPr>
        <w:pStyle w:val="Heading2"/>
      </w:pPr>
      <w:r>
        <w:t>1.21 Iran's NPT Rights</w:t>
      </w:r>
    </w:p>
    <w:p>
      <w:pPr>
        <w:pStyle w:val="Normal"/>
      </w:pPr>
      <w:r>
        <w:t>"Iran's NPT Rights" means the rights of the Islamic Republic of Iran under Article IV of the Treaty on the Non-Proliferation of Nuclear Weapons to research, produce, and use nuclear energy for peaceful purposes without discrimination, including the right to enrich uranium to the Civilian Enrichment Level (3.67% U-235) for civilian nuclear power generation and research, subject to full IAEA safeguards and verification. This definition acknowledges that the 3.67% enrichment level established under the JCPOA serves as the appropriate benchmark for civilian nuclear fuel, and that Iran's peaceful nuclear program is not the subject of this Annex beyond the verification and downblending commitments specified herein.</w:t>
      </w:r>
    </w:p>
    <w:p>
      <w:pPr>
        <w:pStyle w:val="Heading1"/>
      </w:pPr>
      <w:r>
        <w:t>Article 2: Two-Pool Escrow Architecture</w:t>
      </w:r>
      <w:bookmarkStart w:name="_Toc003" w:id="4"/>
      <w:bookmarkEnd w:id="4"/>
    </w:p>
    <w:p>
      <w:pPr>
        <w:pStyle w:val="Heading2"/>
      </w:pPr>
      <w:r>
        <w:t>2.1 Establishment of Two Pools</w:t>
      </w:r>
    </w:p>
    <w:p>
      <w:pPr>
        <w:pStyle w:val="Normal"/>
      </w:pPr>
      <w:r>
        <w:t>Immediately upon the entry into force of the Islamabad Accord, the United States takes all necessary steps to transfer the full $12 Billion Asset Pool from the frozen Iranian asset accounts into the dedicated escrow accounts held by the Central Bank of Qatar. Upon receipt, the Escrow Agent divides the Asset Pool into two distinct escrow pools:</w:t>
      </w:r>
    </w:p>
    <w:p>
      <w:pPr>
        <w:numPr>
          <w:ilvl w:val="0"/>
          <w:numId w:val="1"/>
        </w:numPr>
      </w:pPr>
      <w:r>
        <w:rPr>
          <w:b/>
        </w:rPr>
        <w:t>Pool A (Humanitarian and Agricultural Pool): </w:t>
      </w:r>
      <w:r>
        <w:t>$4,000,000,000 (four billion United States Dollars), held in the US-Qatar Joint Oversight Escrow account.</w:t>
      </w:r>
    </w:p>
    <w:p>
      <w:pPr>
        <w:numPr>
          <w:ilvl w:val="0"/>
          <w:numId w:val="1"/>
        </w:numPr>
      </w:pPr>
      <w:r>
        <w:rPr>
          <w:b/>
        </w:rPr>
        <w:t>Pool B (Sovereign Reconstruction Pool): </w:t>
      </w:r>
      <w:r>
        <w:t>$8,000,000,000 (eight billion United States Dollars), held in the Neutral Qatar Escrow account.</w:t>
      </w:r>
    </w:p>
    <w:p>
      <w:pPr>
        <w:pStyle w:val="Normal"/>
      </w:pPr>
      <w:r>
        <w:t>The Escrow Agent issues a Deposit Confirmation Certificate for each pool within 24 hours of division, stating the exact amount deposited into each account, the date and time of deposit, the account numbers, and the applicable interest rates. The Joint Secretariat forwards both certificates to the PCC, which certifies within 48 hours that both deposits are complete. This certification constitutes the formal commencement of the escrow period and starts the clock on all subsequent timelines in this Annex.</w:t>
      </w:r>
    </w:p>
    <w:p>
      <w:pPr>
        <w:pStyle w:val="Heading2"/>
      </w:pPr>
      <w:r>
        <w:t>2.2 Pool A — US-Qatar Joint Oversight Escrow</w:t>
      </w:r>
    </w:p>
    <w:p>
      <w:pPr>
        <w:pStyle w:val="Heading3"/>
      </w:pPr>
      <w:r>
        <w:t>2.2.1 Administration</w:t>
      </w:r>
    </w:p>
    <w:p>
      <w:pPr>
        <w:pStyle w:val="Normal"/>
      </w:pPr>
      <w:r>
        <w:t>The State of Qatar and the United States jointly administer Pool A. The Qatar Central Bank holds the funds, but the United States exercises oversight authority over disbursements. Both the United States and Qatar jointly approve each Pool A disbursement request. The Escrow Agent maintains Pool A in a segregated account, separate from Pool B, the Escrow Agent’s own funds, and all other escrow or client funds.</w:t>
      </w:r>
    </w:p>
    <w:p>
      <w:pPr>
        <w:pStyle w:val="Heading3"/>
      </w:pPr>
      <w:r>
        <w:t>2.2.2 Permitted Uses</w:t>
      </w:r>
    </w:p>
    <w:p>
      <w:pPr>
        <w:pStyle w:val="Normal"/>
      </w:pPr>
      <w:r>
        <w:t>Pool A funds release exclusively for the purchase of: (a) food and agricultural commodities; (b) medical supplies and pharmaceuticals; (c) humanitarian goods as defined by UN OCHA and the ICRC; and (d) agricultural inputs including seeds, fertilizers, and equipment. The Escrow Agent releases Pool A funds only to verified suppliers or procurement channels approved under the joint oversight mechanism.</w:t>
      </w:r>
    </w:p>
    <w:p>
      <w:pPr>
        <w:pStyle w:val="Heading3"/>
      </w:pPr>
      <w:r>
        <w:t>2.2.3 Purchasing Condition — Priority Consideration</w:t>
      </w:r>
    </w:p>
    <w:p>
      <w:pPr>
        <w:pStyle w:val="Normal"/>
      </w:pPr>
      <w:r>
        <w:t>Iran provides Priority Consideration when procuring goods using Pool A funds. Iranian procurement authorities include suppliers from all countries in a fair and transparent evaluation process alongside other qualified bidders. The evaluation process employs objective criteria including price, quality, delivery timeline, and technical specifications. For the avoidance of doubt: Priority Consideration does not require any price preference for any supplier; any quota or minimum purchase requirement from any country or supplier; any guaranteed contract award to any specific supplier; or any exclusion of qualified suppliers from the evaluation process. The final procurement decision remains with the Islamic Republic of Iran, based on the best overall value to Iran. No supplier receives a price preference, quota, or guaranteed contract award. This protects Iran’s procurement integrity while giving all suppliers a defensible claim that they receive a fair and transparent evaluation. Priority Consideration applies solely to Pool A and does not attach to Pool B in any form.</w:t>
      </w:r>
    </w:p>
    <w:p>
      <w:pPr>
        <w:pStyle w:val="Heading3"/>
      </w:pPr>
      <w:r>
        <w:t>2.2.4 Oversight Mechanism</w:t>
      </w:r>
    </w:p>
    <w:p>
      <w:pPr>
        <w:pStyle w:val="Normal"/>
      </w:pPr>
      <w:r>
        <w:t>The United States and Qatar jointly approve Pool A disbursement requests. Each disbursement request includes: (a) the specific goods to be purchased; (b) the proposed suppliers; (c) the estimated cost and delivery timeline; and (d) verification of receipt and delivery. The Escrow Agent releases Pool A funds only upon joint written approval from both United States and Qatari oversight representatives. If either oversight representative objects, the disbursement request refers to the PCC for resolution within 7 days.</w:t>
      </w:r>
    </w:p>
    <w:p>
      <w:pPr>
        <w:pStyle w:val="Heading3"/>
      </w:pPr>
      <w:r>
        <w:t>2.2.5 Pool A Release Schedule</w:t>
      </w:r>
    </w:p>
    <w:p>
      <w:pPr>
        <w:pStyle w:val="Normal"/>
      </w:pPr>
      <w:r>
        <w:t>Pool A disburses in two synchronized tranches: Tranche 1 releases $1,500,000,000 upon the IAEA’s issuance of the National HEU Verification and Custody Certificate; Tranche 2 releases $2,500,000,000 upon the IAEA’s issuance of the Downblending Completion Certificate. Both Pool A tranches release simultaneously with the corresponding Pool B tranches under Article 4.</w:t>
      </w:r>
    </w:p>
    <w:p>
      <w:pPr>
        <w:pStyle w:val="Heading2"/>
      </w:pPr>
      <w:r>
        <w:t>2.3 Pool B — Neutral Qatar Escrow</w:t>
      </w:r>
    </w:p>
    <w:p>
      <w:pPr>
        <w:pStyle w:val="Heading3"/>
      </w:pPr>
      <w:r>
        <w:t>2.3.1 Administration</w:t>
      </w:r>
    </w:p>
    <w:p>
      <w:pPr>
        <w:pStyle w:val="Normal"/>
      </w:pPr>
      <w:r>
        <w:t>The State of Qatar serves as the sole Escrow Agent for Pool B. The United States holds no oversight authority, approval power, or veto over Pool B disbursements. The Escrow Agent maintains Pool B in a segregated account, separate from Pool A, the Escrow Agent’s own funds, and all other escrow or client funds. The Escrow Agent invests Pool B in short-term sovereign instruments or AAA-rated deposits and publishes monthly statements through the Joint Secretariat.</w:t>
      </w:r>
    </w:p>
    <w:p>
      <w:pPr>
        <w:pStyle w:val="Heading3"/>
      </w:pPr>
      <w:r>
        <w:t>2.3.2 Permitted Uses</w:t>
      </w:r>
    </w:p>
    <w:p>
      <w:pPr>
        <w:pStyle w:val="Normal"/>
      </w:pPr>
      <w:r>
        <w:t>Pool B funds release to the Central Bank of Iran for any purpose consistent with Iranian sovereign interests and applicable international law. Permitted uses include: infrastructure reconstruction and development; energy sector modernization; industrial and manufacturing investment; healthcare and pharmaceutical procurement; agricultural development and food security; scientific research and technological advancement; and general budget support and macroeconomic stabilization. No restriction on the geographic source of procurement, the currency of expenditure, or the commercial channel applies to Pool B funds.</w:t>
      </w:r>
    </w:p>
    <w:p>
      <w:pPr>
        <w:pStyle w:val="Heading3"/>
      </w:pPr>
      <w:r>
        <w:t>2.3.3 No Purchasing Conditions</w:t>
      </w:r>
    </w:p>
    <w:p>
      <w:pPr>
        <w:pStyle w:val="Normal"/>
      </w:pPr>
      <w:r>
        <w:t>The Islamic Republic of Iran is under no obligation, express or implied, to purchase goods or services from any specific country, bloc, currency union, or commercial channel using Pool B funds. Priority Consideration does not apply to Pool B. No condition, restriction, or preference requires Iranian Pool B funds to be spent in any particular jurisdiction.</w:t>
      </w:r>
    </w:p>
    <w:p>
      <w:pPr>
        <w:pStyle w:val="Heading3"/>
      </w:pPr>
      <w:r>
        <w:t>2.3.4 No Oversight</w:t>
      </w:r>
    </w:p>
    <w:p>
      <w:pPr>
        <w:pStyle w:val="Normal"/>
      </w:pPr>
      <w:r>
        <w:t>No Party or third party exercises approval authority, veto power, oversight jurisdiction, or any other form of control over Iran’s use of Pool B funds. The United States holds no approval authority over Iranian Pool B procurement decisions. The Escrow Agent holds no approval authority over Iranian Pool B procurement decisions. The State of Qatar holds no approval authority over Iranian Pool B procurement decisions. The PCC holds no approval authority over Iranian Pool B procurement decisions. The Escrow Agent has no obligation to act on a Joint Disbursement Instruction that would violate applicable Qatari law or international sanctions binding on Qatar. This clause reinforces the Escrow Agent’s independent guardian role: the Escrow Agent follows valid instructions, but exercises its own professional judgment when compliance with an instruction would conflict with Qatari law or binding international obligations.</w:t>
      </w:r>
    </w:p>
    <w:p>
      <w:pPr>
        <w:pStyle w:val="Heading3"/>
      </w:pPr>
      <w:r>
        <w:t>2.3.5 Pool B Release Schedule</w:t>
      </w:r>
    </w:p>
    <w:p>
      <w:pPr>
        <w:pStyle w:val="Normal"/>
      </w:pPr>
      <w:r>
        <w:t>Pool B disburses in two synchronized tranches: Tranche 1 releases $3,000,000,000 upon the IAEA’s issuance of the National HEU Verification and Custody Certificate; Tranche 2 releases $5,000,000,000 upon the IAEA’s issuance of the Downblending Completion Certificate. Both Pool B tranches release simultaneously with the corresponding Pool A tranches under Article 4.</w:t>
      </w:r>
    </w:p>
    <w:p>
      <w:pPr>
        <w:pStyle w:val="Heading2"/>
      </w:pPr>
      <w:r>
        <w:t>2.4 Independent Guardian Authority</w:t>
      </w:r>
    </w:p>
    <w:p>
      <w:pPr>
        <w:pStyle w:val="Normal"/>
      </w:pPr>
      <w:r>
        <w:t>The Escrow Agent exercises independent professional judgment as a true guardian of both escrow mechanisms, not merely as a passive conduit for PCC instructions. The Escrow Agent has no obligation to act on a Joint Disbursement Instruction that is, in its reasonable judgment, inconsistent with the terms of this Annex. The Escrow Agent withholds execution and refers the matter to the PCC for clarification when: (a) the instruction lacks any of the six mandatory elements specified in Article 1.11; (b) the instruction references a Release Trigger that has already been acted upon; (c) the instruction directs release of a tranche currently under automatic suspension under Article 5; (d) the instruction bears signatures that the Escrow Agent, exercising reasonable care, determines to be invalid, forged, or obtained through coercion; or (e) execution of the instruction would violate applicable Qatari law, international sanctions binding on Qatar, or the Escrow Agent’s fiduciary duty under Article 1.1.</w:t>
      </w:r>
    </w:p>
    <w:p>
      <w:pPr>
        <w:pStyle w:val="Heading2"/>
      </w:pPr>
      <w:r>
        <w:t>2.5 No Surprises Notification Protocol</w:t>
      </w:r>
    </w:p>
    <w:p>
      <w:pPr>
        <w:pStyle w:val="Normal"/>
      </w:pPr>
      <w:r>
        <w:t>Consistent with the Islamabad Accord’s governance principles, all notifications regarding both escrow pools and the verification status route through the Joint Secretariat (Muscat). The No Surprises Notification Protocol operates as follows:</w:t>
      </w:r>
    </w:p>
    <w:p>
      <w:pPr>
        <w:numPr>
          <w:ilvl w:val="0"/>
          <w:numId w:val="6"/>
        </w:numPr>
      </w:pPr>
      <w:r>
        <w:rPr>
          <w:b/>
        </w:rPr>
        <w:t>Advance Notification of IAEA Activities: </w:t>
      </w:r>
      <w:r>
        <w:t>The IAEA provides both Parties, through the Joint Secretariat, at least 48 hours’ advance notice of any inspection, verification activity, or technical assessment relevant to a Release Trigger milestone.</w:t>
      </w:r>
    </w:p>
    <w:p>
      <w:pPr>
        <w:numPr>
          <w:ilvl w:val="0"/>
          <w:numId w:val="6"/>
        </w:numPr>
      </w:pPr>
      <w:r>
        <w:rPr>
          <w:b/>
        </w:rPr>
        <w:t>Preliminary Findings Communication: </w:t>
      </w:r>
      <w:r>
        <w:t>Within 24 hours of completing a verification activity, the IAEA team leader transmits preliminary findings to both Parties through the Joint Secretariat.</w:t>
      </w:r>
    </w:p>
    <w:p>
      <w:pPr>
        <w:numPr>
          <w:ilvl w:val="0"/>
          <w:numId w:val="6"/>
        </w:numPr>
      </w:pPr>
      <w:r>
        <w:rPr>
          <w:b/>
        </w:rPr>
        <w:t>Escrow Status Updates: </w:t>
      </w:r>
      <w:r>
        <w:t>The Escrow Agent transmits weekly status updates on both pools to both Parties through the Joint Secretariat.</w:t>
      </w:r>
    </w:p>
    <w:p>
      <w:pPr>
        <w:numPr>
          <w:ilvl w:val="0"/>
          <w:numId w:val="6"/>
        </w:numPr>
      </w:pPr>
      <w:r>
        <w:rPr>
          <w:b/>
        </w:rPr>
        <w:t>No Unilateral Action: </w:t>
      </w:r>
      <w:r>
        <w:t>Neither Party takes any action affecting either escrow account without providing at least 72 hours’ advance notice through the Joint Secretariat.</w:t>
      </w:r>
    </w:p>
    <w:p>
      <w:pPr>
        <w:numPr>
          <w:ilvl w:val="0"/>
          <w:numId w:val="6"/>
        </w:numPr>
      </w:pPr>
      <w:r>
        <w:rPr>
          <w:b/>
        </w:rPr>
        <w:t>Emergency Notification: </w:t>
      </w:r>
      <w:r>
        <w:t>In the event of a security threat, cyber incident, or other emergency affecting either escrow account, the Escrow Agent notifies both Parties and the Joint Secretariat immediately upon discovery.</w:t>
      </w:r>
    </w:p>
    <w:p>
      <w:pPr>
        <w:pStyle w:val="Heading1"/>
      </w:pPr>
      <w:r>
        <w:t>Article 3: Release Triggers and Verification Sequence: Verification Tranche (T1) and Downblending Tranche (T2)</w:t>
      </w:r>
      <w:bookmarkStart w:name="_Toc004" w:id="5"/>
      <w:bookmarkEnd w:id="5"/>
    </w:p>
    <w:p>
      <w:pPr>
        <w:pStyle w:val="Normal"/>
      </w:pPr>
      <w:r>
        <w:t>The release of funds from both pools operates as a performance-based, sequential process synchronized to the same IAEA verification milestones. Both pools release simultaneously upon each milestone; no pool releases independently. Tranche 1 is the Verification Tranche: it releases upon the IAEA’s confirmation of access, baseline inventory, and dual-key custody over the 60% enriched uranium stockpile. This is a lower bar that unlocks immediate relief. Tranche 2 is the Downblending Tranche: it releases only upon the IAEA’s confirmation that the entire 60% stockpile has undergone irreversible downblending to the Natural Abundance Level (0.711% U-235) or lower and conversion into peaceful products such as agricultural fertilizer through Pathway W. This is a higher bar that provides the strategic assurance the United States seeks. Both sides know exactly what each tranche purchases.</w:t>
      </w:r>
    </w:p>
    <w:p>
      <w:pPr>
        <w:pStyle w:val="Heading2"/>
      </w:pPr>
      <w:r>
        <w:t>3.1 Tranche 1 — The Verification Tranche ($4.5 Billion Total: $1.5B Pool A + $3B Pool B)</w:t>
      </w:r>
    </w:p>
    <w:p>
      <w:pPr>
        <w:pStyle w:val="Heading3"/>
      </w:pPr>
      <w:r>
        <w:t>3.1.1 The National HEU Verification and Custody Milestone</w:t>
      </w:r>
    </w:p>
    <w:p>
      <w:pPr>
        <w:pStyle w:val="Normal"/>
      </w:pPr>
      <w:r>
        <w:t>Tranche 1 releases upon certification that Iran has completed the National HEU Verification and Custody Milestone. This milestone requires that the IAEA confirms the following four elements:</w:t>
      </w:r>
    </w:p>
    <w:p>
      <w:pPr>
        <w:numPr>
          <w:ilvl w:val="0"/>
          <w:numId w:val="2"/>
        </w:numPr>
      </w:pPr>
      <w:r>
        <w:rPr>
          <w:b/>
        </w:rPr>
        <w:t>Full Unimpeded Access: </w:t>
      </w:r>
      <w:r>
        <w:t>The IAEA has resumed full, unimpeded access to all declared nuclear facilities and all sites where 60% enriched uranium is stored. This includes access to enrichment halls, storage areas, conversion facilities, and any other location where 60% enriched uranium is present or has been present. The IAEA confirms that access is granted without prior notification requirements, without delay, and without Iranian personnel restricting the scope, duration, or method of inspection.</w:t>
      </w:r>
    </w:p>
    <w:p>
      <w:pPr>
        <w:numPr>
          <w:ilvl w:val="0"/>
          <w:numId w:val="2"/>
        </w:numPr>
      </w:pPr>
      <w:r>
        <w:rPr>
          <w:b/>
        </w:rPr>
        <w:t>Baseline Inventory with Mass Spectrometry: </w:t>
      </w:r>
      <w:r>
        <w:t>The IAEA has completed a comprehensive baseline inventory of the entire 60% enriched uranium stockpile, comparing measured quantities against Iran’s declared inventory. This inventory includes mass spectrometry verification of enrichment levels, isotopic composition, and physical form. The IAEA applies measurement uncertainty thresholds specified in IAEA safeguards procedures; discrepancies within those thresholds require documentation but do not block milestone certification. Any discrepancy exceeding the tolerance threshold triggers a joint technical review by the IAEA and Iranian authorities to resolve the discrepancy before certification.</w:t>
      </w:r>
    </w:p>
    <w:p>
      <w:pPr>
        <w:numPr>
          <w:ilvl w:val="0"/>
          <w:numId w:val="2"/>
        </w:numPr>
      </w:pPr>
      <w:r>
        <w:rPr>
          <w:b/>
        </w:rPr>
        <w:t>Dual-Key Custody: </w:t>
      </w:r>
      <w:r>
        <w:t>Iran has placed the entire 60% enriched uranium stockpile under IAEA dual-key custody, such that no unilateral Iranian access is possible. The term "dual-key custody" carries its meaning from Annex O (Section 4.3): the IAEA and Iran jointly control access to the material, with the IAEA holding veto power over any movement, processing, or disposition. The IAEA installs seals, surveillance equipment, and tamper-indicating devices at all storage locations. The IAEA maintains continuous physical presence at facilities holding 60%-enriched uranium. Any attempt to remove, process, or relocate material without IAEA consent triggers an immediate alert to the Joint Secretariat and a suspension of the release timeline pending investigation.</w:t>
      </w:r>
    </w:p>
    <w:p>
      <w:pPr>
        <w:numPr>
          <w:ilvl w:val="0"/>
          <w:numId w:val="2"/>
        </w:numPr>
      </w:pPr>
      <w:r>
        <w:rPr>
          <w:b/>
        </w:rPr>
        <w:t>Continuous Monitoring Equipment: </w:t>
      </w:r>
      <w:r>
        <w:t>The IAEA has installed continuous monitoring equipment including seals, cameras, and sensors at all relevant facilities. This equipment provides real-time data transmission to IAEA headquarters in Vienna and the Joint Secretariat in Muscat. The equipment includes: tamper-indicating seals on all containers and storage vessels; radiation detectors monitoring material movement; surveillance cameras covering all access points and material handling areas; and environmental sampling stations detecting any unauthorized processing activity. The IAEA confirms that all monitoring systems are operational, that data transmission is functioning, and that Iran has provided all necessary cooperation for installation and maintenance.</w:t>
      </w:r>
    </w:p>
    <w:p>
      <w:pPr>
        <w:pStyle w:val="Normal"/>
      </w:pPr>
      <w:r>
        <w:t>This milestone does not require downblending or irreversible transformation of the 60% enriched uranium stockpile. It requires verification and custody. Tranche 1 releases upon the IAEA’s confirmation that it has the access and visibility it needs to monitor the stockpile. This aligns with the Islamabad Accord’s requirement to restore IAEA access as the foundational step.</w:t>
      </w:r>
    </w:p>
    <w:p>
      <w:pPr>
        <w:pStyle w:val="Heading3"/>
      </w:pPr>
      <w:r>
        <w:t>3.1.2 Sequence of Events for Tranche 1 Release</w:t>
      </w:r>
    </w:p>
    <w:p>
      <w:pPr>
        <w:pStyle w:val="Normal"/>
      </w:pPr>
      <w:r>
        <w:t>The following sequence executes automatically upon completion of the National HEU Verification and Custody Milestone:</w:t>
      </w:r>
    </w:p>
    <w:p>
      <w:pPr>
        <w:numPr>
          <w:ilvl w:val="0"/>
          <w:numId w:val="3"/>
        </w:numPr>
      </w:pPr>
      <w:r>
        <w:rPr>
          <w:b/>
        </w:rPr>
        <w:t>IAEA Certification: </w:t>
      </w:r>
      <w:r>
        <w:t>The IAEA Director General issues the National HEU Verification and Custody Certificate, containing all elements specified in Article 1.7 and confirming that all four sub-elements in Article 3.1.1 are satisfied. The Director General signs the certificate personally.</w:t>
      </w:r>
    </w:p>
    <w:p>
      <w:pPr>
        <w:numPr>
          <w:ilvl w:val="0"/>
          <w:numId w:val="3"/>
        </w:numPr>
      </w:pPr>
      <w:r>
        <w:rPr>
          <w:b/>
        </w:rPr>
        <w:t>Simultaneous Transmission: </w:t>
      </w:r>
      <w:r>
        <w:t>The IAEA transmits the certificate simultaneously to: (a) the Joint Secretariat in Muscat; (b) the PCC; and (c) the Escrow Agent at the Qatar Central Bank. All three transmissions occur within the same 60-minute window.</w:t>
      </w:r>
    </w:p>
    <w:p>
      <w:pPr>
        <w:numPr>
          <w:ilvl w:val="0"/>
          <w:numId w:val="3"/>
        </w:numPr>
      </w:pPr>
      <w:r>
        <w:rPr>
          <w:b/>
        </w:rPr>
        <w:t>Joint Secretariat Verification: </w:t>
      </w:r>
      <w:r>
        <w:t>The Joint Secretariat verifies the certificate’s authenticity, logs it in the official compliance register, and forwards it to both Parties’ PCC representatives within 6 hours.</w:t>
      </w:r>
    </w:p>
    <w:p>
      <w:pPr>
        <w:numPr>
          <w:ilvl w:val="0"/>
          <w:numId w:val="3"/>
        </w:numPr>
      </w:pPr>
      <w:r>
        <w:rPr>
          <w:b/>
        </w:rPr>
        <w:t>PCC Review and Joint Instruction: </w:t>
      </w:r>
      <w:r>
        <w:t>The PCC convenes within 48 hours. The PCC reviews the certificate, confirms that all four sub-elements are satisfied, and — provided both representatives agree — issues a single Joint Disbursement Instruction authorizing simultaneous release of: $1.5 billion from Pool A (to the US-Qatar Joint Oversight Escrow) and $3 billion from Pool B (to the Central Bank of Iran).</w:t>
      </w:r>
    </w:p>
    <w:p>
      <w:pPr>
        <w:numPr>
          <w:ilvl w:val="0"/>
          <w:numId w:val="3"/>
        </w:numPr>
      </w:pPr>
      <w:r>
        <w:rPr>
          <w:b/>
        </w:rPr>
        <w:t>Escrow Agent Execution: </w:t>
      </w:r>
      <w:r>
        <w:t>The Escrow Agent receives the Joint Disbursement Instruction, verifies it, and executes the transfer of both tranches simultaneously within 24 hours of verification.</w:t>
      </w:r>
    </w:p>
    <w:p>
      <w:pPr>
        <w:numPr>
          <w:ilvl w:val="0"/>
          <w:numId w:val="3"/>
        </w:numPr>
      </w:pPr>
      <w:r>
        <w:rPr>
          <w:b/>
        </w:rPr>
        <w:t>Confirmation and Record: </w:t>
      </w:r>
      <w:r>
        <w:t>The Escrow Agent issues a Release Confirmation Certificate for each pool, and the Joint Secretariat updates the official compliance register to reflect the completed Tranche 1 release.</w:t>
      </w:r>
    </w:p>
    <w:p>
      <w:pPr>
        <w:pStyle w:val="Heading2"/>
      </w:pPr>
      <w:r>
        <w:t>3.2 Tranche 2 — The Downblending Tranche ($7.5 Billion Total: $2.5B Pool A + $5B Pool B)</w:t>
      </w:r>
    </w:p>
    <w:p>
      <w:pPr>
        <w:pStyle w:val="Heading3"/>
      </w:pPr>
      <w:r>
        <w:t>3.2.1 The Downblending Completion Milestone (Tranche 2)</w:t>
      </w:r>
    </w:p>
    <w:p>
      <w:pPr>
        <w:pStyle w:val="Normal"/>
      </w:pPr>
      <w:r>
        <w:t>Tranche 2 releases upon certification that Iran has completed the Downblending Completion Milestone. This milestone requires that the IAEA confirms the following five elements:</w:t>
      </w:r>
    </w:p>
    <w:p>
      <w:pPr>
        <w:numPr>
          <w:ilvl w:val="0"/>
          <w:numId w:val="4"/>
        </w:numPr>
      </w:pPr>
      <w:r>
        <w:rPr>
          <w:b/>
        </w:rPr>
        <w:t>Irreversible Transformation to Natural Abundance: </w:t>
      </w:r>
      <w:r>
        <w:t>The entire 60% enriched uranium stockpile has undergone irreversible transformation, rendering it unsuitable for nuclear weapons production. The 60% enriched uranium stockpile is downblended to the natural abundance level of 0.711% U-235 or lower, as verified by IAEA mass spectrometry. The IAEA confirms that the transformation is complete for 100% of the previously inventoried stockpile (within measurement tolerance). Downblending to the Natural Abundance Level (0.711% U-235) ensures that the material is no longer weapons-usable and is suitable only for peaceful applications.</w:t>
      </w:r>
    </w:p>
    <w:p>
      <w:pPr>
        <w:numPr>
          <w:ilvl w:val="0"/>
          <w:numId w:val="4"/>
        </w:numPr>
      </w:pPr>
      <w:r>
        <w:rPr>
          <w:b/>
        </w:rPr>
        <w:t>IAEA-Approved Pathways Including Pathway W: </w:t>
      </w:r>
      <w:r>
        <w:t>The transformation occurs through one or more of the following IAEA-approved pathways: (a) in-situ downblending in IAEA-monitored facilities to the Natural Abundance Level of 0.711% U-235 or lower, under continuous IAEA surveillance with IAEA inspectors present at all times during operations; (b) conversion into phosphate-based agricultural fertilizer through Pathway W defined in Annex Z of the Islamabad Accord, under which uranium at the Natural Abundance Level is combined with phosphate rock to produce fertilizer, ensuring permanent dispersion and irreversibility; (c) transformation into other non-uranium forms through the In-Iran Transformation Pathways defined in Annex Z, verified by the IAEA as not reconvertible to weapons-usable form within fewer than 12 months; or (d) export to a third-country facility designated by mutual agreement of the Parties and approved by the IAEA Board of Governors, with the IAEA tracking material from departure in Iran through processing at the foreign facility. Iran selects the pathway or combination of pathways, subject to IAEA approval. Pathway W constitutes one of the available IAEA-approved disposition pathways. Iran retains the unilateral right to select the disposition pathway, subject only to IAEA technical approval that the selected pathway achieves irreversible transformation to the Natural Abundance Level.</w:t>
      </w:r>
    </w:p>
    <w:p>
      <w:pPr>
        <w:numPr>
          <w:ilvl w:val="0"/>
          <w:numId w:val="4"/>
        </w:numPr>
      </w:pPr>
      <w:r>
        <w:rPr>
          <w:b/>
        </w:rPr>
        <w:t>Pathway W Fertilizer Conversion Verification: </w:t>
      </w:r>
      <w:r>
        <w:t>If Iran selects Pathway W as the disposition pathway, the IAEA verifies the complete conversion of the downblended uranium into phosphate-based agricultural fertilizer. This verification includes: confirmation that the uranium has been combined with phosphate rock at the appropriate ratio to produce standard-grade fertilizer; confirmation that the uranium molecules are permanently dispersed into a dilute, non-recoverable form; sampling and analysis of the finished fertilizer product to confirm that the uranium concentration is at or below the Natural Abundance Level; and confirmation that the fertilizer production facility operates under IAEA safeguards and that the finished product is destined for agricultural use. The IAEA issues a Pathway W Completion Certificate as an annex to the Downblending Completion Certificate.</w:t>
      </w:r>
    </w:p>
    <w:p>
      <w:pPr>
        <w:numPr>
          <w:ilvl w:val="0"/>
          <w:numId w:val="4"/>
        </w:numPr>
      </w:pPr>
      <w:r>
        <w:rPr>
          <w:b/>
        </w:rPr>
        <w:t>Mass Balance Verification at 100%: </w:t>
      </w:r>
      <w:r>
        <w:t>The IAEA verifies the mass balance of all material, confirming that 100% of the stockpile (within measurement tolerance) is accounted for. This verification includes: measurement of feed material quantities before processing; measurement of product material quantities after processing; measurement of tails and waste streams; and reconciliation of all material against the baseline inventory established under Article 3.1.1. Any material unaccounted for (MUF) exceeding the IAEA’s established detection threshold triggers a joint technical review to locate and account for the missing material before certification.</w:t>
      </w:r>
    </w:p>
    <w:p>
      <w:pPr>
        <w:numPr>
          <w:ilvl w:val="0"/>
          <w:numId w:val="4"/>
        </w:numPr>
      </w:pPr>
      <w:r>
        <w:rPr>
          <w:b/>
        </w:rPr>
        <w:t>12-Month Breakout Buffer Confirmation: </w:t>
      </w:r>
      <w:r>
        <w:t>The IAEA confirms that reconversion of the transformed material to weapons-usable form requires at least 12 months of detectable activity, measured against the IAEA’s established safeguards criteria under the Additional Protocol and the INFIRC/540 verification framework. The IAEA assesses the breakout buffer by analyzing: the technical complexity of reconversion, including the number and type of processing steps required; the infrastructure required, including specialized equipment and facilities that the IAEA monitors under existing safeguards; the observable signatures of reconversion activities, including thermal emissions, chemical effluents, and material movements detectable through IAEA surveillance systems, satellite monitoring, and environmental sampling; and the historical detection record of similar activities, benchmarked against the IAEA’s documented cases of undeclared nuclear activity detection. The IAEA documents its 12-month assessment methodology in a technical annex to the Downblending Completion Certificate.</w:t>
      </w:r>
    </w:p>
    <w:p>
      <w:pPr>
        <w:pStyle w:val="Normal"/>
      </w:pPr>
      <w:r>
        <w:t>This milestone requires downblending and irreversible transformation of the entire 60% enriched uranium stockpile. Tranche 2 releases only after the stockpile is physically eliminated through downblending to the Natural Abundance Level (0.711% U-235) or lower and conversion into peaceful products such as agricultural fertilizer through Pathway W. This transformation converts weapons-grade material into food security — from bombs to bread. This provides the United States with the strategic assurance it seeks and the international community with confirmation that the proliferation risk is permanently eliminated.</w:t>
      </w:r>
    </w:p>
    <w:p>
      <w:pPr>
        <w:pStyle w:val="Heading3"/>
      </w:pPr>
      <w:r>
        <w:t>3.2.2 Either Party Technical Review Right</w:t>
      </w:r>
    </w:p>
    <w:p>
      <w:pPr>
        <w:pStyle w:val="Normal"/>
      </w:pPr>
      <w:r>
        <w:t>Either Party has the right to request a technical review of the IAEA’s 12-month breakout buffer assessment. The requesting Party submits a written request to the Joint Secretariat within 14 days of the IAEA’s issuance of the Downblending Completion Certificate, specifying the technical basis for its concern. The Joint Secretariat forwards the request to the IAEA Director General and the PCC within 48 hours. The IAEA convenes a technical review panel comprising three independent nuclear safeguards experts — one nominated by each Party and one by the IAEA Director General — within 21 days of the request. The panel reviews the IAEA’s assessment methodology, examines the underlying technical data, and issues a binding determination within 30 days of convening. Either Party requests no more than one such technical review per Downblending Completion Certificate.</w:t>
      </w:r>
    </w:p>
    <w:p>
      <w:pPr>
        <w:pStyle w:val="Heading3"/>
      </w:pPr>
      <w:r>
        <w:t>3.2.3 Sequence of Events for Tranche 2 Release</w:t>
      </w:r>
    </w:p>
    <w:p>
      <w:pPr>
        <w:pStyle w:val="Normal"/>
      </w:pPr>
      <w:r>
        <w:t>The following sequence executes automatically upon completion of the Downblending Completion Milestone:</w:t>
      </w:r>
    </w:p>
    <w:p>
      <w:pPr>
        <w:numPr>
          <w:ilvl w:val="0"/>
          <w:numId w:val="5"/>
        </w:numPr>
      </w:pPr>
      <w:r>
        <w:rPr>
          <w:b/>
        </w:rPr>
        <w:t>IAEA Certification: </w:t>
      </w:r>
      <w:r>
        <w:t>The IAEA Director General issues the Downblending Completion Certificate, containing all elements specified in Article 1.7 and confirming that all five sub-elements in Article 3.2.1 are satisfied.</w:t>
      </w:r>
    </w:p>
    <w:p>
      <w:pPr>
        <w:numPr>
          <w:ilvl w:val="0"/>
          <w:numId w:val="5"/>
        </w:numPr>
      </w:pPr>
      <w:r>
        <w:rPr>
          <w:b/>
        </w:rPr>
        <w:t>Simultaneous Transmission: </w:t>
      </w:r>
      <w:r>
        <w:t>The IAEA transmits the certificate simultaneously to the Joint Secretariat, the PCC, and the Escrow Agent within the same 60-minute window.</w:t>
      </w:r>
    </w:p>
    <w:p>
      <w:pPr>
        <w:numPr>
          <w:ilvl w:val="0"/>
          <w:numId w:val="5"/>
        </w:numPr>
      </w:pPr>
      <w:r>
        <w:rPr>
          <w:b/>
        </w:rPr>
        <w:t>Joint Secretariat Verification: </w:t>
      </w:r>
      <w:r>
        <w:t>The Joint Secretariat verifies the certificate, logs it, and forwards it within 6 hours.</w:t>
      </w:r>
    </w:p>
    <w:p>
      <w:pPr>
        <w:numPr>
          <w:ilvl w:val="0"/>
          <w:numId w:val="5"/>
        </w:numPr>
      </w:pPr>
      <w:r>
        <w:rPr>
          <w:b/>
        </w:rPr>
        <w:t>PCC Review and Joint Instruction: </w:t>
      </w:r>
      <w:r>
        <w:t>The PCC convenes within 48 hours and — provided both representatives agree — issues a single Joint Disbursement Instruction authorizing simultaneous release of: $2.5 billion from Pool A and $5 billion from Pool B.</w:t>
      </w:r>
    </w:p>
    <w:p>
      <w:pPr>
        <w:numPr>
          <w:ilvl w:val="0"/>
          <w:numId w:val="5"/>
        </w:numPr>
      </w:pPr>
      <w:r>
        <w:rPr>
          <w:b/>
        </w:rPr>
        <w:t>Escrow Agent Execution: </w:t>
      </w:r>
      <w:r>
        <w:t>The Escrow Agent executes both transfers simultaneously within 24 hours of verification.</w:t>
      </w:r>
    </w:p>
    <w:p>
      <w:pPr>
        <w:numPr>
          <w:ilvl w:val="0"/>
          <w:numId w:val="5"/>
        </w:numPr>
      </w:pPr>
      <w:r>
        <w:rPr>
          <w:b/>
        </w:rPr>
        <w:t>Final Confirmation and Account Closure: </w:t>
      </w:r>
      <w:r>
        <w:t>The Escrow Agent issues final Release Confirmation Certificates for both pools, transfers Interest Accrual, and closes both escrow accounts.</w:t>
      </w:r>
    </w:p>
    <w:p>
      <w:pPr>
        <w:pStyle w:val="Heading1"/>
      </w:pPr>
      <w:r>
        <w:t>Article 4: Synchronized Disbursement</w:t>
      </w:r>
      <w:bookmarkStart w:name="_Toc005" w:id="6"/>
      <w:bookmarkEnd w:id="6"/>
    </w:p>
    <w:p>
      <w:pPr>
        <w:pStyle w:val="Heading2"/>
      </w:pPr>
      <w:r>
        <w:t>4.1 Principle of Simultaneous Release</w:t>
      </w:r>
    </w:p>
    <w:p>
      <w:pPr>
        <w:pStyle w:val="Normal"/>
      </w:pPr>
      <w:r>
        <w:t>Both Pool A and Pool B disburse simultaneously upon each Release Trigger. No pool disburses independently; no tranche releases from one pool without the corresponding tranche releasing from the other pool at the same time. Simultaneous release means that the Escrow Agent executes both transfers within the same 24-hour operational window, using the same Joint Disbursement Instruction as the authorization for both. If a technical or operational issue prevents simultaneous execution, the Escrow Agent holds both tranches until the issue resolves and then executes both together. The Escrow Agent does not release one pool’s tranche and withhold the other.</w:t>
      </w:r>
    </w:p>
    <w:p>
      <w:pPr>
        <w:pStyle w:val="Normal"/>
      </w:pPr>
      <w:r>
        <w:t>The principle of simultaneous release reflects the architecture of Synchronized Reciprocal Motion: both Parties move forward together or not at all. Neither Party receives its benefit without the other Party receiving its corresponding benefit. This symmetry eliminates the incentive to defect: defection by one Party yields no advantage because the defector gains nothing that the other Party does not also gain. The architecture transforms the interaction from a zero-sum contest into a positive-sum arrangement.</w:t>
      </w:r>
    </w:p>
    <w:p>
      <w:pPr>
        <w:pStyle w:val="Heading2"/>
      </w:pPr>
      <w:r>
        <w:t>4.2 Joint Disbursement Instruction Requirements</w:t>
      </w:r>
    </w:p>
    <w:p>
      <w:pPr>
        <w:pStyle w:val="Normal"/>
      </w:pPr>
      <w:r>
        <w:t>The PCC issues a single Joint Disbursement Instruction for each tranche, authorizing simultaneous release from both pools. The Joint Disbursement Instruction specifies:</w:t>
      </w:r>
    </w:p>
    <w:p>
      <w:pPr>
        <w:numPr>
          <w:ilvl w:val="0"/>
          <w:numId w:val="7"/>
        </w:numPr>
      </w:pPr>
      <w:r>
        <w:rPr>
          <w:b/>
        </w:rPr>
        <w:t>Pool A Amount: </w:t>
      </w:r>
      <w:r>
        <w:t>The exact amount to be released from Pool A, denominated in United States Dollars.</w:t>
      </w:r>
    </w:p>
    <w:p>
      <w:pPr>
        <w:numPr>
          <w:ilvl w:val="0"/>
          <w:numId w:val="7"/>
        </w:numPr>
      </w:pPr>
      <w:r>
        <w:rPr>
          <w:b/>
        </w:rPr>
        <w:t>Pool B Amount: </w:t>
      </w:r>
      <w:r>
        <w:t>The exact amount to be released from Pool B, denominated in United States Dollars.</w:t>
      </w:r>
    </w:p>
    <w:p>
      <w:pPr>
        <w:numPr>
          <w:ilvl w:val="0"/>
          <w:numId w:val="7"/>
        </w:numPr>
      </w:pPr>
      <w:r>
        <w:rPr>
          <w:b/>
        </w:rPr>
        <w:t>Recipient Accounts: </w:t>
      </w:r>
      <w:r>
        <w:t>The designated recipient account for each pool: Pool A funds transfer to the US-Qatar Joint Oversight Escrow disbursement account; Pool B funds transfer to the Central Bank of Iran account specified by Iran.</w:t>
      </w:r>
    </w:p>
    <w:p>
      <w:pPr>
        <w:numPr>
          <w:ilvl w:val="0"/>
          <w:numId w:val="7"/>
        </w:numPr>
      </w:pPr>
      <w:r>
        <w:rPr>
          <w:b/>
        </w:rPr>
        <w:t>Triggering Certificate: </w:t>
      </w:r>
      <w:r>
        <w:t>The specific IAEA Verification Certificate (by unique certificate number) that authorizes the release.</w:t>
      </w:r>
    </w:p>
    <w:p>
      <w:pPr>
        <w:numPr>
          <w:ilvl w:val="0"/>
          <w:numId w:val="7"/>
        </w:numPr>
      </w:pPr>
      <w:r>
        <w:rPr>
          <w:b/>
        </w:rPr>
        <w:t>Execution Deadline: </w:t>
      </w:r>
      <w:r>
        <w:t>The date by which the Escrow Agent executes the transfer, calculated as 24 hours from verification of the instruction.</w:t>
      </w:r>
    </w:p>
    <w:p>
      <w:pPr>
        <w:numPr>
          <w:ilvl w:val="0"/>
          <w:numId w:val="7"/>
        </w:numPr>
      </w:pPr>
      <w:r>
        <w:rPr>
          <w:b/>
        </w:rPr>
        <w:t>Signatures: </w:t>
      </w:r>
      <w:r>
        <w:t>Affirmative signatures from both PCC co-chairs, or — if the expedited arbitration panel has issued a binding determination under Article 1.12 — one co-chair signature plus the panel’s authorization certificate.</w:t>
      </w:r>
    </w:p>
    <w:p>
      <w:pPr>
        <w:pStyle w:val="Heading2"/>
      </w:pPr>
      <w:r>
        <w:t>4.3 Escrow Agent Verification of Joint Disbursement Instruction</w:t>
      </w:r>
    </w:p>
    <w:p>
      <w:pPr>
        <w:pStyle w:val="Normal"/>
      </w:pPr>
      <w:r>
        <w:t>Before executing any Joint Disbursement Instruction, the Escrow Agent verifies:</w:t>
      </w:r>
    </w:p>
    <w:p>
      <w:pPr>
        <w:numPr>
          <w:ilvl w:val="0"/>
          <w:numId w:val="7"/>
        </w:numPr>
      </w:pPr>
      <w:r>
        <w:rPr>
          <w:b/>
        </w:rPr>
        <w:t>Completeness: </w:t>
      </w:r>
      <w:r>
        <w:t>The instruction contains all six mandatory elements specified in Article 1.11.</w:t>
      </w:r>
    </w:p>
    <w:p>
      <w:pPr>
        <w:numPr>
          <w:ilvl w:val="0"/>
          <w:numId w:val="7"/>
        </w:numPr>
      </w:pPr>
      <w:r>
        <w:rPr>
          <w:b/>
        </w:rPr>
        <w:t>Authenticity: </w:t>
      </w:r>
      <w:r>
        <w:t>The signatures on the instruction match the signature specimens on file with the Escrow Agent. The Escrow Agent exercises reasonable care in comparing signatures and uses any additional verification methods (including direct communication with the signatories) that a professional escrow agent of ordinary prudence would employ.</w:t>
      </w:r>
    </w:p>
    <w:p>
      <w:pPr>
        <w:numPr>
          <w:ilvl w:val="0"/>
          <w:numId w:val="7"/>
        </w:numPr>
      </w:pPr>
      <w:r>
        <w:rPr>
          <w:b/>
        </w:rPr>
        <w:t>Trigger Validity: </w:t>
      </w:r>
      <w:r>
        <w:t>The instruction references an IAEA Verification Certificate that has not already been acted upon. The Escrow Agent cross-references the certificate number against its internal register of executed releases.</w:t>
      </w:r>
    </w:p>
    <w:p>
      <w:pPr>
        <w:numPr>
          <w:ilvl w:val="0"/>
          <w:numId w:val="7"/>
        </w:numPr>
      </w:pPr>
      <w:r>
        <w:rPr>
          <w:b/>
        </w:rPr>
        <w:t>Suspension Status: </w:t>
      </w:r>
      <w:r>
        <w:t>The referenced tranche is not under automatic suspension under Article 5. If the tranche is suspended, the Escrow Agent withholds execution and refers the matter to the PCC.</w:t>
      </w:r>
    </w:p>
    <w:p>
      <w:pPr>
        <w:numPr>
          <w:ilvl w:val="0"/>
          <w:numId w:val="7"/>
        </w:numPr>
      </w:pPr>
      <w:r>
        <w:rPr>
          <w:b/>
        </w:rPr>
        <w:t>Legal Compliance: </w:t>
      </w:r>
      <w:r>
        <w:t>Execution of the instruction does not violate applicable Qatari law, international sanctions binding on Qatar, or the Escrow Agent’s fiduciary duty under Article 1.1. If the Escrow Agent determines that execution would violate such law or duty, it withholds execution, notifies both Parties and the Joint Secretariat within 24 hours, and refers the matter to the PCC for resolution.</w:t>
      </w:r>
    </w:p>
    <w:p>
      <w:pPr>
        <w:pStyle w:val="Heading2"/>
      </w:pPr>
      <w:r>
        <w:t>4.4 Unreasonable Withholding Safeguard</w:t>
      </w:r>
    </w:p>
    <w:p>
      <w:pPr>
        <w:pStyle w:val="Normal"/>
      </w:pPr>
      <w:r>
        <w:t>If either PCC co-chair unreasonably withholds signature on a Joint Disbursement Instruction after the IAEA has issued the corresponding Verification Certificate, the following safeguard activates:</w:t>
      </w:r>
    </w:p>
    <w:p>
      <w:pPr>
        <w:numPr>
          <w:ilvl w:val="0"/>
          <w:numId w:val="8"/>
        </w:numPr>
      </w:pPr>
      <w:r>
        <w:rPr>
          <w:b/>
        </w:rPr>
        <w:t>Referral to Guarantor Matrix: </w:t>
      </w:r>
      <w:r>
        <w:t>The non-withholding co-chair refers the matter to the Guarantor Matrix within 72 hours of the withholding, providing the IAEA Verification Certificate, the draft Joint Disbursement Instruction, and a statement of the basis for the referral.</w:t>
      </w:r>
    </w:p>
    <w:p>
      <w:pPr>
        <w:numPr>
          <w:ilvl w:val="0"/>
          <w:numId w:val="8"/>
        </w:numPr>
      </w:pPr>
      <w:r>
        <w:rPr>
          <w:b/>
        </w:rPr>
        <w:t>Expedited Arbitration Panel: </w:t>
      </w:r>
      <w:r>
        <w:t>The Guarantor Matrix convenes an expedited arbitration panel within 14 days. The panel comprises three arbitrators: one nominated by the Iranian Party, one nominated by the United States Party, and one nominated by the Guarantor Matrix chair. The panel operates under the arbitration rules of the Guarantor Matrix.</w:t>
      </w:r>
    </w:p>
    <w:p>
      <w:pPr>
        <w:numPr>
          <w:ilvl w:val="0"/>
          <w:numId w:val="8"/>
        </w:numPr>
      </w:pPr>
      <w:r>
        <w:rPr>
          <w:b/>
        </w:rPr>
        <w:t>Binding Determination: </w:t>
      </w:r>
      <w:r>
        <w:t>The panel determines whether the withholding is unreasonable based on: the technical sufficiency of the IAEA Verification Certificate; the terms of this Annex; and the good-faith obligations of the Parties under the Islamabad Accord. If the panel determines the withholding is unreasonable, it issues a binding determination authorizing the Escrow Agent to execute the release upon receipt of a single co-chair signature accompanied by the panel’s authorization certificate.</w:t>
      </w:r>
    </w:p>
    <w:p>
      <w:pPr>
        <w:numPr>
          <w:ilvl w:val="0"/>
          <w:numId w:val="8"/>
        </w:numPr>
      </w:pPr>
      <w:r>
        <w:rPr>
          <w:b/>
        </w:rPr>
        <w:t>No Delay of Other Obligations: </w:t>
      </w:r>
      <w:r>
        <w:t>The arbitration process does not delay or suspend any other obligation under this Annex or the Islamabad Accord. The non-withholding Party continues to perform all its obligations pending the panel’s determination.</w:t>
      </w:r>
    </w:p>
    <w:p>
      <w:pPr>
        <w:pStyle w:val="Heading2"/>
      </w:pPr>
      <w:r>
        <w:t>4.5 Transfer Execution and Confirmation</w:t>
      </w:r>
    </w:p>
    <w:p>
      <w:pPr>
        <w:pStyle w:val="Normal"/>
      </w:pPr>
      <w:r>
        <w:t>Upon verification of a valid Joint Disbursement Instruction, the Escrow Agent executes both transfers simultaneously within 24 hours. The Escrow Agent uses standard SWIFT wire transfer mechanisms or such other secure electronic transfer systems as both Parties approve. The Escrow Agent issues a Release Confirmation Certificate for each pool within 6 hours of transfer execution, containing: the date and time of transfer; the amount transferred; the recipient account; the triggering IAEA Verification Certificate number; and the reference number of the Joint Disbursement Instruction. The Escrow Agent transmits both certificates to the Joint Secretariat, which updates the official compliance register within 24 hours.</w:t>
      </w:r>
    </w:p>
    <w:p>
      <w:pPr>
        <w:pStyle w:val="Heading2"/>
      </w:pPr>
      <w:r>
        <w:t>4.6 Technical Failure Protocol</w:t>
      </w:r>
    </w:p>
    <w:p>
      <w:pPr>
        <w:pStyle w:val="Normal"/>
      </w:pPr>
      <w:r>
        <w:t>If a technical failure prevents the Escrow Agent from executing a simultaneous transfer (including SWIFT system outage, cybersecurity incident, or force majeure affecting the Escrow Agent’s banking systems), the Escrow Agent immediately notifies both Parties and the Joint Secretariat. The Escrow Agent holds both tranches until the technical issue resolves and then executes both transfers together. The Escrow Agent does not execute a partial transfer or release one pool while holding the other. The technical failure does not reset any timeline under this Annex; all deadlines pause during the technical failure and resume upon restoration of normal operations.</w:t>
      </w:r>
    </w:p>
    <w:p>
      <w:pPr>
        <w:pStyle w:val="Heading2"/>
      </w:pPr>
      <w:r>
        <w:t>4.7 Interest Accrual Distribution</w:t>
      </w:r>
    </w:p>
    <w:p>
      <w:pPr>
        <w:pStyle w:val="Normal"/>
      </w:pPr>
      <w:r>
        <w:t>Upon release of the final tranche from both pools, the Escrow Agent calculates the total Interest Accrual for each pool and distributes it as follows: Interest Accrual for Pool A transfers to the US-Qatar Joint Oversight Escrow disbursement account for allocation to humanitarian and agricultural procurement. Interest Accrual for Pool B transfers to the Central Bank of Iran account specified for Pool B receipts. The Escrow Agent publishes a final accounting statement showing: the principal amounts held for each pool; the interest rate applied; the calculation period for each pool; the gross interest earned; any applicable fees or withholding taxes under Qatari law; and the net interest distributed. The Escrow Agent provides this statement to both Parties and the Joint Secretariat within 14 days of the final tranche release.</w:t>
      </w:r>
    </w:p>
    <w:p>
      <w:pPr>
        <w:pStyle w:val="Heading1"/>
      </w:pPr>
      <w:r>
        <w:t>Article 5: Step-Back, Earn-Back, and Compliance Resilience Architecture</w:t>
      </w:r>
      <w:bookmarkStart w:name="_Toc006" w:id="7"/>
      <w:bookmarkEnd w:id="7"/>
    </w:p>
    <w:p>
      <w:pPr>
        <w:pStyle w:val="Normal"/>
      </w:pPr>
      <w:r>
        <w:t>This Article establishes the Step-Back and Earn-Back system as the exclusive compliance mechanism for this Annex. The Parties expressly exclude snapback, clawback, or retroactive penalty mechanisms. Step-Back suspends future releases only; it does not affect funds already released. Earn-Back restores forward motion upon verified compliance. The architecture recognizes that compliance failures occur in complex negotiations, that sustainable agreements require mechanisms for recovery rather than punishment, and that the threat of retroactive penalties undermines the trust necessary for sustained cooperation.</w:t>
      </w:r>
    </w:p>
    <w:p>
      <w:pPr>
        <w:pStyle w:val="Heading2"/>
      </w:pPr>
      <w:r>
        <w:t>5.1 Step-Back: Automatic Suspension</w:t>
      </w:r>
    </w:p>
    <w:p>
      <w:pPr>
        <w:pStyle w:val="Heading3"/>
      </w:pPr>
      <w:r>
        <w:t>5.1.1 Step-Back Triggers</w:t>
      </w:r>
    </w:p>
    <w:p>
      <w:pPr>
        <w:pStyle w:val="Normal"/>
      </w:pPr>
      <w:r>
        <w:t>Step-Back activates automatically when any of the following conditions occurs:</w:t>
      </w:r>
    </w:p>
    <w:p>
      <w:pPr>
        <w:numPr>
          <w:ilvl w:val="0"/>
          <w:numId w:val="9"/>
        </w:numPr>
      </w:pPr>
      <w:r>
        <w:rPr>
          <w:b/>
        </w:rPr>
        <w:t>Milestone Deadline Expiration: </w:t>
      </w:r>
      <w:r>
        <w:t>The IAEA has not issued the applicable Verification Certificate by the hard-cap deadline specified in Article 7.2 for the relevant tranche. The hard-cap deadline is a firm, non-extendable date. If the IAEA has not issued the certificate by the hard-cap date, Step-Back activates automatically on the following business day without further notice or action by either Party.</w:t>
      </w:r>
    </w:p>
    <w:p>
      <w:pPr>
        <w:numPr>
          <w:ilvl w:val="0"/>
          <w:numId w:val="9"/>
        </w:numPr>
      </w:pPr>
      <w:r>
        <w:rPr>
          <w:b/>
        </w:rPr>
        <w:t>IAEA Non-Compliance Finding: </w:t>
      </w:r>
      <w:r>
        <w:t>The IAEA issues a formal non-compliance finding regarding Iran’s obligations under Annexes O, P, or V, and the non-compliance relates directly to a Release Trigger milestone. The IAEA issues this finding through a Director General statement or Board of Governors resolution. The IAEA’s technical judgment on compliance is binding and is not subject to override by either Party.</w:t>
      </w:r>
    </w:p>
    <w:p>
      <w:pPr>
        <w:numPr>
          <w:ilvl w:val="0"/>
          <w:numId w:val="9"/>
        </w:numPr>
      </w:pPr>
      <w:r>
        <w:rPr>
          <w:b/>
        </w:rPr>
        <w:t>Material Breach by Iran: </w:t>
      </w:r>
      <w:r>
        <w:t>Iran materially breaches a specific, identifiable obligation under this Annex, including: failure to place the 60% enriched uranium stockpile under IAEA dual-key custody as required by Article 3.1.1; interference with IAEA monitoring equipment, inspectors, or verification activities; diversion of downblended material from the approved disposition pathway; or provision of false information to the IAEA regarding the stockpile, its location, or its disposition. The Joint Secretariat documents the material breach and transmits the documentation to the PCC within 48 hours.</w:t>
      </w:r>
    </w:p>
    <w:p>
      <w:pPr>
        <w:numPr>
          <w:ilvl w:val="0"/>
          <w:numId w:val="9"/>
        </w:numPr>
      </w:pPr>
      <w:r>
        <w:rPr>
          <w:b/>
        </w:rPr>
        <w:t>Material Breach by the United States: </w:t>
      </w:r>
      <w:r>
        <w:t>The United States materially breaches a specific, identifiable obligation under this Annex, including: failure to transfer the full $12 Billion Asset Pool into escrow within the timeframe specified in the Islamabad Accord; failure to cooperate with the US-Qatar Joint Oversight Escrow mechanism for Pool A; unilateral freezing, seizing, or attaching escrow funds without authorization under this Annex; or unreasonable withholding of Joint Disbursement Instruction signatures after the IAEA has issued a valid Verification Certificate, where the withholding is determined unreasonable by the expedited arbitration panel under Article 4.4.</w:t>
      </w:r>
    </w:p>
    <w:p>
      <w:pPr>
        <w:pStyle w:val="Heading3"/>
      </w:pPr>
      <w:r>
        <w:t>5.1.2 Effects of Step-Back</w:t>
      </w:r>
    </w:p>
    <w:p>
      <w:pPr>
        <w:pStyle w:val="Normal"/>
      </w:pPr>
      <w:r>
        <w:t>Upon activation of Step-Back, the following effects occur automatically:</w:t>
      </w:r>
    </w:p>
    <w:p>
      <w:pPr>
        <w:numPr>
          <w:ilvl w:val="0"/>
          <w:numId w:val="10"/>
        </w:numPr>
      </w:pPr>
      <w:r>
        <w:rPr>
          <w:b/>
        </w:rPr>
        <w:t>Suspension of Future Releases: </w:t>
      </w:r>
      <w:r>
        <w:t>The Escrow Agent suspends all future tranche releases from both pools. No Joint Disbursement Instruction for a future tranche is valid while Step-Back is active. The Escrow Agent rejects any such instruction and refers it to the PCC.</w:t>
      </w:r>
    </w:p>
    <w:p>
      <w:pPr>
        <w:numPr>
          <w:ilvl w:val="0"/>
          <w:numId w:val="10"/>
        </w:numPr>
      </w:pPr>
      <w:r>
        <w:rPr>
          <w:b/>
        </w:rPr>
        <w:t>No Effect on Released Funds: </w:t>
      </w:r>
      <w:r>
        <w:t>Step-Back does not affect, impair, or claw back any funds already released from either pool. Funds already in the US-Qatar Joint Oversight Escrow disbursement account or the Central Bank of Iran remain the property of the respective recipients. Step-Back is prospective only.</w:t>
      </w:r>
    </w:p>
    <w:p>
      <w:pPr>
        <w:numPr>
          <w:ilvl w:val="0"/>
          <w:numId w:val="10"/>
        </w:numPr>
      </w:pPr>
      <w:r>
        <w:rPr>
          <w:b/>
        </w:rPr>
        <w:t>Continuation of Interest Accrual: </w:t>
      </w:r>
      <w:r>
        <w:t>Interest continues to accrue on funds remaining in escrow during Step-Back. The Interest Accrual rate does not change. The Escrow Agent continues to publish monthly statements.</w:t>
      </w:r>
    </w:p>
    <w:p>
      <w:pPr>
        <w:numPr>
          <w:ilvl w:val="0"/>
          <w:numId w:val="10"/>
        </w:numPr>
      </w:pPr>
      <w:r>
        <w:rPr>
          <w:b/>
        </w:rPr>
        <w:t>IAEA Access Continues: </w:t>
      </w:r>
      <w:r>
        <w:t>Step-Back does not terminate or suspend Iran’s obligations regarding IAEA access, monitoring, or safeguards. Iran continues to cooperate fully with the IAEA during Step-Back. Any failure to maintain IAEA cooperation during Step-Back constitutes a separate material breach.</w:t>
      </w:r>
    </w:p>
    <w:p>
      <w:pPr>
        <w:numPr>
          <w:ilvl w:val="0"/>
          <w:numId w:val="10"/>
        </w:numPr>
      </w:pPr>
      <w:r>
        <w:rPr>
          <w:b/>
        </w:rPr>
        <w:t>Notification: </w:t>
      </w:r>
      <w:r>
        <w:t>The Joint Secretariat notifies both Parties and the Escrow Agent of the Step-Back activation within 24 hours of the triggering event. The notification includes: the specific trigger; the date of activation; the tranches affected; and the requirements for Earn-Back.</w:t>
      </w:r>
    </w:p>
    <w:p>
      <w:pPr>
        <w:pStyle w:val="Heading2"/>
      </w:pPr>
      <w:r>
        <w:t>5.2 Non-Clawback Principle</w:t>
      </w:r>
    </w:p>
    <w:p>
      <w:pPr>
        <w:pStyle w:val="Heading3"/>
      </w:pPr>
      <w:r>
        <w:t>5.2.1 Absolute Prohibition on Clawback</w:t>
      </w:r>
    </w:p>
    <w:p>
      <w:pPr>
        <w:pStyle w:val="Normal"/>
      </w:pPr>
      <w:r>
        <w:t>The Parties affirm the absolute prohibition on clawback of any funds already released. Under no circumstances does either Party demand, seek, or obtain the return of funds that have been released from escrow and transferred to the designated recipient. The following scenarios illustrate the non-clawback principle:</w:t>
      </w:r>
    </w:p>
    <w:p>
      <w:pPr>
        <w:numPr>
          <w:ilvl w:val="0"/>
          <w:numId w:val="11"/>
        </w:numPr>
      </w:pPr>
      <w:r>
        <w:rPr>
          <w:b/>
        </w:rPr>
        <w:t>Post-Release Non-Compliance: </w:t>
      </w:r>
      <w:r>
        <w:t>If Iran completes Tranche 1, receives the corresponding funds, and subsequently fails to meet the Tranche 2 milestone by the hard-cap deadline, the United States does not seek return of the Tranche 1 funds. Step-Back suspends Tranche 2 only.</w:t>
      </w:r>
    </w:p>
    <w:p>
      <w:pPr>
        <w:numPr>
          <w:ilvl w:val="0"/>
          <w:numId w:val="11"/>
        </w:numPr>
      </w:pPr>
      <w:r>
        <w:rPr>
          <w:b/>
        </w:rPr>
        <w:t>Post-Release Political Dispute: </w:t>
      </w:r>
      <w:r>
        <w:t>If political relations between the Parties deteriorate after a tranche release, neither Party uses the deterioration as grounds to demand return of released funds. Released funds remain the property of the recipient.</w:t>
      </w:r>
    </w:p>
    <w:p>
      <w:pPr>
        <w:numPr>
          <w:ilvl w:val="0"/>
          <w:numId w:val="11"/>
        </w:numPr>
      </w:pPr>
      <w:r>
        <w:rPr>
          <w:b/>
        </w:rPr>
        <w:t>Post-Release IAEA Finding: </w:t>
      </w:r>
      <w:r>
        <w:t>If the IAEA issues a non-compliance finding regarding activities that occurred before a tranche release, the finding does not trigger clawback of that tranche. Step-Back suspends future tranches only, but released tranches remain with the recipient.</w:t>
      </w:r>
    </w:p>
    <w:p>
      <w:pPr>
        <w:numPr>
          <w:ilvl w:val="0"/>
          <w:numId w:val="11"/>
        </w:numPr>
      </w:pPr>
      <w:r>
        <w:rPr>
          <w:b/>
        </w:rPr>
        <w:t>Escrow Agent Liability: </w:t>
      </w:r>
      <w:r>
        <w:t>The Escrow Agent bears no liability for the proper use of funds after release. The Escrow Agent’s fiduciary duty extends only to the safe custody and accurate disbursement of escrow funds. Once funds leave the escrow account, the Escrow Agent’s responsibility ends.</w:t>
      </w:r>
    </w:p>
    <w:p>
      <w:pPr>
        <w:pStyle w:val="Heading3"/>
      </w:pPr>
      <w:r>
        <w:t>5.2.2 Rationale for Non-Clawback</w:t>
      </w:r>
    </w:p>
    <w:p>
      <w:pPr>
        <w:pStyle w:val="Normal"/>
      </w:pPr>
      <w:r>
        <w:t>The non-clawback principle is not a concession; it is a structural feature. Clawback provisions in prior agreements proved toxic because they created perverse incentives: the Party that feared future clawback had an incentive to delay or obstruct compliance, while the Party that relied on clawback as a threat had an incentive to manufacture compliance failures. Both dynamics destroyed trust and undermined agreement sustainability. The non-clawback principle eliminates these perverse incentives by making each tranche a permanent, irreversible transaction. Both Parties know that what is released stays released. This clarity enables both Parties to plan, invest, and cooperate with confidence.</w:t>
      </w:r>
    </w:p>
    <w:p>
      <w:pPr>
        <w:pStyle w:val="Heading2"/>
      </w:pPr>
      <w:r>
        <w:t>5.3 Earn-Back: Restoration of Forward Motion</w:t>
      </w:r>
    </w:p>
    <w:p>
      <w:pPr>
        <w:pStyle w:val="Heading3"/>
      </w:pPr>
      <w:r>
        <w:t>5.3.1 Earn-Back Procedure</w:t>
      </w:r>
    </w:p>
    <w:p>
      <w:pPr>
        <w:pStyle w:val="Normal"/>
      </w:pPr>
      <w:r>
        <w:t>Earn-Back occurs when the Party that triggered the Step-Back completes the originally required milestone and obtains the corresponding IAEA Verification Certificate. The procedure is:</w:t>
      </w:r>
    </w:p>
    <w:p>
      <w:pPr>
        <w:numPr>
          <w:ilvl w:val="0"/>
          <w:numId w:val="13"/>
        </w:numPr>
      </w:pPr>
      <w:r>
        <w:rPr>
          <w:b/>
        </w:rPr>
        <w:t>Milestone Completion: </w:t>
      </w:r>
      <w:r>
        <w:t>The non-complying Party completes the milestone that triggered the Step-Back, in full, to the IAEA’s satisfaction.</w:t>
      </w:r>
    </w:p>
    <w:p>
      <w:pPr>
        <w:numPr>
          <w:ilvl w:val="0"/>
          <w:numId w:val="13"/>
        </w:numPr>
      </w:pPr>
      <w:r>
        <w:rPr>
          <w:b/>
        </w:rPr>
        <w:t>IAEA Certification: </w:t>
      </w:r>
      <w:r>
        <w:t>The IAEA issues the applicable Verification Certificate, confirming that the milestone is complete and all sub-elements are satisfied.</w:t>
      </w:r>
    </w:p>
    <w:p>
      <w:pPr>
        <w:numPr>
          <w:ilvl w:val="0"/>
          <w:numId w:val="13"/>
        </w:numPr>
      </w:pPr>
      <w:r>
        <w:rPr>
          <w:b/>
        </w:rPr>
        <w:t>Transmission to Joint Secretariat: </w:t>
      </w:r>
      <w:r>
        <w:t>The IAEA transmits the certificate to the Joint Secretariat, which verifies it and forwards it to both Parties within 6 hours.</w:t>
      </w:r>
    </w:p>
    <w:p>
      <w:pPr>
        <w:numPr>
          <w:ilvl w:val="0"/>
          <w:numId w:val="13"/>
        </w:numPr>
      </w:pPr>
      <w:r>
        <w:rPr>
          <w:b/>
        </w:rPr>
        <w:t>PCC Review: </w:t>
      </w:r>
      <w:r>
        <w:t>The PCC convenes within 48 hours. The PCC reviews the certificate and, provided both representatives agree, issues a Joint Disbursement Instruction for the suspended tranche.</w:t>
      </w:r>
    </w:p>
    <w:p>
      <w:pPr>
        <w:numPr>
          <w:ilvl w:val="0"/>
          <w:numId w:val="13"/>
        </w:numPr>
      </w:pPr>
      <w:r>
        <w:rPr>
          <w:b/>
        </w:rPr>
        <w:t>Escrow Agent Execution: </w:t>
      </w:r>
      <w:r>
        <w:t>The Escrow Agent executes the release of the suspended tranche from both pools simultaneously within 24 hours.</w:t>
      </w:r>
    </w:p>
    <w:p>
      <w:pPr>
        <w:numPr>
          <w:ilvl w:val="0"/>
          <w:numId w:val="13"/>
        </w:numPr>
      </w:pPr>
      <w:r>
        <w:rPr>
          <w:b/>
        </w:rPr>
        <w:t>Restoration: </w:t>
      </w:r>
      <w:r>
        <w:t>Upon execution, the Parties return to the position they would have occupied had the Step-Back never occurred. No penalty, no prejudice, no additional conditions apply.</w:t>
      </w:r>
    </w:p>
    <w:p>
      <w:pPr>
        <w:pStyle w:val="Heading3"/>
      </w:pPr>
      <w:r>
        <w:t>5.3.2 Earn-Back Is Automatic upon Compliance</w:t>
      </w:r>
    </w:p>
    <w:p>
      <w:pPr>
        <w:pStyle w:val="Normal"/>
      </w:pPr>
      <w:r>
        <w:t>Earn-Back is not discretionary. If the non-complying Party completes the required milestone and the IAEA issues the Verification Certificate, Earn-Back follows as a matter of structural logic. Neither Party blocks Earn-Back by raising new conditions, renegotiating terms, or demanding additional concessions. The purpose of Earn-Back is to restore the Parties to cooperation, not to extract new advantages from a temporary compliance failure. If a PCC co-chair unreasonably withholds signature on the Earn-Back Joint Disbursement Instruction, the safeguard in Article 4.4 applies.</w:t>
      </w:r>
    </w:p>
    <w:p>
      <w:pPr>
        <w:pStyle w:val="Heading3"/>
      </w:pPr>
      <w:r>
        <w:t>5.3.3 Good-Faith Facilitation During Step-Back</w:t>
      </w:r>
    </w:p>
    <w:p>
      <w:pPr>
        <w:pStyle w:val="Normal"/>
      </w:pPr>
      <w:r>
        <w:t>During an active Step-Back, both Parties undertake to facilitate the conditions necessary for Earn-Back. Good-faith facilitation includes:</w:t>
      </w:r>
    </w:p>
    <w:p>
      <w:pPr>
        <w:numPr>
          <w:ilvl w:val="0"/>
          <w:numId w:val="13"/>
        </w:numPr>
      </w:pPr>
      <w:r>
        <w:rPr>
          <w:b/>
        </w:rPr>
        <w:t>Continued IAEA Cooperation: </w:t>
      </w:r>
      <w:r>
        <w:t>Iran continues to cooperate fully with the IAEA, maintaining all access, monitoring, and safeguards arrangements established before the Step-Back.</w:t>
      </w:r>
    </w:p>
    <w:p>
      <w:pPr>
        <w:numPr>
          <w:ilvl w:val="0"/>
          <w:numId w:val="13"/>
        </w:numPr>
      </w:pPr>
      <w:r>
        <w:rPr>
          <w:b/>
        </w:rPr>
        <w:t>Technical Assistance: </w:t>
      </w:r>
      <w:r>
        <w:t>The United States supports, and does not obstruct, technical assistance to Iran for completing the required milestone, including through the IAEA Technical Cooperation Programme.</w:t>
      </w:r>
    </w:p>
    <w:p>
      <w:pPr>
        <w:numPr>
          <w:ilvl w:val="0"/>
          <w:numId w:val="13"/>
        </w:numPr>
      </w:pPr>
      <w:r>
        <w:rPr>
          <w:b/>
        </w:rPr>
        <w:t>Dialogue Maintenance: </w:t>
      </w:r>
      <w:r>
        <w:t>Both Parties maintain regular communication through the Joint Secretariat and the PCC, meeting at least every 14 days during Step-Back to review progress and address obstacles.</w:t>
      </w:r>
    </w:p>
    <w:p>
      <w:pPr>
        <w:numPr>
          <w:ilvl w:val="0"/>
          <w:numId w:val="13"/>
        </w:numPr>
      </w:pPr>
      <w:r>
        <w:rPr>
          <w:b/>
        </w:rPr>
        <w:t>No Punitive Measures: </w:t>
      </w:r>
      <w:r>
        <w:t>Neither Party imposes new sanctions, restrictions, or punitive measures on the other during Step-Back. Existing sanctions remain in force, but no new measures are added.</w:t>
      </w:r>
    </w:p>
    <w:p>
      <w:pPr>
        <w:numPr>
          <w:ilvl w:val="0"/>
          <w:numId w:val="13"/>
        </w:numPr>
      </w:pPr>
      <w:r>
        <w:rPr>
          <w:b/>
        </w:rPr>
        <w:t>Escrow Agent Continuity: </w:t>
      </w:r>
      <w:r>
        <w:t>The Escrow Agent continues to administer both pools during Step-Back, maintaining segregation, security, and interest accrual.</w:t>
      </w:r>
    </w:p>
    <w:p>
      <w:pPr>
        <w:pStyle w:val="Heading2"/>
      </w:pPr>
      <w:r>
        <w:t>5.4 Three-Level Severity Framework</w:t>
      </w:r>
    </w:p>
    <w:p>
      <w:pPr>
        <w:pStyle w:val="Normal"/>
      </w:pPr>
      <w:r>
        <w:t>The Step-Back system operates at three levels of severity, allowing calibrated responses to different types of compliance failures:</w:t>
      </w:r>
    </w:p>
    <w:p>
      <w:pPr>
        <w:pStyle w:val="Normal"/>
      </w:pPr>
      <w:r>
        <w:t>Level 1 — Technical Delay: A Level 1 Step-Back occurs when a milestone is not completed by the target date but the IAEA confirms that Iran is making substantive progress and that completion is achievable within the hard-cap period. Level 1 triggers enhanced monitoring and reporting but does not suspend the release timeline. The PCC meets weekly instead of fortnightly. The IAEA provides weekly progress reports. No funds are suspended.</w:t>
      </w:r>
    </w:p>
    <w:p>
      <w:pPr>
        <w:pStyle w:val="Normal"/>
      </w:pPr>
      <w:r>
        <w:t>Level 2 — Hard-Cap Breach: A Level 2 Step-Back occurs when a milestone is not completed by the hard-cap deadline. Level 2 triggers automatic suspension of the next tranche. All effects under Article 5.1.2 apply. Earn-Back requires completion of the original milestone plus submission of a remediation plan to the PCC.</w:t>
      </w:r>
    </w:p>
    <w:p>
      <w:pPr>
        <w:pStyle w:val="Normal"/>
      </w:pPr>
      <w:r>
        <w:t>Level 3 — Material Breach: A Level 3 Step-Back occurs when a Party commits a material breach as defined in Article 5.1.1. Level 3 triggers suspension of all future tranches and activation of the dispute resolution procedures under Article 8. Earn-Back requires: completion of the original milestone; a binding commitment not to repeat the breach; and acceptance of enhanced monitoring for a period of 90 days following Earn-Back.</w:t>
      </w:r>
    </w:p>
    <w:p>
      <w:pPr>
        <w:pStyle w:val="Heading1"/>
      </w:pPr>
      <w:r>
        <w:t>Article 6: Sovereign Use of Released Funds and Non-Directed Procurement</w:t>
      </w:r>
      <w:bookmarkStart w:name="_Toc007" w:id="8"/>
      <w:bookmarkEnd w:id="8"/>
    </w:p>
    <w:p>
      <w:pPr>
        <w:pStyle w:val="Normal"/>
      </w:pPr>
      <w:r>
        <w:t>This Article establishes the sovereign rights of the Islamic Republic of Iran over all funds released from escrow, the limitations on external direction of procurement, and the specific conditions that apply to each pool. The Parties affirm that Iran is a sovereign state with the exclusive right to determine its own economic, industrial, and development policies. No provision of this Annex derogates from that sovereignty.</w:t>
      </w:r>
    </w:p>
    <w:p>
      <w:pPr>
        <w:pStyle w:val="Heading2"/>
      </w:pPr>
      <w:r>
        <w:t>6.1 Sovereignty Principle</w:t>
      </w:r>
    </w:p>
    <w:p>
      <w:pPr>
        <w:pStyle w:val="Normal"/>
      </w:pPr>
      <w:r>
        <w:t>The Islamic Republic of Iran exercises full, exclusive, and undivided sovereignty over all funds released from escrow. This sovereignty includes: the right to determine the purposes for which released funds are used, subject only to the permitted-use restrictions that attach to Pool A under Article 2.2.2; the right to select suppliers, contractors, and commercial partners without external direction or coercion; the right to determine the currency, timing, and method of expenditure; the right to allocate funds among national, provincial, and sectoral priorities according to Iran’s own development plans; and the right to retain, invest, or reinvest any unspent funds without restriction. No Party, international organization, escrow agent, or third party exercises any form of oversight, approval, or veto over Iran’s sovereign use of released funds, except as expressly provided in Article 2.2.4 regarding Pool A joint oversight.</w:t>
      </w:r>
    </w:p>
    <w:p>
      <w:pPr>
        <w:pStyle w:val="Heading2"/>
      </w:pPr>
      <w:r>
        <w:t>6.2 Pool B: Unconditional Sovereign Use</w:t>
      </w:r>
    </w:p>
    <w:p>
      <w:pPr>
        <w:pStyle w:val="Normal"/>
      </w:pPr>
      <w:r>
        <w:t>Funds released from Pool B carry no conditions, restrictions, or oversight requirements of any kind. The Central Bank of Iran receives Pool B funds directly from the Neutral Qatar Escrow. No joint approval, no oversight mechanism, no reporting requirement, and no procurement direction attaches to Pool B funds. Iran uses Pool B funds for any purpose consistent with its sovereign interests and applicable international law, including: infrastructure reconstruction and development; energy sector modernization; industrial and manufacturing investment; healthcare and pharmaceutical procurement; agricultural development and food security; scientific research and technological advancement; and general budget support and macroeconomic stabilization. The United States, Qatar, the PCC, and all other entities affirm that they exercise no authority, express or implied, over Iran’s use of Pool B funds.</w:t>
      </w:r>
    </w:p>
    <w:p>
      <w:pPr>
        <w:pStyle w:val="Heading2"/>
      </w:pPr>
      <w:r>
        <w:t>6.3 Pool A: Permitted Uses and Joint Oversight</w:t>
      </w:r>
    </w:p>
    <w:p>
      <w:pPr>
        <w:pStyle w:val="Normal"/>
      </w:pPr>
      <w:r>
        <w:t>Funds released from Pool A are subject to the permitted-use restrictions in Article 2.2.2 and the joint oversight mechanism in Article 2.2.4. These restrictions apply only to Pool A and do not extend to Pool B or to any other Iranian funds. The permitted uses for Pool A are: food and agricultural commodities; medical supplies and pharmaceuticals; humanitarian goods as defined by UN OCHA and the ICRC; and agricultural inputs including seeds, fertilizers, and equipment. The joint oversight mechanism requires that both the United States and Qatar jointly approve each Pool A disbursement request. This oversight applies only to the release of funds from the escrow account to the disbursement account; it does not extend to procurement decisions made by Iranian authorities after funds reach the disbursement account.</w:t>
      </w:r>
    </w:p>
    <w:p>
      <w:pPr>
        <w:pStyle w:val="Heading2"/>
      </w:pPr>
      <w:r>
        <w:t>6.4 Priority Consideration: Fair and Transparent Evaluation</w:t>
      </w:r>
    </w:p>
    <w:p>
      <w:pPr>
        <w:pStyle w:val="Normal"/>
      </w:pPr>
      <w:r>
        <w:t>Iranian procurement authorities provide Priority Consideration when procuring goods using Pool A funds. Priority Consideration requires a fair and transparent evaluation process that includes suppliers from all countries alongside other qualified bidders. The evaluation process employs objective criteria including price, quality, delivery timeline, and technical specifications. For the avoidance of doubt: no supplier receives a price preference; no quota or minimum purchase requirement applies to any country or supplier; no guaranteed contract award goes to any specific supplier; and no qualified supplier is excluded from the evaluation process. The final procurement decision remains with the Islamic Republic of Iran, based on the best overall value to Iran. Priority Consideration applies solely to Pool A and does not attach to Pool B.</w:t>
      </w:r>
    </w:p>
    <w:p>
      <w:pPr>
        <w:pStyle w:val="Heading2"/>
      </w:pPr>
      <w:r>
        <w:t>6.5 Procurement Prohibitions</w:t>
      </w:r>
    </w:p>
    <w:p>
      <w:pPr>
        <w:pStyle w:val="Normal"/>
      </w:pPr>
      <w:r>
        <w:t>The following procurement practices are prohibited in connection with the use of Pool A funds:</w:t>
      </w:r>
    </w:p>
    <w:p>
      <w:pPr>
        <w:numPr>
          <w:ilvl w:val="0"/>
          <w:numId w:val="14"/>
        </w:numPr>
      </w:pPr>
      <w:r>
        <w:rPr>
          <w:b/>
        </w:rPr>
        <w:t>Price Preferences: </w:t>
      </w:r>
      <w:r>
        <w:t>No price preference for any supplier, country, or commercial bloc. All suppliers compete on price on equal terms.</w:t>
      </w:r>
    </w:p>
    <w:p>
      <w:pPr>
        <w:numPr>
          <w:ilvl w:val="0"/>
          <w:numId w:val="14"/>
        </w:numPr>
      </w:pPr>
      <w:r>
        <w:rPr>
          <w:b/>
        </w:rPr>
        <w:t>Quotas and Minimums: </w:t>
      </w:r>
      <w:r>
        <w:t>No quota, minimum purchase requirement, or volume guarantee for any supplier, country, or commercial bloc.</w:t>
      </w:r>
    </w:p>
    <w:p>
      <w:pPr>
        <w:numPr>
          <w:ilvl w:val="0"/>
          <w:numId w:val="14"/>
        </w:numPr>
      </w:pPr>
      <w:r>
        <w:rPr>
          <w:b/>
        </w:rPr>
        <w:t>Guaranteed Awards: </w:t>
      </w:r>
      <w:r>
        <w:t>No guaranteed contract award, set-aside, or exclusive supplier arrangement.</w:t>
      </w:r>
    </w:p>
    <w:p>
      <w:pPr>
        <w:numPr>
          <w:ilvl w:val="0"/>
          <w:numId w:val="14"/>
        </w:numPr>
      </w:pPr>
      <w:r>
        <w:rPr>
          <w:b/>
        </w:rPr>
        <w:t>Exclusion of Qualified Bidders: </w:t>
      </w:r>
      <w:r>
        <w:t>No qualified supplier is excluded from the evaluation process based on nationality, political alignment, or any criterion other than failure to meet the objective technical and commercial requirements of the procurement.</w:t>
      </w:r>
    </w:p>
    <w:p>
      <w:pPr>
        <w:numPr>
          <w:ilvl w:val="0"/>
          <w:numId w:val="14"/>
        </w:numPr>
      </w:pPr>
      <w:r>
        <w:rPr>
          <w:b/>
        </w:rPr>
        <w:t>Coercion and Direction: </w:t>
      </w:r>
      <w:r>
        <w:t>No Party, escrow agent, or third party coerces, directs, or unduly influences Iranian procurement decisions. Iran retains full discretion over the final award.</w:t>
      </w:r>
    </w:p>
    <w:p>
      <w:pPr>
        <w:pStyle w:val="Heading2"/>
      </w:pPr>
      <w:r>
        <w:t>6.6 No Conditionality Beyond This Annex</w:t>
      </w:r>
    </w:p>
    <w:p>
      <w:pPr>
        <w:pStyle w:val="Normal"/>
      </w:pPr>
      <w:r>
        <w:t>No condition, requirement, or obligation beyond those expressly stated in this Annex attaches to the release or use of escrow funds. The following do not constitute conditions for release: Iran’s acceptance of additional nuclear obligations beyond those specified in Annexes O, P, V, and Z of the Islamabad Accord; Iran’s adoption of specific economic, financial, or trade policies; Iran’s diplomatic posture toward any third country; Iran’s domestic political arrangements or governance structure; or Iran’s participation in any regional security arrangement. The release of funds depends exclusively on the IAEA verification milestones specified in Article 3 of this Annex.</w:t>
      </w:r>
    </w:p>
    <w:p>
      <w:pPr>
        <w:pStyle w:val="Heading2"/>
      </w:pPr>
      <w:r>
        <w:t>6.7 Non-Derogation from NPT Rights</w:t>
      </w:r>
    </w:p>
    <w:p>
      <w:pPr>
        <w:pStyle w:val="Normal"/>
      </w:pPr>
      <w:r>
        <w:t>Nothing in this Annex derogates from Iran's rights under Article IV of the Treaty on the Non-Proliferation of Nuclear Weapons (NPT). Specifically:</w:t>
      </w:r>
    </w:p>
    <w:p>
      <w:pPr>
        <w:numPr>
          <w:ilvl w:val="0"/>
          <w:numId w:val="15"/>
        </w:numPr>
      </w:pPr>
      <w:r>
        <w:rPr>
          <w:b/>
        </w:rPr>
        <w:t>Right to Peaceful Nuclear Energy: </w:t>
      </w:r>
      <w:r>
        <w:t>This Annex does not restrict Iran’s right to research, produce, and use nuclear energy for peaceful purposes, including enrichment to the Civilian Enrichment Level of 3.67% U-235 for civilian nuclear power generation and research, subject to IAEA safeguards.</w:t>
      </w:r>
    </w:p>
    <w:p>
      <w:pPr>
        <w:numPr>
          <w:ilvl w:val="0"/>
          <w:numId w:val="15"/>
        </w:numPr>
      </w:pPr>
      <w:r>
        <w:rPr>
          <w:b/>
        </w:rPr>
        <w:t>Right to Nuclear Fuel Cycle: </w:t>
      </w:r>
      <w:r>
        <w:t>This Annex does not require Iran to dismantle, suspend, or limit its civilian nuclear fuel cycle, including enrichment, conversion, fuel fabrication, or reprocessing for civilian purposes under IAEA safeguards.</w:t>
      </w:r>
    </w:p>
    <w:p>
      <w:pPr>
        <w:numPr>
          <w:ilvl w:val="0"/>
          <w:numId w:val="15"/>
        </w:numPr>
      </w:pPr>
      <w:r>
        <w:rPr>
          <w:b/>
        </w:rPr>
        <w:t>Right to Technical Cooperation: </w:t>
      </w:r>
      <w:r>
        <w:t>This Annex does not restrict Iran’s access to nuclear technology, materials, or equipment for peaceful purposes through IAEA Technical Cooperation or other legitimate channels.</w:t>
      </w:r>
    </w:p>
    <w:p>
      <w:pPr>
        <w:numPr>
          <w:ilvl w:val="0"/>
          <w:numId w:val="15"/>
        </w:numPr>
      </w:pPr>
      <w:r>
        <w:rPr>
          <w:b/>
        </w:rPr>
        <w:t>No Precedent for Future Restrictions: </w:t>
      </w:r>
      <w:r>
        <w:t>No provision of this Annex establishes a precedent for future restrictions on Iran’s peaceful nuclear program. This Annex addresses only the 60% enriched uranium stockpile and the associated frozen assets. It does not address Iran’s broader nuclear program or capabilities.</w:t>
      </w:r>
    </w:p>
    <w:p>
      <w:pPr>
        <w:pStyle w:val="Heading1"/>
      </w:pPr>
      <w:r>
        <w:t>Article 7: Duration, Supersession, and Interpretation</w:t>
      </w:r>
      <w:bookmarkStart w:name="_Toc008" w:id="9"/>
      <w:bookmarkEnd w:id="9"/>
    </w:p>
    <w:p>
      <w:pPr>
        <w:pStyle w:val="Heading2"/>
      </w:pPr>
      <w:r>
        <w:t>7.1 60-Day Initial Operating Period</w:t>
      </w:r>
    </w:p>
    <w:p>
      <w:pPr>
        <w:pStyle w:val="Normal"/>
      </w:pPr>
      <w:r>
        <w:t>The Two-Pool Synchronized Disbursement mechanism operates within a 60-Day Initial Operating Period, commencing on the date the Escrow Agent issues the Deposit Confirmation Certificates under Article 2.1. The 60-Day Period provides the framework within which both tranches target release. The schedule is:</w:t>
      </w:r>
    </w:p>
    <w:p>
      <w:pPr>
        <w:numPr>
          <w:ilvl w:val="0"/>
          <w:numId w:val="16"/>
        </w:numPr>
      </w:pPr>
      <w:r>
        <w:rPr>
          <w:b/>
        </w:rPr>
        <w:t>Days 1–5: </w:t>
      </w:r>
      <w:r>
        <w:t>Escrow establishment, deposit verification, and PCC certification of pool division. Both pools are fully funded and operational by Day 5.</w:t>
      </w:r>
    </w:p>
    <w:p>
      <w:pPr>
        <w:numPr>
          <w:ilvl w:val="0"/>
          <w:numId w:val="16"/>
        </w:numPr>
      </w:pPr>
      <w:r>
        <w:rPr>
          <w:b/>
        </w:rPr>
        <w:t>Days 6–44: </w:t>
      </w:r>
      <w:r>
        <w:t>Active verification period for Tranche 1. The IAEA conducts inspections, establishes dual-key custody, installs monitoring equipment, and completes the baseline inventory. The target for Tranche 1 release is Day 45.</w:t>
      </w:r>
    </w:p>
    <w:p>
      <w:pPr>
        <w:numPr>
          <w:ilvl w:val="0"/>
          <w:numId w:val="16"/>
        </w:numPr>
      </w:pPr>
      <w:r>
        <w:rPr>
          <w:b/>
        </w:rPr>
        <w:t>Day 45 (Target) / Day 60 (Hard Cap): </w:t>
      </w:r>
      <w:r>
        <w:t>Tranche 1 releases upon IAEA issuance of the National HEU Verification and Custody Certificate. The target date is Day 45. If the certificate issues before Day 45, release occurs immediately upon certification. If the certificate has not issued by Day 60 (the hard cap), Step-Back activates automatically under Article 5.</w:t>
      </w:r>
    </w:p>
    <w:p>
      <w:pPr>
        <w:numPr>
          <w:ilvl w:val="0"/>
          <w:numId w:val="16"/>
        </w:numPr>
      </w:pPr>
      <w:r>
        <w:rPr>
          <w:b/>
        </w:rPr>
        <w:t>Days 46–59: </w:t>
      </w:r>
      <w:r>
        <w:t>If Tranche 1 releases on or before Day 45, the active downblending period for Tranche 2 commences immediately. The IAEA monitors downblending operations, verifies mass balance, and tracks the disposition pathway. The target for Tranche 2 release is Day 60.</w:t>
      </w:r>
    </w:p>
    <w:p>
      <w:pPr>
        <w:numPr>
          <w:ilvl w:val="0"/>
          <w:numId w:val="16"/>
        </w:numPr>
      </w:pPr>
      <w:r>
        <w:rPr>
          <w:b/>
        </w:rPr>
        <w:t>Day 60 (Target) / Day 90 (Hard Cap): </w:t>
      </w:r>
      <w:r>
        <w:t>Tranche 2 releases upon IAEA issuance of the Downblending Completion Certificate. The target date is Day 60. If the certificate issues before Day 60, release occurs immediately upon certification. If the certificate has not issued by Day 90 (the hard cap), Step-Back activates automatically under Article 5.</w:t>
      </w:r>
    </w:p>
    <w:p>
      <w:pPr>
        <w:numPr>
          <w:ilvl w:val="0"/>
          <w:numId w:val="16"/>
        </w:numPr>
      </w:pPr>
      <w:r>
        <w:rPr>
          <w:b/>
        </w:rPr>
        <w:t>Day 90: </w:t>
      </w:r>
      <w:r>
        <w:t>Maximum duration of the Initial Operating Period. All milestones complete by Day 90 under normal circumstances. If Step-Back is active at Day 90, the Earn-Back procedures of Article 5.3 continue to apply beyond Day 90 until the milestone is completed and the suspended tranche releases.</w:t>
      </w:r>
    </w:p>
    <w:p>
      <w:pPr>
        <w:pStyle w:val="Heading2"/>
      </w:pPr>
      <w:r>
        <w:t>7.2 Automatic Extension for Earn-Back</w:t>
      </w:r>
    </w:p>
    <w:p>
      <w:pPr>
        <w:pStyle w:val="Normal"/>
      </w:pPr>
      <w:r>
        <w:t>If Step-Back is active at the expiration of the 60-Day Initial Operating Period, the escrow period extends automatically for the duration necessary to complete the Earn-Back procedure. The extension is not time-limited; it continues until the non-complying Party completes the required milestone and the Escrow Agent releases the suspended tranche. During the extension, the Escrow Agent continues to administer both pools, Interest Accrual continues, and all other provisions of this Annex remain in full force. Neither Party terminates the escrow or demands return of the escrowed funds during an extension.</w:t>
      </w:r>
    </w:p>
    <w:p>
      <w:pPr>
        <w:pStyle w:val="Heading2"/>
      </w:pPr>
      <w:r>
        <w:t>7.3 Supersession</w:t>
      </w:r>
    </w:p>
    <w:p>
      <w:pPr>
        <w:pStyle w:val="Normal"/>
      </w:pPr>
      <w:r>
        <w:t>This Annex supersedes and replaces all prior provisions in the Islamabad Accord and its annexes that address the release of frozen Iranian assets, escrow mechanisms, or the linkage between nuclear milestones and financial release. Specifically, this Annex supersedes: any prior provisions regarding a single escrow pool; any prior tranche structures that are inconsistent with the Two-Pool Synchronized Disbursement architecture; any prior timelines for milestone completion and fund release; any prior definitions of Release Triggers, IAEA verification requirements, or disbursement conditions; and any prior dispute resolution mechanisms specific to escrow and financial release matters. In the event of a conflict between this Annex and any other provision of the Islamabad Accord regarding escrow, financial release, or the linkage between verification and disbursement, this Annex governs.</w:t>
      </w:r>
    </w:p>
    <w:p>
      <w:pPr>
        <w:pStyle w:val="Heading2"/>
      </w:pPr>
      <w:r>
        <w:t>7.4 Interpretation</w:t>
      </w:r>
    </w:p>
    <w:p>
      <w:pPr>
        <w:pStyle w:val="Normal"/>
      </w:pPr>
      <w:r>
        <w:t>The following principles govern the interpretation of this Annex:</w:t>
      </w:r>
    </w:p>
    <w:p>
      <w:pPr>
        <w:numPr>
          <w:ilvl w:val="0"/>
          <w:numId w:val="17"/>
        </w:numPr>
      </w:pPr>
      <w:r>
        <w:rPr>
          <w:b/>
        </w:rPr>
        <w:t>Good Faith: </w:t>
      </w:r>
      <w:r>
        <w:t>Both Parties interpret and apply this Annex in good faith, seeking to give effect to its purposes and principles.</w:t>
      </w:r>
    </w:p>
    <w:p>
      <w:pPr>
        <w:numPr>
          <w:ilvl w:val="0"/>
          <w:numId w:val="17"/>
        </w:numPr>
      </w:pPr>
      <w:r>
        <w:rPr>
          <w:b/>
        </w:rPr>
        <w:t>Plain Meaning: </w:t>
      </w:r>
      <w:r>
        <w:t>Terms carry their plain, ordinary meaning unless a specific definition in Article 1 applies.</w:t>
      </w:r>
    </w:p>
    <w:p>
      <w:pPr>
        <w:numPr>
          <w:ilvl w:val="0"/>
          <w:numId w:val="17"/>
        </w:numPr>
      </w:pPr>
      <w:r>
        <w:rPr>
          <w:b/>
        </w:rPr>
        <w:t>Harmonious Construction: </w:t>
      </w:r>
      <w:r>
        <w:t>If a provision of this Annex appears to conflict with another provision, the Parties construe both provisions harmoniously to give maximum effect to both. If harmonious construction is impossible, the more specific provision governs the more general provision.</w:t>
      </w:r>
    </w:p>
    <w:p>
      <w:pPr>
        <w:numPr>
          <w:ilvl w:val="0"/>
          <w:numId w:val="17"/>
        </w:numPr>
      </w:pPr>
      <w:r>
        <w:rPr>
          <w:b/>
        </w:rPr>
        <w:t>Pro-Compliance Bias: </w:t>
      </w:r>
      <w:r>
        <w:t>In cases of ambiguity, the Parties adopt the interpretation that maximizes the likelihood of successful milestone completion and fund release, rather than the interpretation that maximizes grounds for suspension or non-release.</w:t>
      </w:r>
    </w:p>
    <w:p>
      <w:pPr>
        <w:numPr>
          <w:ilvl w:val="0"/>
          <w:numId w:val="17"/>
        </w:numPr>
      </w:pPr>
      <w:r>
        <w:rPr>
          <w:b/>
        </w:rPr>
        <w:t>No Unilateral Interpretation: </w:t>
      </w:r>
      <w:r>
        <w:t>Neither Party imposes its interpretation unilaterally. Disputes over interpretation are resolved through the procedures of Article 8.</w:t>
      </w:r>
    </w:p>
    <w:p>
      <w:pPr>
        <w:numPr>
          <w:ilvl w:val="0"/>
          <w:numId w:val="17"/>
        </w:numPr>
      </w:pPr>
      <w:r>
        <w:rPr>
          <w:b/>
        </w:rPr>
        <w:t>Terminology Alignment: </w:t>
      </w:r>
      <w:r>
        <w:t>This Annex uses the term “Step-Back” to describe the automatic suspension of future releases and the term “Earn-Back” to describe the restoration of forward motion upon verified compliance. These terms replace any prior terminology, including “snapback,” “rollback,” or other formulations used in earlier agreements or negotiating documents.</w:t>
      </w:r>
    </w:p>
    <w:p>
      <w:pPr>
        <w:pStyle w:val="Heading1"/>
      </w:pPr>
      <w:r>
        <w:t>Article 8: Good-Faith Facilitation and Dispute Resolution</w:t>
      </w:r>
      <w:bookmarkStart w:name="_Toc009" w:id="10"/>
      <w:bookmarkEnd w:id="10"/>
    </w:p>
    <w:p>
      <w:pPr>
        <w:pStyle w:val="Heading2"/>
      </w:pPr>
      <w:r>
        <w:t>8.1 Good-Faith Obligation</w:t>
      </w:r>
    </w:p>
    <w:p>
      <w:pPr>
        <w:pStyle w:val="Normal"/>
      </w:pPr>
      <w:r>
        <w:t>Both Parties undertake to perform their obligations under this Annex in good faith. Good faith requires: honest and transparent communication through the Joint Secretariat; proactive cooperation with the IAEA, the Escrow Agent, and the PCC; refraining from actions that frustrate the purposes of this Annex; and seeking constructive solutions to obstacles rather than exploiting technicalities to delay or block progress. Good faith is not a vague aspiration; it is a binding obligation enforceable through the dispute resolution procedures of this Article and the Islamabad Accord.</w:t>
      </w:r>
    </w:p>
    <w:p>
      <w:pPr>
        <w:pStyle w:val="Heading2"/>
      </w:pPr>
      <w:r>
        <w:t>8.2 Direct Consultation</w:t>
      </w:r>
    </w:p>
    <w:p>
      <w:pPr>
        <w:pStyle w:val="Normal"/>
      </w:pPr>
      <w:r>
        <w:t>If a dispute arises regarding the interpretation, application, or performance of this Annex, the Parties first attempt to resolve the dispute through direct consultation. Either Party initiates direct consultation by submitting a written notice to the Joint Secretariat, which forwards the notice to the other Party within 24 hours. The Parties meet within 14 days of the notice, either in person or through secure videoconference, to seek a mutually acceptable resolution. Direct consultation is confidential; neither Party discloses the content of consultation discussions to third parties without the other Party’s consent. If direct consultation does not resolve the dispute within 30 days of the notice, either Party escalates the dispute under Article 8.3.</w:t>
      </w:r>
    </w:p>
    <w:p>
      <w:pPr>
        <w:pStyle w:val="Heading2"/>
      </w:pPr>
      <w:r>
        <w:t>8.3 PCC Mediation</w:t>
      </w:r>
    </w:p>
    <w:p>
      <w:pPr>
        <w:pStyle w:val="Normal"/>
      </w:pPr>
      <w:r>
        <w:t>If direct consultation fails to resolve the dispute, either Party refers the matter to the PCC for mediation. The PCC convenes a special mediation session within 14 days of the referral. The PCC hears both Parties’ positions, reviews the relevant documents and IAEA reports, and seeks to facilitate a mutually acceptable resolution. PCC mediation is non-binding unless both Parties expressly agree to be bound by the PCC’s recommendation. If the PCC fails to achieve a mutually acceptable resolution within 30 days of convening, either Party escalates the dispute under Article 8.4.</w:t>
      </w:r>
    </w:p>
    <w:p>
      <w:pPr>
        <w:pStyle w:val="Heading2"/>
      </w:pPr>
      <w:r>
        <w:t>8.4 Guarantor Matrix Arbitration</w:t>
      </w:r>
    </w:p>
    <w:p>
      <w:pPr>
        <w:pStyle w:val="Normal"/>
      </w:pPr>
      <w:r>
        <w:t>If PCC mediation fails to resolve the dispute, either Party refers the matter to the Guarantor Matrix for binding arbitration. The Guarantor Matrix convenes an arbitration panel within 21 days. The panel comprises three arbitrators: one nominated by the Iranian Party, one nominated by the United States Party, and one nominated by the Guarantor Matrix chair. The panel operates under the arbitration rules of the Guarantor Matrix. The panel’s determination is final and binding on both Parties. The panel has authority to: interpret any provision of this Annex; determine whether a Party has complied with its obligations; order specific performance; authorize or prohibit specific actions by either Party or the Escrow Agent; and award costs. The Escrow Agent acts in accordance with the panel’s determinations.</w:t>
      </w:r>
    </w:p>
    <w:p>
      <w:pPr>
        <w:pStyle w:val="Heading2"/>
      </w:pPr>
      <w:r>
        <w:t>8.5 Expedited Procedure for Time-Sensitive Disputes</w:t>
      </w:r>
    </w:p>
    <w:p>
      <w:pPr>
        <w:pStyle w:val="Normal"/>
      </w:pPr>
      <w:r>
        <w:t>For disputes that require resolution within a compressed timeframe to prevent automatic Step-Back or other time-bound consequences, either Party invokes the expedited procedure by notifying the Joint Secretariat, the PCC, and the Guarantor Matrix simultaneously. The expedited procedure compresses all timelines: the PCC convenes within 7 days; the arbitration panel convenes within 14 days; the panel issues its determination within 21 days of convening; and the Escrow Agent acts within 48 hours of the determination. During the expedited procedure, all time-bound consequences under this Annex (including Step-Back activation) are suspended pending the panel’s determination.</w:t>
      </w:r>
    </w:p>
    <w:p>
      <w:pPr>
        <w:pStyle w:val="Heading2"/>
      </w:pPr>
      <w:r>
        <w:t>8.6 Continued Performance During Dispute</w:t>
      </w:r>
    </w:p>
    <w:p>
      <w:pPr>
        <w:pStyle w:val="Normal"/>
      </w:pPr>
      <w:r>
        <w:t>Pending resolution of any dispute, both Parties continue to perform all obligations under this Annex that are not the subject of the dispute. Neither Party suspends IAEA cooperation, escrow administration, or other Annex obligations pending dispute resolution. The Escrow Agent continues to administer both pools and to act on valid Joint Disbursement Instructions during the dispute, unless the arbitration panel specifically orders otherwise.</w:t>
      </w:r>
    </w:p>
    <w:p>
      <w:pPr>
        <w:pStyle w:val="Heading2"/>
      </w:pPr>
      <w:r>
        <w:t>8.7 Escrow Agent Neutrality in Disputes</w:t>
      </w:r>
    </w:p>
    <w:p>
      <w:pPr>
        <w:pStyle w:val="Normal"/>
      </w:pPr>
      <w:r>
        <w:t>The Escrow Agent remains strictly neutral in all disputes between the Parties. The Escrow Agent does not take sides, offer opinions on the merits of the dispute, or act on instructions from one Party against the other. The Escrow Agent acts exclusively on: valid Joint Disbursement Instructions; binding determinations of the arbitration panel; and its own independent guardian authority under Article 2.4. The Escrow Agent’s fiduciary duty to both Parties requires impartiality in all circumstances.</w:t>
      </w:r>
    </w:p>
    <w:p>
      <w:pPr>
        <w:sectPr>
          <w:headerReference w:type="default" r:id="R8764fca02c9a4174"/>
          <w:footerReference w:type="default" r:id="R6dd80b0fe3264371"/>
          <w:type w:val="nextPage"/>
          <w:pgSz w:w="11906" w:h="16838"/>
          <w:pgMar w:top="1440" w:right="1440" w:bottom="1440" w:left="1440" w:header="720" w:footer="720"/>
        </w:sectPr>
      </w:pPr>
    </w:p>
    <w:p>
      <w:pPr>
        <w:pStyle w:val="Heading1"/>
      </w:pPr>
      <w:r>
        <w:t>Signature Block</w:t>
      </w:r>
      <w:bookmarkStart w:name="_Toc010" w:id="11"/>
      <w:bookmarkEnd w:id="11"/>
    </w:p>
    <w:p>
      <w:pPr>
        <w:pStyle w:val="Normal"/>
      </w:pPr>
      <w:r>
        <w:t>In witness whereof, the undersigned, being duly authorized by their respective governments, have signed this Annex ES: Escrow and Trigger Sequence Protocol (Two-Pool Synchronized Disbursement) and affix their seals on the date indicated below.</w:t>
      </w:r>
    </w:p>
    <w:p>
      <w:pPr>
        <w:pStyle w:val="Heading2"/>
      </w:pPr>
      <w:r>
        <w:t>For the Islamic Republic of Iran:</w:t>
      </w:r>
    </w:p>
    <w:p>
      <w:pPr>
        <w:spacing w:before="200"/>
      </w:pPr>
      <w:r>
        <w:rPr>
          <w:sz w:val="24"/>
        </w:rPr>
        <w:t>_________________________________</w:t>
      </w:r>
    </w:p>
    <w:p>
      <w:r>
        <w:rPr>
          <w:sz w:val="22"/>
        </w:rPr>
        <w:t>Name:</w:t>
      </w:r>
    </w:p>
    <w:p>
      <w:r>
        <w:rPr>
          <w:sz w:val="22"/>
        </w:rPr>
        <w:t>Title:</w:t>
      </w:r>
    </w:p>
    <w:p>
      <w:r>
        <w:rPr>
          <w:sz w:val="22"/>
        </w:rPr>
        <w:t>Date:</w:t>
      </w:r>
    </w:p>
    <w:p>
      <w:pPr>
        <w:pStyle w:val="Heading2"/>
      </w:pPr>
      <w:r>
        <w:t>For the United States of America:</w:t>
      </w:r>
    </w:p>
    <w:p>
      <w:pPr>
        <w:spacing w:before="200"/>
      </w:pPr>
      <w:r>
        <w:rPr>
          <w:sz w:val="24"/>
        </w:rPr>
        <w:t>_________________________________</w:t>
      </w:r>
    </w:p>
    <w:p>
      <w:r>
        <w:rPr>
          <w:sz w:val="22"/>
        </w:rPr>
        <w:t>Name:</w:t>
      </w:r>
    </w:p>
    <w:p>
      <w:r>
        <w:rPr>
          <w:sz w:val="22"/>
        </w:rPr>
        <w:t>Title:</w:t>
      </w:r>
    </w:p>
    <w:p>
      <w:r>
        <w:rPr>
          <w:sz w:val="22"/>
        </w:rPr>
        <w:t>Date:</w:t>
      </w:r>
    </w:p>
    <w:p>
      <w:pPr>
        <w:pStyle w:val="Heading2"/>
      </w:pPr>
      <w:r>
        <w:t>For the State of Qatar (Escrow Agent):</w:t>
      </w:r>
    </w:p>
    <w:p>
      <w:pPr>
        <w:spacing w:before="200"/>
      </w:pPr>
      <w:r>
        <w:rPr>
          <w:sz w:val="24"/>
        </w:rPr>
        <w:t>_________________________________</w:t>
      </w:r>
    </w:p>
    <w:p>
      <w:r>
        <w:rPr>
          <w:sz w:val="22"/>
        </w:rPr>
        <w:t>Name:</w:t>
      </w:r>
    </w:p>
    <w:p>
      <w:r>
        <w:rPr>
          <w:sz w:val="22"/>
        </w:rPr>
        <w:t>Title:</w:t>
      </w:r>
    </w:p>
    <w:p>
      <w:r>
        <w:rPr>
          <w:sz w:val="22"/>
        </w:rPr>
        <w:t>Date:</w:t>
      </w:r>
    </w:p>
    <w:p>
      <w:pPr>
        <w:pStyle w:val="Heading2"/>
      </w:pPr>
      <w:r>
        <w:t>Affirmation</w:t>
      </w:r>
    </w:p>
    <w:p>
      <w:pPr>
        <w:pStyle w:val="Normal"/>
      </w:pPr>
      <w:r>
        <w:t>The Parties affirm that this Annex constitutes a binding, enforceable international agreement. Each Party confirms that it has the full authority and legal capacity to enter into this Annex and to perform its obligations hereunder. Each Party confirms that the execution of this Annex does not conflict with any existing treaty, law, or international obligation binding upon it. The Parties further affirm that no specific country, supplier, or product is named, preferred, or guaranteed any advantage in this Annex. All procurement is subject to fair, transparent, and competitive evaluation based on objective criteria. The Parties affirm Iran’s rights under Article IV of the Treaty on the Non-Proliferation of Nuclear Weapons, including the right to develop, produce, and use nuclear energy for peaceful purposes, and the right to enrich uranium to the Civilian Enrichment Level of 3.67% U-235 subject to IAEA safeguards. The Parties affirm that the 60% enriched uranium stockpile is downblended to the Natural Abundance Level of 0.711% U-235 or lower and converted into peaceful products such as agricultural fertilizer through Pathway W, converting weapons-grade material into food security — from bombs to bread.</w:t>
      </w:r>
    </w:p>
    <w:p>
      <w:pPr>
        <w:pStyle w:val="Heading2"/>
      </w:pPr>
      <w:r>
        <w:t>Pakistan — Witnessing State</w:t>
      </w:r>
    </w:p>
    <w:p>
      <w:pPr>
        <w:pStyle w:val="Normal"/>
      </w:pPr>
      <w:r>
        <w:t>The Islamic Republic of Pakistan, as a Witnessing State to the Islamabad Accord, witnesses the signature of this Annex and affirms its commitment to the peaceful purposes and verification principles set forth herein. Pakistan, as a nuclear-armed state and member of the international non-proliferation regime, lends its standing to the integrity of the verification and escrow mechanisms established in this Annex. Pakistan receives copies of all IAEA Verification Certificates and Joint Disbursement Instructions through the Joint Secretariat. Pakistan has the right to attend PCC meetings as an observer, without voting rights. Pakistan does not assume any financial obligation, liability, or enforcement responsibility under this Annex. Pakistan’s role as Witnessing State is diplomatic, not financial or legal.</w:t>
      </w:r>
    </w:p>
    <w:p>
      <w:pPr>
        <w:spacing w:before="200"/>
      </w:pPr>
      <w:r>
        <w:rPr>
          <w:sz w:val="24"/>
        </w:rPr>
        <w:t>_________________________________</w:t>
      </w:r>
    </w:p>
    <w:p>
      <w:r>
        <w:rPr>
          <w:sz w:val="22"/>
        </w:rPr>
        <w:t>Name:</w:t>
      </w:r>
    </w:p>
    <w:p>
      <w:r>
        <w:rPr>
          <w:sz w:val="22"/>
        </w:rPr>
        <w:t>Title:</w:t>
      </w:r>
    </w:p>
    <w:p>
      <w:r>
        <w:rPr>
          <w:sz w:val="22"/>
        </w:rPr>
        <w:t>Date:</w:t>
      </w:r>
    </w:p>
    <w:sectPr>
      <w:pgSz w:w="11906" w:h="16838"/>
      <w:pgMar w:top="1440" w:right="1440" w:bottom="1440" w:left="1440" w:header="720" w:footer="720"/>
    </w:sectPr>
  </w:body>
</w:document>
</file>

<file path=word/footer1.xml><?xml version="1.0" encoding="utf-8"?>
<w:ftr xmlns:w="http://schemas.openxmlformats.org/wordprocessingml/2006/main">
  <w:p>
    <w:pPr>
      <w:jc w:val="center"/>
    </w:pPr>
    <w:r>
      <w:rPr>
        <w:color w:val="6e6e6e"/>
        <w:sz w:val="18"/>
      </w:rPr>
      <w:t xml:space="preserve">Page </w:t>
    </w:r>
    <w:r>
      <w:rPr>
        <w:color w:val="6e6e6e"/>
        <w:sz w:val="18"/>
      </w:rPr>
      <w:instrText xml:space="preserve"> PAGE </w:instrText>
    </w:r>
    <w:r>
      <w:rPr>
        <w:color w:val="6e6e6e"/>
        <w:sz w:val="18"/>
      </w:rPr>
      <w:fldChar w:fldCharType="separate"/>
    </w:r>
    <w:r>
      <w:rPr>
        <w:color w:val="6e6e6e"/>
        <w:sz w:val="18"/>
      </w:rPr>
      <w:t>1</w:t>
    </w:r>
    <w:r>
      <w:rPr>
        <w:color w:val="6e6e6e"/>
        <w:sz w:val="18"/>
      </w:rPr>
      <w:fldChar w:fldCharType="end"/>
    </w:r>
    <w:r>
      <w:rPr>
        <w:color w:val="6e6e6e"/>
        <w:sz w:val="18"/>
      </w:rPr>
      <w:t xml:space="preserve"/>
    </w:r>
    <w:r>
      <w:rPr>
        <w:color w:val="6e6e6e"/>
        <w:sz w:val="18"/>
      </w:rPr>
      <w:t xml:space="preserve">1</w:t>
    </w:r>
    <w:r>
      <w:rPr>
        <w:color w:val="6e6e6e"/>
        <w:sz w:val="18"/>
      </w:rPr>
      <w:t xml:space="preserve"/>
    </w:r>
    <w:r>
      <w:rPr>
        <w:color w:val="6e6e6e"/>
        <w:sz w:val="18"/>
      </w:rPr>
      <w:t xml:space="preserve"> of </w:t>
    </w:r>
    <w:r>
      <w:rPr>
        <w:color w:val="6e6e6e"/>
        <w:sz w:val="18"/>
      </w:rPr>
      <w:t xml:space="preserve"/>
    </w:r>
    <w:r>
      <w:rPr>
        <w:color w:val="6e6e6e"/>
        <w:sz w:val="18"/>
      </w:rPr>
      <w:instrText xml:space="preserve"> NUMPAGES </w:instrText>
    </w:r>
    <w:r>
      <w:rPr>
        <w:color w:val="6e6e6e"/>
        <w:sz w:val="18"/>
      </w:rPr>
      <w:fldChar w:fldCharType="separate"/>
    </w:r>
    <w:r>
      <w:rPr>
        <w:color w:val="6e6e6e"/>
        <w:sz w:val="18"/>
      </w:rPr>
      <w:t>1</w:t>
    </w:r>
    <w:r>
      <w:rPr>
        <w:color w:val="6e6e6e"/>
        <w:sz w:val="18"/>
      </w:rPr>
      <w:fldChar w:fldCharType="end"/>
    </w:r>
    <w:r>
      <w:rPr>
        <w:color w:val="6e6e6e"/>
        <w:sz w:val="18"/>
      </w:rPr>
      <w:t xml:space="preserve"/>
    </w:r>
    <w:r>
      <w:rPr>
        <w:color w:val="6e6e6e"/>
        <w:sz w:val="18"/>
      </w:rPr>
      <w:t xml:space="preserve">1</w:t>
    </w:r>
  </w:p>
</w:ftr>
</file>

<file path=word/header1.xml><?xml version="1.0" encoding="utf-8"?>
<w:hdr xmlns:w="http://schemas.openxmlformats.org/wordprocessingml/2006/main">
  <w:p>
    <w:pPr>
      <w:pBdr>
        <w:bottom w:val="single" w:color="c0c0c0" w:sz="4"/>
      </w:pBdr>
      <w:jc w:val="right"/>
    </w:pPr>
    <w:r>
      <w:rPr>
        <w:i/>
        <w:color w:val="6e6e6e"/>
        <w:sz w:val="18"/>
      </w:rPr>
      <w:t>Annex ES — Two-Pool Synchronized Disbursement Protocol</w:t>
    </w:r>
  </w:p>
</w:hdr>
</file>

<file path=word/numbering.xml><?xml version="1.0" encoding="utf-8"?>
<w:numbering xmlns:w="http://schemas.openxmlformats.org/wordprocessingml/2006/main">
  <w:abstractNum w:abstractNumId="1">
    <w:lvl w:ilvl="0">
      <w:numFmt w:val="decimal"/>
      <w:lvlText w:val="%1."/>
      <w:lvlJc w:val="left"/>
      <w:pPr>
        <w:ind w:left="720" w:hanging="360"/>
      </w:pPr>
    </w:lvl>
  </w:abstractNum>
  <w:num w:numId="1">
    <w:abstractNumId w:val="1"/>
  </w:num>
  <w:num w:numId="2">
    <w:abstractNumId w:val="1"/>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bering>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style w:type="paragraph" w:styleId="Normal" w:default="true">
    <w:name w:val="Normal"/>
    <w:pPr>
      <w:spacing w:after="200" w:line="360" w:lineRule="auto"/>
      <w:jc w:val="both"/>
    </w:pPr>
    <w:rPr>
      <w:rFonts w:ascii="Times New Roman" w:hAnsi="Times New Roman" w:eastAsia="SimSun"/>
      <w:color w:val="1a1a1a"/>
      <w:sz w:val="24"/>
    </w:rPr>
  </w:style>
  <w:style w:type="paragraph" w:styleId="Heading1">
    <w:name w:val="heading 1"/>
    <w:basedOn w:val="Normal"/>
    <w:pPr>
      <w:keepNext/>
      <w:keepLines/>
      <w:spacing w:before="480" w:after="240"/>
      <w:jc w:val="left"/>
      <w:outlineLvl w:val="0"/>
    </w:pPr>
    <w:rPr>
      <w:rFonts w:ascii="Times New Roman" w:hAnsi="Times New Roman" w:eastAsia="SimHei"/>
      <w:b/>
      <w:color w:val="1E3A5F"/>
      <w:sz w:val="32"/>
    </w:rPr>
  </w:style>
  <w:style w:type="paragraph" w:styleId="Heading2">
    <w:name w:val="heading 2"/>
    <w:basedOn w:val="Normal"/>
    <w:pPr>
      <w:keepNext/>
      <w:keepLines/>
      <w:spacing w:before="360" w:after="200"/>
      <w:jc w:val="left"/>
      <w:outlineLvl w:val="1"/>
    </w:pPr>
    <w:rPr>
      <w:rFonts w:ascii="Times New Roman" w:hAnsi="Times New Roman" w:eastAsia="SimHei"/>
      <w:b/>
      <w:color w:val="4A6B8A"/>
      <w:sz w:val="28"/>
    </w:rPr>
  </w:style>
  <w:style w:type="paragraph" w:styleId="Heading3">
    <w:name w:val="heading 3"/>
    <w:basedOn w:val="Normal"/>
    <w:pPr>
      <w:keepNext/>
      <w:keepLines/>
      <w:spacing w:before="280" w:after="160"/>
      <w:jc w:val="left"/>
      <w:outlineLvl w:val="2"/>
    </w:pPr>
    <w:rPr>
      <w:rFonts w:ascii="Times New Roman" w:hAnsi="Times New Roman" w:eastAsia="SimHei"/>
      <w:b/>
      <w:color w:val="4a4a4a"/>
      <w:sz w:val="26"/>
    </w:rPr>
  </w:style>
  <w:style w:type="paragraph" w:styleId="Caption">
    <w:name w:val="Caption"/>
    <w:basedOn w:val="Normal"/>
    <w:pPr>
      <w:spacing w:before="60" w:after="320"/>
      <w:jc w:val="center"/>
    </w:pPr>
    <w:rPr>
      <w:color w:val="6e6e6e"/>
      <w:sz w:val="20"/>
    </w:rPr>
  </w:style>
  <w:style w:type="paragraph" w:styleId="TOC1">
    <w:name w:val="toc 1"/>
    <w:basedOn w:val="Normal"/>
    <w:pPr>
      <w:tabs>
        <w:tab w:val="right" w:leader="dot" w:pos="9350"/>
      </w:tabs>
      <w:spacing w:before="200" w:after="60"/>
      <w:ind w:left="0"/>
    </w:pPr>
    <w:rPr>
      <w:b/>
      <w:color w:val="1a1a1a"/>
    </w:rPr>
  </w:style>
  <w:style w:type="paragraph" w:styleId="TOC2">
    <w:name w:val="toc 2"/>
    <w:basedOn w:val="Normal"/>
    <w:pPr>
      <w:tabs>
        <w:tab w:val="right" w:leader="dot" w:pos="9350"/>
      </w:tabs>
      <w:spacing w:before="60" w:after="60"/>
      <w:ind w:left="360"/>
    </w:pPr>
    <w:rPr>
      <w:color w:val="4a4a4a"/>
    </w:rPr>
  </w:style>
  <w:style w:type="paragraph" w:styleId="TOC3">
    <w:name w:val="toc 3"/>
    <w:basedOn w:val="Normal"/>
    <w:pPr>
      <w:tabs>
        <w:tab w:val="right" w:leader="dot" w:pos="9350"/>
      </w:tabs>
      <w:spacing w:before="40" w:after="60"/>
      <w:ind w:left="720"/>
    </w:pPr>
    <w:rPr>
      <w:color w:val="4a4a4a"/>
    </w:rPr>
  </w:style>
</w:styles>
</file>

<file path=word/_rels/document.xml.rels><?xml version='1.0' encoding='UTF-8'?>
<Relationships xmlns="http://schemas.openxmlformats.org/package/2006/relationships"><Relationship Type="http://schemas.openxmlformats.org/officeDocument/2006/relationships/styles" Target="styles.xml" Id="Rb64e76ae41a14b6e" /><Relationship Type="http://schemas.openxmlformats.org/officeDocument/2006/relationships/numbering" Target="numbering.xml" Id="R9c24aa2e60c64af1" /><Relationship Type="http://schemas.openxmlformats.org/officeDocument/2006/relationships/header" Target="header1.xml" Id="R8764fca02c9a4174" /><Relationship Type="http://schemas.openxmlformats.org/officeDocument/2006/relationships/footer" Target="footer1.xml" Id="R6dd80b0fe3264371" /><Relationship Type="http://schemas.openxmlformats.org/officeDocument/2006/relationships/settings" Target="settings.xml" Id="R43467c9938484b56" /></Relationships>
</file>