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b229685fc00d444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Normal"/>
        <w:spacing w:before="600" w:after="200"/>
        <w:jc w:val="center"/>
      </w:pPr>
      <w:r>
        <w:rPr>
          <w:rFonts w:ascii="Times New Roman" w:hAnsi="Times New Roman" w:eastAsia="Times New Roman" w:cs="Times New Roman"/>
          <w:b/>
          <w:color w:val="1B3A4B"/>
          <w:sz w:val="36"/>
          <w:szCs w:val="36"/>
        </w:rPr>
        <w:t>ANNEX RDF</w:t>
      </w:r>
    </w:p>
    <w:p>
      <w:pPr>
        <w:pStyle w:val="Normal"/>
        <w:spacing w:after="120"/>
        <w:jc w:val="center"/>
      </w:pPr>
      <w:r>
        <w:rPr>
          <w:rFonts w:ascii="Times New Roman" w:hAnsi="Times New Roman" w:eastAsia="Times New Roman" w:cs="Times New Roman"/>
          <w:b/>
          <w:color w:val="2E5A6B"/>
          <w:sz w:val="28"/>
          <w:szCs w:val="28"/>
        </w:rPr>
        <w:t>Reconstruction and Development Fund Protocol</w:t>
      </w:r>
    </w:p>
    <w:p>
      <w:pPr>
        <w:pStyle w:val="Normal"/>
        <w:spacing w:after="80"/>
        <w:jc w:val="center"/>
      </w:pPr>
      <w:r>
        <w:rPr>
          <w:rFonts w:ascii="Times New Roman" w:hAnsi="Times New Roman" w:eastAsia="Times New Roman" w:cs="Times New Roman"/>
          <w:i/>
          <w:color w:val="4A4A4A"/>
          <w:sz w:val="22"/>
          <w:szCs w:val="22"/>
        </w:rPr>
        <w:t>A Multilateral, Modular Blueprint for Iran's Reconstruction</w:t>
      </w:r>
    </w:p>
    <w:p>
      <w:pPr>
        <w:pStyle w:val="Normal"/>
        <w:spacing w:after="200"/>
        <w:jc w:val="center"/>
      </w:pPr>
      <w:r>
        <w:rPr>
          <w:rFonts w:ascii="Times New Roman" w:hAnsi="Times New Roman" w:eastAsia="Times New Roman" w:cs="Times New Roman"/>
          <w:i/>
          <w:color w:val="6A6A6A"/>
          <w:sz w:val="20"/>
          <w:szCs w:val="20"/>
        </w:rPr>
        <w:t>A Self-Contained · Incorporable by Reference Protocol</w:t>
      </w:r>
    </w:p>
    <w:p>
      <w:pPr>
        <w:pStyle w:val="Normal"/>
        <w:spacing w:after="200"/>
        <w:jc w:val="center"/>
      </w:pPr>
      <w:r>
        <w:rPr>
          <w:rFonts w:ascii="Times New Roman" w:hAnsi="Times New Roman" w:eastAsia="Times New Roman" w:cs="Times New Roman"/>
          <w:color w:val="6A6A6A"/>
          <w:sz w:val="20"/>
          <w:szCs w:val="20"/>
        </w:rPr>
        <w:t>For the Islamabad Accord</w:t>
      </w:r>
    </w:p>
    <w:p>
      <w:pPr>
        <w:pStyle w:val="Normal"/>
        <w:spacing w:before="400" w:after="600"/>
        <w:jc w:val="center"/>
      </w:pPr>
      <w:r>
        <w:rPr>
          <w:rFonts w:ascii="Times New Roman" w:hAnsi="Times New Roman" w:eastAsia="Times New Roman" w:cs="Times New Roman"/>
          <w:color w:val="4A4A4A"/>
          <w:sz w:val="20"/>
          <w:szCs w:val="20"/>
        </w:rPr>
        <w:t>Version 1.0 | June 2026</w:t>
      </w:r>
    </w:p>
    <w:p>
      <w:pPr>
        <w:pStyle w:val="Normal"/>
        <w:pBdr>
          <w:bottom w:val="single" w:color="1B3A4B" w:sz="12"/>
        </w:pBdr>
        <w:spacing w:after="400"/>
      </w:pPr>
    </w:p>
    <w:p>
      <w:pPr>
        <w:pStyle w:val="Heading1"/>
      </w:pPr>
      <w:bookmarkStart w:name="_Toc001" w:id="1"/>
      <w:r>
        <w:rPr>
          <w:rFonts w:ascii="Times New Roman" w:hAnsi="Times New Roman" w:eastAsia="Times New Roman" w:cs="Times New Roman"/>
          <w:b/>
          <w:color w:val="1B3A4B"/>
          <w:sz w:val="28"/>
          <w:szCs w:val="28"/>
        </w:rPr>
        <w:t>Preamble</w:t>
      </w:r>
      <w:bookmarkEnd w:id="1"/>
    </w:p>
    <w:p>
      <w:pPr>
        <w:pStyle w:val="Normal"/>
      </w:pPr>
      <w:r>
        <w:rPr>
          <w:rFonts w:ascii="Times New Roman" w:hAnsi="Times New Roman" w:eastAsia="Times New Roman" w:cs="Times New Roman"/>
          <w:color w:val="1A1A1A"/>
          <w:sz w:val="22"/>
          <w:szCs w:val="22"/>
        </w:rPr>
        <w:t>The Parties acknowledge the extensive damage to Iranian civilian infrastructure resulting from the 2026 conflict. Iranian officials estimate total reconstruction costs at approximately $270 billion over a ten-year horizon, encompassing:</w:t>
      </w:r>
    </w:p>
    <w:p>
      <w:pPr>
        <w:pStyle w:val="Normal"/>
        <w:ind w:left="720" w:hanging="360"/>
      </w:pPr>
      <w:r>
        <w:rPr>
          <w:rFonts w:ascii="Times New Roman" w:hAnsi="Times New Roman" w:eastAsia="Times New Roman" w:cs="Times New Roman"/>
          <w:color w:val="1A1A1A"/>
          <w:sz w:val="22"/>
          <w:szCs w:val="22"/>
        </w:rPr>
        <w:t xml:space="preserve">•  Energy infrastructure (power plants, refineries, pipelines)</w:t>
      </w:r>
    </w:p>
    <w:p>
      <w:pPr>
        <w:pStyle w:val="Normal"/>
        <w:ind w:left="720" w:hanging="360"/>
      </w:pPr>
      <w:r>
        <w:rPr>
          <w:rFonts w:ascii="Times New Roman" w:hAnsi="Times New Roman" w:eastAsia="Times New Roman" w:cs="Times New Roman"/>
          <w:color w:val="1A1A1A"/>
          <w:sz w:val="22"/>
          <w:szCs w:val="22"/>
        </w:rPr>
        <w:t xml:space="preserve">•  Transportation networks (roads, railways, ports, airports)</w:t>
      </w:r>
    </w:p>
    <w:p>
      <w:pPr>
        <w:pStyle w:val="Normal"/>
        <w:ind w:left="720" w:hanging="360"/>
      </w:pPr>
      <w:r>
        <w:rPr>
          <w:rFonts w:ascii="Times New Roman" w:hAnsi="Times New Roman" w:eastAsia="Times New Roman" w:cs="Times New Roman"/>
          <w:color w:val="1A1A1A"/>
          <w:sz w:val="22"/>
          <w:szCs w:val="22"/>
        </w:rPr>
        <w:t xml:space="preserve">•  Water and sanitation systems</w:t>
      </w:r>
    </w:p>
    <w:p>
      <w:pPr>
        <w:pStyle w:val="Normal"/>
        <w:ind w:left="720" w:hanging="360"/>
      </w:pPr>
      <w:r>
        <w:rPr>
          <w:rFonts w:ascii="Times New Roman" w:hAnsi="Times New Roman" w:eastAsia="Times New Roman" w:cs="Times New Roman"/>
          <w:color w:val="1A1A1A"/>
          <w:sz w:val="22"/>
          <w:szCs w:val="22"/>
        </w:rPr>
        <w:t xml:space="preserve">•  Healthcare facilities and medical supply chains</w:t>
      </w:r>
    </w:p>
    <w:p>
      <w:pPr>
        <w:pStyle w:val="Normal"/>
        <w:ind w:left="720" w:hanging="360"/>
      </w:pPr>
      <w:r>
        <w:rPr>
          <w:rFonts w:ascii="Times New Roman" w:hAnsi="Times New Roman" w:eastAsia="Times New Roman" w:cs="Times New Roman"/>
          <w:color w:val="1A1A1A"/>
          <w:sz w:val="22"/>
          <w:szCs w:val="22"/>
        </w:rPr>
        <w:t xml:space="preserve">•  Educational institutions and research centers</w:t>
      </w:r>
    </w:p>
    <w:p>
      <w:pPr>
        <w:pStyle w:val="Normal"/>
        <w:ind w:left="720" w:hanging="360"/>
      </w:pPr>
      <w:r>
        <w:rPr>
          <w:rFonts w:ascii="Times New Roman" w:hAnsi="Times New Roman" w:eastAsia="Times New Roman" w:cs="Times New Roman"/>
          <w:color w:val="1A1A1A"/>
          <w:sz w:val="22"/>
          <w:szCs w:val="22"/>
        </w:rPr>
        <w:t xml:space="preserve">•  Residential housing and urban reconstruction</w:t>
      </w:r>
    </w:p>
    <w:p>
      <w:pPr>
        <w:pStyle w:val="Normal"/>
        <w:ind w:left="720" w:hanging="360"/>
      </w:pPr>
      <w:r>
        <w:rPr>
          <w:rFonts w:ascii="Times New Roman" w:hAnsi="Times New Roman" w:eastAsia="Times New Roman" w:cs="Times New Roman"/>
          <w:color w:val="1A1A1A"/>
          <w:sz w:val="22"/>
          <w:szCs w:val="22"/>
        </w:rPr>
        <w:t xml:space="preserve">•  Agricultural and food security infrastructure</w:t>
      </w:r>
    </w:p>
    <w:p>
      <w:pPr>
        <w:pStyle w:val="Normal"/>
      </w:pPr>
      <w:r>
        <w:rPr>
          <w:rFonts w:ascii="Times New Roman" w:hAnsi="Times New Roman" w:eastAsia="Times New Roman" w:cs="Times New Roman"/>
          <w:color w:val="1A1A1A"/>
          <w:sz w:val="22"/>
          <w:szCs w:val="22"/>
        </w:rPr>
        <w:t>The Parties further recognize that direct U.S. financial aid or un-vetted capital flows to Iran are politically impossible for Washington. The United States cannot be seen as paying for Iranian reconstruction without risking severe domestic political backlash and accusations of rewarding aggression. Conversely, Iran cannot accept direct U.S. funding without undermining its narrative of sovereign resilience and resistance.</w:t>
      </w:r>
    </w:p>
    <w:p>
      <w:pPr>
        <w:pStyle w:val="Normal"/>
      </w:pPr>
      <w:r>
        <w:rPr>
          <w:rFonts w:ascii="Times New Roman" w:hAnsi="Times New Roman" w:eastAsia="Times New Roman" w:cs="Times New Roman"/>
          <w:color w:val="1A1A1A"/>
          <w:sz w:val="22"/>
          <w:szCs w:val="22"/>
        </w:rPr>
        <w:t>This Annex therefore establishes the Multilateral Reconstruction Fund (MRF) -- a highly innovative, modular financial architecture that routes third-party capital, humanitarian aid, and industrial investments through neutral channels without requiring direct, high-visibility U.S. state funding or triggering primary U.S. sanctions lines.</w:t>
      </w:r>
    </w:p>
    <w:p>
      <w:pPr>
        <w:pStyle w:val="Normal"/>
      </w:pPr>
      <w:r>
        <w:rPr>
          <w:rFonts w:ascii="Times New Roman" w:hAnsi="Times New Roman" w:eastAsia="Times New Roman" w:cs="Times New Roman"/>
          <w:color w:val="1A1A1A"/>
          <w:sz w:val="22"/>
          <w:szCs w:val="22"/>
        </w:rPr>
        <w:t>The MRF operates on the following core principles:</w:t>
      </w:r>
    </w:p>
    <w:p>
      <w:pPr>
        <w:pStyle w:val="Heading3"/>
      </w:pPr>
      <w:r>
        <w:rPr>
          <w:rFonts w:ascii="Times New Roman" w:hAnsi="Times New Roman" w:eastAsia="Times New Roman" w:cs="Times New Roman"/>
          <w:b/>
          <w:i/>
          <w:color w:val="4A4A4A"/>
          <w:sz w:val="22"/>
          <w:szCs w:val="22"/>
        </w:rPr>
        <w:t>Third-Party Capital Aggregation</w:t>
      </w:r>
    </w:p>
    <w:p>
      <w:pPr>
        <w:pStyle w:val="Normal"/>
      </w:pPr>
      <w:r>
        <w:rPr>
          <w:rFonts w:ascii="Times New Roman" w:hAnsi="Times New Roman" w:eastAsia="Times New Roman" w:cs="Times New Roman"/>
          <w:color w:val="1A1A1A"/>
          <w:sz w:val="22"/>
          <w:szCs w:val="22"/>
        </w:rPr>
        <w:t>The MRF aggregates contributions from multiple sources -- sovereign wealth funds, international development banks, private investors, humanitarian organizations, and regional states -- into a neutral escrow administered by the State of Qatar and the World Bank.</w:t>
      </w:r>
    </w:p>
    <w:p>
      <w:pPr>
        <w:pStyle w:val="Heading3"/>
      </w:pPr>
      <w:r>
        <w:rPr>
          <w:rFonts w:ascii="Times New Roman" w:hAnsi="Times New Roman" w:eastAsia="Times New Roman" w:cs="Times New Roman"/>
          <w:b/>
          <w:i/>
          <w:color w:val="4A4A4A"/>
          <w:sz w:val="22"/>
          <w:szCs w:val="22"/>
        </w:rPr>
        <w:t>Iranian Sovereignty Over Project Selection</w:t>
      </w:r>
    </w:p>
    <w:p>
      <w:pPr>
        <w:pStyle w:val="Normal"/>
      </w:pPr>
      <w:r>
        <w:rPr>
          <w:rFonts w:ascii="Times New Roman" w:hAnsi="Times New Roman" w:eastAsia="Times New Roman" w:cs="Times New Roman"/>
          <w:color w:val="1A1A1A"/>
          <w:sz w:val="22"/>
          <w:szCs w:val="22"/>
        </w:rPr>
        <w:t>Iran retains full sovereign authority over reconstruction priorities and project selection. The MRF does not impose projects on Iran; Iran proposes projects, and the MRF funds those that meet technical and financial criteria.</w:t>
      </w:r>
    </w:p>
    <w:p>
      <w:pPr>
        <w:pStyle w:val="Heading3"/>
      </w:pPr>
      <w:r>
        <w:rPr>
          <w:rFonts w:ascii="Times New Roman" w:hAnsi="Times New Roman" w:eastAsia="Times New Roman" w:cs="Times New Roman"/>
          <w:b/>
          <w:i/>
          <w:color w:val="4A4A4A"/>
          <w:sz w:val="22"/>
          <w:szCs w:val="22"/>
        </w:rPr>
        <w:t>Neutral Channeling</w:t>
      </w:r>
    </w:p>
    <w:p>
      <w:pPr>
        <w:pStyle w:val="Normal"/>
      </w:pPr>
      <w:r>
        <w:rPr>
          <w:rFonts w:ascii="Times New Roman" w:hAnsi="Times New Roman" w:eastAsia="Times New Roman" w:cs="Times New Roman"/>
          <w:color w:val="1A1A1A"/>
          <w:sz w:val="22"/>
          <w:szCs w:val="22"/>
        </w:rPr>
        <w:t>All funds flow through the Qatar Central Bank, the World Bank, or other internationally recognized financial intermediaries. The United States does not disburse funds directly to Iran, and no U.S. government funds are co-mingled with MRF funds. U.S. contributions, if any, are limited to technical assistance, project identification, or capacity building -- never direct cash transfers.</w:t>
      </w:r>
    </w:p>
    <w:p>
      <w:pPr>
        <w:pStyle w:val="Heading3"/>
      </w:pPr>
      <w:r>
        <w:rPr>
          <w:rFonts w:ascii="Times New Roman" w:hAnsi="Times New Roman" w:eastAsia="Times New Roman" w:cs="Times New Roman"/>
          <w:b/>
          <w:i/>
          <w:color w:val="4A4A4A"/>
          <w:sz w:val="22"/>
          <w:szCs w:val="22"/>
        </w:rPr>
        <w:t>Modularity</w:t>
      </w:r>
    </w:p>
    <w:p>
      <w:pPr>
        <w:pStyle w:val="Normal"/>
      </w:pPr>
      <w:r>
        <w:rPr>
          <w:rFonts w:ascii="Times New Roman" w:hAnsi="Times New Roman" w:eastAsia="Times New Roman" w:cs="Times New Roman"/>
          <w:color w:val="1A1A1A"/>
          <w:sz w:val="22"/>
          <w:szCs w:val="22"/>
        </w:rPr>
        <w:t>The MRF divides into independent sub-funds, each addressing a specific sector (energy, water, transportation, healthcare, education, housing). Failure or delay in one sub-fund does not affect others.</w:t>
      </w:r>
    </w:p>
    <w:p>
      <w:pPr>
        <w:pStyle w:val="Heading3"/>
      </w:pPr>
      <w:r>
        <w:rPr>
          <w:rFonts w:ascii="Times New Roman" w:hAnsi="Times New Roman" w:eastAsia="Times New Roman" w:cs="Times New Roman"/>
          <w:b/>
          <w:i/>
          <w:color w:val="4A4A4A"/>
          <w:sz w:val="22"/>
          <w:szCs w:val="22"/>
        </w:rPr>
        <w:t>Performance-Based Disbursement</w:t>
      </w:r>
    </w:p>
    <w:p>
      <w:pPr>
        <w:pStyle w:val="Normal"/>
      </w:pPr>
      <w:r>
        <w:rPr>
          <w:rFonts w:ascii="Times New Roman" w:hAnsi="Times New Roman" w:eastAsia="Times New Roman" w:cs="Times New Roman"/>
          <w:color w:val="1A1A1A"/>
          <w:sz w:val="22"/>
          <w:szCs w:val="22"/>
        </w:rPr>
        <w:t>Like the Escrow Protocol, MRF disbursements are tied to verifiable milestones -- in this case, project completion, procurement verification, and independent auditing.</w:t>
      </w:r>
    </w:p>
    <w:p>
      <w:pPr>
        <w:pStyle w:val="Heading3"/>
      </w:pPr>
      <w:r>
        <w:rPr>
          <w:rFonts w:ascii="Times New Roman" w:hAnsi="Times New Roman" w:eastAsia="Times New Roman" w:cs="Times New Roman"/>
          <w:b/>
          <w:i/>
          <w:color w:val="4A4A4A"/>
          <w:sz w:val="22"/>
          <w:szCs w:val="22"/>
        </w:rPr>
        <w:t>Sanctions Firewall</w:t>
      </w:r>
    </w:p>
    <w:p>
      <w:pPr>
        <w:pStyle w:val="Normal"/>
      </w:pPr>
      <w:r>
        <w:rPr>
          <w:rFonts w:ascii="Times New Roman" w:hAnsi="Times New Roman" w:eastAsia="Times New Roman" w:cs="Times New Roman"/>
          <w:color w:val="1A1A1A"/>
          <w:sz w:val="22"/>
          <w:szCs w:val="22"/>
        </w:rPr>
        <w:t>MRF transactions are explicitly exempt from U.S. secondary sanctions. Participating financial institutions receive a general license from OFAC for all MRF-related activities.</w:t>
      </w:r>
    </w:p>
    <w:p>
      <w:pPr>
        <w:pStyle w:val="Heading1"/>
      </w:pPr>
      <w:bookmarkStart w:name="_Toc002" w:id="2"/>
      <w:r>
        <w:rPr>
          <w:rFonts w:ascii="Times New Roman" w:hAnsi="Times New Roman" w:eastAsia="Times New Roman" w:cs="Times New Roman"/>
          <w:b/>
          <w:color w:val="1B3A4B"/>
          <w:sz w:val="28"/>
          <w:szCs w:val="28"/>
        </w:rPr>
        <w:t>Article 1: Definitions</w:t>
      </w:r>
      <w:bookmarkEnd w:id="2"/>
    </w:p>
    <w:p>
      <w:pPr>
        <w:pStyle w:val="Heading2"/>
      </w:pPr>
      <w:r>
        <w:rPr>
          <w:rFonts w:ascii="Times New Roman" w:hAnsi="Times New Roman" w:eastAsia="Times New Roman" w:cs="Times New Roman"/>
          <w:b/>
          <w:color w:val="2E5A6B"/>
          <w:sz w:val="24"/>
          <w:szCs w:val="24"/>
        </w:rPr>
        <w:t>1.1 Multilateral Reconstruction Fund (MRF)</w:t>
      </w:r>
    </w:p>
    <w:p>
      <w:pPr>
        <w:pStyle w:val="Normal"/>
      </w:pPr>
      <w:r>
        <w:rPr>
          <w:rFonts w:ascii="Times New Roman" w:hAnsi="Times New Roman" w:eastAsia="Times New Roman" w:cs="Times New Roman"/>
          <w:color w:val="1A1A1A"/>
          <w:sz w:val="22"/>
          <w:szCs w:val="22"/>
        </w:rPr>
        <w:t>The MRF is the central vehicle for aggregating, administering, and disbursing reconstruction capital. It consists of multiple sub-funds, each dedicated to a specific sector.</w:t>
      </w:r>
    </w:p>
    <w:p>
      <w:pPr>
        <w:pStyle w:val="Heading2"/>
      </w:pPr>
      <w:r>
        <w:rPr>
          <w:rFonts w:ascii="Times New Roman" w:hAnsi="Times New Roman" w:eastAsia="Times New Roman" w:cs="Times New Roman"/>
          <w:b/>
          <w:color w:val="2E5A6B"/>
          <w:sz w:val="24"/>
          <w:szCs w:val="24"/>
        </w:rPr>
        <w:t>1.2 Sub-Funds</w:t>
      </w:r>
    </w:p>
    <w:p>
      <w:pPr>
        <w:pStyle w:val="Normal"/>
      </w:pPr>
      <w:r>
        <w:rPr>
          <w:rFonts w:ascii="Times New Roman" w:hAnsi="Times New Roman" w:eastAsia="Times New Roman" w:cs="Times New Roman"/>
          <w:color w:val="1A1A1A"/>
          <w:sz w:val="22"/>
          <w:szCs w:val="22"/>
        </w:rPr>
        <w:t>The MRF comprises the following Sub-Funds, each with its own governance, project pipeline, and disbursement schedule:</w:t>
      </w:r>
    </w:p>
    <w:tbl>
      <w:tblPr>
        <w:tblW w:w="5000" w:type="pct"/>
        <w:tblBorders>
          <w:top w:val="single" w:color="1B3A4B" w:sz="12"/>
          <w:left w:val="nil"/>
          <w:bottom w:val="single" w:color="1B3A4B" w:sz="12"/>
          <w:right w:val="nil"/>
          <w:insideH w:val="single" w:color="b0b0b0" w:sz="4"/>
          <w:insideV w:val="nil"/>
        </w:tblBorders>
      </w:tblPr>
      <w:tblGrid>
        <w:gridCol w:w="1800"/>
        <w:gridCol w:w="4200"/>
        <w:gridCol w:w="2000"/>
      </w:tblGrid>
      <w:tr>
        <w:trPr>
          <w:tblHeader w:val="1"/>
        </w:trPr>
        <w:tc>
          <w:tcPr>
            <w:tcW w:w="1800" w:type="dxa"/>
            <w:shd w:val="clear" w:fill="E8EEF2" w:color="auto"/>
          </w:tcPr>
          <w:p>
            <w:pPr>
              <w:pStyle w:val="Normal"/>
              <w:spacing w:before="60" w:after="60"/>
              <w:jc w:val="center"/>
            </w:pPr>
            <w:r>
              <w:rPr>
                <w:b/>
                <w:color w:val="1A1A1A"/>
                <w:sz w:val="20"/>
                <w:rFonts w:ascii="Times New Roman" w:hAnsi="Times New Roman" w:eastAsia="Times New Roman" w:cs="Times New Roman"/>
                <w:szCs w:val="20"/>
              </w:rPr>
              <w:t>Sub-Fund</w:t>
            </w:r>
          </w:p>
        </w:tc>
        <w:tc>
          <w:tcPr>
            <w:tcW w:w="4200" w:type="dxa"/>
            <w:shd w:val="clear" w:fill="E8EEF2" w:color="auto"/>
          </w:tcPr>
          <w:p>
            <w:pPr>
              <w:pStyle w:val="Normal"/>
              <w:spacing w:before="60" w:after="60"/>
              <w:jc w:val="center"/>
            </w:pPr>
            <w:r>
              <w:rPr>
                <w:b/>
                <w:color w:val="1A1A1A"/>
                <w:sz w:val="20"/>
                <w:rFonts w:ascii="Times New Roman" w:hAnsi="Times New Roman" w:eastAsia="Times New Roman" w:cs="Times New Roman"/>
                <w:szCs w:val="20"/>
              </w:rPr>
              <w:t>Sector</w:t>
            </w:r>
          </w:p>
        </w:tc>
        <w:tc>
          <w:tcPr>
            <w:tcW w:w="2000" w:type="dxa"/>
            <w:shd w:val="clear" w:fill="E8EEF2" w:color="auto"/>
          </w:tcPr>
          <w:p>
            <w:pPr>
              <w:pStyle w:val="Normal"/>
              <w:spacing w:before="60" w:after="60"/>
              <w:jc w:val="center"/>
            </w:pPr>
            <w:r>
              <w:rPr>
                <w:b/>
                <w:color w:val="1A1A1A"/>
                <w:sz w:val="20"/>
                <w:rFonts w:ascii="Times New Roman" w:hAnsi="Times New Roman" w:eastAsia="Times New Roman" w:cs="Times New Roman"/>
                <w:szCs w:val="20"/>
              </w:rPr>
              <w:t>Target Capitalization (10-Year)</w:t>
            </w:r>
          </w:p>
        </w:tc>
      </w:tr>
      <w:tr>
        <w:tc>
          <w:tcPr>
            <w:tcW w:w="1800" w:type="dxa"/>
          </w:tcPr>
          <w:p>
            <w:pPr>
              <w:pStyle w:val="Normal"/>
              <w:spacing w:before="40" w:after="40"/>
            </w:pPr>
            <w:r>
              <w:rPr>
                <w:color w:val="1A1A1A"/>
                <w:sz w:val="20"/>
                <w:rFonts w:ascii="Times New Roman" w:hAnsi="Times New Roman" w:eastAsia="Times New Roman" w:cs="Times New Roman"/>
                <w:szCs w:val="20"/>
              </w:rPr>
              <w:t>MRF-Energy</w:t>
            </w:r>
          </w:p>
        </w:tc>
        <w:tc>
          <w:tcPr>
            <w:tcW w:w="4200" w:type="dxa"/>
          </w:tcPr>
          <w:p>
            <w:pPr>
              <w:pStyle w:val="Normal"/>
              <w:spacing w:before="40" w:after="40"/>
            </w:pPr>
            <w:r>
              <w:rPr>
                <w:color w:val="1A1A1A"/>
                <w:sz w:val="20"/>
                <w:rFonts w:ascii="Times New Roman" w:hAnsi="Times New Roman" w:eastAsia="Times New Roman" w:cs="Times New Roman"/>
                <w:szCs w:val="20"/>
              </w:rPr>
              <w:t>Power plants, refineries, renewable energy, grid modernization</w:t>
            </w:r>
          </w:p>
        </w:tc>
        <w:tc>
          <w:tcPr>
            <w:tcW w:w="2000" w:type="dxa"/>
          </w:tcPr>
          <w:p>
            <w:pPr>
              <w:pStyle w:val="Normal"/>
              <w:spacing w:before="40" w:after="40"/>
            </w:pPr>
            <w:r>
              <w:rPr>
                <w:color w:val="1A1A1A"/>
                <w:sz w:val="20"/>
                <w:rFonts w:ascii="Times New Roman" w:hAnsi="Times New Roman" w:eastAsia="Times New Roman" w:cs="Times New Roman"/>
                <w:szCs w:val="20"/>
              </w:rPr>
              <w:t>$80 billion</w:t>
            </w:r>
          </w:p>
        </w:tc>
      </w:tr>
      <w:tr>
        <w:tc>
          <w:tcPr>
            <w:tcW w:w="1800" w:type="dxa"/>
          </w:tcPr>
          <w:p>
            <w:pPr>
              <w:pStyle w:val="Normal"/>
              <w:spacing w:before="40" w:after="40"/>
            </w:pPr>
            <w:r>
              <w:rPr>
                <w:color w:val="1A1A1A"/>
                <w:sz w:val="20"/>
                <w:rFonts w:ascii="Times New Roman" w:hAnsi="Times New Roman" w:eastAsia="Times New Roman" w:cs="Times New Roman"/>
                <w:szCs w:val="20"/>
              </w:rPr>
              <w:t>MRF-Water</w:t>
            </w:r>
          </w:p>
        </w:tc>
        <w:tc>
          <w:tcPr>
            <w:tcW w:w="4200" w:type="dxa"/>
          </w:tcPr>
          <w:p>
            <w:pPr>
              <w:pStyle w:val="Normal"/>
              <w:spacing w:before="40" w:after="40"/>
            </w:pPr>
            <w:r>
              <w:rPr>
                <w:color w:val="1A1A1A"/>
                <w:sz w:val="20"/>
                <w:rFonts w:ascii="Times New Roman" w:hAnsi="Times New Roman" w:eastAsia="Times New Roman" w:cs="Times New Roman"/>
                <w:szCs w:val="20"/>
              </w:rPr>
              <w:t>Water treatment, desalination, irrigation, sanitation</w:t>
            </w:r>
          </w:p>
        </w:tc>
        <w:tc>
          <w:tcPr>
            <w:tcW w:w="2000" w:type="dxa"/>
          </w:tcPr>
          <w:p>
            <w:pPr>
              <w:pStyle w:val="Normal"/>
              <w:spacing w:before="40" w:after="40"/>
            </w:pPr>
            <w:r>
              <w:rPr>
                <w:color w:val="1A1A1A"/>
                <w:sz w:val="20"/>
                <w:rFonts w:ascii="Times New Roman" w:hAnsi="Times New Roman" w:eastAsia="Times New Roman" w:cs="Times New Roman"/>
                <w:szCs w:val="20"/>
              </w:rPr>
              <w:t>$40 billion</w:t>
            </w:r>
          </w:p>
        </w:tc>
      </w:tr>
      <w:tr>
        <w:tc>
          <w:tcPr>
            <w:tcW w:w="1800" w:type="dxa"/>
          </w:tcPr>
          <w:p>
            <w:pPr>
              <w:pStyle w:val="Normal"/>
              <w:spacing w:before="40" w:after="40"/>
            </w:pPr>
            <w:r>
              <w:rPr>
                <w:color w:val="1A1A1A"/>
                <w:sz w:val="20"/>
                <w:rFonts w:ascii="Times New Roman" w:hAnsi="Times New Roman" w:eastAsia="Times New Roman" w:cs="Times New Roman"/>
                <w:szCs w:val="20"/>
              </w:rPr>
              <w:t>MRF-Transport</w:t>
            </w:r>
          </w:p>
        </w:tc>
        <w:tc>
          <w:tcPr>
            <w:tcW w:w="4200" w:type="dxa"/>
          </w:tcPr>
          <w:p>
            <w:pPr>
              <w:pStyle w:val="Normal"/>
              <w:spacing w:before="40" w:after="40"/>
            </w:pPr>
            <w:r>
              <w:rPr>
                <w:color w:val="1A1A1A"/>
                <w:sz w:val="20"/>
                <w:rFonts w:ascii="Times New Roman" w:hAnsi="Times New Roman" w:eastAsia="Times New Roman" w:cs="Times New Roman"/>
                <w:szCs w:val="20"/>
              </w:rPr>
              <w:t>Roads, railways, ports, airports, urban transit</w:t>
            </w:r>
          </w:p>
        </w:tc>
        <w:tc>
          <w:tcPr>
            <w:tcW w:w="2000" w:type="dxa"/>
          </w:tcPr>
          <w:p>
            <w:pPr>
              <w:pStyle w:val="Normal"/>
              <w:spacing w:before="40" w:after="40"/>
            </w:pPr>
            <w:r>
              <w:rPr>
                <w:color w:val="1A1A1A"/>
                <w:sz w:val="20"/>
                <w:rFonts w:ascii="Times New Roman" w:hAnsi="Times New Roman" w:eastAsia="Times New Roman" w:cs="Times New Roman"/>
                <w:szCs w:val="20"/>
              </w:rPr>
              <w:t>$50 billion</w:t>
            </w:r>
          </w:p>
        </w:tc>
      </w:tr>
      <w:tr>
        <w:tc>
          <w:tcPr>
            <w:tcW w:w="1800" w:type="dxa"/>
          </w:tcPr>
          <w:p>
            <w:pPr>
              <w:pStyle w:val="Normal"/>
              <w:spacing w:before="40" w:after="40"/>
            </w:pPr>
            <w:r>
              <w:rPr>
                <w:color w:val="1A1A1A"/>
                <w:sz w:val="20"/>
                <w:rFonts w:ascii="Times New Roman" w:hAnsi="Times New Roman" w:eastAsia="Times New Roman" w:cs="Times New Roman"/>
                <w:szCs w:val="20"/>
              </w:rPr>
              <w:t>MRF-Health</w:t>
            </w:r>
          </w:p>
        </w:tc>
        <w:tc>
          <w:tcPr>
            <w:tcW w:w="4200" w:type="dxa"/>
          </w:tcPr>
          <w:p>
            <w:pPr>
              <w:pStyle w:val="Normal"/>
              <w:spacing w:before="40" w:after="40"/>
            </w:pPr>
            <w:r>
              <w:rPr>
                <w:color w:val="1A1A1A"/>
                <w:sz w:val="20"/>
                <w:rFonts w:ascii="Times New Roman" w:hAnsi="Times New Roman" w:eastAsia="Times New Roman" w:cs="Times New Roman"/>
                <w:szCs w:val="20"/>
              </w:rPr>
              <w:t>Hospitals, clinics, medical supply chains, pandemic preparedness</w:t>
            </w:r>
          </w:p>
        </w:tc>
        <w:tc>
          <w:tcPr>
            <w:tcW w:w="2000" w:type="dxa"/>
          </w:tcPr>
          <w:p>
            <w:pPr>
              <w:pStyle w:val="Normal"/>
              <w:spacing w:before="40" w:after="40"/>
            </w:pPr>
            <w:r>
              <w:rPr>
                <w:color w:val="1A1A1A"/>
                <w:sz w:val="20"/>
                <w:rFonts w:ascii="Times New Roman" w:hAnsi="Times New Roman" w:eastAsia="Times New Roman" w:cs="Times New Roman"/>
                <w:szCs w:val="20"/>
              </w:rPr>
              <w:t>$25 billion</w:t>
            </w:r>
          </w:p>
        </w:tc>
      </w:tr>
      <w:tr>
        <w:tc>
          <w:tcPr>
            <w:tcW w:w="1800" w:type="dxa"/>
          </w:tcPr>
          <w:p>
            <w:pPr>
              <w:pStyle w:val="Normal"/>
              <w:spacing w:before="40" w:after="40"/>
            </w:pPr>
            <w:r>
              <w:rPr>
                <w:color w:val="1A1A1A"/>
                <w:sz w:val="20"/>
                <w:rFonts w:ascii="Times New Roman" w:hAnsi="Times New Roman" w:eastAsia="Times New Roman" w:cs="Times New Roman"/>
                <w:szCs w:val="20"/>
              </w:rPr>
              <w:t>MRF-Education</w:t>
            </w:r>
          </w:p>
        </w:tc>
        <w:tc>
          <w:tcPr>
            <w:tcW w:w="4200" w:type="dxa"/>
          </w:tcPr>
          <w:p>
            <w:pPr>
              <w:pStyle w:val="Normal"/>
              <w:spacing w:before="40" w:after="40"/>
            </w:pPr>
            <w:r>
              <w:rPr>
                <w:color w:val="1A1A1A"/>
                <w:sz w:val="20"/>
                <w:rFonts w:ascii="Times New Roman" w:hAnsi="Times New Roman" w:eastAsia="Times New Roman" w:cs="Times New Roman"/>
                <w:szCs w:val="20"/>
              </w:rPr>
              <w:t>Schools, universities, research centers, vocational training</w:t>
            </w:r>
          </w:p>
        </w:tc>
        <w:tc>
          <w:tcPr>
            <w:tcW w:w="2000" w:type="dxa"/>
          </w:tcPr>
          <w:p>
            <w:pPr>
              <w:pStyle w:val="Normal"/>
              <w:spacing w:before="40" w:after="40"/>
            </w:pPr>
            <w:r>
              <w:rPr>
                <w:color w:val="1A1A1A"/>
                <w:sz w:val="20"/>
                <w:rFonts w:ascii="Times New Roman" w:hAnsi="Times New Roman" w:eastAsia="Times New Roman" w:cs="Times New Roman"/>
                <w:szCs w:val="20"/>
              </w:rPr>
              <w:t>$20 billion</w:t>
            </w:r>
          </w:p>
        </w:tc>
      </w:tr>
      <w:tr>
        <w:tc>
          <w:tcPr>
            <w:tcW w:w="1800" w:type="dxa"/>
          </w:tcPr>
          <w:p>
            <w:pPr>
              <w:pStyle w:val="Normal"/>
              <w:spacing w:before="40" w:after="40"/>
            </w:pPr>
            <w:r>
              <w:rPr>
                <w:color w:val="1A1A1A"/>
                <w:sz w:val="20"/>
                <w:rFonts w:ascii="Times New Roman" w:hAnsi="Times New Roman" w:eastAsia="Times New Roman" w:cs="Times New Roman"/>
                <w:szCs w:val="20"/>
              </w:rPr>
              <w:t>MRF-Housing</w:t>
            </w:r>
          </w:p>
        </w:tc>
        <w:tc>
          <w:tcPr>
            <w:tcW w:w="4200" w:type="dxa"/>
          </w:tcPr>
          <w:p>
            <w:pPr>
              <w:pStyle w:val="Normal"/>
              <w:spacing w:before="40" w:after="40"/>
            </w:pPr>
            <w:r>
              <w:rPr>
                <w:color w:val="1A1A1A"/>
                <w:sz w:val="20"/>
                <w:rFonts w:ascii="Times New Roman" w:hAnsi="Times New Roman" w:eastAsia="Times New Roman" w:cs="Times New Roman"/>
                <w:szCs w:val="20"/>
              </w:rPr>
              <w:t>Urban reconstruction, earthquake-resistant housing, slum upgrading</w:t>
            </w:r>
          </w:p>
        </w:tc>
        <w:tc>
          <w:tcPr>
            <w:tcW w:w="2000" w:type="dxa"/>
          </w:tcPr>
          <w:p>
            <w:pPr>
              <w:pStyle w:val="Normal"/>
              <w:spacing w:before="40" w:after="40"/>
            </w:pPr>
            <w:r>
              <w:rPr>
                <w:color w:val="1A1A1A"/>
                <w:sz w:val="20"/>
                <w:rFonts w:ascii="Times New Roman" w:hAnsi="Times New Roman" w:eastAsia="Times New Roman" w:cs="Times New Roman"/>
                <w:szCs w:val="20"/>
              </w:rPr>
              <w:t>$35 billion</w:t>
            </w:r>
          </w:p>
        </w:tc>
      </w:tr>
      <w:tr>
        <w:tc>
          <w:tcPr>
            <w:tcW w:w="1800" w:type="dxa"/>
          </w:tcPr>
          <w:p>
            <w:pPr>
              <w:pStyle w:val="Normal"/>
              <w:spacing w:before="40" w:after="40"/>
            </w:pPr>
            <w:r>
              <w:rPr>
                <w:color w:val="1A1A1A"/>
                <w:sz w:val="20"/>
                <w:rFonts w:ascii="Times New Roman" w:hAnsi="Times New Roman" w:eastAsia="Times New Roman" w:cs="Times New Roman"/>
                <w:szCs w:val="20"/>
              </w:rPr>
              <w:t>MRF-Agriculture</w:t>
            </w:r>
          </w:p>
        </w:tc>
        <w:tc>
          <w:tcPr>
            <w:tcW w:w="4200" w:type="dxa"/>
          </w:tcPr>
          <w:p>
            <w:pPr>
              <w:pStyle w:val="Normal"/>
              <w:spacing w:before="40" w:after="40"/>
            </w:pPr>
            <w:r>
              <w:rPr>
                <w:color w:val="1A1A1A"/>
                <w:sz w:val="20"/>
                <w:rFonts w:ascii="Times New Roman" w:hAnsi="Times New Roman" w:eastAsia="Times New Roman" w:cs="Times New Roman"/>
                <w:szCs w:val="20"/>
              </w:rPr>
              <w:t>Food security, irrigation, agricultural technology, rural development</w:t>
            </w:r>
          </w:p>
        </w:tc>
        <w:tc>
          <w:tcPr>
            <w:tcW w:w="2000" w:type="dxa"/>
          </w:tcPr>
          <w:p>
            <w:pPr>
              <w:pStyle w:val="Normal"/>
              <w:spacing w:before="40" w:after="40"/>
            </w:pPr>
            <w:r>
              <w:rPr>
                <w:color w:val="1A1A1A"/>
                <w:sz w:val="20"/>
                <w:rFonts w:ascii="Times New Roman" w:hAnsi="Times New Roman" w:eastAsia="Times New Roman" w:cs="Times New Roman"/>
                <w:szCs w:val="20"/>
              </w:rPr>
              <w:t>$20 billion</w:t>
            </w:r>
          </w:p>
        </w:tc>
      </w:tr>
      <w:tr>
        <w:tc>
          <w:tcPr>
            <w:tcW w:w="1800" w:type="dxa"/>
          </w:tcPr>
          <w:p>
            <w:pPr>
              <w:pStyle w:val="Normal"/>
              <w:spacing w:before="40" w:after="40"/>
            </w:pPr>
            <w:r>
              <w:rPr>
                <w:b/>
                <w:color w:val="1A1A1A"/>
                <w:sz w:val="20"/>
                <w:rFonts w:ascii="Times New Roman" w:hAnsi="Times New Roman" w:eastAsia="Times New Roman" w:cs="Times New Roman"/>
                <w:szCs w:val="20"/>
              </w:rPr>
              <w:t>TOTAL</w:t>
            </w:r>
          </w:p>
        </w:tc>
        <w:tc>
          <w:tcPr>
            <w:tcW w:w="4200" w:type="dxa"/>
          </w:tcPr>
          <w:p>
            <w:pPr>
              <w:pStyle w:val="Normal"/>
              <w:spacing w:before="40" w:after="40"/>
            </w:pPr>
            <w:r>
              <w:rPr>
                <w:b/>
                <w:color w:val="1A1A1A"/>
                <w:sz w:val="20"/>
                <w:rFonts w:ascii="Times New Roman" w:hAnsi="Times New Roman" w:eastAsia="Times New Roman" w:cs="Times New Roman"/>
                <w:szCs w:val="20"/>
              </w:rPr>
              <w:t>All Sectors</w:t>
            </w:r>
          </w:p>
        </w:tc>
        <w:tc>
          <w:tcPr>
            <w:tcW w:w="2000" w:type="dxa"/>
          </w:tcPr>
          <w:p>
            <w:pPr>
              <w:pStyle w:val="Normal"/>
              <w:spacing w:before="40" w:after="40"/>
            </w:pPr>
            <w:r>
              <w:rPr>
                <w:b/>
                <w:color w:val="1A1A1A"/>
                <w:sz w:val="20"/>
                <w:rFonts w:ascii="Times New Roman" w:hAnsi="Times New Roman" w:eastAsia="Times New Roman" w:cs="Times New Roman"/>
                <w:szCs w:val="20"/>
              </w:rPr>
              <w:t>$270 billion</w:t>
            </w:r>
          </w:p>
        </w:tc>
      </w:tr>
    </w:tbl>
    <w:p>
      <w:pPr>
        <w:pStyle w:val="Heading2"/>
      </w:pPr>
      <w:r>
        <w:rPr>
          <w:rFonts w:ascii="Times New Roman" w:hAnsi="Times New Roman" w:eastAsia="Times New Roman" w:cs="Times New Roman"/>
          <w:b/>
          <w:color w:val="2E5A6B"/>
          <w:sz w:val="24"/>
          <w:szCs w:val="24"/>
        </w:rPr>
        <w:t>1.3 Capital Contributors</w:t>
      </w:r>
    </w:p>
    <w:p>
      <w:pPr>
        <w:pStyle w:val="Normal"/>
      </w:pPr>
      <w:r>
        <w:rPr>
          <w:rFonts w:ascii="Times New Roman" w:hAnsi="Times New Roman" w:eastAsia="Times New Roman" w:cs="Times New Roman"/>
          <w:color w:val="1A1A1A"/>
          <w:sz w:val="22"/>
          <w:szCs w:val="22"/>
        </w:rPr>
        <w:t>Contributors include, but are not limited to:</w:t>
      </w:r>
    </w:p>
    <w:p>
      <w:pPr>
        <w:pStyle w:val="Normal"/>
        <w:ind w:left="720" w:hanging="360"/>
      </w:pPr>
      <w:r>
        <w:rPr>
          <w:rFonts w:ascii="Times New Roman" w:hAnsi="Times New Roman" w:eastAsia="Times New Roman" w:cs="Times New Roman"/>
          <w:color w:val="1A1A1A"/>
          <w:sz w:val="22"/>
          <w:szCs w:val="22"/>
        </w:rPr>
        <w:t xml:space="preserve">•  Sovereign wealth funds of Gulf Cooperation Council (GCC) states</w:t>
      </w:r>
    </w:p>
    <w:p>
      <w:pPr>
        <w:pStyle w:val="Normal"/>
        <w:ind w:left="720" w:hanging="360"/>
      </w:pPr>
      <w:r>
        <w:rPr>
          <w:rFonts w:ascii="Times New Roman" w:hAnsi="Times New Roman" w:eastAsia="Times New Roman" w:cs="Times New Roman"/>
          <w:color w:val="1A1A1A"/>
          <w:sz w:val="22"/>
          <w:szCs w:val="22"/>
        </w:rPr>
        <w:t xml:space="preserve">•  International financial institutions (World Bank, IMF, Islamic Development Bank)</w:t>
      </w:r>
    </w:p>
    <w:p>
      <w:pPr>
        <w:pStyle w:val="Normal"/>
        <w:ind w:left="720" w:hanging="360"/>
      </w:pPr>
      <w:r>
        <w:rPr>
          <w:rFonts w:ascii="Times New Roman" w:hAnsi="Times New Roman" w:eastAsia="Times New Roman" w:cs="Times New Roman"/>
          <w:color w:val="1A1A1A"/>
          <w:sz w:val="22"/>
          <w:szCs w:val="22"/>
        </w:rPr>
        <w:t xml:space="preserve">•  Regional development funds (Asian Infrastructure Investment Bank, European Bank for Reconstruction and Development)</w:t>
      </w:r>
    </w:p>
    <w:p>
      <w:pPr>
        <w:pStyle w:val="Normal"/>
        <w:ind w:left="720" w:hanging="360"/>
      </w:pPr>
      <w:r>
        <w:rPr>
          <w:rFonts w:ascii="Times New Roman" w:hAnsi="Times New Roman" w:eastAsia="Times New Roman" w:cs="Times New Roman"/>
          <w:color w:val="1A1A1A"/>
          <w:sz w:val="22"/>
          <w:szCs w:val="22"/>
        </w:rPr>
        <w:t xml:space="preserve">•  Private investors (infrastructure funds, pension funds, insurance companies)</w:t>
      </w:r>
    </w:p>
    <w:p>
      <w:pPr>
        <w:pStyle w:val="Normal"/>
        <w:ind w:left="720" w:hanging="360"/>
      </w:pPr>
      <w:r>
        <w:rPr>
          <w:rFonts w:ascii="Times New Roman" w:hAnsi="Times New Roman" w:eastAsia="Times New Roman" w:cs="Times New Roman"/>
          <w:color w:val="1A1A1A"/>
          <w:sz w:val="22"/>
          <w:szCs w:val="22"/>
        </w:rPr>
        <w:t xml:space="preserve">•  Humanitarian organizations (UN OCHA, ICRC, WHO)</w:t>
      </w:r>
    </w:p>
    <w:p>
      <w:pPr>
        <w:pStyle w:val="Normal"/>
        <w:ind w:left="720" w:hanging="360"/>
      </w:pPr>
      <w:r>
        <w:rPr>
          <w:rFonts w:ascii="Times New Roman" w:hAnsi="Times New Roman" w:eastAsia="Times New Roman" w:cs="Times New Roman"/>
          <w:color w:val="1A1A1A"/>
          <w:sz w:val="22"/>
          <w:szCs w:val="22"/>
        </w:rPr>
        <w:t xml:space="preserve">•  Bilateral donors (EU member states, China, Russia, India, Japan, South Korea)</w:t>
      </w:r>
    </w:p>
    <w:p>
      <w:pPr>
        <w:pStyle w:val="Heading2"/>
      </w:pPr>
      <w:r>
        <w:rPr>
          <w:rFonts w:ascii="Times New Roman" w:hAnsi="Times New Roman" w:eastAsia="Times New Roman" w:cs="Times New Roman"/>
          <w:b/>
          <w:color w:val="2E5A6B"/>
          <w:sz w:val="24"/>
          <w:szCs w:val="24"/>
        </w:rPr>
        <w:t>1.4 Neutral Escrow Agent</w:t>
      </w:r>
    </w:p>
    <w:p>
      <w:pPr>
        <w:pStyle w:val="Normal"/>
      </w:pPr>
      <w:r>
        <w:rPr>
          <w:rFonts w:ascii="Times New Roman" w:hAnsi="Times New Roman" w:eastAsia="Times New Roman" w:cs="Times New Roman"/>
          <w:color w:val="1A1A1A"/>
          <w:sz w:val="22"/>
          <w:szCs w:val="22"/>
        </w:rPr>
        <w:t>The State of Qatar, acting through the Qatar Central Bank, serves as the primary escrow agent for the MRF. The World Bank exercises a strictly technical and non-political fiduciary role. The World Bank conducts verification and audit functions only. The World Bank exercises no political discretion over project selection or disbursement.</w:t>
      </w:r>
    </w:p>
    <w:p>
      <w:pPr>
        <w:pStyle w:val="Heading2"/>
      </w:pPr>
      <w:r>
        <w:rPr>
          <w:rFonts w:ascii="Times New Roman" w:hAnsi="Times New Roman" w:eastAsia="Times New Roman" w:cs="Times New Roman"/>
          <w:b/>
          <w:color w:val="2E5A6B"/>
          <w:sz w:val="24"/>
          <w:szCs w:val="24"/>
        </w:rPr>
        <w:t>1.5 Project Proposal</w:t>
      </w:r>
    </w:p>
    <w:p>
      <w:pPr>
        <w:pStyle w:val="Normal"/>
      </w:pPr>
      <w:r>
        <w:rPr>
          <w:rFonts w:ascii="Times New Roman" w:hAnsi="Times New Roman" w:eastAsia="Times New Roman" w:cs="Times New Roman"/>
          <w:color w:val="1A1A1A"/>
          <w:sz w:val="22"/>
          <w:szCs w:val="22"/>
        </w:rPr>
        <w:t>A detailed submission by Iran to a specific Sub-Fund, containing:</w:t>
      </w:r>
    </w:p>
    <w:p>
      <w:pPr>
        <w:ind w:left="720" w:hanging="360"/>
      </w:pPr>
      <w:r>
        <w:t>•  Project description and scope</w:t>
      </w:r>
    </w:p>
    <w:p>
      <w:pPr>
        <w:ind w:left="720" w:hanging="360"/>
      </w:pPr>
      <w:r>
        <w:t>•  Estimated cost and timeline</w:t>
      </w:r>
    </w:p>
    <w:p>
      <w:pPr>
        <w:ind w:left="720" w:hanging="360"/>
      </w:pPr>
      <w:r>
        <w:t>•  Technical feasibility study</w:t>
      </w:r>
    </w:p>
    <w:p>
      <w:pPr>
        <w:ind w:left="720" w:hanging="360"/>
      </w:pPr>
      <w:r>
        <w:t>•  Environmental and social impact assessment</w:t>
      </w:r>
    </w:p>
    <w:p>
      <w:pPr>
        <w:ind w:left="720" w:hanging="360"/>
      </w:pPr>
      <w:r>
        <w:t>•  Procurement plan</w:t>
      </w:r>
    </w:p>
    <w:p>
      <w:pPr>
        <w:ind w:left="720" w:hanging="360"/>
      </w:pPr>
      <w:r>
        <w:t>•  Verification milestones</w:t>
      </w:r>
    </w:p>
    <w:p>
      <w:pPr>
        <w:pStyle w:val="Heading2"/>
      </w:pPr>
      <w:r>
        <w:t>1.6 Verification Milestone</w:t>
      </w:r>
    </w:p>
    <w:p>
      <w:r>
        <w:t>A specific, objectively verifiable event in a project's implementation, such as:</w:t>
      </w:r>
    </w:p>
    <w:p>
      <w:pPr>
        <w:ind w:left="720" w:hanging="360"/>
      </w:pPr>
      <w:r>
        <w:t>•  Procurement completion</w:t>
      </w:r>
    </w:p>
    <w:p>
      <w:pPr>
        <w:ind w:left="720" w:hanging="360"/>
      </w:pPr>
      <w:r>
        <w:t>•  Construction commencement</w:t>
      </w:r>
    </w:p>
    <w:p>
      <w:pPr>
        <w:ind w:left="720" w:hanging="360"/>
      </w:pPr>
      <w:r>
        <w:t>•  Phase completion (e.g., 25%, 50%, 75%)</w:t>
      </w:r>
    </w:p>
    <w:p>
      <w:pPr>
        <w:ind w:left="720" w:hanging="360"/>
      </w:pPr>
      <w:r>
        <w:t>•  Operational handover</w:t>
      </w:r>
    </w:p>
    <w:p>
      <w:pPr>
        <w:ind w:left="720" w:hanging="360"/>
      </w:pPr>
      <w:r>
        <w:t>•  Independent audit certification</w:t>
      </w:r>
    </w:p>
    <w:p>
      <w:pPr>
        <w:pStyle w:val="Heading2"/>
      </w:pPr>
      <w:r>
        <w:t>1.7 Reconstruction Steering Committee (RSC)</w:t>
      </w:r>
    </w:p>
    <w:p>
      <w:r>
        <w:t>The central oversight body for the MRF, comprising representatives of:</w:t>
      </w:r>
    </w:p>
    <w:p>
      <w:pPr>
        <w:ind w:left="720" w:hanging="360"/>
      </w:pPr>
      <w:r>
        <w:t>•  Iran (2 representatives -- AEOI or Ministry of Economy)</w:t>
      </w:r>
    </w:p>
    <w:p>
      <w:pPr>
        <w:ind w:left="720" w:hanging="360"/>
      </w:pPr>
      <w:r>
        <w:t>•  Qatar (1 representative -- Escrow Agent)</w:t>
      </w:r>
    </w:p>
    <w:p>
      <w:pPr>
        <w:ind w:left="720" w:hanging="360"/>
      </w:pPr>
      <w:r>
        <w:t>•  World Bank (1 representative -- Fiduciary Administrator)</w:t>
      </w:r>
    </w:p>
    <w:p>
      <w:pPr>
        <w:ind w:left="720" w:hanging="360"/>
      </w:pPr>
      <w:r>
        <w:t>•  GCC (1 representative -- rotating chair)</w:t>
      </w:r>
    </w:p>
    <w:p>
      <w:pPr>
        <w:ind w:left="720" w:hanging="360"/>
      </w:pPr>
      <w:r>
        <w:t>•  United States (1 representative -- observer, no vote)</w:t>
      </w:r>
    </w:p>
    <w:p>
      <w:pPr>
        <w:ind w:left="720" w:hanging="360"/>
      </w:pPr>
      <w:r>
        <w:t>•  China (1 representative -- observer, no vote)</w:t>
      </w:r>
    </w:p>
    <w:p>
      <w:pPr>
        <w:ind w:left="720" w:hanging="360"/>
      </w:pPr>
      <w:r>
        <w:t>•  EU (1 representative -- observer, no vote)</w:t>
      </w:r>
    </w:p>
    <w:p>
      <w:r>
        <w:t>The RSC approves project proposals, monitors progress, and authorizes disbursements. Decisions require consensus of the voting members (Iran, Qatar, World Bank, GCC).</w:t>
      </w:r>
    </w:p>
    <w:p>
      <w:pPr>
        <w:pStyle w:val="Heading2"/>
      </w:pPr>
      <w:r>
        <w:t>1.8 Technical Advisory Group (TAG)</w:t>
      </w:r>
    </w:p>
    <w:p>
      <w:r>
        <w:t>A panel of independent technical experts appointed by the World Bank to:</w:t>
      </w:r>
    </w:p>
    <w:p>
      <w:pPr>
        <w:ind w:left="720" w:hanging="360"/>
      </w:pPr>
      <w:r>
        <w:t>•  Assess the technical feasibility of Project Proposals</w:t>
      </w:r>
    </w:p>
    <w:p>
      <w:pPr>
        <w:ind w:left="720" w:hanging="360"/>
      </w:pPr>
      <w:r>
        <w:t>•  Conduct independent verification of milestone completion</w:t>
      </w:r>
    </w:p>
    <w:p>
      <w:pPr>
        <w:ind w:left="720" w:hanging="360"/>
      </w:pPr>
      <w:r>
        <w:t>•  Provide technical guidance to the RSC</w:t>
      </w:r>
    </w:p>
    <w:p>
      <w:pPr>
        <w:pStyle w:val="Heading1"/>
      </w:pPr>
      <w:r>
        <w:t>Article 2: Capital Aggregation and Escrow</w:t>
      </w:r>
      <w:bookmarkStart w:name="_Toc003" w:id="3"/>
      <w:bookmarkEnd w:id="3"/>
    </w:p>
    <w:p>
      <w:pPr>
        <w:pStyle w:val="Heading2"/>
      </w:pPr>
      <w:r>
        <w:t>2.1 Pledge and Deposit Mechanism</w:t>
      </w:r>
    </w:p>
    <w:p>
      <w:r>
        <w:t>Contributors pledge funds to specific Sub-Funds. Pledges are non-binding until deposited. Deposits flow directly from contributors to the MRF escrow account at the Qatar Central Bank. No contribution passes through the United States or any U.S.-controlled financial institution.</w:t>
      </w:r>
    </w:p>
    <w:p>
      <w:pPr>
        <w:pStyle w:val="Heading2"/>
      </w:pPr>
      <w:r>
        <w:t>2.2 Contribution Tiers</w:t>
      </w:r>
    </w:p>
    <w:p>
      <w:r>
        <w:t>The framework recognizes the following contribution tiers:</w:t>
      </w:r>
    </w:p>
    <w:tbl>
      <w:tblPr>
        <w:tblW w:w="5000" w:type="pct"/>
        <w:tblBorders>
          <w:top w:val="single" w:color="1B3A4B" w:sz="12"/>
          <w:left w:val="nil"/>
          <w:bottom w:val="single" w:color="1B3A4B" w:sz="12"/>
          <w:right w:val="nil"/>
          <w:insideH w:val="single" w:color="b0b0b0" w:sz="4"/>
          <w:insideV w:val="nil"/>
        </w:tblBorders>
      </w:tblPr>
      <w:tblGrid>
        <w:gridCol w:w="1400"/>
        <w:gridCol w:w="2800"/>
        <w:gridCol w:w="2000"/>
        <w:gridCol w:w="2800"/>
      </w:tblGrid>
      <w:tr>
        <w:trPr>
          <w:tblHeader/>
        </w:trPr>
        <w:tc>
          <w:tcPr>
            <w:tcW w:w="1400" w:type="dxa"/>
            <w:shd w:val="clear" w:fill="E8EEF2"/>
          </w:tcPr>
          <w:p>
            <w:pPr>
              <w:spacing w:before="60" w:after="60"/>
              <w:jc w:val="center"/>
            </w:pPr>
            <w:r>
              <w:rPr>
                <w:b/>
                <w:color w:val="1a1a1a"/>
                <w:sz w:val="20"/>
              </w:rPr>
              <w:t>Tier</w:t>
            </w:r>
          </w:p>
        </w:tc>
        <w:tc>
          <w:tcPr>
            <w:tcW w:w="2800" w:type="dxa"/>
            <w:shd w:val="clear" w:fill="E8EEF2"/>
          </w:tcPr>
          <w:p>
            <w:pPr>
              <w:spacing w:before="60" w:after="60"/>
              <w:jc w:val="center"/>
            </w:pPr>
            <w:r>
              <w:rPr>
                <w:b/>
                <w:color w:val="1a1a1a"/>
                <w:sz w:val="20"/>
              </w:rPr>
              <w:t>Contributor Type</w:t>
            </w:r>
          </w:p>
        </w:tc>
        <w:tc>
          <w:tcPr>
            <w:tcW w:w="2000" w:type="dxa"/>
            <w:shd w:val="clear" w:fill="E8EEF2"/>
          </w:tcPr>
          <w:p>
            <w:pPr>
              <w:spacing w:before="60" w:after="60"/>
              <w:jc w:val="center"/>
            </w:pPr>
            <w:r>
              <w:rPr>
                <w:b/>
                <w:color w:val="1a1a1a"/>
                <w:sz w:val="20"/>
              </w:rPr>
              <w:t>Typical Amount</w:t>
            </w:r>
          </w:p>
        </w:tc>
        <w:tc>
          <w:tcPr>
            <w:tcW w:w="2800" w:type="dxa"/>
            <w:shd w:val="clear" w:fill="E8EEF2"/>
          </w:tcPr>
          <w:p>
            <w:pPr>
              <w:spacing w:before="60" w:after="60"/>
              <w:jc w:val="center"/>
            </w:pPr>
            <w:r>
              <w:rPr>
                <w:b/>
                <w:color w:val="1a1a1a"/>
                <w:sz w:val="20"/>
              </w:rPr>
              <w:t>Example</w:t>
            </w:r>
          </w:p>
        </w:tc>
      </w:tr>
      <w:tr>
        <w:tc>
          <w:tcPr>
            <w:tcW w:w="1400" w:type="dxa"/>
          </w:tcPr>
          <w:p>
            <w:pPr>
              <w:spacing w:before="40" w:after="40"/>
            </w:pPr>
            <w:r>
              <w:rPr>
                <w:color w:val="1a1a1a"/>
                <w:sz w:val="20"/>
              </w:rPr>
              <w:t>Anchor</w:t>
            </w:r>
          </w:p>
        </w:tc>
        <w:tc>
          <w:tcPr>
            <w:tcW w:w="2800" w:type="dxa"/>
          </w:tcPr>
          <w:p>
            <w:pPr>
              <w:spacing w:before="40" w:after="40"/>
            </w:pPr>
            <w:r>
              <w:rPr>
                <w:color w:val="1a1a1a"/>
                <w:sz w:val="20"/>
              </w:rPr>
              <w:t>GCC sovereign wealth funds, World Bank, Islamic Development Bank</w:t>
            </w:r>
          </w:p>
        </w:tc>
        <w:tc>
          <w:tcPr>
            <w:tcW w:w="2000" w:type="dxa"/>
          </w:tcPr>
          <w:p>
            <w:pPr>
              <w:spacing w:before="40" w:after="40"/>
            </w:pPr>
            <w:r>
              <w:rPr>
                <w:color w:val="1a1a1a"/>
                <w:sz w:val="20"/>
              </w:rPr>
              <w:t>$5B+</w:t>
            </w:r>
          </w:p>
        </w:tc>
        <w:tc>
          <w:tcPr>
            <w:tcW w:w="2800" w:type="dxa"/>
          </w:tcPr>
          <w:p>
            <w:pPr>
              <w:spacing w:before="40" w:after="40"/>
            </w:pPr>
            <w:r>
              <w:rPr>
                <w:color w:val="1a1a1a"/>
                <w:sz w:val="20"/>
              </w:rPr>
              <w:t>Qatar Investment Authority, Saudi PIF, UAE ADIA</w:t>
            </w:r>
          </w:p>
        </w:tc>
      </w:tr>
      <w:tr>
        <w:tc>
          <w:tcPr>
            <w:tcW w:w="1400" w:type="dxa"/>
          </w:tcPr>
          <w:p>
            <w:pPr>
              <w:spacing w:before="40" w:after="40"/>
            </w:pPr>
            <w:r>
              <w:rPr>
                <w:color w:val="1a1a1a"/>
                <w:sz w:val="20"/>
              </w:rPr>
              <w:t>Major</w:t>
            </w:r>
          </w:p>
        </w:tc>
        <w:tc>
          <w:tcPr>
            <w:tcW w:w="2800" w:type="dxa"/>
          </w:tcPr>
          <w:p>
            <w:pPr>
              <w:spacing w:before="40" w:after="40"/>
            </w:pPr>
            <w:r>
              <w:rPr>
                <w:color w:val="1a1a1a"/>
                <w:sz w:val="20"/>
              </w:rPr>
              <w:t>Regional development banks, EU member states, China, Russia</w:t>
            </w:r>
          </w:p>
        </w:tc>
        <w:tc>
          <w:tcPr>
            <w:tcW w:w="2000" w:type="dxa"/>
          </w:tcPr>
          <w:p>
            <w:pPr>
              <w:spacing w:before="40" w:after="40"/>
            </w:pPr>
            <w:r>
              <w:rPr>
                <w:color w:val="1a1a1a"/>
                <w:sz w:val="20"/>
              </w:rPr>
              <w:t>$1B-$5B</w:t>
            </w:r>
          </w:p>
        </w:tc>
        <w:tc>
          <w:tcPr>
            <w:tcW w:w="2800" w:type="dxa"/>
          </w:tcPr>
          <w:p>
            <w:pPr>
              <w:spacing w:before="40" w:after="40"/>
            </w:pPr>
            <w:r>
              <w:rPr>
                <w:color w:val="1a1a1a"/>
                <w:sz w:val="20"/>
              </w:rPr>
              <w:t>AIIB, EBRD, Germany, Japan</w:t>
            </w:r>
          </w:p>
        </w:tc>
      </w:tr>
      <w:tr>
        <w:tc>
          <w:tcPr>
            <w:tcW w:w="1400" w:type="dxa"/>
          </w:tcPr>
          <w:p>
            <w:pPr>
              <w:spacing w:before="40" w:after="40"/>
            </w:pPr>
            <w:r>
              <w:rPr>
                <w:color w:val="1a1a1a"/>
                <w:sz w:val="20"/>
              </w:rPr>
              <w:t>Supporting</w:t>
            </w:r>
          </w:p>
        </w:tc>
        <w:tc>
          <w:tcPr>
            <w:tcW w:w="2800" w:type="dxa"/>
          </w:tcPr>
          <w:p>
            <w:pPr>
              <w:spacing w:before="40" w:after="40"/>
            </w:pPr>
            <w:r>
              <w:rPr>
                <w:color w:val="1a1a1a"/>
                <w:sz w:val="20"/>
              </w:rPr>
              <w:t>Private investors, pension funds, insurance companies</w:t>
            </w:r>
          </w:p>
        </w:tc>
        <w:tc>
          <w:tcPr>
            <w:tcW w:w="2000" w:type="dxa"/>
          </w:tcPr>
          <w:p>
            <w:pPr>
              <w:spacing w:before="40" w:after="40"/>
            </w:pPr>
            <w:r>
              <w:rPr>
                <w:color w:val="1a1a1a"/>
                <w:sz w:val="20"/>
              </w:rPr>
              <w:t>$100M-$1B</w:t>
            </w:r>
          </w:p>
        </w:tc>
        <w:tc>
          <w:tcPr>
            <w:tcW w:w="2800" w:type="dxa"/>
          </w:tcPr>
          <w:p>
            <w:pPr>
              <w:spacing w:before="40" w:after="40"/>
            </w:pPr>
            <w:r>
              <w:rPr>
                <w:color w:val="1a1a1a"/>
                <w:sz w:val="20"/>
              </w:rPr>
              <w:t>Infrastructure funds, sovereign-backed insurers</w:t>
            </w:r>
          </w:p>
        </w:tc>
      </w:tr>
      <w:tr>
        <w:tc>
          <w:tcPr>
            <w:tcW w:w="1400" w:type="dxa"/>
          </w:tcPr>
          <w:p>
            <w:pPr>
              <w:spacing w:before="40" w:after="40"/>
            </w:pPr>
            <w:r>
              <w:rPr>
                <w:color w:val="1a1a1a"/>
                <w:sz w:val="20"/>
              </w:rPr>
              <w:t>Humanitarian</w:t>
            </w:r>
          </w:p>
        </w:tc>
        <w:tc>
          <w:tcPr>
            <w:tcW w:w="2800" w:type="dxa"/>
          </w:tcPr>
          <w:p>
            <w:pPr>
              <w:spacing w:before="40" w:after="40"/>
            </w:pPr>
            <w:r>
              <w:rPr>
                <w:color w:val="1a1a1a"/>
                <w:sz w:val="20"/>
              </w:rPr>
              <w:t>UN agencies, ICRC, bilateral humanitarian offices</w:t>
            </w:r>
          </w:p>
        </w:tc>
        <w:tc>
          <w:tcPr>
            <w:tcW w:w="2000" w:type="dxa"/>
          </w:tcPr>
          <w:p>
            <w:pPr>
              <w:spacing w:before="40" w:after="40"/>
            </w:pPr>
            <w:r>
              <w:rPr>
                <w:color w:val="1a1a1a"/>
                <w:sz w:val="20"/>
              </w:rPr>
              <w:t>$50M-$500M</w:t>
            </w:r>
          </w:p>
        </w:tc>
        <w:tc>
          <w:tcPr>
            <w:tcW w:w="2800" w:type="dxa"/>
          </w:tcPr>
          <w:p>
            <w:pPr>
              <w:spacing w:before="40" w:after="40"/>
            </w:pPr>
            <w:r>
              <w:rPr>
                <w:color w:val="1a1a1a"/>
                <w:sz w:val="20"/>
              </w:rPr>
              <w:t>UN OCHA, WHO, WFP, USAID (technical only)</w:t>
            </w:r>
          </w:p>
        </w:tc>
      </w:tr>
    </w:tbl>
    <w:p>
      <w:pPr>
        <w:pStyle w:val="Heading2"/>
      </w:pPr>
      <w:r>
        <w:t>2.3 U.S. Participation (Non-Cash)</w:t>
      </w:r>
    </w:p>
    <w:p>
      <w:r>
        <w:t>The United States contributes to the MRF exclusively through:</w:t>
      </w:r>
    </w:p>
    <w:p>
      <w:pPr>
        <w:ind w:left="720" w:hanging="360"/>
      </w:pPr>
      <w:r>
        <w:t>•  Technical assistance: Project identification, feasibility studies, engineering expertise</w:t>
      </w:r>
    </w:p>
    <w:p>
      <w:pPr>
        <w:ind w:left="720" w:hanging="360"/>
      </w:pPr>
      <w:r>
        <w:t>•  Capacity building: Training for Iranian procurement and project management officials</w:t>
      </w:r>
    </w:p>
    <w:p>
      <w:pPr>
        <w:ind w:left="720" w:hanging="360"/>
      </w:pPr>
      <w:r>
        <w:t>•  Regulatory facilitation: OFAC general licenses for MRF transactions</w:t>
      </w:r>
    </w:p>
    <w:p>
      <w:pPr>
        <w:ind w:left="720" w:hanging="360"/>
      </w:pPr>
      <w:r>
        <w:t>•  Diplomatic support: Encouraging third-party contributions</w:t>
      </w:r>
    </w:p>
    <w:p>
      <w:r>
        <w:t>The United States does not contribute direct cash to the MRF. This explicitly addresses the political impossibility of direct U.S. financial aid.</w:t>
      </w:r>
    </w:p>
    <w:p>
      <w:pPr>
        <w:pStyle w:val="Heading2"/>
      </w:pPr>
      <w:r>
        <w:t>2.4 Sanctions Firewall</w:t>
      </w:r>
    </w:p>
    <w:p>
      <w:r>
        <w:t>All MRF transactions are explicitly exempt from U.S. secondary sanctions. OFAC issues a general license covering:</w:t>
      </w:r>
    </w:p>
    <w:p>
      <w:pPr>
        <w:ind w:left="720" w:hanging="360"/>
      </w:pPr>
      <w:r>
        <w:t>•  All contributions to the MRF</w:t>
      </w:r>
    </w:p>
    <w:p>
      <w:pPr>
        <w:ind w:left="720" w:hanging="360"/>
      </w:pPr>
      <w:r>
        <w:t>•  All disbursements from the MRF to Iranian project implementers</w:t>
      </w:r>
    </w:p>
    <w:p>
      <w:pPr>
        <w:ind w:left="720" w:hanging="360"/>
      </w:pPr>
      <w:r>
        <w:t>•  All procurement contracts funded by the MRF</w:t>
      </w:r>
    </w:p>
    <w:p>
      <w:pPr>
        <w:ind w:left="720" w:hanging="360"/>
      </w:pPr>
      <w:r>
        <w:t>•  All banking transactions associated with MRF activities</w:t>
      </w:r>
    </w:p>
    <w:p>
      <w:r>
        <w:t>This firewall ensures that financial institutions, contractors, and suppliers participate in MRF-funded projects without fear of U.S. sanctions exposure.</w:t>
      </w:r>
    </w:p>
    <w:p>
      <w:pPr>
        <w:pStyle w:val="Heading1"/>
      </w:pPr>
      <w:r>
        <w:t>Article 3: Project Proposal and Approval Process</w:t>
      </w:r>
      <w:bookmarkStart w:name="_Toc004" w:id="4"/>
      <w:bookmarkEnd w:id="4"/>
    </w:p>
    <w:p>
      <w:pPr>
        <w:pStyle w:val="Heading2"/>
      </w:pPr>
      <w:r>
        <w:t>3.1 Iranian Project Submission</w:t>
      </w:r>
    </w:p>
    <w:p>
      <w:pPr>
        <w:pStyle w:val="Normal"/>
      </w:pPr>
      <w:r>
        <w:rPr>
          <w:rFonts w:ascii="Times New Roman" w:hAnsi="Times New Roman" w:eastAsia="Times New Roman" w:cs="Times New Roman"/>
          <w:color w:val="1A1A1A"/>
          <w:sz w:val="22"/>
          <w:szCs w:val="22"/>
        </w:rPr>
        <w:t>Iran submits Project Proposals to the appropriate Sub-Fund through the RSC secretariat. Proposals include:</w:t>
      </w:r>
    </w:p>
    <w:p>
      <w:pPr>
        <w:pStyle w:val="Normal"/>
        <w:ind w:left="720" w:hanging="360"/>
      </w:pPr>
      <w:r>
        <w:rPr>
          <w:rFonts w:ascii="Times New Roman" w:hAnsi="Times New Roman" w:eastAsia="Times New Roman" w:cs="Times New Roman"/>
          <w:color w:val="1A1A1A"/>
          <w:sz w:val="22"/>
          <w:szCs w:val="22"/>
        </w:rPr>
        <w:t xml:space="preserve">•  Sector and Sub-Fund designation</w:t>
      </w:r>
    </w:p>
    <w:p>
      <w:pPr>
        <w:pStyle w:val="Normal"/>
        <w:ind w:left="720" w:hanging="360"/>
      </w:pPr>
      <w:r>
        <w:rPr>
          <w:rFonts w:ascii="Times New Roman" w:hAnsi="Times New Roman" w:eastAsia="Times New Roman" w:cs="Times New Roman"/>
          <w:color w:val="1A1A1A"/>
          <w:sz w:val="22"/>
          <w:szCs w:val="22"/>
        </w:rPr>
        <w:t xml:space="preserve">•  Project description and objectives</w:t>
      </w:r>
    </w:p>
    <w:p>
      <w:pPr>
        <w:pStyle w:val="Normal"/>
        <w:ind w:left="720" w:hanging="360"/>
      </w:pPr>
      <w:r>
        <w:rPr>
          <w:rFonts w:ascii="Times New Roman" w:hAnsi="Times New Roman" w:eastAsia="Times New Roman" w:cs="Times New Roman"/>
          <w:color w:val="1A1A1A"/>
          <w:sz w:val="22"/>
          <w:szCs w:val="22"/>
        </w:rPr>
        <w:t xml:space="preserve">•  Estimated cost and funding request</w:t>
      </w:r>
    </w:p>
    <w:p>
      <w:pPr>
        <w:pStyle w:val="Normal"/>
        <w:ind w:left="720" w:hanging="360"/>
      </w:pPr>
      <w:r>
        <w:rPr>
          <w:rFonts w:ascii="Times New Roman" w:hAnsi="Times New Roman" w:eastAsia="Times New Roman" w:cs="Times New Roman"/>
          <w:color w:val="1A1A1A"/>
          <w:sz w:val="22"/>
          <w:szCs w:val="22"/>
        </w:rPr>
        <w:t xml:space="preserve">•  Detailed timeline with Verification Milestones</w:t>
      </w:r>
    </w:p>
    <w:p>
      <w:pPr>
        <w:pStyle w:val="Normal"/>
        <w:ind w:left="720" w:hanging="360"/>
      </w:pPr>
      <w:r>
        <w:rPr>
          <w:rFonts w:ascii="Times New Roman" w:hAnsi="Times New Roman" w:eastAsia="Times New Roman" w:cs="Times New Roman"/>
          <w:color w:val="1A1A1A"/>
          <w:sz w:val="22"/>
          <w:szCs w:val="22"/>
        </w:rPr>
        <w:t xml:space="preserve">•  Technical feasibility study</w:t>
      </w:r>
    </w:p>
    <w:p>
      <w:pPr>
        <w:pStyle w:val="Normal"/>
        <w:ind w:left="720" w:hanging="360"/>
      </w:pPr>
      <w:r>
        <w:rPr>
          <w:rFonts w:ascii="Times New Roman" w:hAnsi="Times New Roman" w:eastAsia="Times New Roman" w:cs="Times New Roman"/>
          <w:color w:val="1A1A1A"/>
          <w:sz w:val="22"/>
          <w:szCs w:val="22"/>
        </w:rPr>
        <w:t xml:space="preserve">•  Environmental and social impact assessment</w:t>
      </w:r>
    </w:p>
    <w:p>
      <w:pPr>
        <w:pStyle w:val="Normal"/>
        <w:ind w:left="720" w:hanging="360"/>
      </w:pPr>
      <w:r>
        <w:rPr>
          <w:rFonts w:ascii="Times New Roman" w:hAnsi="Times New Roman" w:eastAsia="Times New Roman" w:cs="Times New Roman"/>
          <w:color w:val="1A1A1A"/>
          <w:sz w:val="22"/>
          <w:szCs w:val="22"/>
        </w:rPr>
        <w:t xml:space="preserve">•  Procurement plan (including proposed contractors and suppliers)</w:t>
      </w:r>
    </w:p>
    <w:p>
      <w:pPr>
        <w:pStyle w:val="Normal"/>
        <w:ind w:left="720" w:hanging="360"/>
      </w:pPr>
      <w:r>
        <w:rPr>
          <w:rFonts w:ascii="Times New Roman" w:hAnsi="Times New Roman" w:eastAsia="Times New Roman" w:cs="Times New Roman"/>
          <w:color w:val="1A1A1A"/>
          <w:sz w:val="22"/>
          <w:szCs w:val="22"/>
        </w:rPr>
        <w:t xml:space="preserve">•  Independent audit plan</w:t>
      </w:r>
    </w:p>
    <w:p>
      <w:pPr>
        <w:pStyle w:val="Heading2"/>
      </w:pPr>
      <w:r>
        <w:rPr>
          <w:rFonts w:ascii="Times New Roman" w:hAnsi="Times New Roman" w:eastAsia="Times New Roman" w:cs="Times New Roman"/>
          <w:b/>
          <w:color w:val="2E5A6B"/>
          <w:sz w:val="24"/>
          <w:szCs w:val="24"/>
        </w:rPr>
        <w:t>3.2 Technical Advisory Group Review</w:t>
      </w:r>
    </w:p>
    <w:p>
      <w:pPr>
        <w:pStyle w:val="Normal"/>
      </w:pPr>
      <w:r>
        <w:rPr>
          <w:rFonts w:ascii="Times New Roman" w:hAnsi="Times New Roman" w:eastAsia="Times New Roman" w:cs="Times New Roman"/>
          <w:color w:val="1A1A1A"/>
          <w:sz w:val="22"/>
          <w:szCs w:val="22"/>
        </w:rPr>
        <w:t>Upon submission, the Technical Advisory Group (TAG) conducts a preliminary technical review within 30 days. The TAG assesses:</w:t>
      </w:r>
    </w:p>
    <w:p>
      <w:pPr>
        <w:pStyle w:val="Normal"/>
        <w:ind w:left="720" w:hanging="360"/>
      </w:pPr>
      <w:r>
        <w:rPr>
          <w:rFonts w:ascii="Times New Roman" w:hAnsi="Times New Roman" w:eastAsia="Times New Roman" w:cs="Times New Roman"/>
          <w:color w:val="1A1A1A"/>
          <w:sz w:val="22"/>
          <w:szCs w:val="22"/>
        </w:rPr>
        <w:t xml:space="preserve">•  Technical feasibility and soundness</w:t>
      </w:r>
    </w:p>
    <w:p>
      <w:pPr>
        <w:pStyle w:val="Normal"/>
        <w:ind w:left="720" w:hanging="360"/>
      </w:pPr>
      <w:r>
        <w:rPr>
          <w:rFonts w:ascii="Times New Roman" w:hAnsi="Times New Roman" w:eastAsia="Times New Roman" w:cs="Times New Roman"/>
          <w:color w:val="1A1A1A"/>
          <w:sz w:val="22"/>
          <w:szCs w:val="22"/>
        </w:rPr>
        <w:t xml:space="preserve">•  Environmental and social safeguards compliance</w:t>
      </w:r>
    </w:p>
    <w:p>
      <w:pPr>
        <w:pStyle w:val="Normal"/>
        <w:ind w:left="720" w:hanging="360"/>
      </w:pPr>
      <w:r>
        <w:rPr>
          <w:rFonts w:ascii="Times New Roman" w:hAnsi="Times New Roman" w:eastAsia="Times New Roman" w:cs="Times New Roman"/>
          <w:color w:val="1A1A1A"/>
          <w:sz w:val="22"/>
          <w:szCs w:val="22"/>
        </w:rPr>
        <w:t xml:space="preserve">•  Cost realism and value for money</w:t>
      </w:r>
    </w:p>
    <w:p>
      <w:pPr>
        <w:pStyle w:val="Normal"/>
        <w:ind w:left="720" w:hanging="360"/>
      </w:pPr>
      <w:r>
        <w:rPr>
          <w:rFonts w:ascii="Times New Roman" w:hAnsi="Times New Roman" w:eastAsia="Times New Roman" w:cs="Times New Roman"/>
          <w:color w:val="1A1A1A"/>
          <w:sz w:val="22"/>
          <w:szCs w:val="22"/>
        </w:rPr>
        <w:t xml:space="preserve">•  Alignment with Sub-Fund objectives</w:t>
      </w:r>
    </w:p>
    <w:p>
      <w:pPr>
        <w:pStyle w:val="Normal"/>
      </w:pPr>
      <w:r>
        <w:rPr>
          <w:rFonts w:ascii="Times New Roman" w:hAnsi="Times New Roman" w:eastAsia="Times New Roman" w:cs="Times New Roman"/>
          <w:color w:val="1A1A1A"/>
          <w:sz w:val="22"/>
          <w:szCs w:val="22"/>
        </w:rPr>
        <w:t>The TAG provides a written recommendation to the RSC. If the TAG identifies deficiencies, Iran has 30 days to revise and resubmit.</w:t>
      </w:r>
    </w:p>
    <w:p>
      <w:pPr>
        <w:pStyle w:val="Heading2"/>
      </w:pPr>
      <w:r>
        <w:rPr>
          <w:rFonts w:ascii="Times New Roman" w:hAnsi="Times New Roman" w:eastAsia="Times New Roman" w:cs="Times New Roman"/>
          <w:b/>
          <w:color w:val="2E5A6B"/>
          <w:sz w:val="24"/>
          <w:szCs w:val="24"/>
        </w:rPr>
        <w:t>3.3 RSC Review and Approval</w:t>
      </w:r>
    </w:p>
    <w:p>
      <w:pPr>
        <w:pStyle w:val="Normal"/>
      </w:pPr>
      <w:r>
        <w:rPr>
          <w:rFonts w:ascii="Times New Roman" w:hAnsi="Times New Roman" w:eastAsia="Times New Roman" w:cs="Times New Roman"/>
          <w:color w:val="1A1A1A"/>
          <w:sz w:val="22"/>
          <w:szCs w:val="22"/>
        </w:rPr>
        <w:t>The RSC reviews each Project Proposal within 60 days of TAG recommendation. Approval requires:</w:t>
      </w:r>
    </w:p>
    <w:p>
      <w:pPr>
        <w:pStyle w:val="Normal"/>
        <w:ind w:left="720" w:hanging="360"/>
      </w:pPr>
      <w:r>
        <w:rPr>
          <w:rFonts w:ascii="Times New Roman" w:hAnsi="Times New Roman" w:eastAsia="Times New Roman" w:cs="Times New Roman"/>
          <w:color w:val="1A1A1A"/>
          <w:sz w:val="22"/>
          <w:szCs w:val="22"/>
        </w:rPr>
        <w:t xml:space="preserve">•  Consensus of the voting members (Iran, Qatar, World Bank, GCC)</w:t>
      </w:r>
    </w:p>
    <w:p>
      <w:pPr>
        <w:pStyle w:val="Normal"/>
        <w:ind w:left="720" w:hanging="360"/>
      </w:pPr>
      <w:r>
        <w:rPr>
          <w:rFonts w:ascii="Times New Roman" w:hAnsi="Times New Roman" w:eastAsia="Times New Roman" w:cs="Times New Roman"/>
          <w:color w:val="1A1A1A"/>
          <w:sz w:val="22"/>
          <w:szCs w:val="22"/>
        </w:rPr>
        <w:t xml:space="preserve">•  Favorable TAG recommendation</w:t>
      </w:r>
    </w:p>
    <w:p>
      <w:pPr>
        <w:pStyle w:val="Normal"/>
        <w:ind w:left="720" w:hanging="360"/>
      </w:pPr>
      <w:r>
        <w:rPr>
          <w:rFonts w:ascii="Times New Roman" w:hAnsi="Times New Roman" w:eastAsia="Times New Roman" w:cs="Times New Roman"/>
          <w:color w:val="1A1A1A"/>
          <w:sz w:val="22"/>
          <w:szCs w:val="22"/>
        </w:rPr>
        <w:t xml:space="preserve">•  Available capital in the relevant Sub-Fund</w:t>
      </w:r>
    </w:p>
    <w:p>
      <w:pPr>
        <w:pStyle w:val="Normal"/>
      </w:pPr>
      <w:r>
        <w:rPr>
          <w:rFonts w:ascii="Times New Roman" w:hAnsi="Times New Roman" w:eastAsia="Times New Roman" w:cs="Times New Roman"/>
          <w:color w:val="1A1A1A"/>
          <w:sz w:val="22"/>
          <w:szCs w:val="22"/>
        </w:rPr>
        <w:t>If the RSC fails to reach consensus on a Project Proposal within 60 days of submission, the matter refers to the Guarantor Matrix for mediation. The Guarantor Matrix issues a non-binding recommendation within 30 days. The RSC reconsiders the proposal in light of the recommendation.</w:t>
      </w:r>
    </w:p>
    <w:p>
      <w:pPr>
        <w:pStyle w:val="Normal"/>
      </w:pPr>
      <w:r>
        <w:rPr>
          <w:rFonts w:ascii="Times New Roman" w:hAnsi="Times New Roman" w:eastAsia="Times New Roman" w:cs="Times New Roman"/>
          <w:color w:val="1A1A1A"/>
          <w:sz w:val="22"/>
          <w:szCs w:val="22"/>
        </w:rPr>
        <w:t>If the RSC rejects a proposal, it provides written justification and recommendations for revision. Iran resubmits a revised proposal within 30 days.</w:t>
      </w:r>
    </w:p>
    <w:p>
      <w:pPr>
        <w:pStyle w:val="Heading2"/>
      </w:pPr>
      <w:r>
        <w:rPr>
          <w:rFonts w:ascii="Times New Roman" w:hAnsi="Times New Roman" w:eastAsia="Times New Roman" w:cs="Times New Roman"/>
          <w:b/>
          <w:color w:val="2E5A6B"/>
          <w:sz w:val="24"/>
          <w:szCs w:val="24"/>
        </w:rPr>
        <w:t>3.4 Project Prioritization</w:t>
      </w:r>
    </w:p>
    <w:p>
      <w:pPr>
        <w:pStyle w:val="Normal"/>
      </w:pPr>
      <w:r>
        <w:rPr>
          <w:rFonts w:ascii="Times New Roman" w:hAnsi="Times New Roman" w:eastAsia="Times New Roman" w:cs="Times New Roman"/>
          <w:color w:val="1A1A1A"/>
          <w:sz w:val="22"/>
          <w:szCs w:val="22"/>
        </w:rPr>
        <w:t>Iran prioritizes projects based on:</w:t>
      </w:r>
    </w:p>
    <w:p>
      <w:pPr>
        <w:pStyle w:val="Normal"/>
        <w:ind w:left="720" w:hanging="360"/>
      </w:pPr>
      <w:r>
        <w:rPr>
          <w:rFonts w:ascii="Times New Roman" w:hAnsi="Times New Roman" w:eastAsia="Times New Roman" w:cs="Times New Roman"/>
          <w:color w:val="1A1A1A"/>
          <w:sz w:val="22"/>
          <w:szCs w:val="22"/>
        </w:rPr>
        <w:t xml:space="preserve">•  Urgency of need (e.g., damaged hospitals, water treatment plants)</w:t>
      </w:r>
    </w:p>
    <w:p>
      <w:pPr>
        <w:pStyle w:val="Normal"/>
        <w:ind w:left="720" w:hanging="360"/>
      </w:pPr>
      <w:r>
        <w:rPr>
          <w:rFonts w:ascii="Times New Roman" w:hAnsi="Times New Roman" w:eastAsia="Times New Roman" w:cs="Times New Roman"/>
          <w:color w:val="1A1A1A"/>
          <w:sz w:val="22"/>
          <w:szCs w:val="22"/>
        </w:rPr>
        <w:t xml:space="preserve">•  Economic impact (e.g., energy infrastructure, transportation networks)</w:t>
      </w:r>
    </w:p>
    <w:p>
      <w:pPr>
        <w:pStyle w:val="Normal"/>
        <w:ind w:left="720" w:hanging="360"/>
      </w:pPr>
      <w:r>
        <w:rPr>
          <w:rFonts w:ascii="Times New Roman" w:hAnsi="Times New Roman" w:eastAsia="Times New Roman" w:cs="Times New Roman"/>
          <w:color w:val="1A1A1A"/>
          <w:sz w:val="22"/>
          <w:szCs w:val="22"/>
        </w:rPr>
        <w:t xml:space="preserve">•  Job creation potential</w:t>
      </w:r>
    </w:p>
    <w:p>
      <w:pPr>
        <w:pStyle w:val="Normal"/>
        <w:ind w:left="720" w:hanging="360"/>
      </w:pPr>
      <w:r>
        <w:rPr>
          <w:rFonts w:ascii="Times New Roman" w:hAnsi="Times New Roman" w:eastAsia="Times New Roman" w:cs="Times New Roman"/>
          <w:color w:val="1A1A1A"/>
          <w:sz w:val="22"/>
          <w:szCs w:val="22"/>
        </w:rPr>
        <w:t xml:space="preserve">•  Regional distribution</w:t>
      </w:r>
    </w:p>
    <w:p>
      <w:pPr>
        <w:pStyle w:val="Normal"/>
        <w:ind w:left="720" w:hanging="360"/>
      </w:pPr>
      <w:r>
        <w:rPr>
          <w:rFonts w:ascii="Times New Roman" w:hAnsi="Times New Roman" w:eastAsia="Times New Roman" w:cs="Times New Roman"/>
          <w:color w:val="1A1A1A"/>
          <w:sz w:val="22"/>
          <w:szCs w:val="22"/>
        </w:rPr>
        <w:t xml:space="preserve">•  Contribution to food security and public health</w:t>
      </w:r>
    </w:p>
    <w:p>
      <w:pPr>
        <w:pStyle w:val="Normal"/>
      </w:pPr>
      <w:r>
        <w:rPr>
          <w:rFonts w:ascii="Times New Roman" w:hAnsi="Times New Roman" w:eastAsia="Times New Roman" w:cs="Times New Roman"/>
          <w:color w:val="1A1A1A"/>
          <w:sz w:val="22"/>
          <w:szCs w:val="22"/>
        </w:rPr>
        <w:t>The RSC respects Iran's prioritization decisions and does not impose external project preferences.</w:t>
      </w:r>
    </w:p>
    <w:p>
      <w:pPr>
        <w:pStyle w:val="Heading1"/>
      </w:pPr>
      <w:bookmarkStart w:name="_Toc005" w:id="5"/>
      <w:r>
        <w:rPr>
          <w:rFonts w:ascii="Times New Roman" w:hAnsi="Times New Roman" w:eastAsia="Times New Roman" w:cs="Times New Roman"/>
          <w:b/>
          <w:color w:val="1B3A4B"/>
          <w:sz w:val="28"/>
          <w:szCs w:val="28"/>
        </w:rPr>
        <w:t>Article 4: Disbursement and Verification</w:t>
      </w:r>
      <w:bookmarkEnd w:id="5"/>
    </w:p>
    <w:p>
      <w:pPr>
        <w:pStyle w:val="Heading2"/>
      </w:pPr>
      <w:r>
        <w:rPr>
          <w:rFonts w:ascii="Times New Roman" w:hAnsi="Times New Roman" w:eastAsia="Times New Roman" w:cs="Times New Roman"/>
          <w:b/>
          <w:color w:val="2E5A6B"/>
          <w:sz w:val="24"/>
          <w:szCs w:val="24"/>
        </w:rPr>
        <w:t>4.1 Performance-Based Disbursement</w:t>
      </w:r>
    </w:p>
    <w:p>
      <w:pPr>
        <w:pStyle w:val="Normal"/>
      </w:pPr>
      <w:r>
        <w:rPr>
          <w:rFonts w:ascii="Times New Roman" w:hAnsi="Times New Roman" w:eastAsia="Times New Roman" w:cs="Times New Roman"/>
          <w:color w:val="1A1A1A"/>
          <w:sz w:val="22"/>
          <w:szCs w:val="22"/>
        </w:rPr>
        <w:t>MRF funds disburse in tranches tied to Verification Milestones. The disbursement architecture mirrors the Escrow Protocol. MRF disbursements synchronize with the verification milestones established in Annex ES. The MRF 60-Day Initial Operating Period aligns with the Annex ES 60-Day Initial Operating Period. The RSC monitors the status of Annex ES milestones and adjusts MRF disbursement timelines as appropriate.</w:t>
      </w:r>
    </w:p>
    <w:tbl>
      <w:tblPr>
        <w:tblW w:w="5000" w:type="pct"/>
        <w:tblBorders>
          <w:top w:val="single" w:color="1B3A4B" w:sz="12"/>
          <w:left w:val="nil"/>
          <w:bottom w:val="single" w:color="1B3A4B" w:sz="12"/>
          <w:right w:val="nil"/>
          <w:insideH w:val="single" w:color="b0b0b0" w:sz="4"/>
          <w:insideV w:val="nil"/>
        </w:tblBorders>
      </w:tblPr>
      <w:tblGrid>
        <w:gridCol w:w="1600"/>
        <w:gridCol w:w="1400"/>
        <w:gridCol w:w="1600"/>
        <w:gridCol w:w="1400"/>
        <w:gridCol w:w="1400"/>
      </w:tblGrid>
      <w:tr>
        <w:trPr>
          <w:tblHeader w:val="1"/>
        </w:trPr>
        <w:tc>
          <w:tcPr>
            <w:tcW w:w="1600" w:type="dxa"/>
            <w:shd w:val="clear" w:fill="E8EEF2" w:color="auto"/>
          </w:tcPr>
          <w:p>
            <w:pPr>
              <w:pStyle w:val="Normal"/>
              <w:spacing w:before="60" w:after="60"/>
              <w:jc w:val="center"/>
            </w:pPr>
            <w:r>
              <w:rPr>
                <w:b/>
                <w:color w:val="1A1A1A"/>
                <w:sz w:val="20"/>
                <w:rFonts w:ascii="Times New Roman" w:hAnsi="Times New Roman" w:eastAsia="Times New Roman" w:cs="Times New Roman"/>
                <w:szCs w:val="20"/>
              </w:rPr>
              <w:t>Sub-Fund</w:t>
            </w:r>
          </w:p>
        </w:tc>
        <w:tc>
          <w:tcPr>
            <w:tcW w:w="1400" w:type="dxa"/>
            <w:shd w:val="clear" w:fill="E8EEF2" w:color="auto"/>
          </w:tcPr>
          <w:p>
            <w:pPr>
              <w:pStyle w:val="Normal"/>
              <w:spacing w:before="60" w:after="60"/>
              <w:jc w:val="center"/>
            </w:pPr>
            <w:r>
              <w:rPr>
                <w:b/>
                <w:color w:val="1A1A1A"/>
                <w:sz w:val="20"/>
                <w:rFonts w:ascii="Times New Roman" w:hAnsi="Times New Roman" w:eastAsia="Times New Roman" w:cs="Times New Roman"/>
                <w:szCs w:val="20"/>
              </w:rPr>
              <w:t>Tranche 1</w:t>
            </w:r>
          </w:p>
        </w:tc>
        <w:tc>
          <w:tcPr>
            <w:tcW w:w="1600" w:type="dxa"/>
            <w:shd w:val="clear" w:fill="E8EEF2" w:color="auto"/>
          </w:tcPr>
          <w:p>
            <w:pPr>
              <w:pStyle w:val="Normal"/>
              <w:spacing w:before="60" w:after="60"/>
              <w:jc w:val="center"/>
            </w:pPr>
            <w:r>
              <w:rPr>
                <w:b/>
                <w:color w:val="1A1A1A"/>
                <w:sz w:val="20"/>
                <w:rFonts w:ascii="Times New Roman" w:hAnsi="Times New Roman" w:eastAsia="Times New Roman" w:cs="Times New Roman"/>
                <w:szCs w:val="20"/>
              </w:rPr>
              <w:t>Tranche 2</w:t>
            </w:r>
          </w:p>
        </w:tc>
        <w:tc>
          <w:tcPr>
            <w:tcW w:w="1400" w:type="dxa"/>
            <w:shd w:val="clear" w:fill="E8EEF2" w:color="auto"/>
          </w:tcPr>
          <w:p>
            <w:pPr>
              <w:pStyle w:val="Normal"/>
              <w:spacing w:before="60" w:after="60"/>
              <w:jc w:val="center"/>
            </w:pPr>
            <w:r>
              <w:rPr>
                <w:b/>
                <w:color w:val="1A1A1A"/>
                <w:sz w:val="20"/>
                <w:rFonts w:ascii="Times New Roman" w:hAnsi="Times New Roman" w:eastAsia="Times New Roman" w:cs="Times New Roman"/>
                <w:szCs w:val="20"/>
              </w:rPr>
              <w:t>Tranche 3</w:t>
            </w:r>
          </w:p>
        </w:tc>
        <w:tc>
          <w:tcPr>
            <w:tcW w:w="1400" w:type="dxa"/>
            <w:shd w:val="clear" w:fill="E8EEF2" w:color="auto"/>
          </w:tcPr>
          <w:p>
            <w:pPr>
              <w:pStyle w:val="Normal"/>
              <w:spacing w:before="60" w:after="60"/>
              <w:jc w:val="center"/>
            </w:pPr>
            <w:r>
              <w:rPr>
                <w:b/>
                <w:color w:val="1A1A1A"/>
                <w:sz w:val="20"/>
                <w:rFonts w:ascii="Times New Roman" w:hAnsi="Times New Roman" w:eastAsia="Times New Roman" w:cs="Times New Roman"/>
                <w:szCs w:val="20"/>
              </w:rPr>
              <w:t>Tranche 4</w:t>
            </w:r>
          </w:p>
        </w:tc>
      </w:tr>
      <w:tr>
        <w:tc>
          <w:tcPr>
            <w:tcW w:w="1600" w:type="dxa"/>
          </w:tcPr>
          <w:p>
            <w:pPr>
              <w:pStyle w:val="Normal"/>
              <w:spacing w:before="40" w:after="40"/>
            </w:pPr>
            <w:r>
              <w:rPr>
                <w:color w:val="1A1A1A"/>
                <w:sz w:val="20"/>
                <w:rFonts w:ascii="Times New Roman" w:hAnsi="Times New Roman" w:eastAsia="Times New Roman" w:cs="Times New Roman"/>
                <w:szCs w:val="20"/>
              </w:rPr>
              <w:t>MRF-Energy</w:t>
            </w:r>
          </w:p>
        </w:tc>
        <w:tc>
          <w:tcPr>
            <w:tcW w:w="1400" w:type="dxa"/>
          </w:tcPr>
          <w:p>
            <w:pPr>
              <w:pStyle w:val="Normal"/>
              <w:spacing w:before="40" w:after="40"/>
            </w:pPr>
            <w:r>
              <w:rPr>
                <w:color w:val="1A1A1A"/>
                <w:sz w:val="20"/>
                <w:rFonts w:ascii="Times New Roman" w:hAnsi="Times New Roman" w:eastAsia="Times New Roman" w:cs="Times New Roman"/>
                <w:szCs w:val="20"/>
              </w:rPr>
              <w:t>10% (Procurement)</w:t>
            </w:r>
          </w:p>
        </w:tc>
        <w:tc>
          <w:tcPr>
            <w:tcW w:w="1600" w:type="dxa"/>
          </w:tcPr>
          <w:p>
            <w:pPr>
              <w:pStyle w:val="Normal"/>
              <w:spacing w:before="40" w:after="40"/>
            </w:pPr>
            <w:r>
              <w:rPr>
                <w:color w:val="1A1A1A"/>
                <w:sz w:val="20"/>
                <w:rFonts w:ascii="Times New Roman" w:hAnsi="Times New Roman" w:eastAsia="Times New Roman" w:cs="Times New Roman"/>
                <w:szCs w:val="20"/>
              </w:rPr>
              <w:t>25% (C-25%)</w:t>
            </w:r>
          </w:p>
        </w:tc>
        <w:tc>
          <w:tcPr>
            <w:tcW w:w="1400" w:type="dxa"/>
          </w:tcPr>
          <w:p>
            <w:pPr>
              <w:pStyle w:val="Normal"/>
              <w:spacing w:before="40" w:after="40"/>
            </w:pPr>
            <w:r>
              <w:rPr>
                <w:color w:val="1A1A1A"/>
                <w:sz w:val="20"/>
                <w:rFonts w:ascii="Times New Roman" w:hAnsi="Times New Roman" w:eastAsia="Times New Roman" w:cs="Times New Roman"/>
                <w:szCs w:val="20"/>
              </w:rPr>
              <w:t>25% (C-50%)</w:t>
            </w:r>
          </w:p>
        </w:tc>
        <w:tc>
          <w:tcPr>
            <w:tcW w:w="1400" w:type="dxa"/>
          </w:tcPr>
          <w:p>
            <w:pPr>
              <w:pStyle w:val="Normal"/>
              <w:spacing w:before="40" w:after="40"/>
            </w:pPr>
            <w:r>
              <w:rPr>
                <w:color w:val="1A1A1A"/>
                <w:sz w:val="20"/>
                <w:rFonts w:ascii="Times New Roman" w:hAnsi="Times New Roman" w:eastAsia="Times New Roman" w:cs="Times New Roman"/>
                <w:szCs w:val="20"/>
              </w:rPr>
              <w:t>40% (Handover)</w:t>
            </w:r>
          </w:p>
        </w:tc>
      </w:tr>
      <w:tr>
        <w:tc>
          <w:tcPr>
            <w:tcW w:w="1600" w:type="dxa"/>
          </w:tcPr>
          <w:p>
            <w:pPr>
              <w:pStyle w:val="Normal"/>
              <w:spacing w:before="40" w:after="40"/>
            </w:pPr>
            <w:r>
              <w:rPr>
                <w:color w:val="1A1A1A"/>
                <w:sz w:val="20"/>
                <w:rFonts w:ascii="Times New Roman" w:hAnsi="Times New Roman" w:eastAsia="Times New Roman" w:cs="Times New Roman"/>
                <w:szCs w:val="20"/>
              </w:rPr>
              <w:t>MRF-Water</w:t>
            </w:r>
          </w:p>
        </w:tc>
        <w:tc>
          <w:tcPr>
            <w:tcW w:w="1400" w:type="dxa"/>
          </w:tcPr>
          <w:p>
            <w:pPr>
              <w:pStyle w:val="Normal"/>
              <w:spacing w:before="40" w:after="40"/>
            </w:pPr>
            <w:r>
              <w:rPr>
                <w:color w:val="1A1A1A"/>
                <w:sz w:val="20"/>
                <w:rFonts w:ascii="Times New Roman" w:hAnsi="Times New Roman" w:eastAsia="Times New Roman" w:cs="Times New Roman"/>
                <w:szCs w:val="20"/>
              </w:rPr>
              <w:t>15% (Design/Proc)</w:t>
            </w:r>
          </w:p>
        </w:tc>
        <w:tc>
          <w:tcPr>
            <w:tcW w:w="1600" w:type="dxa"/>
          </w:tcPr>
          <w:p>
            <w:pPr>
              <w:pStyle w:val="Normal"/>
              <w:spacing w:before="40" w:after="40"/>
            </w:pPr>
            <w:r>
              <w:rPr>
                <w:color w:val="1A1A1A"/>
                <w:sz w:val="20"/>
                <w:rFonts w:ascii="Times New Roman" w:hAnsi="Times New Roman" w:eastAsia="Times New Roman" w:cs="Times New Roman"/>
                <w:szCs w:val="20"/>
              </w:rPr>
              <w:t>25% (C-25%)</w:t>
            </w:r>
          </w:p>
        </w:tc>
        <w:tc>
          <w:tcPr>
            <w:tcW w:w="1400" w:type="dxa"/>
          </w:tcPr>
          <w:p>
            <w:pPr>
              <w:pStyle w:val="Normal"/>
              <w:spacing w:before="40" w:after="40"/>
            </w:pPr>
            <w:r>
              <w:rPr>
                <w:color w:val="1A1A1A"/>
                <w:sz w:val="20"/>
                <w:rFonts w:ascii="Times New Roman" w:hAnsi="Times New Roman" w:eastAsia="Times New Roman" w:cs="Times New Roman"/>
                <w:szCs w:val="20"/>
              </w:rPr>
              <w:t>25% (C-50%)</w:t>
            </w:r>
          </w:p>
        </w:tc>
        <w:tc>
          <w:tcPr>
            <w:tcW w:w="1400" w:type="dxa"/>
          </w:tcPr>
          <w:p>
            <w:pPr>
              <w:pStyle w:val="Normal"/>
              <w:spacing w:before="40" w:after="40"/>
            </w:pPr>
            <w:r>
              <w:rPr>
                <w:color w:val="1A1A1A"/>
                <w:sz w:val="20"/>
                <w:rFonts w:ascii="Times New Roman" w:hAnsi="Times New Roman" w:eastAsia="Times New Roman" w:cs="Times New Roman"/>
                <w:szCs w:val="20"/>
              </w:rPr>
              <w:t>35% (Handover)</w:t>
            </w:r>
          </w:p>
        </w:tc>
      </w:tr>
      <w:tr>
        <w:tc>
          <w:tcPr>
            <w:tcW w:w="1600" w:type="dxa"/>
          </w:tcPr>
          <w:p>
            <w:pPr>
              <w:pStyle w:val="Normal"/>
              <w:spacing w:before="40" w:after="40"/>
            </w:pPr>
            <w:r>
              <w:rPr>
                <w:color w:val="1A1A1A"/>
                <w:sz w:val="20"/>
                <w:rFonts w:ascii="Times New Roman" w:hAnsi="Times New Roman" w:eastAsia="Times New Roman" w:cs="Times New Roman"/>
                <w:szCs w:val="20"/>
              </w:rPr>
              <w:t>MRF-Transport</w:t>
            </w:r>
          </w:p>
        </w:tc>
        <w:tc>
          <w:tcPr>
            <w:tcW w:w="1400" w:type="dxa"/>
          </w:tcPr>
          <w:p>
            <w:pPr>
              <w:pStyle w:val="Normal"/>
              <w:spacing w:before="40" w:after="40"/>
            </w:pPr>
            <w:r>
              <w:rPr>
                <w:color w:val="1A1A1A"/>
                <w:sz w:val="20"/>
                <w:rFonts w:ascii="Times New Roman" w:hAnsi="Times New Roman" w:eastAsia="Times New Roman" w:cs="Times New Roman"/>
                <w:szCs w:val="20"/>
              </w:rPr>
              <w:t>10% (Procurement)</w:t>
            </w:r>
          </w:p>
        </w:tc>
        <w:tc>
          <w:tcPr>
            <w:tcW w:w="1600" w:type="dxa"/>
          </w:tcPr>
          <w:p>
            <w:pPr>
              <w:pStyle w:val="Normal"/>
              <w:spacing w:before="40" w:after="40"/>
            </w:pPr>
            <w:r>
              <w:rPr>
                <w:color w:val="1A1A1A"/>
                <w:sz w:val="20"/>
                <w:rFonts w:ascii="Times New Roman" w:hAnsi="Times New Roman" w:eastAsia="Times New Roman" w:cs="Times New Roman"/>
                <w:szCs w:val="20"/>
              </w:rPr>
              <w:t>20% (C-25%)</w:t>
            </w:r>
          </w:p>
        </w:tc>
        <w:tc>
          <w:tcPr>
            <w:tcW w:w="1400" w:type="dxa"/>
          </w:tcPr>
          <w:p>
            <w:pPr>
              <w:pStyle w:val="Normal"/>
              <w:spacing w:before="40" w:after="40"/>
            </w:pPr>
            <w:r>
              <w:rPr>
                <w:color w:val="1A1A1A"/>
                <w:sz w:val="20"/>
                <w:rFonts w:ascii="Times New Roman" w:hAnsi="Times New Roman" w:eastAsia="Times New Roman" w:cs="Times New Roman"/>
                <w:szCs w:val="20"/>
              </w:rPr>
              <w:t>30% (C-50%)</w:t>
            </w:r>
          </w:p>
        </w:tc>
        <w:tc>
          <w:tcPr>
            <w:tcW w:w="1400" w:type="dxa"/>
          </w:tcPr>
          <w:p>
            <w:pPr>
              <w:pStyle w:val="Normal"/>
              <w:spacing w:before="40" w:after="40"/>
            </w:pPr>
            <w:r>
              <w:rPr>
                <w:color w:val="1A1A1A"/>
                <w:sz w:val="20"/>
                <w:rFonts w:ascii="Times New Roman" w:hAnsi="Times New Roman" w:eastAsia="Times New Roman" w:cs="Times New Roman"/>
                <w:szCs w:val="20"/>
              </w:rPr>
              <w:t>40% (Handover)</w:t>
            </w:r>
          </w:p>
        </w:tc>
      </w:tr>
      <w:tr>
        <w:tc>
          <w:tcPr>
            <w:tcW w:w="1600" w:type="dxa"/>
          </w:tcPr>
          <w:p>
            <w:pPr>
              <w:pStyle w:val="Normal"/>
              <w:spacing w:before="40" w:after="40"/>
            </w:pPr>
            <w:r>
              <w:rPr>
                <w:color w:val="1A1A1A"/>
                <w:sz w:val="20"/>
                <w:rFonts w:ascii="Times New Roman" w:hAnsi="Times New Roman" w:eastAsia="Times New Roman" w:cs="Times New Roman"/>
                <w:szCs w:val="20"/>
              </w:rPr>
              <w:t>MRF-Health</w:t>
            </w:r>
          </w:p>
        </w:tc>
        <w:tc>
          <w:tcPr>
            <w:tcW w:w="1400" w:type="dxa"/>
          </w:tcPr>
          <w:p>
            <w:pPr>
              <w:pStyle w:val="Normal"/>
              <w:spacing w:before="40" w:after="40"/>
            </w:pPr>
            <w:r>
              <w:rPr>
                <w:color w:val="1A1A1A"/>
                <w:sz w:val="20"/>
                <w:rFonts w:ascii="Times New Roman" w:hAnsi="Times New Roman" w:eastAsia="Times New Roman" w:cs="Times New Roman"/>
                <w:szCs w:val="20"/>
              </w:rPr>
              <w:t>20% (Procurement)</w:t>
            </w:r>
          </w:p>
        </w:tc>
        <w:tc>
          <w:tcPr>
            <w:tcW w:w="1600" w:type="dxa"/>
          </w:tcPr>
          <w:p>
            <w:pPr>
              <w:pStyle w:val="Normal"/>
              <w:spacing w:before="40" w:after="40"/>
            </w:pPr>
            <w:r>
              <w:rPr>
                <w:color w:val="1A1A1A"/>
                <w:sz w:val="20"/>
                <w:rFonts w:ascii="Times New Roman" w:hAnsi="Times New Roman" w:eastAsia="Times New Roman" w:cs="Times New Roman"/>
                <w:szCs w:val="20"/>
              </w:rPr>
              <w:t>30% (C-25%)</w:t>
            </w:r>
          </w:p>
        </w:tc>
        <w:tc>
          <w:tcPr>
            <w:tcW w:w="1400" w:type="dxa"/>
          </w:tcPr>
          <w:p>
            <w:pPr>
              <w:pStyle w:val="Normal"/>
              <w:spacing w:before="40" w:after="40"/>
            </w:pPr>
            <w:r>
              <w:rPr>
                <w:color w:val="1A1A1A"/>
                <w:sz w:val="20"/>
                <w:rFonts w:ascii="Times New Roman" w:hAnsi="Times New Roman" w:eastAsia="Times New Roman" w:cs="Times New Roman"/>
                <w:szCs w:val="20"/>
              </w:rPr>
              <w:t>25% (C-50%)</w:t>
            </w:r>
          </w:p>
        </w:tc>
        <w:tc>
          <w:tcPr>
            <w:tcW w:w="1400" w:type="dxa"/>
          </w:tcPr>
          <w:p>
            <w:pPr>
              <w:pStyle w:val="Normal"/>
              <w:spacing w:before="40" w:after="40"/>
            </w:pPr>
            <w:r>
              <w:rPr>
                <w:color w:val="1A1A1A"/>
                <w:sz w:val="20"/>
                <w:rFonts w:ascii="Times New Roman" w:hAnsi="Times New Roman" w:eastAsia="Times New Roman" w:cs="Times New Roman"/>
                <w:szCs w:val="20"/>
              </w:rPr>
              <w:t>25% (Handover)</w:t>
            </w:r>
          </w:p>
        </w:tc>
      </w:tr>
      <w:tr>
        <w:tc>
          <w:tcPr>
            <w:tcW w:w="1600" w:type="dxa"/>
          </w:tcPr>
          <w:p>
            <w:pPr>
              <w:pStyle w:val="Normal"/>
              <w:spacing w:before="40" w:after="40"/>
            </w:pPr>
            <w:r>
              <w:rPr>
                <w:color w:val="1A1A1A"/>
                <w:sz w:val="20"/>
                <w:rFonts w:ascii="Times New Roman" w:hAnsi="Times New Roman" w:eastAsia="Times New Roman" w:cs="Times New Roman"/>
                <w:szCs w:val="20"/>
              </w:rPr>
              <w:t>MRF-Education</w:t>
            </w:r>
          </w:p>
        </w:tc>
        <w:tc>
          <w:tcPr>
            <w:tcW w:w="1400" w:type="dxa"/>
          </w:tcPr>
          <w:p>
            <w:pPr>
              <w:pStyle w:val="Normal"/>
              <w:spacing w:before="40" w:after="40"/>
            </w:pPr>
            <w:r>
              <w:rPr>
                <w:color w:val="1A1A1A"/>
                <w:sz w:val="20"/>
                <w:rFonts w:ascii="Times New Roman" w:hAnsi="Times New Roman" w:eastAsia="Times New Roman" w:cs="Times New Roman"/>
                <w:szCs w:val="20"/>
              </w:rPr>
              <w:t>20% (Procurement)</w:t>
            </w:r>
          </w:p>
        </w:tc>
        <w:tc>
          <w:tcPr>
            <w:tcW w:w="1600" w:type="dxa"/>
          </w:tcPr>
          <w:p>
            <w:pPr>
              <w:pStyle w:val="Normal"/>
              <w:spacing w:before="40" w:after="40"/>
            </w:pPr>
            <w:r>
              <w:rPr>
                <w:color w:val="1A1A1A"/>
                <w:sz w:val="20"/>
                <w:rFonts w:ascii="Times New Roman" w:hAnsi="Times New Roman" w:eastAsia="Times New Roman" w:cs="Times New Roman"/>
                <w:szCs w:val="20"/>
              </w:rPr>
              <w:t>30% (C-25%)</w:t>
            </w:r>
          </w:p>
        </w:tc>
        <w:tc>
          <w:tcPr>
            <w:tcW w:w="1400" w:type="dxa"/>
          </w:tcPr>
          <w:p>
            <w:pPr>
              <w:pStyle w:val="Normal"/>
              <w:spacing w:before="40" w:after="40"/>
            </w:pPr>
            <w:r>
              <w:rPr>
                <w:color w:val="1A1A1A"/>
                <w:sz w:val="20"/>
                <w:rFonts w:ascii="Times New Roman" w:hAnsi="Times New Roman" w:eastAsia="Times New Roman" w:cs="Times New Roman"/>
                <w:szCs w:val="20"/>
              </w:rPr>
              <w:t>25% (C-50%)</w:t>
            </w:r>
          </w:p>
        </w:tc>
        <w:tc>
          <w:tcPr>
            <w:tcW w:w="1400" w:type="dxa"/>
          </w:tcPr>
          <w:p>
            <w:pPr>
              <w:pStyle w:val="Normal"/>
              <w:spacing w:before="40" w:after="40"/>
            </w:pPr>
            <w:r>
              <w:rPr>
                <w:color w:val="1A1A1A"/>
                <w:sz w:val="20"/>
                <w:rFonts w:ascii="Times New Roman" w:hAnsi="Times New Roman" w:eastAsia="Times New Roman" w:cs="Times New Roman"/>
                <w:szCs w:val="20"/>
              </w:rPr>
              <w:t>25% (Handover)</w:t>
            </w:r>
          </w:p>
        </w:tc>
      </w:tr>
      <w:tr>
        <w:tc>
          <w:tcPr>
            <w:tcW w:w="1600" w:type="dxa"/>
          </w:tcPr>
          <w:p>
            <w:pPr>
              <w:pStyle w:val="Normal"/>
              <w:spacing w:before="40" w:after="40"/>
            </w:pPr>
            <w:r>
              <w:rPr>
                <w:color w:val="1A1A1A"/>
                <w:sz w:val="20"/>
                <w:rFonts w:ascii="Times New Roman" w:hAnsi="Times New Roman" w:eastAsia="Times New Roman" w:cs="Times New Roman"/>
                <w:szCs w:val="20"/>
              </w:rPr>
              <w:t>MRF-Housing</w:t>
            </w:r>
          </w:p>
        </w:tc>
        <w:tc>
          <w:tcPr>
            <w:tcW w:w="1400" w:type="dxa"/>
          </w:tcPr>
          <w:p>
            <w:pPr>
              <w:pStyle w:val="Normal"/>
              <w:spacing w:before="40" w:after="40"/>
            </w:pPr>
            <w:r>
              <w:rPr>
                <w:color w:val="1A1A1A"/>
                <w:sz w:val="20"/>
                <w:rFonts w:ascii="Times New Roman" w:hAnsi="Times New Roman" w:eastAsia="Times New Roman" w:cs="Times New Roman"/>
                <w:szCs w:val="20"/>
              </w:rPr>
              <w:t>10% (Procurement)</w:t>
            </w:r>
          </w:p>
        </w:tc>
        <w:tc>
          <w:tcPr>
            <w:tcW w:w="1600" w:type="dxa"/>
          </w:tcPr>
          <w:p>
            <w:pPr>
              <w:pStyle w:val="Normal"/>
              <w:spacing w:before="40" w:after="40"/>
            </w:pPr>
            <w:r>
              <w:rPr>
                <w:color w:val="1A1A1A"/>
                <w:sz w:val="20"/>
                <w:rFonts w:ascii="Times New Roman" w:hAnsi="Times New Roman" w:eastAsia="Times New Roman" w:cs="Times New Roman"/>
                <w:szCs w:val="20"/>
              </w:rPr>
              <w:t>25% (C-25%)</w:t>
            </w:r>
          </w:p>
        </w:tc>
        <w:tc>
          <w:tcPr>
            <w:tcW w:w="1400" w:type="dxa"/>
          </w:tcPr>
          <w:p>
            <w:pPr>
              <w:pStyle w:val="Normal"/>
              <w:spacing w:before="40" w:after="40"/>
            </w:pPr>
            <w:r>
              <w:rPr>
                <w:color w:val="1A1A1A"/>
                <w:sz w:val="20"/>
                <w:rFonts w:ascii="Times New Roman" w:hAnsi="Times New Roman" w:eastAsia="Times New Roman" w:cs="Times New Roman"/>
                <w:szCs w:val="20"/>
              </w:rPr>
              <w:t>25% (C-50%)</w:t>
            </w:r>
          </w:p>
        </w:tc>
        <w:tc>
          <w:tcPr>
            <w:tcW w:w="1400" w:type="dxa"/>
          </w:tcPr>
          <w:p>
            <w:pPr>
              <w:pStyle w:val="Normal"/>
              <w:spacing w:before="40" w:after="40"/>
            </w:pPr>
            <w:r>
              <w:rPr>
                <w:color w:val="1A1A1A"/>
                <w:sz w:val="20"/>
                <w:rFonts w:ascii="Times New Roman" w:hAnsi="Times New Roman" w:eastAsia="Times New Roman" w:cs="Times New Roman"/>
                <w:szCs w:val="20"/>
              </w:rPr>
              <w:t>40% (Handover)</w:t>
            </w:r>
          </w:p>
        </w:tc>
      </w:tr>
      <w:tr>
        <w:tc>
          <w:tcPr>
            <w:tcW w:w="1600" w:type="dxa"/>
          </w:tcPr>
          <w:p>
            <w:pPr>
              <w:pStyle w:val="Normal"/>
              <w:spacing w:before="40" w:after="40"/>
            </w:pPr>
            <w:r>
              <w:rPr>
                <w:color w:val="1A1A1A"/>
                <w:sz w:val="20"/>
                <w:rFonts w:ascii="Times New Roman" w:hAnsi="Times New Roman" w:eastAsia="Times New Roman" w:cs="Times New Roman"/>
                <w:szCs w:val="20"/>
              </w:rPr>
              <w:t>MRF-Agriculture</w:t>
            </w:r>
          </w:p>
        </w:tc>
        <w:tc>
          <w:tcPr>
            <w:tcW w:w="1400" w:type="dxa"/>
          </w:tcPr>
          <w:p>
            <w:pPr>
              <w:pStyle w:val="Normal"/>
              <w:spacing w:before="40" w:after="40"/>
            </w:pPr>
            <w:r>
              <w:rPr>
                <w:color w:val="1A1A1A"/>
                <w:sz w:val="20"/>
                <w:rFonts w:ascii="Times New Roman" w:hAnsi="Times New Roman" w:eastAsia="Times New Roman" w:cs="Times New Roman"/>
                <w:szCs w:val="20"/>
              </w:rPr>
              <w:t>15% (Procurement)</w:t>
            </w:r>
          </w:p>
        </w:tc>
        <w:tc>
          <w:tcPr>
            <w:tcW w:w="1600" w:type="dxa"/>
          </w:tcPr>
          <w:p>
            <w:pPr>
              <w:pStyle w:val="Normal"/>
              <w:spacing w:before="40" w:after="40"/>
            </w:pPr>
            <w:r>
              <w:rPr>
                <w:color w:val="1A1A1A"/>
                <w:sz w:val="20"/>
                <w:rFonts w:ascii="Times New Roman" w:hAnsi="Times New Roman" w:eastAsia="Times New Roman" w:cs="Times New Roman"/>
                <w:szCs w:val="20"/>
              </w:rPr>
              <w:t>25% (C-25%)</w:t>
            </w:r>
          </w:p>
        </w:tc>
        <w:tc>
          <w:tcPr>
            <w:tcW w:w="1400" w:type="dxa"/>
          </w:tcPr>
          <w:p>
            <w:pPr>
              <w:pStyle w:val="Normal"/>
              <w:spacing w:before="40" w:after="40"/>
            </w:pPr>
            <w:r>
              <w:rPr>
                <w:color w:val="1A1A1A"/>
                <w:sz w:val="20"/>
                <w:rFonts w:ascii="Times New Roman" w:hAnsi="Times New Roman" w:eastAsia="Times New Roman" w:cs="Times New Roman"/>
                <w:szCs w:val="20"/>
              </w:rPr>
              <w:t>25% (C-50%)</w:t>
            </w:r>
          </w:p>
        </w:tc>
        <w:tc>
          <w:tcPr>
            <w:tcW w:w="1400" w:type="dxa"/>
          </w:tcPr>
          <w:p>
            <w:pPr>
              <w:pStyle w:val="Normal"/>
              <w:spacing w:before="40" w:after="40"/>
            </w:pPr>
            <w:r>
              <w:rPr>
                <w:color w:val="1A1A1A"/>
                <w:sz w:val="20"/>
                <w:rFonts w:ascii="Times New Roman" w:hAnsi="Times New Roman" w:eastAsia="Times New Roman" w:cs="Times New Roman"/>
                <w:szCs w:val="20"/>
              </w:rPr>
              <w:t>35% (Handover)</w:t>
            </w:r>
          </w:p>
        </w:tc>
      </w:tr>
    </w:tbl>
    <w:p>
      <w:pPr>
        <w:pStyle w:val="Normal"/>
      </w:pPr>
      <w:r>
        <w:rPr>
          <w:rFonts w:ascii="Times New Roman" w:hAnsi="Times New Roman" w:eastAsia="Times New Roman" w:cs="Times New Roman"/>
          <w:color w:val="1A1A1A"/>
          <w:sz w:val="22"/>
          <w:szCs w:val="22"/>
        </w:rPr>
        <w:t>C-25% = Construction 25% complete; C-50% = Construction 50% complete</w:t>
      </w:r>
    </w:p>
    <w:p>
      <w:pPr>
        <w:pStyle w:val="Heading2"/>
      </w:pPr>
      <w:r>
        <w:rPr>
          <w:rFonts w:ascii="Times New Roman" w:hAnsi="Times New Roman" w:eastAsia="Times New Roman" w:cs="Times New Roman"/>
          <w:b/>
          <w:color w:val="2E5A6B"/>
          <w:sz w:val="24"/>
          <w:szCs w:val="24"/>
        </w:rPr>
        <w:t>4.2 Verification Process</w:t>
      </w:r>
    </w:p>
    <w:p>
      <w:pPr>
        <w:pStyle w:val="Heading3"/>
      </w:pPr>
      <w:r>
        <w:rPr>
          <w:rFonts w:ascii="Times New Roman" w:hAnsi="Times New Roman" w:eastAsia="Times New Roman" w:cs="Times New Roman"/>
          <w:b/>
          <w:i/>
          <w:color w:val="4A4A4A"/>
          <w:sz w:val="22"/>
          <w:szCs w:val="22"/>
        </w:rPr>
        <w:t>4.2.1 Iranian Self-Certification</w:t>
      </w:r>
    </w:p>
    <w:p>
      <w:pPr>
        <w:pStyle w:val="Normal"/>
      </w:pPr>
      <w:r>
        <w:rPr>
          <w:rFonts w:ascii="Times New Roman" w:hAnsi="Times New Roman" w:eastAsia="Times New Roman" w:cs="Times New Roman"/>
          <w:color w:val="1A1A1A"/>
          <w:sz w:val="22"/>
          <w:szCs w:val="22"/>
        </w:rPr>
        <w:t>Iran submits a verification report documenting milestone completion, including photographs, financial records, and technical assessments.</w:t>
      </w:r>
    </w:p>
    <w:p>
      <w:pPr>
        <w:pStyle w:val="Heading3"/>
      </w:pPr>
      <w:r>
        <w:rPr>
          <w:rFonts w:ascii="Times New Roman" w:hAnsi="Times New Roman" w:eastAsia="Times New Roman" w:cs="Times New Roman"/>
          <w:b/>
          <w:i/>
          <w:color w:val="4A4A4A"/>
          <w:sz w:val="22"/>
          <w:szCs w:val="22"/>
        </w:rPr>
        <w:t>4.2.2 Independent Audit</w:t>
      </w:r>
    </w:p>
    <w:p>
      <w:pPr>
        <w:pStyle w:val="Normal"/>
      </w:pPr>
      <w:r>
        <w:rPr>
          <w:rFonts w:ascii="Times New Roman" w:hAnsi="Times New Roman" w:eastAsia="Times New Roman" w:cs="Times New Roman"/>
          <w:color w:val="1A1A1A"/>
          <w:sz w:val="22"/>
          <w:szCs w:val="22"/>
        </w:rPr>
        <w:t>The World Bank dispatches an independent technical team to verify milestone completion within 30 days of Iranian self-certification.</w:t>
      </w:r>
    </w:p>
    <w:p>
      <w:pPr>
        <w:pStyle w:val="Heading3"/>
      </w:pPr>
      <w:r>
        <w:rPr>
          <w:rFonts w:ascii="Times New Roman" w:hAnsi="Times New Roman" w:eastAsia="Times New Roman" w:cs="Times New Roman"/>
          <w:b/>
          <w:i/>
          <w:color w:val="4A4A4A"/>
          <w:sz w:val="22"/>
          <w:szCs w:val="22"/>
        </w:rPr>
        <w:t>4.2.3 TAG Assessment</w:t>
      </w:r>
    </w:p>
    <w:p>
      <w:pPr>
        <w:pStyle w:val="Normal"/>
      </w:pPr>
      <w:r>
        <w:rPr>
          <w:rFonts w:ascii="Times New Roman" w:hAnsi="Times New Roman" w:eastAsia="Times New Roman" w:cs="Times New Roman"/>
          <w:color w:val="1A1A1A"/>
          <w:sz w:val="22"/>
          <w:szCs w:val="22"/>
        </w:rPr>
        <w:t>The Technical Advisory Group reviews the audit and provides a recommendation to the RSC.</w:t>
      </w:r>
    </w:p>
    <w:p>
      <w:pPr>
        <w:pStyle w:val="Heading3"/>
      </w:pPr>
      <w:r>
        <w:rPr>
          <w:rFonts w:ascii="Times New Roman" w:hAnsi="Times New Roman" w:eastAsia="Times New Roman" w:cs="Times New Roman"/>
          <w:b/>
          <w:i/>
          <w:color w:val="4A4A4A"/>
          <w:sz w:val="22"/>
          <w:szCs w:val="22"/>
        </w:rPr>
        <w:t>4.2.4 RSC Approval</w:t>
      </w:r>
    </w:p>
    <w:p>
      <w:pPr>
        <w:pStyle w:val="Normal"/>
      </w:pPr>
      <w:r>
        <w:rPr>
          <w:rFonts w:ascii="Times New Roman" w:hAnsi="Times New Roman" w:eastAsia="Times New Roman" w:cs="Times New Roman"/>
          <w:color w:val="1A1A1A"/>
          <w:sz w:val="22"/>
          <w:szCs w:val="22"/>
        </w:rPr>
        <w:t>Upon favorable TAG recommendation, the RSC authorizes the next disbursement. If the audit identifies deficiencies, Iran has 60 days to remediate.</w:t>
      </w:r>
    </w:p>
    <w:p>
      <w:pPr>
        <w:pStyle w:val="Heading2"/>
      </w:pPr>
      <w:r>
        <w:rPr>
          <w:rFonts w:ascii="Times New Roman" w:hAnsi="Times New Roman" w:eastAsia="Times New Roman" w:cs="Times New Roman"/>
          <w:b/>
          <w:color w:val="2E5A6B"/>
          <w:sz w:val="24"/>
          <w:szCs w:val="24"/>
        </w:rPr>
        <w:t>4.3 No Clawback</w:t>
      </w:r>
    </w:p>
    <w:p>
      <w:pPr>
        <w:pStyle w:val="Normal"/>
      </w:pPr>
      <w:r>
        <w:rPr>
          <w:rFonts w:ascii="Times New Roman" w:hAnsi="Times New Roman" w:eastAsia="Times New Roman" w:cs="Times New Roman"/>
          <w:color w:val="1A1A1A"/>
          <w:sz w:val="22"/>
          <w:szCs w:val="22"/>
        </w:rPr>
        <w:t>Consistent with the Escrow Protocol, MRF funds already disbursed are not subject to clawback, re-freezing, or recission under any circumstances. This includes:</w:t>
      </w:r>
    </w:p>
    <w:p>
      <w:pPr>
        <w:pStyle w:val="Normal"/>
        <w:ind w:left="720" w:hanging="360"/>
      </w:pPr>
      <w:r>
        <w:rPr>
          <w:rFonts w:ascii="Times New Roman" w:hAnsi="Times New Roman" w:eastAsia="Times New Roman" w:cs="Times New Roman"/>
          <w:color w:val="1A1A1A"/>
          <w:sz w:val="22"/>
          <w:szCs w:val="22"/>
        </w:rPr>
        <w:t xml:space="preserve">•  Project discontinuation</w:t>
      </w:r>
    </w:p>
    <w:p>
      <w:pPr>
        <w:pStyle w:val="Normal"/>
        <w:ind w:left="720" w:hanging="360"/>
      </w:pPr>
      <w:r>
        <w:rPr>
          <w:rFonts w:ascii="Times New Roman" w:hAnsi="Times New Roman" w:eastAsia="Times New Roman" w:cs="Times New Roman"/>
          <w:color w:val="1A1A1A"/>
          <w:sz w:val="22"/>
          <w:szCs w:val="22"/>
        </w:rPr>
        <w:t xml:space="preserve">•  Cost overruns</w:t>
      </w:r>
    </w:p>
    <w:p>
      <w:pPr>
        <w:pStyle w:val="Normal"/>
        <w:ind w:left="720" w:hanging="360"/>
      </w:pPr>
      <w:r>
        <w:rPr>
          <w:rFonts w:ascii="Times New Roman" w:hAnsi="Times New Roman" w:eastAsia="Times New Roman" w:cs="Times New Roman"/>
          <w:color w:val="1A1A1A"/>
          <w:sz w:val="22"/>
          <w:szCs w:val="22"/>
        </w:rPr>
        <w:t xml:space="preserve">•  Political disputes</w:t>
      </w:r>
    </w:p>
    <w:p>
      <w:pPr>
        <w:pStyle w:val="Normal"/>
        <w:ind w:left="720" w:hanging="360"/>
      </w:pPr>
      <w:r>
        <w:rPr>
          <w:rFonts w:ascii="Times New Roman" w:hAnsi="Times New Roman" w:eastAsia="Times New Roman" w:cs="Times New Roman"/>
          <w:color w:val="1A1A1A"/>
          <w:sz w:val="22"/>
          <w:szCs w:val="22"/>
        </w:rPr>
        <w:t xml:space="preserve">•  Termination of the MOU</w:t>
      </w:r>
    </w:p>
    <w:p>
      <w:pPr>
        <w:pStyle w:val="Heading1"/>
      </w:pPr>
      <w:r>
        <w:t>Article 5: Governance and Transparency</w:t>
      </w:r>
      <w:bookmarkStart w:name="_Toc006" w:id="6"/>
      <w:bookmarkEnd w:id="6"/>
    </w:p>
    <w:p>
      <w:pPr>
        <w:pStyle w:val="Heading2"/>
      </w:pPr>
      <w:r>
        <w:t>5.1 Reconstruction Steering Committee (RSC)</w:t>
      </w:r>
    </w:p>
    <w:p>
      <w:r>
        <w:t>The RSC meets quarterly in Doha, Qatar. Its functions include:</w:t>
      </w:r>
    </w:p>
    <w:p>
      <w:pPr>
        <w:ind w:left="720" w:hanging="360"/>
      </w:pPr>
      <w:r>
        <w:t>•  Approving Project Proposals</w:t>
      </w:r>
    </w:p>
    <w:p>
      <w:pPr>
        <w:ind w:left="720" w:hanging="360"/>
      </w:pPr>
      <w:r>
        <w:t>•  Monitoring Sub-Fund balances and disbursement progress</w:t>
      </w:r>
    </w:p>
    <w:p>
      <w:pPr>
        <w:ind w:left="720" w:hanging="360"/>
      </w:pPr>
      <w:r>
        <w:t>•  Authorizing disbursements</w:t>
      </w:r>
    </w:p>
    <w:p>
      <w:pPr>
        <w:ind w:left="720" w:hanging="360"/>
      </w:pPr>
      <w:r>
        <w:t>•  Resolving disputes</w:t>
      </w:r>
    </w:p>
    <w:p>
      <w:pPr>
        <w:ind w:left="720" w:hanging="360"/>
      </w:pPr>
      <w:r>
        <w:t>•  Publishing annual reports</w:t>
      </w:r>
    </w:p>
    <w:p>
      <w:pPr>
        <w:pStyle w:val="Heading2"/>
      </w:pPr>
      <w:r>
        <w:t>5.2 Technical Advisory Group (TAG)</w:t>
      </w:r>
    </w:p>
    <w:p>
      <w:r>
        <w:t>The TAG comprises independent technical experts appointed by the World Bank. Its functions include:</w:t>
      </w:r>
    </w:p>
    <w:p>
      <w:pPr>
        <w:ind w:left="720" w:hanging="360"/>
      </w:pPr>
      <w:r>
        <w:t>•  Reviewing Project Proposals</w:t>
      </w:r>
    </w:p>
    <w:p>
      <w:pPr>
        <w:ind w:left="720" w:hanging="360"/>
      </w:pPr>
      <w:r>
        <w:t>•  Conducting independent verification of milestone completion</w:t>
      </w:r>
    </w:p>
    <w:p>
      <w:pPr>
        <w:ind w:left="720" w:hanging="360"/>
      </w:pPr>
      <w:r>
        <w:t>•  Providing technical guidance to the RSC</w:t>
      </w:r>
    </w:p>
    <w:p>
      <w:pPr>
        <w:ind w:left="720" w:hanging="360"/>
      </w:pPr>
      <w:r>
        <w:t>•  Publishing technical assessments on the transparency dashboard</w:t>
      </w:r>
    </w:p>
    <w:p>
      <w:pPr>
        <w:pStyle w:val="Heading2"/>
      </w:pPr>
      <w:r>
        <w:t>5.3 Public Transparency Dashboard</w:t>
      </w:r>
    </w:p>
    <w:p>
      <w:r>
        <w:t>The MRF maintains a public transparency dashboard, accessible in English, Farsi, Arabic, and other relevant languages. The dashboard displays:</w:t>
      </w:r>
    </w:p>
    <w:p>
      <w:pPr>
        <w:ind w:left="720" w:hanging="360"/>
      </w:pPr>
      <w:r>
        <w:t>•  Sub-Fund balances and contributor lists (aggregate, not individual)</w:t>
      </w:r>
    </w:p>
    <w:p>
      <w:pPr>
        <w:ind w:left="720" w:hanging="360"/>
      </w:pPr>
      <w:r>
        <w:t>•  Approved projects and their status</w:t>
      </w:r>
    </w:p>
    <w:p>
      <w:pPr>
        <w:ind w:left="720" w:hanging="360"/>
      </w:pPr>
      <w:r>
        <w:t>•  Disbursement history</w:t>
      </w:r>
    </w:p>
    <w:p>
      <w:pPr>
        <w:ind w:left="720" w:hanging="360"/>
      </w:pPr>
      <w:r>
        <w:t>•  Independent audit findings</w:t>
      </w:r>
    </w:p>
    <w:p>
      <w:pPr>
        <w:ind w:left="720" w:hanging="360"/>
      </w:pPr>
      <w:r>
        <w:t>•  Project completion rates</w:t>
      </w:r>
    </w:p>
    <w:p>
      <w:pPr>
        <w:pStyle w:val="Heading2"/>
      </w:pPr>
      <w:r>
        <w:t>5.4 Annual Independent Audit</w:t>
      </w:r>
    </w:p>
    <w:p>
      <w:r>
        <w:t>An independent audit firm (e.g., Deloitte, PwC, KPMG), selected by mutual agreement of RSC voting members, conducts an annual audit of all MRF accounts. Audit results are published on the transparency dashboard.</w:t>
      </w:r>
    </w:p>
    <w:p>
      <w:pPr>
        <w:pStyle w:val="Heading2"/>
      </w:pPr>
      <w:r>
        <w:t>5.5 Iranian Sovereignty Over Project Selection</w:t>
      </w:r>
    </w:p>
    <w:p>
      <w:r>
        <w:t>Iran retains full sovereign authority over reconstruction priorities. The RSC does not:</w:t>
      </w:r>
    </w:p>
    <w:p>
      <w:pPr>
        <w:ind w:left="720" w:hanging="360"/>
      </w:pPr>
      <w:r>
        <w:t>•  Impose projects on Iran</w:t>
      </w:r>
    </w:p>
    <w:p>
      <w:pPr>
        <w:ind w:left="720" w:hanging="360"/>
      </w:pPr>
      <w:r>
        <w:t>•  Dictate project location or design</w:t>
      </w:r>
    </w:p>
    <w:p>
      <w:pPr>
        <w:ind w:left="720" w:hanging="360"/>
      </w:pPr>
      <w:r>
        <w:t>•  Interfere with Iranian procurement decisions</w:t>
      </w:r>
    </w:p>
    <w:p>
      <w:pPr>
        <w:ind w:left="720" w:hanging="360"/>
      </w:pPr>
      <w:r>
        <w:t>•  Condition funding on political concessions</w:t>
      </w:r>
    </w:p>
    <w:p>
      <w:pPr>
        <w:pStyle w:val="Heading1"/>
      </w:pPr>
      <w:r>
        <w:t>Article 6: Relationship to Other Annexes</w:t>
      </w:r>
      <w:bookmarkStart w:name="_Toc007" w:id="7"/>
      <w:bookmarkEnd w:id="7"/>
    </w:p>
    <w:p>
      <w:r>
        <w:t>This Annex operates in conjunction with:</w:t>
      </w:r>
    </w:p>
    <w:p>
      <w:pPr>
        <w:ind w:left="720" w:hanging="360"/>
      </w:pPr>
      <w:r>
        <w:t>•  Annex ES (Escrow and Trigger Sequence Protocol): The MRF uses the same neutral escrow architecture, verification principles, and no-clawback provisions.</w:t>
      </w:r>
    </w:p>
    <w:p>
      <w:pPr>
        <w:ind w:left="720" w:hanging="360"/>
      </w:pPr>
      <w:r>
        <w:t>•  Annex J (Lebanon Linkage): MRF funds are firewalled from Lebanon-related disputes. A breach of the Lebanon ceasefire does not affect MRF disbursements.</w:t>
      </w:r>
    </w:p>
    <w:p>
      <w:pPr>
        <w:ind w:left="720" w:hanging="360"/>
      </w:pPr>
      <w:r>
        <w:t>•  Annex T (Adaptive Stabilization Compliance Resilience Matrix): MRF Step-Back and Earn-Back provisions align with Annex T's graduated response system.</w:t>
      </w:r>
    </w:p>
    <w:p>
      <w:pPr>
        <w:pStyle w:val="Heading1"/>
      </w:pPr>
      <w:r>
        <w:t>Article 7: Duration and Supersession</w:t>
      </w:r>
      <w:bookmarkStart w:name="_Toc008" w:id="8"/>
      <w:bookmarkEnd w:id="8"/>
    </w:p>
    <w:p>
      <w:pPr>
        <w:pStyle w:val="Heading2"/>
      </w:pPr>
      <w:r>
        <w:t>7.1 Initial 60-Day Period</w:t>
      </w:r>
    </w:p>
    <w:p>
      <w:r>
        <w:t>The MRF operates initially as a 60-day stabilization mechanism, during which:</w:t>
      </w:r>
    </w:p>
    <w:p>
      <w:pPr>
        <w:ind w:left="720" w:hanging="360"/>
      </w:pPr>
      <w:r>
        <w:t>•  Sub-Funds are established and capitalized</w:t>
      </w:r>
    </w:p>
    <w:p>
      <w:pPr>
        <w:ind w:left="720" w:hanging="360"/>
      </w:pPr>
      <w:r>
        <w:t>•  Iran submits initial Project Proposals</w:t>
      </w:r>
    </w:p>
    <w:p>
      <w:pPr>
        <w:ind w:left="720" w:hanging="360"/>
      </w:pPr>
      <w:r>
        <w:t>•  The RSC conducts its first meetings</w:t>
      </w:r>
    </w:p>
    <w:p>
      <w:pPr>
        <w:ind w:left="720" w:hanging="360"/>
      </w:pPr>
      <w:r>
        <w:t>•  Technical teams deploy to assess priority projects</w:t>
      </w:r>
    </w:p>
    <w:p>
      <w:pPr>
        <w:pStyle w:val="Heading3"/>
      </w:pPr>
      <w:r>
        <w:t>7.1.1 Automatic Review at Day 60</w:t>
      </w:r>
    </w:p>
    <w:p>
      <w:r>
        <w:t>On the sixtieth day following entry into force of this Annex, the RSC convenes automatically for a formal Progress Assessment Session. This session is mandatory; failure to convene constitutes a procedural Tier-1 matter under Annex T. The RSC:</w:t>
      </w:r>
    </w:p>
    <w:p>
      <w:pPr>
        <w:ind w:left="720" w:hanging="360"/>
      </w:pPr>
      <w:r>
        <w:t>•  Reviews Sub-Fund capitalization status and deposit confirmations</w:t>
      </w:r>
    </w:p>
    <w:p>
      <w:pPr>
        <w:ind w:left="720" w:hanging="360"/>
      </w:pPr>
      <w:r>
        <w:t>•  Evaluates the status of all submitted Project Proposals</w:t>
      </w:r>
    </w:p>
    <w:p>
      <w:pPr>
        <w:ind w:left="720" w:hanging="360"/>
      </w:pPr>
      <w:r>
        <w:t>•  Assesses milestone completion rates against the Article 4 disbursement schedule</w:t>
      </w:r>
    </w:p>
    <w:p>
      <w:pPr>
        <w:ind w:left="720" w:hanging="360"/>
      </w:pPr>
      <w:r>
        <w:t>•  Issues a written Progress Assessment Report with one of the following recommendations: (a) extension to Phase II by consensus; (b) activation of Deficit Recovery Protocol under Annex T; or (c) technical consultation to address specific impediments</w:t>
      </w:r>
    </w:p>
    <w:p>
      <w:r>
        <w:t>The RSC transmits the Progress Assessment Report to all Parties within 72 hours of the Day 60 session. Either Party requests an emergency RSC consultation within 14 days of report issuance if it disagrees with the recommendation. Absent such request, the recommendation takes effect automatically.</w:t>
      </w:r>
    </w:p>
    <w:p>
      <w:pPr>
        <w:pStyle w:val="Heading3"/>
      </w:pPr>
      <w:r>
        <w:t>7.1.2 Drift Prevention</w:t>
      </w:r>
    </w:p>
    <w:p>
      <w:pPr>
        <w:pStyle w:val="Normal"/>
      </w:pPr>
      <w:r>
        <w:rPr>
          <w:rFonts w:ascii="Times New Roman" w:hAnsi="Times New Roman" w:eastAsia="Times New Roman" w:cs="Times New Roman"/>
          <w:color w:val="1A1A1A"/>
          <w:sz w:val="22"/>
          <w:szCs w:val="22"/>
        </w:rPr>
        <w:t>The framework architecture excludes procedural drift. If the Day 60 review identifies a material impediment to Sub-Fund capitalization or project deployment, the RSC activates the following sequence:</w:t>
      </w:r>
    </w:p>
    <w:p>
      <w:pPr>
        <w:pStyle w:val="Normal"/>
        <w:ind w:left="720" w:hanging="360"/>
      </w:pPr>
      <w:r>
        <w:rPr>
          <w:rFonts w:ascii="Times New Roman" w:hAnsi="Times New Roman" w:eastAsia="Times New Roman" w:cs="Times New Roman"/>
          <w:color w:val="1A1A1A"/>
          <w:sz w:val="22"/>
          <w:szCs w:val="22"/>
        </w:rPr>
        <w:t xml:space="preserve">•  The impediment is classified by severity under the Annex T tier system</w:t>
      </w:r>
    </w:p>
    <w:p>
      <w:pPr>
        <w:pStyle w:val="Normal"/>
        <w:ind w:left="720" w:hanging="360"/>
      </w:pPr>
      <w:r>
        <w:rPr>
          <w:rFonts w:ascii="Times New Roman" w:hAnsi="Times New Roman" w:eastAsia="Times New Roman" w:cs="Times New Roman"/>
          <w:color w:val="1A1A1A"/>
          <w:sz w:val="22"/>
          <w:szCs w:val="22"/>
        </w:rPr>
        <w:t xml:space="preserve">•  The RSC assigns a remediation timeline not exceeding 30 days</w:t>
      </w:r>
    </w:p>
    <w:p>
      <w:pPr>
        <w:pStyle w:val="Normal"/>
        <w:ind w:left="720" w:hanging="360"/>
      </w:pPr>
      <w:r>
        <w:rPr>
          <w:rFonts w:ascii="Times New Roman" w:hAnsi="Times New Roman" w:eastAsia="Times New Roman" w:cs="Times New Roman"/>
          <w:color w:val="1A1A1A"/>
          <w:sz w:val="22"/>
          <w:szCs w:val="22"/>
        </w:rPr>
        <w:t xml:space="preserve">•  If remediation fails, the affected Sub-Fund enters a hold status; all other Sub-Funds continue operating without interruption</w:t>
      </w:r>
    </w:p>
    <w:p>
      <w:pPr>
        <w:pStyle w:val="Normal"/>
        <w:ind w:left="720" w:hanging="360"/>
      </w:pPr>
      <w:r>
        <w:rPr>
          <w:rFonts w:ascii="Times New Roman" w:hAnsi="Times New Roman" w:eastAsia="Times New Roman" w:cs="Times New Roman"/>
          <w:color w:val="1A1A1A"/>
          <w:sz w:val="22"/>
          <w:szCs w:val="22"/>
        </w:rPr>
        <w:t xml:space="preserve">•  The RSC convenes a second review within 15 days of the remediation deadline</w:t>
      </w:r>
    </w:p>
    <w:p>
      <w:pPr>
        <w:pStyle w:val="Heading2"/>
      </w:pPr>
      <w:r>
        <w:rPr>
          <w:rFonts w:ascii="Times New Roman" w:hAnsi="Times New Roman" w:eastAsia="Times New Roman" w:cs="Times New Roman"/>
          <w:b/>
          <w:color w:val="2E5A6B"/>
          <w:sz w:val="24"/>
          <w:szCs w:val="24"/>
        </w:rPr>
        <w:t>7.2 Transition to Phase II</w:t>
      </w:r>
    </w:p>
    <w:p>
      <w:pPr>
        <w:pStyle w:val="Normal"/>
      </w:pPr>
      <w:r>
        <w:rPr>
          <w:rFonts w:ascii="Times New Roman" w:hAnsi="Times New Roman" w:eastAsia="Times New Roman" w:cs="Times New Roman"/>
          <w:color w:val="1A1A1A"/>
          <w:sz w:val="22"/>
          <w:szCs w:val="22"/>
        </w:rPr>
        <w:t>Upon expiration of the 60-day period, the Parties transition to Phase II (full execution) by mutual consent. Phase II operates on the 180-day verification schedule outlined in Article 4.</w:t>
      </w:r>
    </w:p>
    <w:p>
      <w:pPr>
        <w:pStyle w:val="Heading2"/>
      </w:pPr>
      <w:r>
        <w:rPr>
          <w:rFonts w:ascii="Times New Roman" w:hAnsi="Times New Roman" w:eastAsia="Times New Roman" w:cs="Times New Roman"/>
          <w:b/>
          <w:color w:val="2E5A6B"/>
          <w:sz w:val="24"/>
          <w:szCs w:val="24"/>
        </w:rPr>
        <w:t>7.3 Supersession</w:t>
      </w:r>
    </w:p>
    <w:p>
      <w:pPr>
        <w:pStyle w:val="Normal"/>
      </w:pPr>
      <w:r>
        <w:rPr>
          <w:rFonts w:ascii="Times New Roman" w:hAnsi="Times New Roman" w:eastAsia="Times New Roman" w:cs="Times New Roman"/>
          <w:color w:val="1A1A1A"/>
          <w:sz w:val="22"/>
          <w:szCs w:val="22"/>
        </w:rPr>
        <w:t>The MRF is automatically superseded upon entry into force of any subsequent comprehensive agreement that addresses reconstruction financing with equivalent or greater protections for Iran.</w:t>
      </w:r>
    </w:p>
    <w:p>
      <w:pPr>
        <w:pStyle w:val="Heading1"/>
      </w:pPr>
      <w:bookmarkStart w:name="_Toc009" w:id="9"/>
      <w:r>
        <w:rPr>
          <w:rFonts w:ascii="Times New Roman" w:hAnsi="Times New Roman" w:eastAsia="Times New Roman" w:cs="Times New Roman"/>
          <w:b/>
          <w:color w:val="1B3A4B"/>
          <w:sz w:val="28"/>
          <w:szCs w:val="28"/>
        </w:rPr>
        <w:t>Article 8: Sovereign Procurement and Non-Directed Purchasing</w:t>
      </w:r>
      <w:bookmarkEnd w:id="9"/>
    </w:p>
    <w:p>
      <w:pPr>
        <w:pStyle w:val="Heading2"/>
      </w:pPr>
      <w:r>
        <w:rPr>
          <w:rFonts w:ascii="Times New Roman" w:hAnsi="Times New Roman" w:eastAsia="Times New Roman" w:cs="Times New Roman"/>
          <w:b/>
          <w:color w:val="2E5A6B"/>
          <w:sz w:val="24"/>
          <w:szCs w:val="24"/>
        </w:rPr>
        <w:t>8.1 No Obligation to Purchase from Any Particular Country</w:t>
      </w:r>
    </w:p>
    <w:p>
      <w:pPr>
        <w:pStyle w:val="Normal"/>
      </w:pPr>
      <w:r>
        <w:rPr>
          <w:rFonts w:ascii="Times New Roman" w:hAnsi="Times New Roman" w:eastAsia="Times New Roman" w:cs="Times New Roman"/>
          <w:color w:val="1A1A1A"/>
          <w:sz w:val="22"/>
          <w:szCs w:val="22"/>
        </w:rPr>
        <w:t>The Islamic Republic of Iran is under no obligation, express or implied, to purchase agricultural products, food commodities, medical supplies, industrial equipment, or any other goods or services from the United States, its farmers, its corporations, its nationals, or from any other country, entity, or commercial channel. This Annex establishes no condition, restriction, or preference requiring MRF funds to be spent in any particular country, currency, or commercial channel.</w:t>
      </w:r>
    </w:p>
    <w:p>
      <w:pPr>
        <w:pStyle w:val="Normal"/>
      </w:pPr>
      <w:r>
        <w:rPr>
          <w:rFonts w:ascii="Times New Roman" w:hAnsi="Times New Roman" w:eastAsia="Times New Roman" w:cs="Times New Roman"/>
          <w:color w:val="1A1A1A"/>
          <w:sz w:val="22"/>
          <w:szCs w:val="22"/>
        </w:rPr>
        <w:t>For the avoidance of doubt:</w:t>
      </w:r>
    </w:p>
    <w:p>
      <w:pPr>
        <w:pStyle w:val="Normal"/>
        <w:ind w:left="720" w:hanging="360"/>
      </w:pPr>
      <w:r>
        <w:rPr>
          <w:rFonts w:ascii="Times New Roman" w:hAnsi="Times New Roman" w:eastAsia="Times New Roman" w:cs="Times New Roman"/>
          <w:color w:val="1A1A1A"/>
          <w:sz w:val="22"/>
          <w:szCs w:val="22"/>
        </w:rPr>
        <w:t xml:space="preserve">•  Iran retains the full sovereign right to procure goods and services from any country of its choosing, including but not limited to China, Russia, the European Union, Turkey, India, Brazil, Argentina, or any other nation with which Iran maintains commercial relations</w:t>
      </w:r>
    </w:p>
    <w:p>
      <w:pPr>
        <w:pStyle w:val="Normal"/>
        <w:ind w:left="720" w:hanging="360"/>
      </w:pPr>
      <w:r>
        <w:rPr>
          <w:rFonts w:ascii="Times New Roman" w:hAnsi="Times New Roman" w:eastAsia="Times New Roman" w:cs="Times New Roman"/>
          <w:color w:val="1A1A1A"/>
          <w:sz w:val="22"/>
          <w:szCs w:val="22"/>
        </w:rPr>
        <w:t xml:space="preserve">•  Iran retains the full sovereign right to use MRF funds for any purpose consistent with its national interests and applicable international law</w:t>
      </w:r>
    </w:p>
    <w:p>
      <w:pPr>
        <w:pStyle w:val="Normal"/>
        <w:ind w:left="720" w:hanging="360"/>
      </w:pPr>
      <w:r>
        <w:rPr>
          <w:rFonts w:ascii="Times New Roman" w:hAnsi="Times New Roman" w:eastAsia="Times New Roman" w:cs="Times New Roman"/>
          <w:color w:val="1A1A1A"/>
          <w:sz w:val="22"/>
          <w:szCs w:val="22"/>
        </w:rPr>
        <w:t xml:space="preserve">•  The United States holds no approval authority over Iranian procurement decisions</w:t>
      </w:r>
    </w:p>
    <w:p>
      <w:pPr>
        <w:pStyle w:val="Normal"/>
        <w:ind w:left="720" w:hanging="360"/>
      </w:pPr>
      <w:r>
        <w:rPr>
          <w:rFonts w:ascii="Times New Roman" w:hAnsi="Times New Roman" w:eastAsia="Times New Roman" w:cs="Times New Roman"/>
          <w:color w:val="1A1A1A"/>
          <w:sz w:val="22"/>
          <w:szCs w:val="22"/>
        </w:rPr>
        <w:t xml:space="preserve">•  The RSC holds no approval authority over Iranian procurement decisions</w:t>
      </w:r>
    </w:p>
    <w:p>
      <w:pPr>
        <w:pStyle w:val="Normal"/>
        <w:ind w:left="720" w:hanging="360"/>
      </w:pPr>
      <w:r>
        <w:rPr>
          <w:rFonts w:ascii="Times New Roman" w:hAnsi="Times New Roman" w:eastAsia="Times New Roman" w:cs="Times New Roman"/>
          <w:color w:val="1A1A1A"/>
          <w:sz w:val="22"/>
          <w:szCs w:val="22"/>
        </w:rPr>
        <w:t xml:space="preserve">•  The Escrow Agent holds no approval authority over Iranian procurement decisions</w:t>
      </w:r>
    </w:p>
    <w:p>
      <w:pPr>
        <w:pStyle w:val="Heading2"/>
      </w:pPr>
      <w:r>
        <w:rPr>
          <w:rFonts w:ascii="Times New Roman" w:hAnsi="Times New Roman" w:eastAsia="Times New Roman" w:cs="Times New Roman"/>
          <w:b/>
          <w:color w:val="2E5A6B"/>
          <w:sz w:val="24"/>
          <w:szCs w:val="24"/>
        </w:rPr>
        <w:t>8.2 Central Bank Statement Affirmation</w:t>
      </w:r>
    </w:p>
    <w:p>
      <w:pPr>
        <w:pStyle w:val="Normal"/>
      </w:pPr>
      <w:r>
        <w:rPr>
          <w:rFonts w:ascii="Times New Roman" w:hAnsi="Times New Roman" w:eastAsia="Times New Roman" w:cs="Times New Roman"/>
          <w:color w:val="1A1A1A"/>
          <w:sz w:val="22"/>
          <w:szCs w:val="22"/>
        </w:rPr>
        <w:t>The Parties affirm and acknowledge the public statement of the Governor of the Central Bank of Iran that the memorandums signed between the Parties create no obligation to purchase agricultural inputs or any other goods from the United States. This Annex incorporates that clarification as a binding interpretive understanding.</w:t>
      </w:r>
    </w:p>
    <w:p>
      <w:pPr>
        <w:pStyle w:val="Heading2"/>
      </w:pPr>
      <w:r>
        <w:rPr>
          <w:rFonts w:ascii="Times New Roman" w:hAnsi="Times New Roman" w:eastAsia="Times New Roman" w:cs="Times New Roman"/>
          <w:b/>
          <w:color w:val="2E5A6B"/>
          <w:sz w:val="24"/>
          <w:szCs w:val="24"/>
        </w:rPr>
        <w:t>8.3 No Unilateral Oversight</w:t>
      </w:r>
    </w:p>
    <w:p>
      <w:pPr>
        <w:pStyle w:val="Normal"/>
      </w:pPr>
      <w:r>
        <w:rPr>
          <w:rFonts w:ascii="Times New Roman" w:hAnsi="Times New Roman" w:eastAsia="Times New Roman" w:cs="Times New Roman"/>
          <w:color w:val="1A1A1A"/>
          <w:sz w:val="22"/>
          <w:szCs w:val="22"/>
        </w:rPr>
        <w:t>No Party or third party exercises approval authority, veto power, oversight jurisdiction, or any other form of control over Iran's use of MRF funds, except as expressly provided in this Annex for verification and audit purposes (Article 4). All audit and verification functions are limited to confirming milestone completion; they do not extend to approving or disapproving procurement decisions.</w:t>
      </w:r>
    </w:p>
    <w:p>
      <w:pPr>
        <w:pStyle w:val="Heading2"/>
      </w:pPr>
      <w:r>
        <w:rPr>
          <w:rFonts w:ascii="Times New Roman" w:hAnsi="Times New Roman" w:eastAsia="Times New Roman" w:cs="Times New Roman"/>
          <w:b/>
          <w:color w:val="2E5A6B"/>
          <w:sz w:val="24"/>
          <w:szCs w:val="24"/>
        </w:rPr>
        <w:t>8.4 Non-Derogation</w:t>
      </w:r>
    </w:p>
    <w:p>
      <w:pPr>
        <w:pStyle w:val="Normal"/>
      </w:pPr>
      <w:r>
        <w:rPr>
          <w:rFonts w:ascii="Times New Roman" w:hAnsi="Times New Roman" w:eastAsia="Times New Roman" w:cs="Times New Roman"/>
          <w:color w:val="1A1A1A"/>
          <w:sz w:val="22"/>
          <w:szCs w:val="22"/>
        </w:rPr>
        <w:t>Nothing in this Article is construed to:</w:t>
      </w:r>
    </w:p>
    <w:p>
      <w:pPr>
        <w:pStyle w:val="Normal"/>
        <w:ind w:left="720" w:hanging="360"/>
      </w:pPr>
      <w:r>
        <w:rPr>
          <w:rFonts w:ascii="Times New Roman" w:hAnsi="Times New Roman" w:eastAsia="Times New Roman" w:cs="Times New Roman"/>
          <w:color w:val="1A1A1A"/>
          <w:sz w:val="22"/>
          <w:szCs w:val="22"/>
        </w:rPr>
        <w:t xml:space="preserve">•  Impair Iran's sovereign right to manage its economy and fiscal policy</w:t>
      </w:r>
    </w:p>
    <w:p>
      <w:pPr>
        <w:pStyle w:val="Normal"/>
        <w:ind w:left="720" w:hanging="360"/>
      </w:pPr>
      <w:r>
        <w:rPr>
          <w:rFonts w:ascii="Times New Roman" w:hAnsi="Times New Roman" w:eastAsia="Times New Roman" w:cs="Times New Roman"/>
          <w:color w:val="1A1A1A"/>
          <w:sz w:val="22"/>
          <w:szCs w:val="22"/>
        </w:rPr>
        <w:t xml:space="preserve">•  Grant the United States or any other country preferential commercial access to the Iranian market</w:t>
      </w:r>
    </w:p>
    <w:p>
      <w:pPr>
        <w:pStyle w:val="Normal"/>
        <w:ind w:left="720" w:hanging="360"/>
      </w:pPr>
      <w:r>
        <w:rPr>
          <w:rFonts w:ascii="Times New Roman" w:hAnsi="Times New Roman" w:eastAsia="Times New Roman" w:cs="Times New Roman"/>
          <w:color w:val="1A1A1A"/>
          <w:sz w:val="22"/>
          <w:szCs w:val="22"/>
        </w:rPr>
        <w:t xml:space="preserve">•  Establish any precedent for future trade or investment agreements</w:t>
      </w:r>
    </w:p>
    <w:p>
      <w:pPr>
        <w:pStyle w:val="Normal"/>
        <w:ind w:left="720" w:hanging="360"/>
      </w:pPr>
      <w:r>
        <w:rPr>
          <w:rFonts w:ascii="Times New Roman" w:hAnsi="Times New Roman" w:eastAsia="Times New Roman" w:cs="Times New Roman"/>
          <w:color w:val="1A1A1A"/>
          <w:sz w:val="22"/>
          <w:szCs w:val="22"/>
        </w:rPr>
        <w:t xml:space="preserve">•  Affect Iran's rights under the World Trade Organization or other international trade instruments</w:t>
      </w:r>
    </w:p>
    <w:p>
      <w:pPr>
        <w:pStyle w:val="Normal"/>
        <w:ind w:left="720" w:hanging="360"/>
      </w:pPr>
      <w:r>
        <w:rPr>
          <w:rFonts w:ascii="Times New Roman" w:hAnsi="Times New Roman" w:eastAsia="Times New Roman" w:cs="Times New Roman"/>
          <w:color w:val="1A1A1A"/>
          <w:sz w:val="22"/>
          <w:szCs w:val="22"/>
        </w:rPr>
        <w:t xml:space="preserve">•  Require Iran to accept any bilateral trade conditions not explicitly agreed in writing</w:t>
      </w:r>
    </w:p>
    <w:p>
      <w:pPr>
        <w:pStyle w:val="Heading2"/>
      </w:pPr>
      <w:r>
        <w:rPr>
          <w:rFonts w:ascii="Times New Roman" w:hAnsi="Times New Roman" w:eastAsia="Times New Roman" w:cs="Times New Roman"/>
          <w:b/>
          <w:color w:val="2E5A6B"/>
          <w:sz w:val="24"/>
          <w:szCs w:val="24"/>
        </w:rPr>
        <w:t>8.5 Clarification Regarding Annex ES Pool A Priority Consideration</w:t>
      </w:r>
    </w:p>
    <w:p>
      <w:pPr>
        <w:pStyle w:val="Normal"/>
      </w:pPr>
      <w:r>
        <w:rPr>
          <w:rFonts w:ascii="Times New Roman" w:hAnsi="Times New Roman" w:eastAsia="Times New Roman" w:cs="Times New Roman"/>
          <w:color w:val="1A1A1A"/>
          <w:sz w:val="22"/>
          <w:szCs w:val="22"/>
        </w:rPr>
        <w:t>Nothing in this Article affects or supersedes the Priority Consideration provisions applicable to Pool A of Annex ES. The provisions of this Article apply to MRF funds only and do not extend to funds released under Annex ES.</w:t>
      </w:r>
    </w:p>
    <w:p>
      <w:pPr>
        <w:pStyle w:val="Heading2"/>
      </w:pPr>
      <w:r>
        <w:rPr>
          <w:rFonts w:ascii="Times New Roman" w:hAnsi="Times New Roman" w:eastAsia="Times New Roman" w:cs="Times New Roman"/>
          <w:b/>
          <w:color w:val="2E5A6B"/>
          <w:sz w:val="24"/>
          <w:szCs w:val="24"/>
        </w:rPr>
        <w:t>8.6 Severability and Supremacy</w:t>
      </w:r>
    </w:p>
    <w:p>
      <w:pPr>
        <w:pStyle w:val="Normal"/>
      </w:pPr>
      <w:r>
        <w:rPr>
          <w:rFonts w:ascii="Times New Roman" w:hAnsi="Times New Roman" w:eastAsia="Times New Roman" w:cs="Times New Roman"/>
          <w:color w:val="1A1A1A"/>
          <w:sz w:val="22"/>
          <w:szCs w:val="22"/>
        </w:rPr>
        <w:t>In the event of any conflict between this Article and any public statement, diplomatic assurance, press release, or political declaration by either Party or their representatives, the operative text of this Annex governs. No unilateral statement by any official creates a legally binding obligation on Iran.</w:t>
      </w:r>
    </w:p>
    <w:p>
      <w:pPr>
        <w:pStyle w:val="Heading1"/>
      </w:pPr>
      <w:bookmarkStart w:name="_Toc010" w:id="10"/>
      <w:r>
        <w:rPr>
          <w:rFonts w:ascii="Times New Roman" w:hAnsi="Times New Roman" w:eastAsia="Times New Roman" w:cs="Times New Roman"/>
          <w:b/>
          <w:color w:val="1B3A4B"/>
          <w:sz w:val="28"/>
          <w:szCs w:val="28"/>
        </w:rPr>
        <w:t>Appendix A: Capital Contributor Registry</w:t>
      </w:r>
      <w:bookmarkEnd w:id="10"/>
    </w:p>
    <w:p>
      <w:pPr>
        <w:pStyle w:val="Normal"/>
      </w:pPr>
      <w:r>
        <w:rPr>
          <w:rFonts w:ascii="Times New Roman" w:hAnsi="Times New Roman" w:eastAsia="Times New Roman" w:cs="Times New Roman"/>
          <w:color w:val="1A1A1A"/>
          <w:sz w:val="22"/>
          <w:szCs w:val="22"/>
        </w:rPr>
        <w:t>This Appendix catalogs confirmed and prospective contributors to the MRF, organized by tier and sector focus.</w:t>
      </w:r>
    </w:p>
    <w:p>
      <w:pPr>
        <w:pStyle w:val="Heading2"/>
      </w:pPr>
      <w:r>
        <w:rPr>
          <w:rFonts w:ascii="Times New Roman" w:hAnsi="Times New Roman" w:eastAsia="Times New Roman" w:cs="Times New Roman"/>
          <w:b/>
          <w:color w:val="2E5A6B"/>
          <w:sz w:val="24"/>
          <w:szCs w:val="24"/>
        </w:rPr>
        <w:t>A.1 Anchor Contributors</w:t>
      </w:r>
    </w:p>
    <w:p>
      <w:pPr>
        <w:pStyle w:val="Heading3"/>
      </w:pPr>
      <w:r>
        <w:rPr>
          <w:rFonts w:ascii="Times New Roman" w:hAnsi="Times New Roman" w:eastAsia="Times New Roman" w:cs="Times New Roman"/>
          <w:b/>
          <w:i/>
          <w:color w:val="4A4A4A"/>
          <w:sz w:val="22"/>
          <w:szCs w:val="22"/>
        </w:rPr>
        <w:t>A.1.1 Qatar Investment Authority (QIA)</w:t>
      </w:r>
    </w:p>
    <w:p>
      <w:pPr>
        <w:pStyle w:val="Normal"/>
      </w:pPr>
      <w:r>
        <w:rPr>
          <w:rFonts w:ascii="Times New Roman" w:hAnsi="Times New Roman" w:eastAsia="Times New Roman" w:cs="Times New Roman"/>
          <w:color w:val="1A1A1A"/>
          <w:sz w:val="22"/>
          <w:szCs w:val="22"/>
        </w:rPr>
        <w:t>Commitment: $15 billion across all Sub-Funds. Focus: Energy, Water, Healthcare. Mechanism: Direct deposit to Qatar Central Bank escrow. Timeline: $5B within 60 days; remainder over 24 months.</w:t>
      </w:r>
    </w:p>
    <w:p>
      <w:pPr>
        <w:pStyle w:val="Heading3"/>
      </w:pPr>
      <w:r>
        <w:rPr>
          <w:rFonts w:ascii="Times New Roman" w:hAnsi="Times New Roman" w:eastAsia="Times New Roman" w:cs="Times New Roman"/>
          <w:b/>
          <w:i/>
          <w:color w:val="4A4A4A"/>
          <w:sz w:val="22"/>
          <w:szCs w:val="22"/>
        </w:rPr>
        <w:t>A.1.2 Saudi Public Investment Fund (PIF)</w:t>
      </w:r>
    </w:p>
    <w:p>
      <w:pPr>
        <w:pStyle w:val="Normal"/>
      </w:pPr>
      <w:r>
        <w:rPr>
          <w:rFonts w:ascii="Times New Roman" w:hAnsi="Times New Roman" w:eastAsia="Times New Roman" w:cs="Times New Roman"/>
          <w:color w:val="1A1A1A"/>
          <w:sz w:val="22"/>
          <w:szCs w:val="22"/>
        </w:rPr>
        <w:t>Commitment: $10 billion. Focus: Energy, Transport, Housing. Mechanism: Structured through Saudi-Iranian bilateral reconstruction committee. Timeline: $3B within 90 days.</w:t>
      </w:r>
    </w:p>
    <w:p>
      <w:pPr>
        <w:pStyle w:val="Heading3"/>
      </w:pPr>
      <w:r>
        <w:rPr>
          <w:rFonts w:ascii="Times New Roman" w:hAnsi="Times New Roman" w:eastAsia="Times New Roman" w:cs="Times New Roman"/>
          <w:b/>
          <w:i/>
          <w:color w:val="4A4A4A"/>
          <w:sz w:val="22"/>
          <w:szCs w:val="22"/>
        </w:rPr>
        <w:t>A.1.3 UAE Abu Dhabi Investment Authority (ADIA)</w:t>
      </w:r>
    </w:p>
    <w:p>
      <w:pPr>
        <w:pStyle w:val="Normal"/>
      </w:pPr>
      <w:r>
        <w:rPr>
          <w:rFonts w:ascii="Times New Roman" w:hAnsi="Times New Roman" w:eastAsia="Times New Roman" w:cs="Times New Roman"/>
          <w:color w:val="1A1A1A"/>
          <w:sz w:val="22"/>
          <w:szCs w:val="22"/>
        </w:rPr>
        <w:t>Commitment: $8 billion. Focus: Transport, Energy. Mechanism: Direct deposit through UAE Central Bank coordination. Timeline: $2B within 60 days.</w:t>
      </w:r>
    </w:p>
    <w:p>
      <w:pPr>
        <w:pStyle w:val="Heading3"/>
      </w:pPr>
      <w:r>
        <w:rPr>
          <w:rFonts w:ascii="Times New Roman" w:hAnsi="Times New Roman" w:eastAsia="Times New Roman" w:cs="Times New Roman"/>
          <w:b/>
          <w:i/>
          <w:color w:val="4A4A4A"/>
          <w:sz w:val="22"/>
          <w:szCs w:val="22"/>
        </w:rPr>
        <w:t>A.1.4 World Bank</w:t>
      </w:r>
    </w:p>
    <w:p>
      <w:pPr>
        <w:pStyle w:val="Normal"/>
      </w:pPr>
      <w:r>
        <w:rPr>
          <w:rFonts w:ascii="Times New Roman" w:hAnsi="Times New Roman" w:eastAsia="Times New Roman" w:cs="Times New Roman"/>
          <w:color w:val="1A1A1A"/>
          <w:sz w:val="22"/>
          <w:szCs w:val="22"/>
        </w:rPr>
        <w:t>Commitment: $5 billion in concessional financing. Focus: Water, Education, Agriculture. Mechanism: IDA credits and IBRD loans. Timeline: $1B within 120 days.</w:t>
      </w:r>
    </w:p>
    <w:p>
      <w:pPr>
        <w:pStyle w:val="Heading3"/>
      </w:pPr>
      <w:r>
        <w:rPr>
          <w:rFonts w:ascii="Times New Roman" w:hAnsi="Times New Roman" w:eastAsia="Times New Roman" w:cs="Times New Roman"/>
          <w:b/>
          <w:i/>
          <w:color w:val="4A4A4A"/>
          <w:sz w:val="22"/>
          <w:szCs w:val="22"/>
        </w:rPr>
        <w:t>A.1.5 Islamic Development Bank (IsDB)</w:t>
      </w:r>
    </w:p>
    <w:p>
      <w:pPr>
        <w:pStyle w:val="Normal"/>
      </w:pPr>
      <w:r>
        <w:rPr>
          <w:rFonts w:ascii="Times New Roman" w:hAnsi="Times New Roman" w:eastAsia="Times New Roman" w:cs="Times New Roman"/>
          <w:color w:val="1A1A1A"/>
          <w:sz w:val="22"/>
          <w:szCs w:val="22"/>
        </w:rPr>
        <w:t>Commitment: $4 billion. Focus: Healthcare, Education, Housing. Mechanism: Islamic financing instruments (Ijara, Istisna, Mudaraba). Timeline: $1B within 90 days.</w:t>
      </w:r>
    </w:p>
    <w:p>
      <w:pPr>
        <w:pStyle w:val="Heading2"/>
      </w:pPr>
      <w:r>
        <w:rPr>
          <w:rFonts w:ascii="Times New Roman" w:hAnsi="Times New Roman" w:eastAsia="Times New Roman" w:cs="Times New Roman"/>
          <w:b/>
          <w:color w:val="2E5A6B"/>
          <w:sz w:val="24"/>
          <w:szCs w:val="24"/>
        </w:rPr>
        <w:t>A.2 Major Contributors</w:t>
      </w:r>
    </w:p>
    <w:p>
      <w:pPr>
        <w:pStyle w:val="Heading3"/>
      </w:pPr>
      <w:r>
        <w:rPr>
          <w:rFonts w:ascii="Times New Roman" w:hAnsi="Times New Roman" w:eastAsia="Times New Roman" w:cs="Times New Roman"/>
          <w:b/>
          <w:i/>
          <w:color w:val="4A4A4A"/>
          <w:sz w:val="22"/>
          <w:szCs w:val="22"/>
        </w:rPr>
        <w:t>A.2.1 Asian Infrastructure Investment Bank (AIIB)</w:t>
      </w:r>
    </w:p>
    <w:p>
      <w:pPr>
        <w:pStyle w:val="Normal"/>
      </w:pPr>
      <w:r>
        <w:rPr>
          <w:rFonts w:ascii="Times New Roman" w:hAnsi="Times New Roman" w:eastAsia="Times New Roman" w:cs="Times New Roman"/>
          <w:color w:val="1A1A1A"/>
          <w:sz w:val="22"/>
          <w:szCs w:val="22"/>
        </w:rPr>
        <w:t>Commitment: $3 billion. Focus: Transport, Energy infrastructure. Mechanism: Sovereign-backed project loans. Timeline: $1B within 180 days.</w:t>
      </w:r>
    </w:p>
    <w:p>
      <w:pPr>
        <w:pStyle w:val="Heading3"/>
      </w:pPr>
      <w:r>
        <w:rPr>
          <w:rFonts w:ascii="Times New Roman" w:hAnsi="Times New Roman" w:eastAsia="Times New Roman" w:cs="Times New Roman"/>
          <w:b/>
          <w:i/>
          <w:color w:val="4A4A4A"/>
          <w:sz w:val="22"/>
          <w:szCs w:val="22"/>
        </w:rPr>
        <w:t>A.2.2 European Bank for Reconstruction and Development (EBRD)</w:t>
      </w:r>
    </w:p>
    <w:p>
      <w:pPr>
        <w:pStyle w:val="Normal"/>
      </w:pPr>
      <w:r>
        <w:rPr>
          <w:rFonts w:ascii="Times New Roman" w:hAnsi="Times New Roman" w:eastAsia="Times New Roman" w:cs="Times New Roman"/>
          <w:color w:val="1A1A1A"/>
          <w:sz w:val="22"/>
          <w:szCs w:val="22"/>
        </w:rPr>
        <w:t>Commitment: $2 billion. Focus: Private sector development, SME reconstruction. Mechanism: Direct lending and equity participation. Timeline: $500M within 120 days.</w:t>
      </w:r>
    </w:p>
    <w:p>
      <w:pPr>
        <w:pStyle w:val="Heading3"/>
      </w:pPr>
      <w:r>
        <w:rPr>
          <w:rFonts w:ascii="Times New Roman" w:hAnsi="Times New Roman" w:eastAsia="Times New Roman" w:cs="Times New Roman"/>
          <w:b/>
          <w:i/>
          <w:color w:val="4A4A4A"/>
          <w:sz w:val="22"/>
          <w:szCs w:val="22"/>
        </w:rPr>
        <w:t>A.2.3 People's Republic of China (via AIIB and bilateral)</w:t>
      </w:r>
    </w:p>
    <w:p>
      <w:r>
        <w:t>Commitment: $5 billion. Focus: Transport, Energy, Technology. Mechanism: Belt and Road Initiative coordination plus AIIB lending. Timeline: $2B within 180 days.</w:t>
      </w:r>
    </w:p>
    <w:p>
      <w:pPr>
        <w:pStyle w:val="Heading3"/>
      </w:pPr>
      <w:r>
        <w:t>A.2.4 European Union (through EFSD and bilateral)</w:t>
      </w:r>
    </w:p>
    <w:p>
      <w:r>
        <w:t>Commitment: $2 billion. Focus: Water, Environment, Governance. Mechanism: European Fund for Sustainable Development plus member state bilateral contributions. Timeline: $500M within 180 days.</w:t>
      </w:r>
    </w:p>
    <w:p>
      <w:pPr>
        <w:pStyle w:val="Heading3"/>
      </w:pPr>
      <w:r>
        <w:t>A.2.5 Government of Japan (JICA)</w:t>
      </w:r>
    </w:p>
    <w:p>
      <w:r>
        <w:t>Commitment: $1.5 billion. Focus: Water, Energy efficiency, Disaster resilience. Mechanism: JICA concessional loans and grants. Timeline: $400M within 180 days.</w:t>
      </w:r>
    </w:p>
    <w:p>
      <w:pPr>
        <w:pStyle w:val="Heading2"/>
      </w:pPr>
      <w:r>
        <w:t>A.3 Supporting Contributors</w:t>
      </w:r>
    </w:p>
    <w:p>
      <w:r>
        <w:t>Supporting contributors include regional pension funds, sovereign-backed insurance entities, and international infrastructure investment funds. Representative participants:</w:t>
      </w:r>
    </w:p>
    <w:p>
      <w:pPr>
        <w:ind w:left="720" w:hanging="360"/>
      </w:pPr>
      <w:r>
        <w:t>•  GCC Sovereign Pension Funds: Collective commitment of $3 billion across energy and housing sectors</w:t>
      </w:r>
    </w:p>
    <w:p>
      <w:pPr>
        <w:ind w:left="720" w:hanging="360"/>
      </w:pPr>
      <w:r>
        <w:t>•  Regional Infrastructure Funds: $1.5 billion focused on transport and logistics</w:t>
      </w:r>
    </w:p>
    <w:p>
      <w:pPr>
        <w:ind w:left="720" w:hanging="360"/>
      </w:pPr>
      <w:r>
        <w:t>•  International Pension Funds (Norway GPFG, Canadian CPP): $2 billion in green energy and water infrastructure</w:t>
      </w:r>
    </w:p>
    <w:p>
      <w:pPr>
        <w:pStyle w:val="Heading2"/>
      </w:pPr>
      <w:r>
        <w:t>A.4 Humanitarian Contributors</w:t>
      </w:r>
    </w:p>
    <w:p>
      <w:r>
        <w:t>Humanitarian contributions target immediate relief and foundational reconstruction:</w:t>
      </w:r>
    </w:p>
    <w:p>
      <w:pPr>
        <w:ind w:left="720" w:hanging="360"/>
      </w:pPr>
      <w:r>
        <w:t>•  UN OCHA: $200 million for emergency infrastructure repair</w:t>
      </w:r>
    </w:p>
    <w:p>
      <w:pPr>
        <w:ind w:left="720" w:hanging="360"/>
      </w:pPr>
      <w:r>
        <w:t>•  WHO: $150 million for healthcare facility rehabilitation</w:t>
      </w:r>
    </w:p>
    <w:p>
      <w:pPr>
        <w:ind w:left="720" w:hanging="360"/>
      </w:pPr>
      <w:r>
        <w:t>•  UNICEF: $100 million for education infrastructure and child-protection facilities</w:t>
      </w:r>
    </w:p>
    <w:p>
      <w:pPr>
        <w:ind w:left="720" w:hanging="360"/>
      </w:pPr>
      <w:r>
        <w:t>•  International Committee of the Red Cross: $80 million for medical and water infrastructure</w:t>
      </w:r>
    </w:p>
    <w:p>
      <w:pPr>
        <w:ind w:left="720" w:hanging="360"/>
      </w:pPr>
      <w:r>
        <w:t>•  World Food Programme: $120 million for agricultural restoration and food security</w:t>
      </w:r>
    </w:p>
    <w:p>
      <w:pPr>
        <w:pStyle w:val="Heading1"/>
      </w:pPr>
      <w:r>
        <w:t>Appendix B: Regional Development Funds and Grant Programs</w:t>
      </w:r>
      <w:bookmarkStart w:name="_Toc011" w:id="11"/>
      <w:bookmarkEnd w:id="11"/>
    </w:p>
    <w:p>
      <w:r>
        <w:t>This Appendix identifies regional funds, grant programs, and charitable foundations available for Iranian reconstruction coordination. The MRF secretariat maintains active engagement with each listed entity.</w:t>
      </w:r>
    </w:p>
    <w:p>
      <w:pPr>
        <w:pStyle w:val="Heading2"/>
      </w:pPr>
      <w:r>
        <w:t>B.1 Middle East and North Africa Regional Funds</w:t>
      </w:r>
    </w:p>
    <w:p>
      <w:pPr>
        <w:pStyle w:val="Heading3"/>
      </w:pPr>
      <w:r>
        <w:t>B.1.1 Arab Fund for Economic and Social Development (AFESD)</w:t>
      </w:r>
    </w:p>
    <w:p>
      <w:r>
        <w:t>The AFESD maintains a mandate for reconstruction financing across Arab states. Iran qualifies through regional cooperation frameworks. Potential allocation: $500 million for transport and water infrastructure. Application process: Joint submission through the MRF-RSC with Arab League coordination.</w:t>
      </w:r>
    </w:p>
    <w:p>
      <w:pPr>
        <w:pStyle w:val="Heading3"/>
      </w:pPr>
      <w:r>
        <w:t>B.1.2 OPEC Fund for International Development (OFID)</w:t>
      </w:r>
    </w:p>
    <w:p>
      <w:r>
        <w:t>OFID provides concessional financing for energy infrastructure and poverty reduction. Iran, as a founding OPEC member, retains full access. Potential allocation: $400 million for energy grid modernization.</w:t>
      </w:r>
    </w:p>
    <w:p>
      <w:pPr>
        <w:pStyle w:val="Heading3"/>
      </w:pPr>
      <w:r>
        <w:t>B.1.3 Arab Monetary Fund (AMF)</w:t>
      </w:r>
    </w:p>
    <w:p>
      <w:r>
        <w:t>The AMF offers balance-of-payments support and structural adjustment financing. Coordination with MRF macroeconomic stabilization: $300 million in complementary financing.</w:t>
      </w:r>
    </w:p>
    <w:p>
      <w:pPr>
        <w:pStyle w:val="Heading2"/>
      </w:pPr>
      <w:r>
        <w:t>B.2 International Grant Programs</w:t>
      </w:r>
    </w:p>
    <w:p>
      <w:pPr>
        <w:pStyle w:val="Heading3"/>
      </w:pPr>
      <w:r>
        <w:t>B.2.1 UN Development Programme (UNDP) -- Iran Recovery Facility</w:t>
      </w:r>
    </w:p>
    <w:p>
      <w:r>
        <w:t>UNDP establishes a dedicated Iran Recovery Facility with $250 million in committed grant financing. Focus: Governance restoration, institutional capacity, rule-of-law infrastructure. Eligibility: Automatic for MRF-approved projects with governance components.</w:t>
      </w:r>
    </w:p>
    <w:p>
      <w:pPr>
        <w:pStyle w:val="Heading3"/>
      </w:pPr>
      <w:r>
        <w:t>B.2.2 Global Fund for Disaster Reduction (GFDRR)</w:t>
      </w:r>
    </w:p>
    <w:p>
      <w:r>
        <w:t>GFDRR provides technical assistance and grant financing for disaster-resilient reconstruction. Iran qualifies under post-conflict reconstruction protocols. Allocation: $50 million in technical grants for earthquake-resistant construction standards.</w:t>
      </w:r>
    </w:p>
    <w:p>
      <w:pPr>
        <w:pStyle w:val="Heading3"/>
      </w:pPr>
      <w:r>
        <w:t>B.2.3 Green Climate Fund (GCF)</w:t>
      </w:r>
    </w:p>
    <w:p>
      <w:r>
        <w:t>The GCF supports climate-resilient infrastructure in developing countries. Iran qualifies for $200 million in grant and concessional financing for green energy and water efficiency projects.</w:t>
      </w:r>
    </w:p>
    <w:p>
      <w:pPr>
        <w:pStyle w:val="Heading2"/>
      </w:pPr>
      <w:r>
        <w:t>B.3 Charitable and Foundation Sources</w:t>
      </w:r>
    </w:p>
    <w:p>
      <w:pPr>
        <w:pStyle w:val="Heading3"/>
      </w:pPr>
      <w:r>
        <w:t>B.3.1 Alwaleed Philanthropies</w:t>
      </w:r>
    </w:p>
    <w:p>
      <w:r>
        <w:t>Prince Alwaleed's foundation commits $100 million for healthcare and education reconstruction in Iran. Focus: Hospital construction, medical equipment, university rehabilitation.</w:t>
      </w:r>
    </w:p>
    <w:p>
      <w:pPr>
        <w:pStyle w:val="Heading3"/>
      </w:pPr>
      <w:r>
        <w:t>B.3.2 Mohammed bin Rashid Al Maktoum Foundation</w:t>
      </w:r>
    </w:p>
    <w:p>
      <w:r>
        <w:t>The Foundation provides $75 million for education and knowledge infrastructure. Focus: Schools, vocational training centers, digital education platforms.</w:t>
      </w:r>
    </w:p>
    <w:p>
      <w:pPr>
        <w:pStyle w:val="Heading3"/>
      </w:pPr>
      <w:r>
        <w:t>B.3.3 Sheikh Mohammed bin Zayed Conservation Fund</w:t>
      </w:r>
    </w:p>
    <w:p>
      <w:r>
        <w:t>Environmental restoration allocation: $40 million for ecosystem rehabilitation, protected area restoration, and biodiversity conservation in conflict-affected regions.</w:t>
      </w:r>
    </w:p>
    <w:p>
      <w:pPr>
        <w:pStyle w:val="Heading2"/>
      </w:pPr>
      <w:r>
        <w:t>B.4 Faith-Based and Diaspora Organizations</w:t>
      </w:r>
    </w:p>
    <w:p>
      <w:pPr>
        <w:pStyle w:val="Heading3"/>
      </w:pPr>
      <w:r>
        <w:t>B.4.1 Iranian Diaspora Reconstruction Network</w:t>
      </w:r>
    </w:p>
    <w:p>
      <w:r>
        <w:t>A coalition of Iranian diaspora professional associations, medical societies, and engineering organizations. Estimated capacity: $200 million in pro-bono professional services, medical equipment donations, and direct financial contributions.</w:t>
      </w:r>
    </w:p>
    <w:p>
      <w:pPr>
        <w:pStyle w:val="Heading3"/>
      </w:pPr>
      <w:r>
        <w:t>B.4.2 Islamic Development Bank Waqf Fund</w:t>
      </w:r>
    </w:p>
    <w:p>
      <w:r>
        <w:t>The Waqf Fund provides grant financing for social infrastructure (mosques, community centers, orphanages) in reconstruction contexts. Allocation: $60 million.</w:t>
      </w:r>
    </w:p>
    <w:p>
      <w:pPr>
        <w:pStyle w:val="Heading3"/>
      </w:pPr>
      <w:r>
        <w:t>B.4.3 Catholic Relief Services -- Middle East</w:t>
      </w:r>
    </w:p>
    <w:p>
      <w:r>
        <w:t>CRS provides $30 million for healthcare, education, and community infrastructure in Iran, coordinated through the MRF humanitarian corridor.</w:t>
      </w:r>
    </w:p>
    <w:p>
      <w:pPr>
        <w:pStyle w:val="Heading2"/>
      </w:pPr>
      <w:r>
        <w:t>B.5 Private Sector and Corporate Philanthropy</w:t>
      </w:r>
    </w:p>
    <w:p>
      <w:pPr>
        <w:pStyle w:val="Heading3"/>
      </w:pPr>
      <w:r>
        <w:t>B.5.1 Siemens Foundation (Stiftung) -- Iran Energy Partnership</w:t>
      </w:r>
    </w:p>
    <w:p>
      <w:r>
        <w:t>The Siemens Foundation provides $150 million in equipment, engineering services, and training for power grid modernization. In-kind contribution valued at cost.</w:t>
      </w:r>
    </w:p>
    <w:p>
      <w:pPr>
        <w:pStyle w:val="Heading3"/>
      </w:pPr>
      <w:r>
        <w:t>B.5.2 TotalEnergies Foundation -- Iran Renewable Energy</w:t>
      </w:r>
    </w:p>
    <w:p>
      <w:r>
        <w:t>TotalEnergies commits $100 million for solar and wind energy infrastructure development, including technology transfer and training programs.</w:t>
      </w:r>
    </w:p>
    <w:p>
      <w:pPr>
        <w:pStyle w:val="Heading3"/>
      </w:pPr>
      <w:r>
        <w:t>B.5.3 Huawei TECH4ALL Digital Iran</w:t>
      </w:r>
    </w:p>
    <w:p>
      <w:r>
        <w:t>Huawei provides $80 million in telecommunications infrastructure, digital education platforms, and smart-city technology for urban reconstruction.</w:t>
      </w:r>
    </w:p>
    <w:p>
      <w:pPr>
        <w:pStyle w:val="Heading3"/>
      </w:pPr>
      <w:r>
        <w:t>B.5.4 Samsung Engineering Reconstruction Fund</w:t>
      </w:r>
    </w:p>
    <w:p>
      <w:r>
        <w:t>Samsung commits $60 million for construction equipment, engineering expertise, and technology transfer for housing and industrial reconstruction.</w:t>
      </w:r>
    </w:p>
    <w:p>
      <w:pPr>
        <w:pStyle w:val="Heading1"/>
      </w:pPr>
      <w:r>
        <w:t>Appendix C: The Multilateral Architecture</w:t>
      </w:r>
      <w:bookmarkStart w:name="_Toc012" w:id="12"/>
      <w:bookmarkEnd w:id="12"/>
    </w:p>
    <w:p>
      <w:r>
        <w:t>This Appendix describes the operational architecture of the MRF's capital aggregation model. The architecture distributes responsibility across multiple contributor categories, ensuring no single source bears disproportionate burden while maintaining political viability for all participants.</w:t>
      </w:r>
    </w:p>
    <w:p>
      <w:pPr>
        <w:pStyle w:val="Heading2"/>
      </w:pPr>
      <w:r>
        <w:t>C.1 Architecture Overview</w:t>
      </w:r>
    </w:p>
    <w:tbl>
      <w:tblPr>
        <w:tblW w:w="5000" w:type="pct"/>
        <w:tblBorders>
          <w:top w:val="single" w:color="1B3A4B" w:sz="12"/>
          <w:left w:val="nil"/>
          <w:bottom w:val="single" w:color="1B3A4B" w:sz="12"/>
          <w:right w:val="nil"/>
          <w:insideH w:val="single" w:color="b0b0b0" w:sz="4"/>
          <w:insideV w:val="nil"/>
        </w:tblBorders>
      </w:tblPr>
      <w:tblGrid>
        <w:gridCol w:w="2400"/>
        <w:gridCol w:w="5600"/>
      </w:tblGrid>
      <w:tr>
        <w:trPr>
          <w:tblHeader/>
        </w:trPr>
        <w:tc>
          <w:tcPr>
            <w:tcW w:w="2400" w:type="dxa"/>
            <w:shd w:val="clear" w:fill="E8EEF2"/>
          </w:tcPr>
          <w:p>
            <w:pPr>
              <w:spacing w:before="60" w:after="60"/>
              <w:jc w:val="center"/>
            </w:pPr>
            <w:r>
              <w:rPr>
                <w:b/>
                <w:color w:val="1a1a1a"/>
                <w:sz w:val="20"/>
              </w:rPr>
              <w:t>Element</w:t>
            </w:r>
          </w:p>
        </w:tc>
        <w:tc>
          <w:tcPr>
            <w:tcW w:w="5600" w:type="dxa"/>
            <w:shd w:val="clear" w:fill="E8EEF2"/>
          </w:tcPr>
          <w:p>
            <w:pPr>
              <w:spacing w:before="60" w:after="60"/>
              <w:jc w:val="center"/>
            </w:pPr>
            <w:r>
              <w:rPr>
                <w:b/>
                <w:color w:val="1a1a1a"/>
                <w:sz w:val="20"/>
              </w:rPr>
              <w:t>Function</w:t>
            </w:r>
          </w:p>
        </w:tc>
      </w:tr>
      <w:tr>
        <w:tc>
          <w:tcPr>
            <w:tcW w:w="2400" w:type="dxa"/>
          </w:tcPr>
          <w:p>
            <w:pPr>
              <w:spacing w:before="40" w:after="40"/>
            </w:pPr>
            <w:r>
              <w:rPr>
                <w:color w:val="1a1a1a"/>
                <w:sz w:val="20"/>
              </w:rPr>
              <w:t>Multiple Contributors</w:t>
            </w:r>
          </w:p>
        </w:tc>
        <w:tc>
          <w:tcPr>
            <w:tcW w:w="5600" w:type="dxa"/>
          </w:tcPr>
          <w:p>
            <w:pPr>
              <w:spacing w:before="40" w:after="40"/>
            </w:pPr>
            <w:r>
              <w:rPr>
                <w:color w:val="1a1a1a"/>
                <w:sz w:val="20"/>
              </w:rPr>
              <w:t>GCC states, international banks, private investors, and humanitarian organizations all contribute. No single source bears the full burden.</w:t>
            </w:r>
          </w:p>
        </w:tc>
      </w:tr>
      <w:tr>
        <w:tc>
          <w:tcPr>
            <w:tcW w:w="2400" w:type="dxa"/>
          </w:tcPr>
          <w:p>
            <w:pPr>
              <w:spacing w:before="40" w:after="40"/>
            </w:pPr>
            <w:r>
              <w:rPr>
                <w:color w:val="1a1a1a"/>
                <w:sz w:val="20"/>
              </w:rPr>
              <w:t>Neutral Channeling</w:t>
            </w:r>
          </w:p>
        </w:tc>
        <w:tc>
          <w:tcPr>
            <w:tcW w:w="5600" w:type="dxa"/>
          </w:tcPr>
          <w:p>
            <w:pPr>
              <w:spacing w:before="40" w:after="40"/>
            </w:pPr>
            <w:r>
              <w:rPr>
                <w:color w:val="1a1a1a"/>
                <w:sz w:val="20"/>
              </w:rPr>
              <w:t>All funds flow through Qatar Central Bank and the World Bank. The US provides technical assistance only -- no direct cash.</w:t>
            </w:r>
          </w:p>
        </w:tc>
      </w:tr>
      <w:tr>
        <w:tc>
          <w:tcPr>
            <w:tcW w:w="2400" w:type="dxa"/>
          </w:tcPr>
          <w:p>
            <w:pPr>
              <w:spacing w:before="40" w:after="40"/>
            </w:pPr>
            <w:r>
              <w:rPr>
                <w:color w:val="1a1a1a"/>
                <w:sz w:val="20"/>
              </w:rPr>
              <w:t>Iranian Sovereignty</w:t>
            </w:r>
          </w:p>
        </w:tc>
        <w:tc>
          <w:tcPr>
            <w:tcW w:w="5600" w:type="dxa"/>
          </w:tcPr>
          <w:p>
            <w:pPr>
              <w:spacing w:before="40" w:after="40"/>
            </w:pPr>
            <w:r>
              <w:rPr>
                <w:color w:val="1a1a1a"/>
                <w:sz w:val="20"/>
              </w:rPr>
              <w:t>Iran proposes and prioritizes projects. The RSC does not impose external preferences.</w:t>
            </w:r>
          </w:p>
        </w:tc>
      </w:tr>
      <w:tr>
        <w:tc>
          <w:tcPr>
            <w:tcW w:w="2400" w:type="dxa"/>
          </w:tcPr>
          <w:p>
            <w:pPr>
              <w:spacing w:before="40" w:after="40"/>
            </w:pPr>
            <w:r>
              <w:rPr>
                <w:color w:val="1a1a1a"/>
                <w:sz w:val="20"/>
              </w:rPr>
              <w:t>Technical Advisory Group</w:t>
            </w:r>
          </w:p>
        </w:tc>
        <w:tc>
          <w:tcPr>
            <w:tcW w:w="5600" w:type="dxa"/>
          </w:tcPr>
          <w:p>
            <w:pPr>
              <w:spacing w:before="40" w:after="40"/>
            </w:pPr>
            <w:r>
              <w:rPr>
                <w:color w:val="1a1a1a"/>
                <w:sz w:val="20"/>
              </w:rPr>
              <w:t>Independent experts verify feasibility and milestone completion, ensuring transparency and credibility.</w:t>
            </w:r>
          </w:p>
        </w:tc>
      </w:tr>
      <w:tr>
        <w:tc>
          <w:tcPr>
            <w:tcW w:w="2400" w:type="dxa"/>
          </w:tcPr>
          <w:p>
            <w:pPr>
              <w:spacing w:before="40" w:after="40"/>
            </w:pPr>
            <w:r>
              <w:rPr>
                <w:color w:val="1a1a1a"/>
                <w:sz w:val="20"/>
              </w:rPr>
              <w:t>Sanctions Firewall</w:t>
            </w:r>
          </w:p>
        </w:tc>
        <w:tc>
          <w:tcPr>
            <w:tcW w:w="5600" w:type="dxa"/>
          </w:tcPr>
          <w:p>
            <w:pPr>
              <w:spacing w:before="40" w:after="40"/>
            </w:pPr>
            <w:r>
              <w:rPr>
                <w:color w:val="1a1a1a"/>
                <w:sz w:val="20"/>
              </w:rPr>
              <w:t>OFAC general license protects all MRF transactions from secondary sanctions.</w:t>
            </w:r>
          </w:p>
        </w:tc>
      </w:tr>
      <w:tr>
        <w:tc>
          <w:tcPr>
            <w:tcW w:w="2400" w:type="dxa"/>
          </w:tcPr>
          <w:p>
            <w:pPr>
              <w:spacing w:before="40" w:after="40"/>
            </w:pPr>
            <w:r>
              <w:rPr>
                <w:color w:val="1a1a1a"/>
                <w:sz w:val="20"/>
              </w:rPr>
              <w:t>Performance-Based Disbursement</w:t>
            </w:r>
          </w:p>
        </w:tc>
        <w:tc>
          <w:tcPr>
            <w:tcW w:w="5600" w:type="dxa"/>
          </w:tcPr>
          <w:p>
            <w:pPr>
              <w:spacing w:before="40" w:after="40"/>
            </w:pPr>
            <w:r>
              <w:rPr>
                <w:color w:val="1a1a1a"/>
                <w:sz w:val="20"/>
              </w:rPr>
              <w:t>Funds release only upon verified milestone completion. No cash up front.</w:t>
            </w:r>
          </w:p>
        </w:tc>
      </w:tr>
      <w:tr>
        <w:tc>
          <w:tcPr>
            <w:tcW w:w="2400" w:type="dxa"/>
          </w:tcPr>
          <w:p>
            <w:pPr>
              <w:spacing w:before="40" w:after="40"/>
            </w:pPr>
            <w:r>
              <w:rPr>
                <w:color w:val="1a1a1a"/>
                <w:sz w:val="20"/>
              </w:rPr>
              <w:t>No Clawback</w:t>
            </w:r>
          </w:p>
        </w:tc>
        <w:tc>
          <w:tcPr>
            <w:tcW w:w="5600" w:type="dxa"/>
          </w:tcPr>
          <w:p>
            <w:pPr>
              <w:spacing w:before="40" w:after="40"/>
            </w:pPr>
            <w:r>
              <w:rPr>
                <w:color w:val="1a1a1a"/>
                <w:sz w:val="20"/>
              </w:rPr>
              <w:t>Already-disbursed funds are irrevocable. This gives Iran confidence to invest in long-term projects.</w:t>
            </w:r>
          </w:p>
        </w:tc>
      </w:tr>
      <w:tr>
        <w:tc>
          <w:tcPr>
            <w:tcW w:w="2400" w:type="dxa"/>
          </w:tcPr>
          <w:p>
            <w:pPr>
              <w:spacing w:before="40" w:after="40"/>
            </w:pPr>
            <w:r>
              <w:rPr>
                <w:color w:val="1a1a1a"/>
                <w:sz w:val="20"/>
              </w:rPr>
              <w:t>Sovereign Procurement Protection</w:t>
            </w:r>
          </w:p>
        </w:tc>
        <w:tc>
          <w:tcPr>
            <w:tcW w:w="5600" w:type="dxa"/>
          </w:tcPr>
          <w:p>
            <w:pPr>
              <w:spacing w:before="40" w:after="40"/>
            </w:pPr>
            <w:r>
              <w:rPr>
                <w:color w:val="1a1a1a"/>
                <w:sz w:val="20"/>
              </w:rPr>
              <w:t>Iran holds no obligation to purchase goods or services from any particular country. The framework architecture excludes directed purchasing.</w:t>
            </w:r>
          </w:p>
        </w:tc>
      </w:tr>
      <w:tr>
        <w:tc>
          <w:tcPr>
            <w:tcW w:w="2400" w:type="dxa"/>
          </w:tcPr>
          <w:p>
            <w:pPr>
              <w:spacing w:before="40" w:after="40"/>
            </w:pPr>
            <w:r>
              <w:rPr>
                <w:color w:val="1a1a1a"/>
                <w:sz w:val="20"/>
              </w:rPr>
              <w:t>60-Day Automatic Review</w:t>
            </w:r>
          </w:p>
        </w:tc>
        <w:tc>
          <w:tcPr>
            <w:tcW w:w="5600" w:type="dxa"/>
          </w:tcPr>
          <w:p>
            <w:pPr>
              <w:spacing w:before="40" w:after="40"/>
            </w:pPr>
            <w:r>
              <w:rPr>
                <w:color w:val="1a1a1a"/>
                <w:sz w:val="20"/>
              </w:rPr>
              <w:t>The RSC convenes a mandatory Progress Assessment Session at Day 60 with formal recommendations. The framework architecture excludes procedural drift.</w:t>
            </w:r>
          </w:p>
        </w:tc>
      </w:tr>
      <w:tr>
        <w:tc>
          <w:tcPr>
            <w:tcW w:w="2400" w:type="dxa"/>
          </w:tcPr>
          <w:p>
            <w:pPr>
              <w:spacing w:before="40" w:after="40"/>
            </w:pPr>
            <w:r>
              <w:rPr>
                <w:color w:val="1a1a1a"/>
                <w:sz w:val="20"/>
              </w:rPr>
              <w:t>Modularity</w:t>
            </w:r>
          </w:p>
        </w:tc>
        <w:tc>
          <w:tcPr>
            <w:tcW w:w="5600" w:type="dxa"/>
          </w:tcPr>
          <w:p>
            <w:pPr>
              <w:spacing w:before="40" w:after="40"/>
            </w:pPr>
            <w:r>
              <w:rPr>
                <w:color w:val="1a1a1a"/>
                <w:sz w:val="20"/>
              </w:rPr>
              <w:t>Eight independent sub-funds prevent a single sector failure from collapsing the entire reconstruction effort.</w:t>
            </w:r>
          </w:p>
        </w:tc>
      </w:tr>
      <w:tr>
        <w:tc>
          <w:tcPr>
            <w:tcW w:w="2400" w:type="dxa"/>
          </w:tcPr>
          <w:p>
            <w:pPr>
              <w:spacing w:before="40" w:after="40"/>
            </w:pPr>
            <w:r>
              <w:rPr>
                <w:color w:val="1a1a1a"/>
                <w:sz w:val="20"/>
              </w:rPr>
              <w:t>60-Day Emergency Frame</w:t>
            </w:r>
          </w:p>
        </w:tc>
        <w:tc>
          <w:tcPr>
            <w:tcW w:w="5600" w:type="dxa"/>
          </w:tcPr>
          <w:p>
            <w:pPr>
              <w:spacing w:before="40" w:after="40"/>
            </w:pPr>
            <w:r>
              <w:rPr>
                <w:color w:val="1a1a1a"/>
                <w:sz w:val="20"/>
              </w:rPr>
              <w:t>The MRF begins as a 60-day stabilization mechanism before transitioning to full execution.</w:t>
            </w:r>
          </w:p>
        </w:tc>
      </w:tr>
    </w:tbl>
    <w:p>
      <w:pPr>
        <w:pStyle w:val="Heading2"/>
      </w:pPr>
      <w:r>
        <w:t>C.2 Political Architecture</w:t>
      </w:r>
    </w:p>
    <w:p>
      <w:r>
        <w:t>The MRF's political viability rests on simultaneous satisfaction of constraints in multiple capitals:</w:t>
      </w:r>
    </w:p>
    <w:p>
      <w:pPr>
        <w:ind w:left="720" w:hanging="360"/>
      </w:pPr>
      <w:r>
        <w:t>•  Washington: No direct U.S. cash to Iran. U.S. contributions are technical and diplomatic only.</w:t>
      </w:r>
    </w:p>
    <w:p>
      <w:pPr>
        <w:ind w:left="720" w:hanging="360"/>
      </w:pPr>
      <w:r>
        <w:t>•  Tehran: Iran controls project selection and retains sovereign authority over reconstruction priorities.</w:t>
      </w:r>
    </w:p>
    <w:p>
      <w:pPr>
        <w:ind w:left="720" w:hanging="360"/>
      </w:pPr>
      <w:r>
        <w:t>•  Riyadh/Abu Dhabi/Doha: GCC states lead the funding architecture, reinforcing regional leadership.</w:t>
      </w:r>
    </w:p>
    <w:p>
      <w:pPr>
        <w:ind w:left="720" w:hanging="360"/>
      </w:pPr>
      <w:r>
        <w:t>•  Beijing/Moscow: Major bilateral contributors gain project access and regional influence.</w:t>
      </w:r>
    </w:p>
    <w:p>
      <w:pPr>
        <w:ind w:left="720" w:hanging="360"/>
      </w:pPr>
      <w:r>
        <w:t>•  Brussels: EU contributions align with European development objectives and climate commitments.</w:t>
      </w:r>
    </w:p>
    <w:p>
      <w:pPr>
        <w:pStyle w:val="Heading2"/>
      </w:pPr>
      <w:r>
        <w:t>C.3 Financial Flow Architecture</w:t>
      </w:r>
    </w:p>
    <w:p>
      <w:r>
        <w:t>Capital flows through the following pathway:</w:t>
      </w:r>
    </w:p>
    <w:p>
      <w:pPr>
        <w:ind w:left="720" w:hanging="360"/>
      </w:pPr>
      <w:r>
        <w:t>•  Step 1: Contributors deposit funds into designated accounts at the Qatar Central Bank</w:t>
      </w:r>
    </w:p>
    <w:p>
      <w:pPr>
        <w:ind w:left="720" w:hanging="360"/>
      </w:pPr>
      <w:r>
        <w:t>•  Step 2: The World Bank verifies deposit and matches to Sub-Fund allocations</w:t>
      </w:r>
    </w:p>
    <w:p>
      <w:pPr>
        <w:ind w:left="720" w:hanging="360"/>
      </w:pPr>
      <w:r>
        <w:t>•  Step 3: Upon RSC approval and TAG verification, the Qatar Central Bank releases tranches to Iranian project accounts</w:t>
      </w:r>
    </w:p>
    <w:p>
      <w:pPr>
        <w:ind w:left="720" w:hanging="360"/>
      </w:pPr>
      <w:r>
        <w:t>•  Step 4: Iranian implementing agencies disburse to contractors and suppliers</w:t>
      </w:r>
    </w:p>
    <w:p>
      <w:pPr>
        <w:ind w:left="720" w:hanging="360"/>
      </w:pPr>
      <w:r>
        <w:t>•  Step 5: Independent auditors verify expenditure and milestone achievement</w:t>
      </w:r>
    </w:p>
    <w:p>
      <w:pPr>
        <w:ind w:left="720" w:hanging="360"/>
      </w:pPr>
      <w:r>
        <w:t>•  Step 6: TAG confirms verification; RSC authorizes next tranche</w:t>
      </w:r>
    </w:p>
    <w:p>
      <w:pPr>
        <w:pStyle w:val="Heading1"/>
      </w:pPr>
      <w:r>
        <w:t>Appendix D: Supplementary Regional Programs</w:t>
      </w:r>
      <w:bookmarkStart w:name="_Toc013" w:id="13"/>
      <w:bookmarkEnd w:id="13"/>
    </w:p>
    <w:p>
      <w:r>
        <w:t>This Appendix catalogs additional regional programs, bilateral frameworks, and specialized facilities that complement MRF operations. The RSC secretariat coordinates with these programs to prevent duplication and maximize leverage.</w:t>
      </w:r>
    </w:p>
    <w:p>
      <w:pPr>
        <w:pStyle w:val="Heading2"/>
      </w:pPr>
      <w:r>
        <w:t>D.1 Bilateral Reconstruction Programs</w:t>
      </w:r>
    </w:p>
    <w:p>
      <w:pPr>
        <w:pStyle w:val="Heading3"/>
      </w:pPr>
      <w:r>
        <w:t>D.1.1 China-Iran 25-Year Cooperation Program -- Reconstruction Window</w:t>
      </w:r>
    </w:p>
    <w:p>
      <w:r>
        <w:t>The Comprehensive Strategic Partnership between China and Iran includes a dedicated reconstruction window of $10 billion over 10 years. This financing operates outside MRF structures but coordinates through the RSC to avoid duplication. Focus: Energy, transport, technology, industrial zones.</w:t>
      </w:r>
    </w:p>
    <w:p>
      <w:pPr>
        <w:pStyle w:val="Heading3"/>
      </w:pPr>
      <w:r>
        <w:t>D.1.2 Russia-Iran Infrastructure Cooperation</w:t>
      </w:r>
    </w:p>
    <w:p>
      <w:r>
        <w:t>Russia provides $3 billion in infrastructure financing through VEB.RF and bilateral arrangements. Focus: Nuclear energy (Bushehr expansion), rail corridors, port modernization. Coordination: Through MRF-Energy and MRF-Transport Sub-Funds.</w:t>
      </w:r>
    </w:p>
    <w:p>
      <w:pPr>
        <w:pStyle w:val="Heading3"/>
      </w:pPr>
      <w:r>
        <w:t>D.1.3 India-Iran Chabahar Corridor Development</w:t>
      </w:r>
    </w:p>
    <w:p>
      <w:r>
        <w:t>India commits $1.5 billion for Chabahar port and associated rail/road infrastructure. This bilateral program coordinates with MRF-Transport for seamless integration.</w:t>
      </w:r>
    </w:p>
    <w:p>
      <w:pPr>
        <w:pStyle w:val="Heading2"/>
      </w:pPr>
      <w:r>
        <w:t>D.2 Specialized International Facilities</w:t>
      </w:r>
    </w:p>
    <w:p>
      <w:pPr>
        <w:pStyle w:val="Heading3"/>
      </w:pPr>
      <w:r>
        <w:t>D.2.1 IMF Post-Conflict Reconstruction Facility</w:t>
      </w:r>
    </w:p>
    <w:p>
      <w:r>
        <w:t>The IMF establishes a dedicated facility for Iran with $5 billion in standby financing for macroeconomic stabilization and balance-of-payments support. This operates in parallel with MRF project financing.</w:t>
      </w:r>
    </w:p>
    <w:p>
      <w:pPr>
        <w:pStyle w:val="Heading3"/>
      </w:pPr>
      <w:r>
        <w:t>D.2.2 World Bank Iran Reconstruction Trust Fund</w:t>
      </w:r>
    </w:p>
    <w:p>
      <w:r>
        <w:t>The World Bank administers a multi-donor trust fund of $3 billion for technical assistance, capacity building, and project preparation. This fund supports MRF operations by financing feasibility studies, environmental assessments, and procurement preparation.</w:t>
      </w:r>
    </w:p>
    <w:p>
      <w:pPr>
        <w:pStyle w:val="Heading3"/>
      </w:pPr>
      <w:r>
        <w:t>D.2.3 EBRD Iran Private Sector Window</w:t>
      </w:r>
    </w:p>
    <w:p>
      <w:r>
        <w:t>The EBRD opens a private sector window of $1 billion for SME reconstruction, industrial rehabilitation, and private infrastructure development. Eligibility: Private sector entities with MRF-approved project linkages.</w:t>
      </w:r>
    </w:p>
    <w:p>
      <w:pPr>
        <w:pStyle w:val="Heading2"/>
      </w:pPr>
      <w:r>
        <w:t>D.3 Humanitarian and Emergency Programs</w:t>
      </w:r>
    </w:p>
    <w:p>
      <w:pPr>
        <w:pStyle w:val="Heading3"/>
      </w:pPr>
      <w:r>
        <w:t>D.3.1 UN Central Emergency Response Fund (CERF)</w:t>
      </w:r>
    </w:p>
    <w:p>
      <w:r>
        <w:t>CERF provides rapid-response grants for urgent humanitarian infrastructure repair. Allocation for Iran: $100 million in initial tranches for water, health, and shelter.</w:t>
      </w:r>
    </w:p>
    <w:p>
      <w:pPr>
        <w:pStyle w:val="Heading3"/>
      </w:pPr>
      <w:r>
        <w:t>D.3.2 International Federation of Red Cross and Red Crescent Societies</w:t>
      </w:r>
    </w:p>
    <w:p>
      <w:r>
        <w:t>The IFRC launches an appeal for $200 million for immediate relief and early recovery operations in Iran. Coordination with MRF through shared assessment frameworks and joint implementation where applicable.</w:t>
      </w:r>
    </w:p>
    <w:p>
      <w:pPr>
        <w:pStyle w:val="Heading3"/>
      </w:pPr>
      <w:r>
        <w:t>D.3.3 Doctors Without Borders (MSF) -- Iran Medical Infrastructure</w:t>
      </w:r>
    </w:p>
    <w:p>
      <w:r>
        <w:t>MSF commits $40 million for hospital rehabilitation, medical supply chains, and trauma care capacity building in conflict-affected regions.</w:t>
      </w:r>
    </w:p>
    <w:p>
      <w:pPr>
        <w:pStyle w:val="Heading2"/>
      </w:pPr>
      <w:r>
        <w:t>D.4 Climate and Environmental Programs</w:t>
      </w:r>
    </w:p>
    <w:p>
      <w:pPr>
        <w:pStyle w:val="Heading3"/>
      </w:pPr>
      <w:r>
        <w:t>D.4.1 Global Environment Facility (GEF) -- Iran</w:t>
      </w:r>
    </w:p>
    <w:p>
      <w:r>
        <w:t>The GEF provides $80 million for environmental restoration, renewable energy, and climate adaptation in reconstruction projects. Coordination: Through MRF-Energy and MRF-Water Sub-Funds with green technology components.</w:t>
      </w:r>
    </w:p>
    <w:p>
      <w:pPr>
        <w:pStyle w:val="Heading3"/>
      </w:pPr>
      <w:r>
        <w:t>D.4.2 Adaptation Fund</w:t>
      </w:r>
    </w:p>
    <w:p>
      <w:r>
        <w:t>The Adaptation Fund supports climate-resilient reconstruction with $30 million for water management, drought adaptation, and coastal protection infrastructure.</w:t>
      </w:r>
    </w:p>
    <w:p>
      <w:pPr>
        <w:pStyle w:val="Heading2"/>
      </w:pPr>
      <w:r>
        <w:t>D.5 Education and Knowledge Programs</w:t>
      </w:r>
    </w:p>
    <w:p>
      <w:pPr>
        <w:pStyle w:val="Heading3"/>
      </w:pPr>
      <w:r>
        <w:t>D.5.1 UNESCO Iran Education Recovery Program</w:t>
      </w:r>
    </w:p>
    <w:p>
      <w:r>
        <w:t>UNESCO commits $60 million for school reconstruction, higher education rehabilitation, and cultural heritage restoration. Coordination with MRF-Education for shared infrastructure projects.</w:t>
      </w:r>
    </w:p>
    <w:p>
      <w:pPr>
        <w:pStyle w:val="Heading3"/>
      </w:pPr>
      <w:r>
        <w:t>D.5.2 British Council Iran Higher Education Partnership</w:t>
      </w:r>
    </w:p>
    <w:p>
      <w:r>
        <w:t>The British Council provides $20 million for university partnerships, research collaboration, and academic exchange programs supporting Iranian higher education recovery.</w:t>
      </w:r>
    </w:p>
    <w:p>
      <w:pPr>
        <w:pStyle w:val="Heading3"/>
      </w:pPr>
      <w:r>
        <w:t>D.5.3 German Academic Exchange Service (DAAD) -- Iran</w:t>
      </w:r>
    </w:p>
    <w:p>
      <w:r>
        <w:t>DAAD commits $15 million for vocational training, technical education, and university reconstruction, with focus on engineering and medical faculties.</w:t>
      </w:r>
    </w:p>
    <w:p>
      <w:pPr>
        <w:pStyle w:val="Heading1"/>
      </w:pPr>
      <w:r>
        <w:t>Signature Block</w:t>
      </w:r>
      <w:bookmarkStart w:name="_Toc014" w:id="14"/>
      <w:bookmarkEnd w:id="14"/>
    </w:p>
    <w:p>
      <w:pPr>
        <w:spacing w:before="200" w:after="400"/>
      </w:pPr>
      <w:r>
        <w:rPr>
          <w:i/>
        </w:rPr>
        <w:t>In witness whereof, the undersigned, being duly authorized by their respective governments, have signed this Annex RDF: Reconstruction and Development Fund Protocol.</w:t>
      </w:r>
    </w:p>
    <w:p>
      <w:r>
        <w:t>Done at Doha, State of Qatar, this ______ day of __________, 2026, in triplicate in the English language.</w:t>
      </w:r>
    </w:p>
    <w:p>
      <w:pPr>
        <w:spacing w:before="600"/>
      </w:pPr>
    </w:p>
    <w:tbl>
      <w:tblPr>
        <w:tblW w:w="5000" w:type="pct"/>
        <w:tblBorders>
          <w:top w:val="nil"/>
          <w:left w:val="nil"/>
          <w:bottom w:val="nil"/>
          <w:right w:val="nil"/>
          <w:insideH w:val="nil"/>
          <w:insideV w:val="nil"/>
        </w:tblBorders>
      </w:tblPr>
      <w:tblGrid>
        <w:gridCol w:w="5000"/>
        <w:gridCol w:w="5000"/>
      </w:tblGrid>
      <w:tr>
        <w:tc>
          <w:tcPr>
            <w:tcW w:w="5000" w:type="pct"/>
          </w:tcPr>
          <w:p>
            <w:pPr>
              <w:spacing w:before="120" w:after="120"/>
            </w:pPr>
            <w:r>
              <w:rPr>
                <w:sz w:val="22"/>
              </w:rPr>
              <w:t>For the Islamic Republic of Iran:</w:t>
            </w:r>
          </w:p>
        </w:tc>
        <w:tc>
          <w:tcPr>
            <w:tcW w:w="5000" w:type="pct"/>
          </w:tcPr>
          <w:p>
            <w:pPr>
              <w:spacing w:before="120" w:after="120"/>
            </w:pPr>
            <w:r>
              <w:rPr>
                <w:sz w:val="22"/>
              </w:rPr>
              <w:t>For the United States of America:</w:t>
            </w:r>
          </w:p>
        </w:tc>
      </w:tr>
      <w:tr>
        <w:tc>
          <w:tcPr>
            <w:tcW w:w="5000" w:type="pct"/>
          </w:tcPr>
          <w:p>
            <w:pPr>
              <w:spacing w:before="120" w:after="120"/>
            </w:pPr>
            <w:r>
              <w:rPr>
                <w:sz w:val="22"/>
              </w:rPr>
              <w:t/>
            </w:r>
          </w:p>
        </w:tc>
        <w:tc>
          <w:tcPr>
            <w:tcW w:w="5000" w:type="pct"/>
          </w:tcPr>
          <w:p>
            <w:pPr>
              <w:spacing w:before="120" w:after="120"/>
            </w:pPr>
            <w:r>
              <w:rPr>
                <w:sz w:val="22"/>
              </w:rPr>
              <w:t/>
            </w:r>
          </w:p>
        </w:tc>
      </w:tr>
      <w:tr>
        <w:tc>
          <w:tcPr>
            <w:tcW w:w="5000" w:type="pct"/>
          </w:tcPr>
          <w:p>
            <w:pPr>
              <w:spacing w:before="120" w:after="120"/>
            </w:pPr>
            <w:r>
              <w:rPr>
                <w:sz w:val="22"/>
              </w:rPr>
              <w:t>Name: ________________________</w:t>
            </w:r>
          </w:p>
        </w:tc>
        <w:tc>
          <w:tcPr>
            <w:tcW w:w="5000" w:type="pct"/>
          </w:tcPr>
          <w:p>
            <w:pPr>
              <w:spacing w:before="120" w:after="120"/>
            </w:pPr>
            <w:r>
              <w:rPr>
                <w:sz w:val="22"/>
              </w:rPr>
              <w:t>Name: ________________________</w:t>
            </w:r>
          </w:p>
        </w:tc>
      </w:tr>
      <w:tr>
        <w:tc>
          <w:tcPr>
            <w:tcW w:w="5000" w:type="pct"/>
          </w:tcPr>
          <w:p>
            <w:pPr>
              <w:spacing w:before="120" w:after="120"/>
            </w:pPr>
            <w:r>
              <w:rPr>
                <w:sz w:val="22"/>
              </w:rPr>
              <w:t/>
            </w:r>
          </w:p>
        </w:tc>
        <w:tc>
          <w:tcPr>
            <w:tcW w:w="5000" w:type="pct"/>
          </w:tcPr>
          <w:p>
            <w:pPr>
              <w:spacing w:before="120" w:after="120"/>
            </w:pPr>
            <w:r>
              <w:rPr>
                <w:sz w:val="22"/>
              </w:rPr>
              <w:t/>
            </w:r>
          </w:p>
        </w:tc>
      </w:tr>
      <w:tr>
        <w:tc>
          <w:tcPr>
            <w:tcW w:w="5000" w:type="pct"/>
          </w:tcPr>
          <w:p>
            <w:pPr>
              <w:spacing w:before="120" w:after="120"/>
            </w:pPr>
            <w:r>
              <w:rPr>
                <w:sz w:val="22"/>
              </w:rPr>
              <w:t>Title: ________________________</w:t>
            </w:r>
          </w:p>
        </w:tc>
        <w:tc>
          <w:tcPr>
            <w:tcW w:w="5000" w:type="pct"/>
          </w:tcPr>
          <w:p>
            <w:pPr>
              <w:spacing w:before="120" w:after="120"/>
            </w:pPr>
            <w:r>
              <w:rPr>
                <w:sz w:val="22"/>
              </w:rPr>
              <w:t>Title: ________________________</w:t>
            </w:r>
          </w:p>
        </w:tc>
      </w:tr>
      <w:tr>
        <w:tc>
          <w:tcPr>
            <w:tcW w:w="5000" w:type="pct"/>
          </w:tcPr>
          <w:p>
            <w:pPr>
              <w:spacing w:before="120" w:after="120"/>
            </w:pPr>
            <w:r>
              <w:rPr>
                <w:sz w:val="22"/>
              </w:rPr>
              <w:t/>
            </w:r>
          </w:p>
        </w:tc>
        <w:tc>
          <w:tcPr>
            <w:tcW w:w="5000" w:type="pct"/>
          </w:tcPr>
          <w:p>
            <w:pPr>
              <w:spacing w:before="120" w:after="120"/>
            </w:pPr>
            <w:r>
              <w:rPr>
                <w:sz w:val="22"/>
              </w:rPr>
              <w:t/>
            </w:r>
          </w:p>
        </w:tc>
      </w:tr>
      <w:tr>
        <w:tc>
          <w:tcPr>
            <w:tcW w:w="5000" w:type="pct"/>
          </w:tcPr>
          <w:p>
            <w:pPr>
              <w:spacing w:before="120" w:after="120"/>
            </w:pPr>
            <w:r>
              <w:rPr>
                <w:sz w:val="22"/>
              </w:rPr>
              <w:t>Date: ________________________</w:t>
            </w:r>
          </w:p>
        </w:tc>
        <w:tc>
          <w:tcPr>
            <w:tcW w:w="5000" w:type="pct"/>
          </w:tcPr>
          <w:p>
            <w:pPr>
              <w:spacing w:before="120" w:after="120"/>
            </w:pPr>
            <w:r>
              <w:rPr>
                <w:sz w:val="22"/>
              </w:rPr>
              <w:t>Date: ________________________</w:t>
            </w:r>
          </w:p>
        </w:tc>
      </w:tr>
    </w:tbl>
    <w:p>
      <w:pPr>
        <w:spacing w:before="600"/>
      </w:pPr>
    </w:p>
    <w:p>
      <w:r>
        <w:t>Witnessed by the State of Qatar (Escrow Agent):</w:t>
      </w:r>
    </w:p>
    <w:p>
      <w:r>
        <w:t>Name: ________________________</w:t>
      </w:r>
    </w:p>
    <w:p>
      <w:r>
        <w:t>Title: ________________________</w:t>
      </w:r>
    </w:p>
    <w:p>
      <w:r>
        <w:t>Date: ________________________</w:t>
      </w:r>
    </w:p>
    <w:p>
      <w:pPr>
        <w:spacing w:before="400"/>
      </w:pPr>
    </w:p>
    <w:p>
      <w:r>
        <w:t>Witnessed by the World Bank (Fiduciary Co-Administrator):</w:t>
      </w:r>
    </w:p>
    <w:p>
      <w:r>
        <w:t>Name: ________________________</w:t>
      </w:r>
    </w:p>
    <w:p>
      <w:r>
        <w:t>Title: ________________________</w:t>
      </w:r>
    </w:p>
    <w:p>
      <w:r>
        <w:t>Date: ________________________</w:t>
      </w:r>
    </w:p>
    <w:sectPr>
      <w:headerReference w:type="default" r:id="R7b9786e5213440be"/>
      <w:footerReference w:type="default" r:id="Rf5d1ebb1ab544589"/>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6a6a6a"/>
        <w:sz w:val="18"/>
      </w:rPr>
      <w:t xml:space="preserve">Page </w:t>
    </w:r>
    <w:r>
      <w:rPr>
        <w:color w:val="6a6a6a"/>
        <w:sz w:val="18"/>
      </w:rPr>
      <w:fldChar w:fldCharType="begin"/>
    </w:r>
    <w:r>
      <w:rPr>
        <w:color w:val="6a6a6a"/>
        <w:sz w:val="18"/>
      </w:rPr>
      <w:instrText xml:space="preserve"> PAGE </w:instrText>
    </w:r>
    <w:r>
      <w:rPr>
        <w:color w:val="6a6a6a"/>
        <w:sz w:val="18"/>
      </w:rPr>
      <w:fldChar w:fldCharType="separate"/>
    </w:r>
    <w:r>
      <w:rPr>
        <w:color w:val="6a6a6a"/>
        <w:sz w:val="18"/>
      </w:rPr>
      <w:t>1</w:t>
    </w:r>
    <w:r>
      <w:rPr>
        <w:color w:val="6a6a6a"/>
        <w:sz w:val="18"/>
      </w:rPr>
      <w:fldChar w:fldCharType="end"/>
    </w:r>
    <w:r>
      <w:rPr>
        <w:color w:val="6a6a6a"/>
        <w:sz w:val="18"/>
      </w:rPr>
      <w:t xml:space="preserve"> of </w:t>
    </w:r>
    <w:r>
      <w:rPr>
        <w:color w:val="6a6a6a"/>
        <w:sz w:val="18"/>
      </w:rPr>
      <w:fldChar w:fldCharType="begin"/>
    </w:r>
    <w:r>
      <w:rPr>
        <w:color w:val="6a6a6a"/>
        <w:sz w:val="18"/>
      </w:rPr>
      <w:instrText xml:space="preserve"> NUMPAGES </w:instrText>
    </w:r>
    <w:r>
      <w:rPr>
        <w:color w:val="6a6a6a"/>
        <w:sz w:val="18"/>
      </w:rPr>
      <w:fldChar w:fldCharType="separate"/>
    </w:r>
    <w:r>
      <w:rPr>
        <w:color w:val="6a6a6a"/>
        <w:sz w:val="18"/>
      </w:rPr>
      <w:t>1</w:t>
    </w:r>
    <w:r>
      <w:rPr>
        <w:color w:val="6a6a6a"/>
        <w:sz w:val="18"/>
      </w:rPr>
      <w:fldChar w:fldCharType="end"/>
    </w:r>
  </w:p>
</w:ftr>
</file>

<file path=word/header1.xml><?xml version="1.0" encoding="utf-8"?>
<w:hdr xmlns:w="http://schemas.openxmlformats.org/wordprocessingml/2006/main">
  <w:p>
    <w:pPr>
      <w:jc w:val="center"/>
    </w:pPr>
    <w:r>
      <w:rPr>
        <w:rFonts w:ascii="Times New Roman" w:hAnsi="Times New Roman"/>
        <w:color w:val="6a6a6a"/>
        <w:sz w:val="18"/>
      </w:rPr>
      <w:t>Annex RDF | Reconstruction and Development Fund Protocol</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80" w:line="288" w:lineRule="auto"/>
      <w:jc w:val="both"/>
    </w:pPr>
    <w:rPr>
      <w:rFonts w:ascii="Times New Roman" w:hAnsi="Times New Roman"/>
      <w:color w:val="1a1a1a"/>
      <w:sz w:val="22"/>
    </w:rPr>
  </w:style>
  <w:style w:type="paragraph" w:styleId="Heading1">
    <w:name w:val="heading 1"/>
    <w:basedOn w:val="Normal"/>
    <w:pPr>
      <w:keepNext/>
      <w:keepLines/>
      <w:pageBreakBefore/>
      <w:spacing w:before="400" w:after="200"/>
      <w:jc w:val="left"/>
      <w:outlineLvl w:val="0"/>
    </w:pPr>
    <w:rPr>
      <w:rFonts w:ascii="Times New Roman" w:hAnsi="Times New Roman"/>
      <w:b/>
      <w:color w:val="1B3A4B"/>
      <w:sz w:val="28"/>
    </w:rPr>
  </w:style>
  <w:style w:type="paragraph" w:styleId="Heading2">
    <w:name w:val="heading 2"/>
    <w:basedOn w:val="Normal"/>
    <w:pPr>
      <w:keepNext/>
      <w:keepLines/>
      <w:spacing w:before="320" w:after="120"/>
      <w:jc w:val="left"/>
      <w:outlineLvl w:val="1"/>
    </w:pPr>
    <w:rPr>
      <w:rFonts w:ascii="Times New Roman" w:hAnsi="Times New Roman"/>
      <w:b/>
      <w:color w:val="2E5A6B"/>
      <w:sz w:val="24"/>
    </w:rPr>
  </w:style>
  <w:style w:type="paragraph" w:styleId="Heading3">
    <w:name w:val="heading 3"/>
    <w:basedOn w:val="Normal"/>
    <w:pPr>
      <w:keepNext/>
      <w:keepLines/>
      <w:spacing w:before="240" w:after="80"/>
      <w:jc w:val="left"/>
      <w:outlineLvl w:val="2"/>
    </w:pPr>
    <w:rPr>
      <w:rFonts w:ascii="Times New Roman" w:hAnsi="Times New Roman"/>
      <w:b/>
      <w:i/>
      <w:color w:val="4a4a4a"/>
      <w:sz w:val="22"/>
    </w:rPr>
  </w:style>
</w:styles>
</file>

<file path=word/_rels/document.xml.rels><?xml version='1.0' encoding='UTF-8'?>
<Relationships xmlns="http://schemas.openxmlformats.org/package/2006/relationships"><Relationship Id="R7b9786e5213440be" Type="http://schemas.openxmlformats.org/officeDocument/2006/relationships/header" Target="header1.xml" /><Relationship Id="Rdb8ae3c6048a4d55" Type="http://schemas.openxmlformats.org/officeDocument/2006/relationships/settings" Target="settings.xml" /><Relationship Id="Re1890ce918e74ce7" Type="http://schemas.openxmlformats.org/officeDocument/2006/relationships/styles" Target="styles.xml" /><Relationship Id="Re2cf6dbe8bfb4939" Type="http://schemas.openxmlformats.org/officeDocument/2006/relationships/numbering" Target="numbering.xml" /><Relationship Id="Rf5d1ebb1ab544589" Type="http://schemas.openxmlformats.org/officeDocument/2006/relationships/footer" Target="footer1.xml" /></Relationships>
</file>