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D44A" w14:textId="77777777" w:rsidR="00FC09E2" w:rsidRDefault="00FC09E2"/>
    <w:p w14:paraId="1A97C991" w14:textId="77777777" w:rsidR="00FC09E2" w:rsidRDefault="00FC09E2">
      <w:pPr>
        <w:spacing w:before="5500"/>
      </w:pPr>
    </w:p>
    <w:p w14:paraId="4C1C795F" w14:textId="77777777" w:rsidR="00FC09E2" w:rsidRDefault="00000000">
      <w:pPr>
        <w:spacing w:after="200"/>
        <w:jc w:val="center"/>
      </w:pPr>
      <w:r>
        <w:rPr>
          <w:rFonts w:eastAsia="Cambria" w:cs="Cambria"/>
          <w:color w:val="A6894A"/>
          <w:spacing w:val="60"/>
          <w:sz w:val="24"/>
        </w:rPr>
        <w:t>ANNEX ST</w:t>
      </w:r>
    </w:p>
    <w:p w14:paraId="7B69061A" w14:textId="77777777" w:rsidR="00FC09E2" w:rsidRDefault="00000000">
      <w:pPr>
        <w:spacing w:after="400"/>
        <w:jc w:val="center"/>
      </w:pPr>
      <w:r>
        <w:rPr>
          <w:rFonts w:eastAsia="Cambria" w:cs="Cambria"/>
          <w:b/>
          <w:color w:val="1A2744"/>
          <w:spacing w:val="30"/>
          <w:sz w:val="72"/>
          <w:szCs w:val="72"/>
        </w:rPr>
        <w:t>Al-Tawazun</w:t>
      </w:r>
    </w:p>
    <w:p w14:paraId="071C166C" w14:textId="77777777" w:rsidR="00FC09E2" w:rsidRDefault="00000000">
      <w:pPr>
        <w:spacing w:after="200"/>
        <w:jc w:val="center"/>
      </w:pPr>
      <w:r>
        <w:rPr>
          <w:rFonts w:eastAsia="Cambria" w:cs="Cambria"/>
          <w:i/>
          <w:color w:val="1A2744"/>
          <w:sz w:val="32"/>
          <w:szCs w:val="32"/>
        </w:rPr>
        <w:t>The Stabilization and Early Warning Protocol</w:t>
      </w:r>
    </w:p>
    <w:p w14:paraId="5B94F431" w14:textId="77777777" w:rsidR="00FC09E2" w:rsidRDefault="00000000">
      <w:pPr>
        <w:spacing w:after="3000"/>
        <w:jc w:val="center"/>
      </w:pPr>
      <w:r>
        <w:rPr>
          <w:rFonts w:eastAsia="Cambria" w:cs="Cambria"/>
          <w:szCs w:val="22"/>
        </w:rPr>
        <w:t>A Conflict Prevention Architecture for the Middle East</w:t>
      </w:r>
    </w:p>
    <w:p w14:paraId="7C68D629" w14:textId="77777777" w:rsidR="00FC09E2" w:rsidRDefault="00000000">
      <w:pPr>
        <w:spacing w:after="120"/>
        <w:jc w:val="center"/>
      </w:pPr>
      <w:r>
        <w:rPr>
          <w:rFonts w:eastAsia="Cambria" w:cs="Cambria"/>
          <w:sz w:val="20"/>
          <w:szCs w:val="20"/>
        </w:rPr>
        <w:t>Modular  ·  Self-Contained  ·  Incorporable by Reference</w:t>
      </w:r>
    </w:p>
    <w:p w14:paraId="5CECE558" w14:textId="77777777" w:rsidR="00FC09E2" w:rsidRDefault="00000000">
      <w:pPr>
        <w:jc w:val="center"/>
      </w:pPr>
      <w:r>
        <w:rPr>
          <w:rFonts w:eastAsia="Cambria" w:cs="Cambria"/>
          <w:sz w:val="20"/>
          <w:szCs w:val="20"/>
        </w:rPr>
        <w:t>Version 3.0  ·  July 2026</w:t>
      </w:r>
    </w:p>
    <w:p w14:paraId="072743F4" w14:textId="77777777" w:rsidR="00FC09E2" w:rsidRDefault="00FC09E2">
      <w:pPr>
        <w:sectPr w:rsidR="00FC09E2">
          <w:pgSz w:w="11906" w:h="16838"/>
          <w:pgMar w:top="0" w:right="0" w:bottom="0" w:left="0" w:header="0" w:footer="0" w:gutter="0"/>
          <w:cols w:space="720"/>
          <w:titlePg/>
        </w:sectPr>
      </w:pPr>
    </w:p>
    <w:p w14:paraId="630C030F" w14:textId="326C418F" w:rsidR="00FC09E2" w:rsidRDefault="00000000" w:rsidP="00DE77D0">
      <w:pPr>
        <w:spacing w:before="600" w:after="200"/>
        <w:jc w:val="center"/>
      </w:pPr>
      <w:r>
        <w:rPr>
          <w:rFonts w:eastAsia="Cambria" w:cs="Cambria"/>
          <w:b/>
          <w:color w:val="1A2744"/>
          <w:sz w:val="36"/>
          <w:szCs w:val="36"/>
        </w:rPr>
        <w:lastRenderedPageBreak/>
        <w:t>Table of Contents</w:t>
      </w:r>
    </w:p>
    <w:p w14:paraId="5B7596DD" w14:textId="53F0C31D" w:rsidR="002B7F7C" w:rsidRDefault="00000000">
      <w:pPr>
        <w:pStyle w:val="TOC1"/>
        <w:rPr>
          <w:rFonts w:asciiTheme="minorHAnsi" w:eastAsiaTheme="minorEastAsia" w:hAnsiTheme="minorHAnsi"/>
          <w:b w:val="0"/>
          <w:noProof/>
          <w:color w:val="auto"/>
          <w:sz w:val="24"/>
        </w:rPr>
      </w:pPr>
      <w:r>
        <w:fldChar w:fldCharType="begin"/>
      </w:r>
      <w:r>
        <w:instrText xml:space="preserve"> TOC \o "1-3" \h \z \u </w:instrText>
      </w:r>
      <w:r>
        <w:fldChar w:fldCharType="separate"/>
      </w:r>
      <w:hyperlink w:anchor="_Toc234334499" w:history="1">
        <w:r w:rsidR="002B7F7C" w:rsidRPr="00FB0F2E">
          <w:rPr>
            <w:rStyle w:val="Hyperlink"/>
            <w:rFonts w:cs="Cambria"/>
            <w:noProof/>
          </w:rPr>
          <w:t>Preamble</w:t>
        </w:r>
        <w:r w:rsidR="002B7F7C">
          <w:rPr>
            <w:noProof/>
            <w:webHidden/>
          </w:rPr>
          <w:tab/>
        </w:r>
        <w:r w:rsidR="002B7F7C">
          <w:rPr>
            <w:noProof/>
            <w:webHidden/>
          </w:rPr>
          <w:fldChar w:fldCharType="begin"/>
        </w:r>
        <w:r w:rsidR="002B7F7C">
          <w:rPr>
            <w:noProof/>
            <w:webHidden/>
          </w:rPr>
          <w:instrText xml:space="preserve"> PAGEREF _Toc234334499 \h </w:instrText>
        </w:r>
        <w:r w:rsidR="002B7F7C">
          <w:rPr>
            <w:noProof/>
            <w:webHidden/>
          </w:rPr>
        </w:r>
        <w:r w:rsidR="002B7F7C">
          <w:rPr>
            <w:noProof/>
            <w:webHidden/>
          </w:rPr>
          <w:fldChar w:fldCharType="separate"/>
        </w:r>
        <w:r w:rsidR="002B7F7C">
          <w:rPr>
            <w:noProof/>
            <w:webHidden/>
          </w:rPr>
          <w:t>7</w:t>
        </w:r>
        <w:r w:rsidR="002B7F7C">
          <w:rPr>
            <w:noProof/>
            <w:webHidden/>
          </w:rPr>
          <w:fldChar w:fldCharType="end"/>
        </w:r>
      </w:hyperlink>
    </w:p>
    <w:p w14:paraId="492971DA" w14:textId="23BACE8E" w:rsidR="002B7F7C" w:rsidRDefault="002B7F7C">
      <w:pPr>
        <w:pStyle w:val="TOC1"/>
        <w:rPr>
          <w:rFonts w:asciiTheme="minorHAnsi" w:eastAsiaTheme="minorEastAsia" w:hAnsiTheme="minorHAnsi"/>
          <w:b w:val="0"/>
          <w:noProof/>
          <w:color w:val="auto"/>
          <w:sz w:val="24"/>
        </w:rPr>
      </w:pPr>
      <w:hyperlink w:anchor="_Toc234334500" w:history="1">
        <w:r w:rsidRPr="00FB0F2E">
          <w:rPr>
            <w:rStyle w:val="Hyperlink"/>
            <w:rFonts w:cs="Cambria"/>
            <w:noProof/>
          </w:rPr>
          <w:t>Article 1: Definitions</w:t>
        </w:r>
        <w:r>
          <w:rPr>
            <w:noProof/>
            <w:webHidden/>
          </w:rPr>
          <w:tab/>
        </w:r>
        <w:r>
          <w:rPr>
            <w:noProof/>
            <w:webHidden/>
          </w:rPr>
          <w:fldChar w:fldCharType="begin"/>
        </w:r>
        <w:r>
          <w:rPr>
            <w:noProof/>
            <w:webHidden/>
          </w:rPr>
          <w:instrText xml:space="preserve"> PAGEREF _Toc234334500 \h </w:instrText>
        </w:r>
        <w:r>
          <w:rPr>
            <w:noProof/>
            <w:webHidden/>
          </w:rPr>
        </w:r>
        <w:r>
          <w:rPr>
            <w:noProof/>
            <w:webHidden/>
          </w:rPr>
          <w:fldChar w:fldCharType="separate"/>
        </w:r>
        <w:r>
          <w:rPr>
            <w:noProof/>
            <w:webHidden/>
          </w:rPr>
          <w:t>8</w:t>
        </w:r>
        <w:r>
          <w:rPr>
            <w:noProof/>
            <w:webHidden/>
          </w:rPr>
          <w:fldChar w:fldCharType="end"/>
        </w:r>
      </w:hyperlink>
    </w:p>
    <w:p w14:paraId="5601A2AB" w14:textId="30590BB6" w:rsidR="002B7F7C" w:rsidRDefault="002B7F7C">
      <w:pPr>
        <w:pStyle w:val="TOC2"/>
        <w:rPr>
          <w:rFonts w:asciiTheme="minorHAnsi" w:eastAsiaTheme="minorEastAsia" w:hAnsiTheme="minorHAnsi"/>
          <w:noProof/>
          <w:color w:val="auto"/>
          <w:sz w:val="24"/>
        </w:rPr>
      </w:pPr>
      <w:hyperlink w:anchor="_Toc234334501" w:history="1">
        <w:r w:rsidRPr="00FB0F2E">
          <w:rPr>
            <w:rStyle w:val="Hyperlink"/>
            <w:rFonts w:cs="Cambria"/>
            <w:noProof/>
          </w:rPr>
          <w:t>1.1 Formal Mission Statement</w:t>
        </w:r>
        <w:r>
          <w:rPr>
            <w:noProof/>
            <w:webHidden/>
          </w:rPr>
          <w:tab/>
        </w:r>
        <w:r>
          <w:rPr>
            <w:noProof/>
            <w:webHidden/>
          </w:rPr>
          <w:fldChar w:fldCharType="begin"/>
        </w:r>
        <w:r>
          <w:rPr>
            <w:noProof/>
            <w:webHidden/>
          </w:rPr>
          <w:instrText xml:space="preserve"> PAGEREF _Toc234334501 \h </w:instrText>
        </w:r>
        <w:r>
          <w:rPr>
            <w:noProof/>
            <w:webHidden/>
          </w:rPr>
        </w:r>
        <w:r>
          <w:rPr>
            <w:noProof/>
            <w:webHidden/>
          </w:rPr>
          <w:fldChar w:fldCharType="separate"/>
        </w:r>
        <w:r>
          <w:rPr>
            <w:noProof/>
            <w:webHidden/>
          </w:rPr>
          <w:t>8</w:t>
        </w:r>
        <w:r>
          <w:rPr>
            <w:noProof/>
            <w:webHidden/>
          </w:rPr>
          <w:fldChar w:fldCharType="end"/>
        </w:r>
      </w:hyperlink>
    </w:p>
    <w:p w14:paraId="17CA583C" w14:textId="546D59ED" w:rsidR="002B7F7C" w:rsidRDefault="002B7F7C">
      <w:pPr>
        <w:pStyle w:val="TOC2"/>
        <w:rPr>
          <w:rFonts w:asciiTheme="minorHAnsi" w:eastAsiaTheme="minorEastAsia" w:hAnsiTheme="minorHAnsi"/>
          <w:noProof/>
          <w:color w:val="auto"/>
          <w:sz w:val="24"/>
        </w:rPr>
      </w:pPr>
      <w:hyperlink w:anchor="_Toc234334502" w:history="1">
        <w:r w:rsidRPr="00FB0F2E">
          <w:rPr>
            <w:rStyle w:val="Hyperlink"/>
            <w:rFonts w:cs="Cambria"/>
            <w:noProof/>
          </w:rPr>
          <w:t>1.2 "Treaty Trigger Notice"</w:t>
        </w:r>
        <w:r>
          <w:rPr>
            <w:noProof/>
            <w:webHidden/>
          </w:rPr>
          <w:tab/>
        </w:r>
        <w:r>
          <w:rPr>
            <w:noProof/>
            <w:webHidden/>
          </w:rPr>
          <w:fldChar w:fldCharType="begin"/>
        </w:r>
        <w:r>
          <w:rPr>
            <w:noProof/>
            <w:webHidden/>
          </w:rPr>
          <w:instrText xml:space="preserve"> PAGEREF _Toc234334502 \h </w:instrText>
        </w:r>
        <w:r>
          <w:rPr>
            <w:noProof/>
            <w:webHidden/>
          </w:rPr>
        </w:r>
        <w:r>
          <w:rPr>
            <w:noProof/>
            <w:webHidden/>
          </w:rPr>
          <w:fldChar w:fldCharType="separate"/>
        </w:r>
        <w:r>
          <w:rPr>
            <w:noProof/>
            <w:webHidden/>
          </w:rPr>
          <w:t>8</w:t>
        </w:r>
        <w:r>
          <w:rPr>
            <w:noProof/>
            <w:webHidden/>
          </w:rPr>
          <w:fldChar w:fldCharType="end"/>
        </w:r>
      </w:hyperlink>
    </w:p>
    <w:p w14:paraId="48A7AEAB" w14:textId="170BFCBF" w:rsidR="002B7F7C" w:rsidRDefault="002B7F7C">
      <w:pPr>
        <w:pStyle w:val="TOC2"/>
        <w:rPr>
          <w:rFonts w:asciiTheme="minorHAnsi" w:eastAsiaTheme="minorEastAsia" w:hAnsiTheme="minorHAnsi"/>
          <w:noProof/>
          <w:color w:val="auto"/>
          <w:sz w:val="24"/>
        </w:rPr>
      </w:pPr>
      <w:hyperlink w:anchor="_Toc234334503" w:history="1">
        <w:r w:rsidRPr="00FB0F2E">
          <w:rPr>
            <w:rStyle w:val="Hyperlink"/>
            <w:rFonts w:cs="Cambria"/>
            <w:noProof/>
          </w:rPr>
          <w:t>1.3 "Al-Tawazun" or "the Stabilization Branch"</w:t>
        </w:r>
        <w:r>
          <w:rPr>
            <w:noProof/>
            <w:webHidden/>
          </w:rPr>
          <w:tab/>
        </w:r>
        <w:r>
          <w:rPr>
            <w:noProof/>
            <w:webHidden/>
          </w:rPr>
          <w:fldChar w:fldCharType="begin"/>
        </w:r>
        <w:r>
          <w:rPr>
            <w:noProof/>
            <w:webHidden/>
          </w:rPr>
          <w:instrText xml:space="preserve"> PAGEREF _Toc234334503 \h </w:instrText>
        </w:r>
        <w:r>
          <w:rPr>
            <w:noProof/>
            <w:webHidden/>
          </w:rPr>
        </w:r>
        <w:r>
          <w:rPr>
            <w:noProof/>
            <w:webHidden/>
          </w:rPr>
          <w:fldChar w:fldCharType="separate"/>
        </w:r>
        <w:r>
          <w:rPr>
            <w:noProof/>
            <w:webHidden/>
          </w:rPr>
          <w:t>8</w:t>
        </w:r>
        <w:r>
          <w:rPr>
            <w:noProof/>
            <w:webHidden/>
          </w:rPr>
          <w:fldChar w:fldCharType="end"/>
        </w:r>
      </w:hyperlink>
    </w:p>
    <w:p w14:paraId="63E4AACA" w14:textId="1460E3F7" w:rsidR="002B7F7C" w:rsidRDefault="002B7F7C">
      <w:pPr>
        <w:pStyle w:val="TOC2"/>
        <w:rPr>
          <w:rFonts w:asciiTheme="minorHAnsi" w:eastAsiaTheme="minorEastAsia" w:hAnsiTheme="minorHAnsi"/>
          <w:noProof/>
          <w:color w:val="auto"/>
          <w:sz w:val="24"/>
        </w:rPr>
      </w:pPr>
      <w:hyperlink w:anchor="_Toc234334504" w:history="1">
        <w:r w:rsidRPr="00FB0F2E">
          <w:rPr>
            <w:rStyle w:val="Hyperlink"/>
            <w:rFonts w:cs="Cambria"/>
            <w:noProof/>
          </w:rPr>
          <w:t>1.4 "Trigger Matrix"</w:t>
        </w:r>
        <w:r>
          <w:rPr>
            <w:noProof/>
            <w:webHidden/>
          </w:rPr>
          <w:tab/>
        </w:r>
        <w:r>
          <w:rPr>
            <w:noProof/>
            <w:webHidden/>
          </w:rPr>
          <w:fldChar w:fldCharType="begin"/>
        </w:r>
        <w:r>
          <w:rPr>
            <w:noProof/>
            <w:webHidden/>
          </w:rPr>
          <w:instrText xml:space="preserve"> PAGEREF _Toc234334504 \h </w:instrText>
        </w:r>
        <w:r>
          <w:rPr>
            <w:noProof/>
            <w:webHidden/>
          </w:rPr>
        </w:r>
        <w:r>
          <w:rPr>
            <w:noProof/>
            <w:webHidden/>
          </w:rPr>
          <w:fldChar w:fldCharType="separate"/>
        </w:r>
        <w:r>
          <w:rPr>
            <w:noProof/>
            <w:webHidden/>
          </w:rPr>
          <w:t>9</w:t>
        </w:r>
        <w:r>
          <w:rPr>
            <w:noProof/>
            <w:webHidden/>
          </w:rPr>
          <w:fldChar w:fldCharType="end"/>
        </w:r>
      </w:hyperlink>
    </w:p>
    <w:p w14:paraId="5678EAF6" w14:textId="45FC8AA1" w:rsidR="002B7F7C" w:rsidRDefault="002B7F7C">
      <w:pPr>
        <w:pStyle w:val="TOC2"/>
        <w:rPr>
          <w:rFonts w:asciiTheme="minorHAnsi" w:eastAsiaTheme="minorEastAsia" w:hAnsiTheme="minorHAnsi"/>
          <w:noProof/>
          <w:color w:val="auto"/>
          <w:sz w:val="24"/>
        </w:rPr>
      </w:pPr>
      <w:hyperlink w:anchor="_Toc234334505" w:history="1">
        <w:r w:rsidRPr="00FB0F2E">
          <w:rPr>
            <w:rStyle w:val="Hyperlink"/>
            <w:rFonts w:cs="Cambria"/>
            <w:noProof/>
          </w:rPr>
          <w:t>1.5 "Preventer Team"</w:t>
        </w:r>
        <w:r>
          <w:rPr>
            <w:noProof/>
            <w:webHidden/>
          </w:rPr>
          <w:tab/>
        </w:r>
        <w:r>
          <w:rPr>
            <w:noProof/>
            <w:webHidden/>
          </w:rPr>
          <w:fldChar w:fldCharType="begin"/>
        </w:r>
        <w:r>
          <w:rPr>
            <w:noProof/>
            <w:webHidden/>
          </w:rPr>
          <w:instrText xml:space="preserve"> PAGEREF _Toc234334505 \h </w:instrText>
        </w:r>
        <w:r>
          <w:rPr>
            <w:noProof/>
            <w:webHidden/>
          </w:rPr>
        </w:r>
        <w:r>
          <w:rPr>
            <w:noProof/>
            <w:webHidden/>
          </w:rPr>
          <w:fldChar w:fldCharType="separate"/>
        </w:r>
        <w:r>
          <w:rPr>
            <w:noProof/>
            <w:webHidden/>
          </w:rPr>
          <w:t>9</w:t>
        </w:r>
        <w:r>
          <w:rPr>
            <w:noProof/>
            <w:webHidden/>
          </w:rPr>
          <w:fldChar w:fldCharType="end"/>
        </w:r>
      </w:hyperlink>
    </w:p>
    <w:p w14:paraId="77DAC890" w14:textId="4D1CB33A" w:rsidR="002B7F7C" w:rsidRDefault="002B7F7C">
      <w:pPr>
        <w:pStyle w:val="TOC2"/>
        <w:rPr>
          <w:rFonts w:asciiTheme="minorHAnsi" w:eastAsiaTheme="minorEastAsia" w:hAnsiTheme="minorHAnsi"/>
          <w:noProof/>
          <w:color w:val="auto"/>
          <w:sz w:val="24"/>
        </w:rPr>
      </w:pPr>
      <w:hyperlink w:anchor="_Toc234334506" w:history="1">
        <w:r w:rsidRPr="00FB0F2E">
          <w:rPr>
            <w:rStyle w:val="Hyperlink"/>
            <w:rFonts w:cs="Cambria"/>
            <w:noProof/>
          </w:rPr>
          <w:t>1.6 "Cooling-Off Protocol"</w:t>
        </w:r>
        <w:r>
          <w:rPr>
            <w:noProof/>
            <w:webHidden/>
          </w:rPr>
          <w:tab/>
        </w:r>
        <w:r>
          <w:rPr>
            <w:noProof/>
            <w:webHidden/>
          </w:rPr>
          <w:fldChar w:fldCharType="begin"/>
        </w:r>
        <w:r>
          <w:rPr>
            <w:noProof/>
            <w:webHidden/>
          </w:rPr>
          <w:instrText xml:space="preserve"> PAGEREF _Toc234334506 \h </w:instrText>
        </w:r>
        <w:r>
          <w:rPr>
            <w:noProof/>
            <w:webHidden/>
          </w:rPr>
        </w:r>
        <w:r>
          <w:rPr>
            <w:noProof/>
            <w:webHidden/>
          </w:rPr>
          <w:fldChar w:fldCharType="separate"/>
        </w:r>
        <w:r>
          <w:rPr>
            <w:noProof/>
            <w:webHidden/>
          </w:rPr>
          <w:t>9</w:t>
        </w:r>
        <w:r>
          <w:rPr>
            <w:noProof/>
            <w:webHidden/>
          </w:rPr>
          <w:fldChar w:fldCharType="end"/>
        </w:r>
      </w:hyperlink>
    </w:p>
    <w:p w14:paraId="1F4D3D6B" w14:textId="6BDB3893" w:rsidR="002B7F7C" w:rsidRDefault="002B7F7C">
      <w:pPr>
        <w:pStyle w:val="TOC2"/>
        <w:rPr>
          <w:rFonts w:asciiTheme="minorHAnsi" w:eastAsiaTheme="minorEastAsia" w:hAnsiTheme="minorHAnsi"/>
          <w:noProof/>
          <w:color w:val="auto"/>
          <w:sz w:val="24"/>
        </w:rPr>
      </w:pPr>
      <w:hyperlink w:anchor="_Toc234334507" w:history="1">
        <w:r w:rsidRPr="00FB0F2E">
          <w:rPr>
            <w:rStyle w:val="Hyperlink"/>
            <w:rFonts w:cs="Cambria"/>
            <w:noProof/>
          </w:rPr>
          <w:t>1.7 "Deployment Category"</w:t>
        </w:r>
        <w:r>
          <w:rPr>
            <w:noProof/>
            <w:webHidden/>
          </w:rPr>
          <w:tab/>
        </w:r>
        <w:r>
          <w:rPr>
            <w:noProof/>
            <w:webHidden/>
          </w:rPr>
          <w:fldChar w:fldCharType="begin"/>
        </w:r>
        <w:r>
          <w:rPr>
            <w:noProof/>
            <w:webHidden/>
          </w:rPr>
          <w:instrText xml:space="preserve"> PAGEREF _Toc234334507 \h </w:instrText>
        </w:r>
        <w:r>
          <w:rPr>
            <w:noProof/>
            <w:webHidden/>
          </w:rPr>
        </w:r>
        <w:r>
          <w:rPr>
            <w:noProof/>
            <w:webHidden/>
          </w:rPr>
          <w:fldChar w:fldCharType="separate"/>
        </w:r>
        <w:r>
          <w:rPr>
            <w:noProof/>
            <w:webHidden/>
          </w:rPr>
          <w:t>9</w:t>
        </w:r>
        <w:r>
          <w:rPr>
            <w:noProof/>
            <w:webHidden/>
          </w:rPr>
          <w:fldChar w:fldCharType="end"/>
        </w:r>
      </w:hyperlink>
    </w:p>
    <w:p w14:paraId="7139E425" w14:textId="7770254C" w:rsidR="002B7F7C" w:rsidRDefault="002B7F7C">
      <w:pPr>
        <w:pStyle w:val="TOC2"/>
        <w:rPr>
          <w:rFonts w:asciiTheme="minorHAnsi" w:eastAsiaTheme="minorEastAsia" w:hAnsiTheme="minorHAnsi"/>
          <w:noProof/>
          <w:color w:val="auto"/>
          <w:sz w:val="24"/>
        </w:rPr>
      </w:pPr>
      <w:hyperlink w:anchor="_Toc234334508" w:history="1">
        <w:r w:rsidRPr="00FB0F2E">
          <w:rPr>
            <w:rStyle w:val="Hyperlink"/>
            <w:rFonts w:cs="Cambria"/>
            <w:noProof/>
          </w:rPr>
          <w:t>1.8 "Lessons Learned Database"</w:t>
        </w:r>
        <w:r>
          <w:rPr>
            <w:noProof/>
            <w:webHidden/>
          </w:rPr>
          <w:tab/>
        </w:r>
        <w:r>
          <w:rPr>
            <w:noProof/>
            <w:webHidden/>
          </w:rPr>
          <w:fldChar w:fldCharType="begin"/>
        </w:r>
        <w:r>
          <w:rPr>
            <w:noProof/>
            <w:webHidden/>
          </w:rPr>
          <w:instrText xml:space="preserve"> PAGEREF _Toc234334508 \h </w:instrText>
        </w:r>
        <w:r>
          <w:rPr>
            <w:noProof/>
            <w:webHidden/>
          </w:rPr>
        </w:r>
        <w:r>
          <w:rPr>
            <w:noProof/>
            <w:webHidden/>
          </w:rPr>
          <w:fldChar w:fldCharType="separate"/>
        </w:r>
        <w:r>
          <w:rPr>
            <w:noProof/>
            <w:webHidden/>
          </w:rPr>
          <w:t>9</w:t>
        </w:r>
        <w:r>
          <w:rPr>
            <w:noProof/>
            <w:webHidden/>
          </w:rPr>
          <w:fldChar w:fldCharType="end"/>
        </w:r>
      </w:hyperlink>
    </w:p>
    <w:p w14:paraId="54F25B12" w14:textId="3D0FB8CB" w:rsidR="002B7F7C" w:rsidRDefault="002B7F7C">
      <w:pPr>
        <w:pStyle w:val="TOC2"/>
        <w:rPr>
          <w:rFonts w:asciiTheme="minorHAnsi" w:eastAsiaTheme="minorEastAsia" w:hAnsiTheme="minorHAnsi"/>
          <w:noProof/>
          <w:color w:val="auto"/>
          <w:sz w:val="24"/>
        </w:rPr>
      </w:pPr>
      <w:hyperlink w:anchor="_Toc234334509" w:history="1">
        <w:r w:rsidRPr="00FB0F2E">
          <w:rPr>
            <w:rStyle w:val="Hyperlink"/>
            <w:rFonts w:cs="Cambria"/>
            <w:noProof/>
          </w:rPr>
          <w:t>1.9 "Signatory State"</w:t>
        </w:r>
        <w:r>
          <w:rPr>
            <w:noProof/>
            <w:webHidden/>
          </w:rPr>
          <w:tab/>
        </w:r>
        <w:r>
          <w:rPr>
            <w:noProof/>
            <w:webHidden/>
          </w:rPr>
          <w:fldChar w:fldCharType="begin"/>
        </w:r>
        <w:r>
          <w:rPr>
            <w:noProof/>
            <w:webHidden/>
          </w:rPr>
          <w:instrText xml:space="preserve"> PAGEREF _Toc234334509 \h </w:instrText>
        </w:r>
        <w:r>
          <w:rPr>
            <w:noProof/>
            <w:webHidden/>
          </w:rPr>
        </w:r>
        <w:r>
          <w:rPr>
            <w:noProof/>
            <w:webHidden/>
          </w:rPr>
          <w:fldChar w:fldCharType="separate"/>
        </w:r>
        <w:r>
          <w:rPr>
            <w:noProof/>
            <w:webHidden/>
          </w:rPr>
          <w:t>9</w:t>
        </w:r>
        <w:r>
          <w:rPr>
            <w:noProof/>
            <w:webHidden/>
          </w:rPr>
          <w:fldChar w:fldCharType="end"/>
        </w:r>
      </w:hyperlink>
    </w:p>
    <w:p w14:paraId="709CB6A6" w14:textId="391B02BE" w:rsidR="002B7F7C" w:rsidRDefault="002B7F7C">
      <w:pPr>
        <w:pStyle w:val="TOC2"/>
        <w:rPr>
          <w:rFonts w:asciiTheme="minorHAnsi" w:eastAsiaTheme="minorEastAsia" w:hAnsiTheme="minorHAnsi"/>
          <w:noProof/>
          <w:color w:val="auto"/>
          <w:sz w:val="24"/>
        </w:rPr>
      </w:pPr>
      <w:hyperlink w:anchor="_Toc234334510" w:history="1">
        <w:r w:rsidRPr="00FB0F2E">
          <w:rPr>
            <w:rStyle w:val="Hyperlink"/>
            <w:rFonts w:cs="Cambria"/>
            <w:noProof/>
          </w:rPr>
          <w:t>1.10 "Host State"</w:t>
        </w:r>
        <w:r>
          <w:rPr>
            <w:noProof/>
            <w:webHidden/>
          </w:rPr>
          <w:tab/>
        </w:r>
        <w:r>
          <w:rPr>
            <w:noProof/>
            <w:webHidden/>
          </w:rPr>
          <w:fldChar w:fldCharType="begin"/>
        </w:r>
        <w:r>
          <w:rPr>
            <w:noProof/>
            <w:webHidden/>
          </w:rPr>
          <w:instrText xml:space="preserve"> PAGEREF _Toc234334510 \h </w:instrText>
        </w:r>
        <w:r>
          <w:rPr>
            <w:noProof/>
            <w:webHidden/>
          </w:rPr>
        </w:r>
        <w:r>
          <w:rPr>
            <w:noProof/>
            <w:webHidden/>
          </w:rPr>
          <w:fldChar w:fldCharType="separate"/>
        </w:r>
        <w:r>
          <w:rPr>
            <w:noProof/>
            <w:webHidden/>
          </w:rPr>
          <w:t>9</w:t>
        </w:r>
        <w:r>
          <w:rPr>
            <w:noProof/>
            <w:webHidden/>
          </w:rPr>
          <w:fldChar w:fldCharType="end"/>
        </w:r>
      </w:hyperlink>
    </w:p>
    <w:p w14:paraId="4717FAD6" w14:textId="61951A3D" w:rsidR="002B7F7C" w:rsidRDefault="002B7F7C">
      <w:pPr>
        <w:pStyle w:val="TOC2"/>
        <w:rPr>
          <w:rFonts w:asciiTheme="minorHAnsi" w:eastAsiaTheme="minorEastAsia" w:hAnsiTheme="minorHAnsi"/>
          <w:noProof/>
          <w:color w:val="auto"/>
          <w:sz w:val="24"/>
        </w:rPr>
      </w:pPr>
      <w:hyperlink w:anchor="_Toc234334511" w:history="1">
        <w:r w:rsidRPr="00FB0F2E">
          <w:rPr>
            <w:rStyle w:val="Hyperlink"/>
            <w:rFonts w:cs="Cambria"/>
            <w:noProof/>
          </w:rPr>
          <w:t>1.11 "Joint Commission"</w:t>
        </w:r>
        <w:r>
          <w:rPr>
            <w:noProof/>
            <w:webHidden/>
          </w:rPr>
          <w:tab/>
        </w:r>
        <w:r>
          <w:rPr>
            <w:noProof/>
            <w:webHidden/>
          </w:rPr>
          <w:fldChar w:fldCharType="begin"/>
        </w:r>
        <w:r>
          <w:rPr>
            <w:noProof/>
            <w:webHidden/>
          </w:rPr>
          <w:instrText xml:space="preserve"> PAGEREF _Toc234334511 \h </w:instrText>
        </w:r>
        <w:r>
          <w:rPr>
            <w:noProof/>
            <w:webHidden/>
          </w:rPr>
        </w:r>
        <w:r>
          <w:rPr>
            <w:noProof/>
            <w:webHidden/>
          </w:rPr>
          <w:fldChar w:fldCharType="separate"/>
        </w:r>
        <w:r>
          <w:rPr>
            <w:noProof/>
            <w:webHidden/>
          </w:rPr>
          <w:t>10</w:t>
        </w:r>
        <w:r>
          <w:rPr>
            <w:noProof/>
            <w:webHidden/>
          </w:rPr>
          <w:fldChar w:fldCharType="end"/>
        </w:r>
      </w:hyperlink>
    </w:p>
    <w:p w14:paraId="7DFEB962" w14:textId="4F910FB2" w:rsidR="002B7F7C" w:rsidRDefault="002B7F7C">
      <w:pPr>
        <w:pStyle w:val="TOC2"/>
        <w:rPr>
          <w:rFonts w:asciiTheme="minorHAnsi" w:eastAsiaTheme="minorEastAsia" w:hAnsiTheme="minorHAnsi"/>
          <w:noProof/>
          <w:color w:val="auto"/>
          <w:sz w:val="24"/>
        </w:rPr>
      </w:pPr>
      <w:hyperlink w:anchor="_Toc234334512" w:history="1">
        <w:r w:rsidRPr="00FB0F2E">
          <w:rPr>
            <w:rStyle w:val="Hyperlink"/>
            <w:rFonts w:cs="Cambria"/>
            <w:noProof/>
          </w:rPr>
          <w:t>1.12 "Troika"</w:t>
        </w:r>
        <w:r>
          <w:rPr>
            <w:noProof/>
            <w:webHidden/>
          </w:rPr>
          <w:tab/>
        </w:r>
        <w:r>
          <w:rPr>
            <w:noProof/>
            <w:webHidden/>
          </w:rPr>
          <w:fldChar w:fldCharType="begin"/>
        </w:r>
        <w:r>
          <w:rPr>
            <w:noProof/>
            <w:webHidden/>
          </w:rPr>
          <w:instrText xml:space="preserve"> PAGEREF _Toc234334512 \h </w:instrText>
        </w:r>
        <w:r>
          <w:rPr>
            <w:noProof/>
            <w:webHidden/>
          </w:rPr>
        </w:r>
        <w:r>
          <w:rPr>
            <w:noProof/>
            <w:webHidden/>
          </w:rPr>
          <w:fldChar w:fldCharType="separate"/>
        </w:r>
        <w:r>
          <w:rPr>
            <w:noProof/>
            <w:webHidden/>
          </w:rPr>
          <w:t>10</w:t>
        </w:r>
        <w:r>
          <w:rPr>
            <w:noProof/>
            <w:webHidden/>
          </w:rPr>
          <w:fldChar w:fldCharType="end"/>
        </w:r>
      </w:hyperlink>
    </w:p>
    <w:p w14:paraId="301AD60B" w14:textId="18AAF7CA" w:rsidR="002B7F7C" w:rsidRDefault="002B7F7C">
      <w:pPr>
        <w:pStyle w:val="TOC2"/>
        <w:rPr>
          <w:rFonts w:asciiTheme="minorHAnsi" w:eastAsiaTheme="minorEastAsia" w:hAnsiTheme="minorHAnsi"/>
          <w:noProof/>
          <w:color w:val="auto"/>
          <w:sz w:val="24"/>
        </w:rPr>
      </w:pPr>
      <w:hyperlink w:anchor="_Toc234334513" w:history="1">
        <w:r w:rsidRPr="00FB0F2E">
          <w:rPr>
            <w:rStyle w:val="Hyperlink"/>
            <w:rFonts w:cs="Cambria"/>
            <w:noProof/>
          </w:rPr>
          <w:t>1.13 "Constructive Abstention"</w:t>
        </w:r>
        <w:r>
          <w:rPr>
            <w:noProof/>
            <w:webHidden/>
          </w:rPr>
          <w:tab/>
        </w:r>
        <w:r>
          <w:rPr>
            <w:noProof/>
            <w:webHidden/>
          </w:rPr>
          <w:fldChar w:fldCharType="begin"/>
        </w:r>
        <w:r>
          <w:rPr>
            <w:noProof/>
            <w:webHidden/>
          </w:rPr>
          <w:instrText xml:space="preserve"> PAGEREF _Toc234334513 \h </w:instrText>
        </w:r>
        <w:r>
          <w:rPr>
            <w:noProof/>
            <w:webHidden/>
          </w:rPr>
        </w:r>
        <w:r>
          <w:rPr>
            <w:noProof/>
            <w:webHidden/>
          </w:rPr>
          <w:fldChar w:fldCharType="separate"/>
        </w:r>
        <w:r>
          <w:rPr>
            <w:noProof/>
            <w:webHidden/>
          </w:rPr>
          <w:t>10</w:t>
        </w:r>
        <w:r>
          <w:rPr>
            <w:noProof/>
            <w:webHidden/>
          </w:rPr>
          <w:fldChar w:fldCharType="end"/>
        </w:r>
      </w:hyperlink>
    </w:p>
    <w:p w14:paraId="10923E23" w14:textId="3975F900" w:rsidR="002B7F7C" w:rsidRDefault="002B7F7C">
      <w:pPr>
        <w:pStyle w:val="TOC2"/>
        <w:rPr>
          <w:rFonts w:asciiTheme="minorHAnsi" w:eastAsiaTheme="minorEastAsia" w:hAnsiTheme="minorHAnsi"/>
          <w:noProof/>
          <w:color w:val="auto"/>
          <w:sz w:val="24"/>
        </w:rPr>
      </w:pPr>
      <w:hyperlink w:anchor="_Toc234334514" w:history="1">
        <w:r w:rsidRPr="00FB0F2E">
          <w:rPr>
            <w:rStyle w:val="Hyperlink"/>
            <w:rFonts w:cs="Cambria"/>
            <w:noProof/>
          </w:rPr>
          <w:t>1.14 "Stability Bond"</w:t>
        </w:r>
        <w:r>
          <w:rPr>
            <w:noProof/>
            <w:webHidden/>
          </w:rPr>
          <w:tab/>
        </w:r>
        <w:r>
          <w:rPr>
            <w:noProof/>
            <w:webHidden/>
          </w:rPr>
          <w:fldChar w:fldCharType="begin"/>
        </w:r>
        <w:r>
          <w:rPr>
            <w:noProof/>
            <w:webHidden/>
          </w:rPr>
          <w:instrText xml:space="preserve"> PAGEREF _Toc234334514 \h </w:instrText>
        </w:r>
        <w:r>
          <w:rPr>
            <w:noProof/>
            <w:webHidden/>
          </w:rPr>
        </w:r>
        <w:r>
          <w:rPr>
            <w:noProof/>
            <w:webHidden/>
          </w:rPr>
          <w:fldChar w:fldCharType="separate"/>
        </w:r>
        <w:r>
          <w:rPr>
            <w:noProof/>
            <w:webHidden/>
          </w:rPr>
          <w:t>10</w:t>
        </w:r>
        <w:r>
          <w:rPr>
            <w:noProof/>
            <w:webHidden/>
          </w:rPr>
          <w:fldChar w:fldCharType="end"/>
        </w:r>
      </w:hyperlink>
    </w:p>
    <w:p w14:paraId="55668BE5" w14:textId="545B2196" w:rsidR="002B7F7C" w:rsidRDefault="002B7F7C">
      <w:pPr>
        <w:pStyle w:val="TOC2"/>
        <w:rPr>
          <w:rFonts w:asciiTheme="minorHAnsi" w:eastAsiaTheme="minorEastAsia" w:hAnsiTheme="minorHAnsi"/>
          <w:noProof/>
          <w:color w:val="auto"/>
          <w:sz w:val="24"/>
        </w:rPr>
      </w:pPr>
      <w:hyperlink w:anchor="_Toc234334515" w:history="1">
        <w:r w:rsidRPr="00FB0F2E">
          <w:rPr>
            <w:rStyle w:val="Hyperlink"/>
            <w:rFonts w:cs="Cambria"/>
            <w:noProof/>
          </w:rPr>
          <w:t>1.15 "Cumulative Stress Metric"</w:t>
        </w:r>
        <w:r>
          <w:rPr>
            <w:noProof/>
            <w:webHidden/>
          </w:rPr>
          <w:tab/>
        </w:r>
        <w:r>
          <w:rPr>
            <w:noProof/>
            <w:webHidden/>
          </w:rPr>
          <w:fldChar w:fldCharType="begin"/>
        </w:r>
        <w:r>
          <w:rPr>
            <w:noProof/>
            <w:webHidden/>
          </w:rPr>
          <w:instrText xml:space="preserve"> PAGEREF _Toc234334515 \h </w:instrText>
        </w:r>
        <w:r>
          <w:rPr>
            <w:noProof/>
            <w:webHidden/>
          </w:rPr>
        </w:r>
        <w:r>
          <w:rPr>
            <w:noProof/>
            <w:webHidden/>
          </w:rPr>
          <w:fldChar w:fldCharType="separate"/>
        </w:r>
        <w:r>
          <w:rPr>
            <w:noProof/>
            <w:webHidden/>
          </w:rPr>
          <w:t>10</w:t>
        </w:r>
        <w:r>
          <w:rPr>
            <w:noProof/>
            <w:webHidden/>
          </w:rPr>
          <w:fldChar w:fldCharType="end"/>
        </w:r>
      </w:hyperlink>
    </w:p>
    <w:p w14:paraId="5A11BF75" w14:textId="5A255AF6" w:rsidR="002B7F7C" w:rsidRDefault="002B7F7C">
      <w:pPr>
        <w:pStyle w:val="TOC2"/>
        <w:rPr>
          <w:rFonts w:asciiTheme="minorHAnsi" w:eastAsiaTheme="minorEastAsia" w:hAnsiTheme="minorHAnsi"/>
          <w:noProof/>
          <w:color w:val="auto"/>
          <w:sz w:val="24"/>
        </w:rPr>
      </w:pPr>
      <w:hyperlink w:anchor="_Toc234334516" w:history="1">
        <w:r w:rsidRPr="00FB0F2E">
          <w:rPr>
            <w:rStyle w:val="Hyperlink"/>
            <w:rFonts w:cs="Cambria"/>
            <w:noProof/>
          </w:rPr>
          <w:t>1.16 "Structural Instability Declaration"</w:t>
        </w:r>
        <w:r>
          <w:rPr>
            <w:noProof/>
            <w:webHidden/>
          </w:rPr>
          <w:tab/>
        </w:r>
        <w:r>
          <w:rPr>
            <w:noProof/>
            <w:webHidden/>
          </w:rPr>
          <w:fldChar w:fldCharType="begin"/>
        </w:r>
        <w:r>
          <w:rPr>
            <w:noProof/>
            <w:webHidden/>
          </w:rPr>
          <w:instrText xml:space="preserve"> PAGEREF _Toc234334516 \h </w:instrText>
        </w:r>
        <w:r>
          <w:rPr>
            <w:noProof/>
            <w:webHidden/>
          </w:rPr>
        </w:r>
        <w:r>
          <w:rPr>
            <w:noProof/>
            <w:webHidden/>
          </w:rPr>
          <w:fldChar w:fldCharType="separate"/>
        </w:r>
        <w:r>
          <w:rPr>
            <w:noProof/>
            <w:webHidden/>
          </w:rPr>
          <w:t>10</w:t>
        </w:r>
        <w:r>
          <w:rPr>
            <w:noProof/>
            <w:webHidden/>
          </w:rPr>
          <w:fldChar w:fldCharType="end"/>
        </w:r>
      </w:hyperlink>
    </w:p>
    <w:p w14:paraId="75EAE197" w14:textId="5D9B2D5B" w:rsidR="002B7F7C" w:rsidRDefault="002B7F7C">
      <w:pPr>
        <w:pStyle w:val="TOC2"/>
        <w:rPr>
          <w:rFonts w:asciiTheme="minorHAnsi" w:eastAsiaTheme="minorEastAsia" w:hAnsiTheme="minorHAnsi"/>
          <w:noProof/>
          <w:color w:val="auto"/>
          <w:sz w:val="24"/>
        </w:rPr>
      </w:pPr>
      <w:hyperlink w:anchor="_Toc234334517" w:history="1">
        <w:r w:rsidRPr="00FB0F2E">
          <w:rPr>
            <w:rStyle w:val="Hyperlink"/>
            <w:rFonts w:cs="Cambria"/>
            <w:noProof/>
          </w:rPr>
          <w:t>1.17 "Early-Warning Cyber Telemetry"</w:t>
        </w:r>
        <w:r>
          <w:rPr>
            <w:noProof/>
            <w:webHidden/>
          </w:rPr>
          <w:tab/>
        </w:r>
        <w:r>
          <w:rPr>
            <w:noProof/>
            <w:webHidden/>
          </w:rPr>
          <w:fldChar w:fldCharType="begin"/>
        </w:r>
        <w:r>
          <w:rPr>
            <w:noProof/>
            <w:webHidden/>
          </w:rPr>
          <w:instrText xml:space="preserve"> PAGEREF _Toc234334517 \h </w:instrText>
        </w:r>
        <w:r>
          <w:rPr>
            <w:noProof/>
            <w:webHidden/>
          </w:rPr>
        </w:r>
        <w:r>
          <w:rPr>
            <w:noProof/>
            <w:webHidden/>
          </w:rPr>
          <w:fldChar w:fldCharType="separate"/>
        </w:r>
        <w:r>
          <w:rPr>
            <w:noProof/>
            <w:webHidden/>
          </w:rPr>
          <w:t>11</w:t>
        </w:r>
        <w:r>
          <w:rPr>
            <w:noProof/>
            <w:webHidden/>
          </w:rPr>
          <w:fldChar w:fldCharType="end"/>
        </w:r>
      </w:hyperlink>
    </w:p>
    <w:p w14:paraId="4EDD41E2" w14:textId="0725891F" w:rsidR="002B7F7C" w:rsidRDefault="002B7F7C">
      <w:pPr>
        <w:pStyle w:val="TOC2"/>
        <w:rPr>
          <w:rFonts w:asciiTheme="minorHAnsi" w:eastAsiaTheme="minorEastAsia" w:hAnsiTheme="minorHAnsi"/>
          <w:noProof/>
          <w:color w:val="auto"/>
          <w:sz w:val="24"/>
        </w:rPr>
      </w:pPr>
      <w:hyperlink w:anchor="_Toc234334518" w:history="1">
        <w:r w:rsidRPr="00FB0F2E">
          <w:rPr>
            <w:rStyle w:val="Hyperlink"/>
            <w:rFonts w:cs="Cambria"/>
            <w:noProof/>
          </w:rPr>
          <w:t>1.18 "Monitoring Category"</w:t>
        </w:r>
        <w:r>
          <w:rPr>
            <w:noProof/>
            <w:webHidden/>
          </w:rPr>
          <w:tab/>
        </w:r>
        <w:r>
          <w:rPr>
            <w:noProof/>
            <w:webHidden/>
          </w:rPr>
          <w:fldChar w:fldCharType="begin"/>
        </w:r>
        <w:r>
          <w:rPr>
            <w:noProof/>
            <w:webHidden/>
          </w:rPr>
          <w:instrText xml:space="preserve"> PAGEREF _Toc234334518 \h </w:instrText>
        </w:r>
        <w:r>
          <w:rPr>
            <w:noProof/>
            <w:webHidden/>
          </w:rPr>
        </w:r>
        <w:r>
          <w:rPr>
            <w:noProof/>
            <w:webHidden/>
          </w:rPr>
          <w:fldChar w:fldCharType="separate"/>
        </w:r>
        <w:r>
          <w:rPr>
            <w:noProof/>
            <w:webHidden/>
          </w:rPr>
          <w:t>11</w:t>
        </w:r>
        <w:r>
          <w:rPr>
            <w:noProof/>
            <w:webHidden/>
          </w:rPr>
          <w:fldChar w:fldCharType="end"/>
        </w:r>
      </w:hyperlink>
    </w:p>
    <w:p w14:paraId="193567D3" w14:textId="0FF24D01" w:rsidR="002B7F7C" w:rsidRDefault="002B7F7C">
      <w:pPr>
        <w:pStyle w:val="TOC2"/>
        <w:rPr>
          <w:rFonts w:asciiTheme="minorHAnsi" w:eastAsiaTheme="minorEastAsia" w:hAnsiTheme="minorHAnsi"/>
          <w:noProof/>
          <w:color w:val="auto"/>
          <w:sz w:val="24"/>
        </w:rPr>
      </w:pPr>
      <w:hyperlink w:anchor="_Toc234334519" w:history="1">
        <w:r w:rsidRPr="00FB0F2E">
          <w:rPr>
            <w:rStyle w:val="Hyperlink"/>
            <w:rFonts w:cs="Cambria"/>
            <w:noProof/>
          </w:rPr>
          <w:t>1.19 "Regional Stability Score"</w:t>
        </w:r>
        <w:r>
          <w:rPr>
            <w:noProof/>
            <w:webHidden/>
          </w:rPr>
          <w:tab/>
        </w:r>
        <w:r>
          <w:rPr>
            <w:noProof/>
            <w:webHidden/>
          </w:rPr>
          <w:fldChar w:fldCharType="begin"/>
        </w:r>
        <w:r>
          <w:rPr>
            <w:noProof/>
            <w:webHidden/>
          </w:rPr>
          <w:instrText xml:space="preserve"> PAGEREF _Toc234334519 \h </w:instrText>
        </w:r>
        <w:r>
          <w:rPr>
            <w:noProof/>
            <w:webHidden/>
          </w:rPr>
        </w:r>
        <w:r>
          <w:rPr>
            <w:noProof/>
            <w:webHidden/>
          </w:rPr>
          <w:fldChar w:fldCharType="separate"/>
        </w:r>
        <w:r>
          <w:rPr>
            <w:noProof/>
            <w:webHidden/>
          </w:rPr>
          <w:t>11</w:t>
        </w:r>
        <w:r>
          <w:rPr>
            <w:noProof/>
            <w:webHidden/>
          </w:rPr>
          <w:fldChar w:fldCharType="end"/>
        </w:r>
      </w:hyperlink>
    </w:p>
    <w:p w14:paraId="30DCD2A2" w14:textId="32E8CAFC" w:rsidR="002B7F7C" w:rsidRDefault="002B7F7C">
      <w:pPr>
        <w:pStyle w:val="TOC2"/>
        <w:rPr>
          <w:rFonts w:asciiTheme="minorHAnsi" w:eastAsiaTheme="minorEastAsia" w:hAnsiTheme="minorHAnsi"/>
          <w:noProof/>
          <w:color w:val="auto"/>
          <w:sz w:val="24"/>
        </w:rPr>
      </w:pPr>
      <w:hyperlink w:anchor="_Toc234334520" w:history="1">
        <w:r w:rsidRPr="00FB0F2E">
          <w:rPr>
            <w:rStyle w:val="Hyperlink"/>
            <w:rFonts w:cs="Cambria"/>
            <w:noProof/>
          </w:rPr>
          <w:t>1.20 "Material Omission"</w:t>
        </w:r>
        <w:r>
          <w:rPr>
            <w:noProof/>
            <w:webHidden/>
          </w:rPr>
          <w:tab/>
        </w:r>
        <w:r>
          <w:rPr>
            <w:noProof/>
            <w:webHidden/>
          </w:rPr>
          <w:fldChar w:fldCharType="begin"/>
        </w:r>
        <w:r>
          <w:rPr>
            <w:noProof/>
            <w:webHidden/>
          </w:rPr>
          <w:instrText xml:space="preserve"> PAGEREF _Toc234334520 \h </w:instrText>
        </w:r>
        <w:r>
          <w:rPr>
            <w:noProof/>
            <w:webHidden/>
          </w:rPr>
        </w:r>
        <w:r>
          <w:rPr>
            <w:noProof/>
            <w:webHidden/>
          </w:rPr>
          <w:fldChar w:fldCharType="separate"/>
        </w:r>
        <w:r>
          <w:rPr>
            <w:noProof/>
            <w:webHidden/>
          </w:rPr>
          <w:t>11</w:t>
        </w:r>
        <w:r>
          <w:rPr>
            <w:noProof/>
            <w:webHidden/>
          </w:rPr>
          <w:fldChar w:fldCharType="end"/>
        </w:r>
      </w:hyperlink>
    </w:p>
    <w:p w14:paraId="2289678C" w14:textId="09E39F97" w:rsidR="002B7F7C" w:rsidRDefault="002B7F7C">
      <w:pPr>
        <w:pStyle w:val="TOC2"/>
        <w:rPr>
          <w:rFonts w:asciiTheme="minorHAnsi" w:eastAsiaTheme="minorEastAsia" w:hAnsiTheme="minorHAnsi"/>
          <w:noProof/>
          <w:color w:val="auto"/>
          <w:sz w:val="24"/>
        </w:rPr>
      </w:pPr>
      <w:hyperlink w:anchor="_Toc234334521" w:history="1">
        <w:r w:rsidRPr="00FB0F2E">
          <w:rPr>
            <w:rStyle w:val="Hyperlink"/>
            <w:rFonts w:cs="Cambria"/>
            <w:noProof/>
          </w:rPr>
          <w:t>1.21 "Certified Transparency"</w:t>
        </w:r>
        <w:r>
          <w:rPr>
            <w:noProof/>
            <w:webHidden/>
          </w:rPr>
          <w:tab/>
        </w:r>
        <w:r>
          <w:rPr>
            <w:noProof/>
            <w:webHidden/>
          </w:rPr>
          <w:fldChar w:fldCharType="begin"/>
        </w:r>
        <w:r>
          <w:rPr>
            <w:noProof/>
            <w:webHidden/>
          </w:rPr>
          <w:instrText xml:space="preserve"> PAGEREF _Toc234334521 \h </w:instrText>
        </w:r>
        <w:r>
          <w:rPr>
            <w:noProof/>
            <w:webHidden/>
          </w:rPr>
        </w:r>
        <w:r>
          <w:rPr>
            <w:noProof/>
            <w:webHidden/>
          </w:rPr>
          <w:fldChar w:fldCharType="separate"/>
        </w:r>
        <w:r>
          <w:rPr>
            <w:noProof/>
            <w:webHidden/>
          </w:rPr>
          <w:t>11</w:t>
        </w:r>
        <w:r>
          <w:rPr>
            <w:noProof/>
            <w:webHidden/>
          </w:rPr>
          <w:fldChar w:fldCharType="end"/>
        </w:r>
      </w:hyperlink>
    </w:p>
    <w:p w14:paraId="0C561F68" w14:textId="28C0CFB0" w:rsidR="002B7F7C" w:rsidRDefault="002B7F7C">
      <w:pPr>
        <w:pStyle w:val="TOC2"/>
        <w:rPr>
          <w:rFonts w:asciiTheme="minorHAnsi" w:eastAsiaTheme="minorEastAsia" w:hAnsiTheme="minorHAnsi"/>
          <w:noProof/>
          <w:color w:val="auto"/>
          <w:sz w:val="24"/>
        </w:rPr>
      </w:pPr>
      <w:hyperlink w:anchor="_Toc234334522" w:history="1">
        <w:r w:rsidRPr="00FB0F2E">
          <w:rPr>
            <w:rStyle w:val="Hyperlink"/>
            <w:rFonts w:cs="Cambria"/>
            <w:noProof/>
          </w:rPr>
          <w:t>1.22 "Confidentiality Shield"</w:t>
        </w:r>
        <w:r>
          <w:rPr>
            <w:noProof/>
            <w:webHidden/>
          </w:rPr>
          <w:tab/>
        </w:r>
        <w:r>
          <w:rPr>
            <w:noProof/>
            <w:webHidden/>
          </w:rPr>
          <w:fldChar w:fldCharType="begin"/>
        </w:r>
        <w:r>
          <w:rPr>
            <w:noProof/>
            <w:webHidden/>
          </w:rPr>
          <w:instrText xml:space="preserve"> PAGEREF _Toc234334522 \h </w:instrText>
        </w:r>
        <w:r>
          <w:rPr>
            <w:noProof/>
            <w:webHidden/>
          </w:rPr>
        </w:r>
        <w:r>
          <w:rPr>
            <w:noProof/>
            <w:webHidden/>
          </w:rPr>
          <w:fldChar w:fldCharType="separate"/>
        </w:r>
        <w:r>
          <w:rPr>
            <w:noProof/>
            <w:webHidden/>
          </w:rPr>
          <w:t>12</w:t>
        </w:r>
        <w:r>
          <w:rPr>
            <w:noProof/>
            <w:webHidden/>
          </w:rPr>
          <w:fldChar w:fldCharType="end"/>
        </w:r>
      </w:hyperlink>
    </w:p>
    <w:p w14:paraId="5EFF9F70" w14:textId="1141808F" w:rsidR="002B7F7C" w:rsidRDefault="002B7F7C">
      <w:pPr>
        <w:pStyle w:val="TOC2"/>
        <w:rPr>
          <w:rFonts w:asciiTheme="minorHAnsi" w:eastAsiaTheme="minorEastAsia" w:hAnsiTheme="minorHAnsi"/>
          <w:noProof/>
          <w:color w:val="auto"/>
          <w:sz w:val="24"/>
        </w:rPr>
      </w:pPr>
      <w:hyperlink w:anchor="_Toc234334523" w:history="1">
        <w:r w:rsidRPr="00FB0F2E">
          <w:rPr>
            <w:rStyle w:val="Hyperlink"/>
            <w:rFonts w:cs="Cambria"/>
            <w:noProof/>
          </w:rPr>
          <w:t>1.23 "Sovereignty Enhancer"</w:t>
        </w:r>
        <w:r>
          <w:rPr>
            <w:noProof/>
            <w:webHidden/>
          </w:rPr>
          <w:tab/>
        </w:r>
        <w:r>
          <w:rPr>
            <w:noProof/>
            <w:webHidden/>
          </w:rPr>
          <w:fldChar w:fldCharType="begin"/>
        </w:r>
        <w:r>
          <w:rPr>
            <w:noProof/>
            <w:webHidden/>
          </w:rPr>
          <w:instrText xml:space="preserve"> PAGEREF _Toc234334523 \h </w:instrText>
        </w:r>
        <w:r>
          <w:rPr>
            <w:noProof/>
            <w:webHidden/>
          </w:rPr>
        </w:r>
        <w:r>
          <w:rPr>
            <w:noProof/>
            <w:webHidden/>
          </w:rPr>
          <w:fldChar w:fldCharType="separate"/>
        </w:r>
        <w:r>
          <w:rPr>
            <w:noProof/>
            <w:webHidden/>
          </w:rPr>
          <w:t>12</w:t>
        </w:r>
        <w:r>
          <w:rPr>
            <w:noProof/>
            <w:webHidden/>
          </w:rPr>
          <w:fldChar w:fldCharType="end"/>
        </w:r>
      </w:hyperlink>
    </w:p>
    <w:p w14:paraId="0F94708B" w14:textId="6FACE063" w:rsidR="002B7F7C" w:rsidRDefault="002B7F7C">
      <w:pPr>
        <w:pStyle w:val="TOC2"/>
        <w:rPr>
          <w:rFonts w:asciiTheme="minorHAnsi" w:eastAsiaTheme="minorEastAsia" w:hAnsiTheme="minorHAnsi"/>
          <w:noProof/>
          <w:color w:val="auto"/>
          <w:sz w:val="24"/>
        </w:rPr>
      </w:pPr>
      <w:hyperlink w:anchor="_Toc234334524" w:history="1">
        <w:r w:rsidRPr="00FB0F2E">
          <w:rPr>
            <w:rStyle w:val="Hyperlink"/>
            <w:rFonts w:cs="Cambria"/>
            <w:noProof/>
          </w:rPr>
          <w:t>1.24 "Host-State Agreement"</w:t>
        </w:r>
        <w:r>
          <w:rPr>
            <w:noProof/>
            <w:webHidden/>
          </w:rPr>
          <w:tab/>
        </w:r>
        <w:r>
          <w:rPr>
            <w:noProof/>
            <w:webHidden/>
          </w:rPr>
          <w:fldChar w:fldCharType="begin"/>
        </w:r>
        <w:r>
          <w:rPr>
            <w:noProof/>
            <w:webHidden/>
          </w:rPr>
          <w:instrText xml:space="preserve"> PAGEREF _Toc234334524 \h </w:instrText>
        </w:r>
        <w:r>
          <w:rPr>
            <w:noProof/>
            <w:webHidden/>
          </w:rPr>
        </w:r>
        <w:r>
          <w:rPr>
            <w:noProof/>
            <w:webHidden/>
          </w:rPr>
          <w:fldChar w:fldCharType="separate"/>
        </w:r>
        <w:r>
          <w:rPr>
            <w:noProof/>
            <w:webHidden/>
          </w:rPr>
          <w:t>12</w:t>
        </w:r>
        <w:r>
          <w:rPr>
            <w:noProof/>
            <w:webHidden/>
          </w:rPr>
          <w:fldChar w:fldCharType="end"/>
        </w:r>
      </w:hyperlink>
    </w:p>
    <w:p w14:paraId="4CAE4AB4" w14:textId="04B6F0E4" w:rsidR="002B7F7C" w:rsidRDefault="002B7F7C">
      <w:pPr>
        <w:pStyle w:val="TOC2"/>
        <w:rPr>
          <w:rFonts w:asciiTheme="minorHAnsi" w:eastAsiaTheme="minorEastAsia" w:hAnsiTheme="minorHAnsi"/>
          <w:noProof/>
          <w:color w:val="auto"/>
          <w:sz w:val="24"/>
        </w:rPr>
      </w:pPr>
      <w:hyperlink w:anchor="_Toc234334525" w:history="1">
        <w:r w:rsidRPr="00FB0F2E">
          <w:rPr>
            <w:rStyle w:val="Hyperlink"/>
            <w:rFonts w:cs="Cambria"/>
            <w:noProof/>
          </w:rPr>
          <w:t>1.25 "Spoiler Tax"</w:t>
        </w:r>
        <w:r>
          <w:rPr>
            <w:noProof/>
            <w:webHidden/>
          </w:rPr>
          <w:tab/>
        </w:r>
        <w:r>
          <w:rPr>
            <w:noProof/>
            <w:webHidden/>
          </w:rPr>
          <w:fldChar w:fldCharType="begin"/>
        </w:r>
        <w:r>
          <w:rPr>
            <w:noProof/>
            <w:webHidden/>
          </w:rPr>
          <w:instrText xml:space="preserve"> PAGEREF _Toc234334525 \h </w:instrText>
        </w:r>
        <w:r>
          <w:rPr>
            <w:noProof/>
            <w:webHidden/>
          </w:rPr>
        </w:r>
        <w:r>
          <w:rPr>
            <w:noProof/>
            <w:webHidden/>
          </w:rPr>
          <w:fldChar w:fldCharType="separate"/>
        </w:r>
        <w:r>
          <w:rPr>
            <w:noProof/>
            <w:webHidden/>
          </w:rPr>
          <w:t>12</w:t>
        </w:r>
        <w:r>
          <w:rPr>
            <w:noProof/>
            <w:webHidden/>
          </w:rPr>
          <w:fldChar w:fldCharType="end"/>
        </w:r>
      </w:hyperlink>
    </w:p>
    <w:p w14:paraId="5574BCCC" w14:textId="433EB400" w:rsidR="002B7F7C" w:rsidRDefault="002B7F7C">
      <w:pPr>
        <w:pStyle w:val="TOC2"/>
        <w:rPr>
          <w:rFonts w:asciiTheme="minorHAnsi" w:eastAsiaTheme="minorEastAsia" w:hAnsiTheme="minorHAnsi"/>
          <w:noProof/>
          <w:color w:val="auto"/>
          <w:sz w:val="24"/>
        </w:rPr>
      </w:pPr>
      <w:hyperlink w:anchor="_Toc234334526" w:history="1">
        <w:r w:rsidRPr="00FB0F2E">
          <w:rPr>
            <w:rStyle w:val="Hyperlink"/>
            <w:rFonts w:cs="Cambria"/>
            <w:noProof/>
          </w:rPr>
          <w:t>1.26 "Rapid Response Revolving Fund"</w:t>
        </w:r>
        <w:r>
          <w:rPr>
            <w:noProof/>
            <w:webHidden/>
          </w:rPr>
          <w:tab/>
        </w:r>
        <w:r>
          <w:rPr>
            <w:noProof/>
            <w:webHidden/>
          </w:rPr>
          <w:fldChar w:fldCharType="begin"/>
        </w:r>
        <w:r>
          <w:rPr>
            <w:noProof/>
            <w:webHidden/>
          </w:rPr>
          <w:instrText xml:space="preserve"> PAGEREF _Toc234334526 \h </w:instrText>
        </w:r>
        <w:r>
          <w:rPr>
            <w:noProof/>
            <w:webHidden/>
          </w:rPr>
        </w:r>
        <w:r>
          <w:rPr>
            <w:noProof/>
            <w:webHidden/>
          </w:rPr>
          <w:fldChar w:fldCharType="separate"/>
        </w:r>
        <w:r>
          <w:rPr>
            <w:noProof/>
            <w:webHidden/>
          </w:rPr>
          <w:t>12</w:t>
        </w:r>
        <w:r>
          <w:rPr>
            <w:noProof/>
            <w:webHidden/>
          </w:rPr>
          <w:fldChar w:fldCharType="end"/>
        </w:r>
      </w:hyperlink>
    </w:p>
    <w:p w14:paraId="7A7BBD0A" w14:textId="38390948" w:rsidR="002B7F7C" w:rsidRDefault="002B7F7C">
      <w:pPr>
        <w:pStyle w:val="TOC2"/>
        <w:rPr>
          <w:rFonts w:asciiTheme="minorHAnsi" w:eastAsiaTheme="minorEastAsia" w:hAnsiTheme="minorHAnsi"/>
          <w:noProof/>
          <w:color w:val="auto"/>
          <w:sz w:val="24"/>
        </w:rPr>
      </w:pPr>
      <w:hyperlink w:anchor="_Toc234334527" w:history="1">
        <w:r w:rsidRPr="00FB0F2E">
          <w:rPr>
            <w:rStyle w:val="Hyperlink"/>
            <w:rFonts w:cs="Cambria"/>
            <w:noProof/>
          </w:rPr>
          <w:t>1.27 "Catastrophic Risk Insurance Surcharge"</w:t>
        </w:r>
        <w:r>
          <w:rPr>
            <w:noProof/>
            <w:webHidden/>
          </w:rPr>
          <w:tab/>
        </w:r>
        <w:r>
          <w:rPr>
            <w:noProof/>
            <w:webHidden/>
          </w:rPr>
          <w:fldChar w:fldCharType="begin"/>
        </w:r>
        <w:r>
          <w:rPr>
            <w:noProof/>
            <w:webHidden/>
          </w:rPr>
          <w:instrText xml:space="preserve"> PAGEREF _Toc234334527 \h </w:instrText>
        </w:r>
        <w:r>
          <w:rPr>
            <w:noProof/>
            <w:webHidden/>
          </w:rPr>
        </w:r>
        <w:r>
          <w:rPr>
            <w:noProof/>
            <w:webHidden/>
          </w:rPr>
          <w:fldChar w:fldCharType="separate"/>
        </w:r>
        <w:r>
          <w:rPr>
            <w:noProof/>
            <w:webHidden/>
          </w:rPr>
          <w:t>13</w:t>
        </w:r>
        <w:r>
          <w:rPr>
            <w:noProof/>
            <w:webHidden/>
          </w:rPr>
          <w:fldChar w:fldCharType="end"/>
        </w:r>
      </w:hyperlink>
    </w:p>
    <w:p w14:paraId="78102E27" w14:textId="6A90E584" w:rsidR="002B7F7C" w:rsidRDefault="002B7F7C">
      <w:pPr>
        <w:pStyle w:val="TOC2"/>
        <w:rPr>
          <w:rFonts w:asciiTheme="minorHAnsi" w:eastAsiaTheme="minorEastAsia" w:hAnsiTheme="minorHAnsi"/>
          <w:noProof/>
          <w:color w:val="auto"/>
          <w:sz w:val="24"/>
        </w:rPr>
      </w:pPr>
      <w:hyperlink w:anchor="_Toc234334528" w:history="1">
        <w:r w:rsidRPr="00FB0F2E">
          <w:rPr>
            <w:rStyle w:val="Hyperlink"/>
            <w:rFonts w:cs="Cambria"/>
            <w:noProof/>
          </w:rPr>
          <w:t>1.28 "Data Licensing Revenue"</w:t>
        </w:r>
        <w:r>
          <w:rPr>
            <w:noProof/>
            <w:webHidden/>
          </w:rPr>
          <w:tab/>
        </w:r>
        <w:r>
          <w:rPr>
            <w:noProof/>
            <w:webHidden/>
          </w:rPr>
          <w:fldChar w:fldCharType="begin"/>
        </w:r>
        <w:r>
          <w:rPr>
            <w:noProof/>
            <w:webHidden/>
          </w:rPr>
          <w:instrText xml:space="preserve"> PAGEREF _Toc234334528 \h </w:instrText>
        </w:r>
        <w:r>
          <w:rPr>
            <w:noProof/>
            <w:webHidden/>
          </w:rPr>
        </w:r>
        <w:r>
          <w:rPr>
            <w:noProof/>
            <w:webHidden/>
          </w:rPr>
          <w:fldChar w:fldCharType="separate"/>
        </w:r>
        <w:r>
          <w:rPr>
            <w:noProof/>
            <w:webHidden/>
          </w:rPr>
          <w:t>13</w:t>
        </w:r>
        <w:r>
          <w:rPr>
            <w:noProof/>
            <w:webHidden/>
          </w:rPr>
          <w:fldChar w:fldCharType="end"/>
        </w:r>
      </w:hyperlink>
    </w:p>
    <w:p w14:paraId="1FC78262" w14:textId="51415F11" w:rsidR="002B7F7C" w:rsidRDefault="002B7F7C">
      <w:pPr>
        <w:pStyle w:val="TOC1"/>
        <w:rPr>
          <w:rFonts w:asciiTheme="minorHAnsi" w:eastAsiaTheme="minorEastAsia" w:hAnsiTheme="minorHAnsi"/>
          <w:b w:val="0"/>
          <w:noProof/>
          <w:color w:val="auto"/>
          <w:sz w:val="24"/>
        </w:rPr>
      </w:pPr>
      <w:hyperlink w:anchor="_Toc234334529" w:history="1">
        <w:r w:rsidRPr="00FB0F2E">
          <w:rPr>
            <w:rStyle w:val="Hyperlink"/>
            <w:rFonts w:cs="Cambria"/>
            <w:noProof/>
          </w:rPr>
          <w:t>Article 2: Mandate</w:t>
        </w:r>
        <w:r>
          <w:rPr>
            <w:noProof/>
            <w:webHidden/>
          </w:rPr>
          <w:tab/>
        </w:r>
        <w:r>
          <w:rPr>
            <w:noProof/>
            <w:webHidden/>
          </w:rPr>
          <w:fldChar w:fldCharType="begin"/>
        </w:r>
        <w:r>
          <w:rPr>
            <w:noProof/>
            <w:webHidden/>
          </w:rPr>
          <w:instrText xml:space="preserve"> PAGEREF _Toc234334529 \h </w:instrText>
        </w:r>
        <w:r>
          <w:rPr>
            <w:noProof/>
            <w:webHidden/>
          </w:rPr>
        </w:r>
        <w:r>
          <w:rPr>
            <w:noProof/>
            <w:webHidden/>
          </w:rPr>
          <w:fldChar w:fldCharType="separate"/>
        </w:r>
        <w:r>
          <w:rPr>
            <w:noProof/>
            <w:webHidden/>
          </w:rPr>
          <w:t>13</w:t>
        </w:r>
        <w:r>
          <w:rPr>
            <w:noProof/>
            <w:webHidden/>
          </w:rPr>
          <w:fldChar w:fldCharType="end"/>
        </w:r>
      </w:hyperlink>
    </w:p>
    <w:p w14:paraId="43E1B8F3" w14:textId="2BF7B0D4" w:rsidR="002B7F7C" w:rsidRDefault="002B7F7C">
      <w:pPr>
        <w:pStyle w:val="TOC2"/>
        <w:rPr>
          <w:rFonts w:asciiTheme="minorHAnsi" w:eastAsiaTheme="minorEastAsia" w:hAnsiTheme="minorHAnsi"/>
          <w:noProof/>
          <w:color w:val="auto"/>
          <w:sz w:val="24"/>
        </w:rPr>
      </w:pPr>
      <w:hyperlink w:anchor="_Toc234334530" w:history="1">
        <w:r w:rsidRPr="00FB0F2E">
          <w:rPr>
            <w:rStyle w:val="Hyperlink"/>
            <w:rFonts w:cs="Cambria"/>
            <w:noProof/>
          </w:rPr>
          <w:t>2.1 Core Function</w:t>
        </w:r>
        <w:r>
          <w:rPr>
            <w:noProof/>
            <w:webHidden/>
          </w:rPr>
          <w:tab/>
        </w:r>
        <w:r>
          <w:rPr>
            <w:noProof/>
            <w:webHidden/>
          </w:rPr>
          <w:fldChar w:fldCharType="begin"/>
        </w:r>
        <w:r>
          <w:rPr>
            <w:noProof/>
            <w:webHidden/>
          </w:rPr>
          <w:instrText xml:space="preserve"> PAGEREF _Toc234334530 \h </w:instrText>
        </w:r>
        <w:r>
          <w:rPr>
            <w:noProof/>
            <w:webHidden/>
          </w:rPr>
        </w:r>
        <w:r>
          <w:rPr>
            <w:noProof/>
            <w:webHidden/>
          </w:rPr>
          <w:fldChar w:fldCharType="separate"/>
        </w:r>
        <w:r>
          <w:rPr>
            <w:noProof/>
            <w:webHidden/>
          </w:rPr>
          <w:t>13</w:t>
        </w:r>
        <w:r>
          <w:rPr>
            <w:noProof/>
            <w:webHidden/>
          </w:rPr>
          <w:fldChar w:fldCharType="end"/>
        </w:r>
      </w:hyperlink>
    </w:p>
    <w:p w14:paraId="458129D4" w14:textId="4C34B9BF" w:rsidR="002B7F7C" w:rsidRDefault="002B7F7C">
      <w:pPr>
        <w:pStyle w:val="TOC2"/>
        <w:rPr>
          <w:rFonts w:asciiTheme="minorHAnsi" w:eastAsiaTheme="minorEastAsia" w:hAnsiTheme="minorHAnsi"/>
          <w:noProof/>
          <w:color w:val="auto"/>
          <w:sz w:val="24"/>
        </w:rPr>
      </w:pPr>
      <w:hyperlink w:anchor="_Toc234334531" w:history="1">
        <w:r w:rsidRPr="00FB0F2E">
          <w:rPr>
            <w:rStyle w:val="Hyperlink"/>
            <w:rFonts w:cs="Cambria"/>
            <w:noProof/>
          </w:rPr>
          <w:t>2.2 Mandate Components</w:t>
        </w:r>
        <w:r>
          <w:rPr>
            <w:noProof/>
            <w:webHidden/>
          </w:rPr>
          <w:tab/>
        </w:r>
        <w:r>
          <w:rPr>
            <w:noProof/>
            <w:webHidden/>
          </w:rPr>
          <w:fldChar w:fldCharType="begin"/>
        </w:r>
        <w:r>
          <w:rPr>
            <w:noProof/>
            <w:webHidden/>
          </w:rPr>
          <w:instrText xml:space="preserve"> PAGEREF _Toc234334531 \h </w:instrText>
        </w:r>
        <w:r>
          <w:rPr>
            <w:noProof/>
            <w:webHidden/>
          </w:rPr>
        </w:r>
        <w:r>
          <w:rPr>
            <w:noProof/>
            <w:webHidden/>
          </w:rPr>
          <w:fldChar w:fldCharType="separate"/>
        </w:r>
        <w:r>
          <w:rPr>
            <w:noProof/>
            <w:webHidden/>
          </w:rPr>
          <w:t>13</w:t>
        </w:r>
        <w:r>
          <w:rPr>
            <w:noProof/>
            <w:webHidden/>
          </w:rPr>
          <w:fldChar w:fldCharType="end"/>
        </w:r>
      </w:hyperlink>
    </w:p>
    <w:p w14:paraId="072E84E8" w14:textId="6C7DDD10" w:rsidR="002B7F7C" w:rsidRDefault="002B7F7C">
      <w:pPr>
        <w:pStyle w:val="TOC2"/>
        <w:rPr>
          <w:rFonts w:asciiTheme="minorHAnsi" w:eastAsiaTheme="minorEastAsia" w:hAnsiTheme="minorHAnsi"/>
          <w:noProof/>
          <w:color w:val="auto"/>
          <w:sz w:val="24"/>
        </w:rPr>
      </w:pPr>
      <w:hyperlink w:anchor="_Toc234334532" w:history="1">
        <w:r w:rsidRPr="00FB0F2E">
          <w:rPr>
            <w:rStyle w:val="Hyperlink"/>
            <w:rFonts w:cs="Cambria"/>
            <w:noProof/>
          </w:rPr>
          <w:t>2.3 Separation of Operational and Political Decisions</w:t>
        </w:r>
        <w:r>
          <w:rPr>
            <w:noProof/>
            <w:webHidden/>
          </w:rPr>
          <w:tab/>
        </w:r>
        <w:r>
          <w:rPr>
            <w:noProof/>
            <w:webHidden/>
          </w:rPr>
          <w:fldChar w:fldCharType="begin"/>
        </w:r>
        <w:r>
          <w:rPr>
            <w:noProof/>
            <w:webHidden/>
          </w:rPr>
          <w:instrText xml:space="preserve"> PAGEREF _Toc234334532 \h </w:instrText>
        </w:r>
        <w:r>
          <w:rPr>
            <w:noProof/>
            <w:webHidden/>
          </w:rPr>
        </w:r>
        <w:r>
          <w:rPr>
            <w:noProof/>
            <w:webHidden/>
          </w:rPr>
          <w:fldChar w:fldCharType="separate"/>
        </w:r>
        <w:r>
          <w:rPr>
            <w:noProof/>
            <w:webHidden/>
          </w:rPr>
          <w:t>14</w:t>
        </w:r>
        <w:r>
          <w:rPr>
            <w:noProof/>
            <w:webHidden/>
          </w:rPr>
          <w:fldChar w:fldCharType="end"/>
        </w:r>
      </w:hyperlink>
    </w:p>
    <w:p w14:paraId="1EAD786C" w14:textId="36C4FE33" w:rsidR="002B7F7C" w:rsidRDefault="002B7F7C">
      <w:pPr>
        <w:pStyle w:val="TOC2"/>
        <w:rPr>
          <w:rFonts w:asciiTheme="minorHAnsi" w:eastAsiaTheme="minorEastAsia" w:hAnsiTheme="minorHAnsi"/>
          <w:noProof/>
          <w:color w:val="auto"/>
          <w:sz w:val="24"/>
        </w:rPr>
      </w:pPr>
      <w:hyperlink w:anchor="_Toc234334533" w:history="1">
        <w:r w:rsidRPr="00FB0F2E">
          <w:rPr>
            <w:rStyle w:val="Hyperlink"/>
            <w:rFonts w:cs="Cambria"/>
            <w:noProof/>
          </w:rPr>
          <w:t>2.4 Prohibited Activities</w:t>
        </w:r>
        <w:r>
          <w:rPr>
            <w:noProof/>
            <w:webHidden/>
          </w:rPr>
          <w:tab/>
        </w:r>
        <w:r>
          <w:rPr>
            <w:noProof/>
            <w:webHidden/>
          </w:rPr>
          <w:fldChar w:fldCharType="begin"/>
        </w:r>
        <w:r>
          <w:rPr>
            <w:noProof/>
            <w:webHidden/>
          </w:rPr>
          <w:instrText xml:space="preserve"> PAGEREF _Toc234334533 \h </w:instrText>
        </w:r>
        <w:r>
          <w:rPr>
            <w:noProof/>
            <w:webHidden/>
          </w:rPr>
        </w:r>
        <w:r>
          <w:rPr>
            <w:noProof/>
            <w:webHidden/>
          </w:rPr>
          <w:fldChar w:fldCharType="separate"/>
        </w:r>
        <w:r>
          <w:rPr>
            <w:noProof/>
            <w:webHidden/>
          </w:rPr>
          <w:t>14</w:t>
        </w:r>
        <w:r>
          <w:rPr>
            <w:noProof/>
            <w:webHidden/>
          </w:rPr>
          <w:fldChar w:fldCharType="end"/>
        </w:r>
      </w:hyperlink>
    </w:p>
    <w:p w14:paraId="7FF18D4A" w14:textId="6F6C3091" w:rsidR="002B7F7C" w:rsidRDefault="002B7F7C">
      <w:pPr>
        <w:pStyle w:val="TOC2"/>
        <w:rPr>
          <w:rFonts w:asciiTheme="minorHAnsi" w:eastAsiaTheme="minorEastAsia" w:hAnsiTheme="minorHAnsi"/>
          <w:noProof/>
          <w:color w:val="auto"/>
          <w:sz w:val="24"/>
        </w:rPr>
      </w:pPr>
      <w:hyperlink w:anchor="_Toc234334534" w:history="1">
        <w:r w:rsidRPr="00FB0F2E">
          <w:rPr>
            <w:rStyle w:val="Hyperlink"/>
            <w:rFonts w:cs="Cambria"/>
            <w:noProof/>
          </w:rPr>
          <w:t>2.5 Confidentiality Shield</w:t>
        </w:r>
        <w:r>
          <w:rPr>
            <w:noProof/>
            <w:webHidden/>
          </w:rPr>
          <w:tab/>
        </w:r>
        <w:r>
          <w:rPr>
            <w:noProof/>
            <w:webHidden/>
          </w:rPr>
          <w:fldChar w:fldCharType="begin"/>
        </w:r>
        <w:r>
          <w:rPr>
            <w:noProof/>
            <w:webHidden/>
          </w:rPr>
          <w:instrText xml:space="preserve"> PAGEREF _Toc234334534 \h </w:instrText>
        </w:r>
        <w:r>
          <w:rPr>
            <w:noProof/>
            <w:webHidden/>
          </w:rPr>
        </w:r>
        <w:r>
          <w:rPr>
            <w:noProof/>
            <w:webHidden/>
          </w:rPr>
          <w:fldChar w:fldCharType="separate"/>
        </w:r>
        <w:r>
          <w:rPr>
            <w:noProof/>
            <w:webHidden/>
          </w:rPr>
          <w:t>15</w:t>
        </w:r>
        <w:r>
          <w:rPr>
            <w:noProof/>
            <w:webHidden/>
          </w:rPr>
          <w:fldChar w:fldCharType="end"/>
        </w:r>
      </w:hyperlink>
    </w:p>
    <w:p w14:paraId="70C649B7" w14:textId="47BBC314" w:rsidR="002B7F7C" w:rsidRDefault="002B7F7C">
      <w:pPr>
        <w:pStyle w:val="TOC2"/>
        <w:rPr>
          <w:rFonts w:asciiTheme="minorHAnsi" w:eastAsiaTheme="minorEastAsia" w:hAnsiTheme="minorHAnsi"/>
          <w:noProof/>
          <w:color w:val="auto"/>
          <w:sz w:val="24"/>
        </w:rPr>
      </w:pPr>
      <w:hyperlink w:anchor="_Toc234334535" w:history="1">
        <w:r w:rsidRPr="00FB0F2E">
          <w:rPr>
            <w:rStyle w:val="Hyperlink"/>
            <w:rFonts w:cs="Cambria"/>
            <w:noProof/>
          </w:rPr>
          <w:t>2.6 Deadlock Resolution Procedures</w:t>
        </w:r>
        <w:r>
          <w:rPr>
            <w:noProof/>
            <w:webHidden/>
          </w:rPr>
          <w:tab/>
        </w:r>
        <w:r>
          <w:rPr>
            <w:noProof/>
            <w:webHidden/>
          </w:rPr>
          <w:fldChar w:fldCharType="begin"/>
        </w:r>
        <w:r>
          <w:rPr>
            <w:noProof/>
            <w:webHidden/>
          </w:rPr>
          <w:instrText xml:space="preserve"> PAGEREF _Toc234334535 \h </w:instrText>
        </w:r>
        <w:r>
          <w:rPr>
            <w:noProof/>
            <w:webHidden/>
          </w:rPr>
        </w:r>
        <w:r>
          <w:rPr>
            <w:noProof/>
            <w:webHidden/>
          </w:rPr>
          <w:fldChar w:fldCharType="separate"/>
        </w:r>
        <w:r>
          <w:rPr>
            <w:noProof/>
            <w:webHidden/>
          </w:rPr>
          <w:t>15</w:t>
        </w:r>
        <w:r>
          <w:rPr>
            <w:noProof/>
            <w:webHidden/>
          </w:rPr>
          <w:fldChar w:fldCharType="end"/>
        </w:r>
      </w:hyperlink>
    </w:p>
    <w:p w14:paraId="0206D8D0" w14:textId="366384E4" w:rsidR="002B7F7C" w:rsidRDefault="002B7F7C">
      <w:pPr>
        <w:pStyle w:val="TOC2"/>
        <w:rPr>
          <w:rFonts w:asciiTheme="minorHAnsi" w:eastAsiaTheme="minorEastAsia" w:hAnsiTheme="minorHAnsi"/>
          <w:noProof/>
          <w:color w:val="auto"/>
          <w:sz w:val="24"/>
        </w:rPr>
      </w:pPr>
      <w:hyperlink w:anchor="_Toc234334536" w:history="1">
        <w:r w:rsidRPr="00FB0F2E">
          <w:rPr>
            <w:rStyle w:val="Hyperlink"/>
            <w:rFonts w:cs="Cambria"/>
            <w:noProof/>
          </w:rPr>
          <w:t>2.7 Certified Transparency Principle</w:t>
        </w:r>
        <w:r>
          <w:rPr>
            <w:noProof/>
            <w:webHidden/>
          </w:rPr>
          <w:tab/>
        </w:r>
        <w:r>
          <w:rPr>
            <w:noProof/>
            <w:webHidden/>
          </w:rPr>
          <w:fldChar w:fldCharType="begin"/>
        </w:r>
        <w:r>
          <w:rPr>
            <w:noProof/>
            <w:webHidden/>
          </w:rPr>
          <w:instrText xml:space="preserve"> PAGEREF _Toc234334536 \h </w:instrText>
        </w:r>
        <w:r>
          <w:rPr>
            <w:noProof/>
            <w:webHidden/>
          </w:rPr>
        </w:r>
        <w:r>
          <w:rPr>
            <w:noProof/>
            <w:webHidden/>
          </w:rPr>
          <w:fldChar w:fldCharType="separate"/>
        </w:r>
        <w:r>
          <w:rPr>
            <w:noProof/>
            <w:webHidden/>
          </w:rPr>
          <w:t>15</w:t>
        </w:r>
        <w:r>
          <w:rPr>
            <w:noProof/>
            <w:webHidden/>
          </w:rPr>
          <w:fldChar w:fldCharType="end"/>
        </w:r>
      </w:hyperlink>
    </w:p>
    <w:p w14:paraId="5BB84341" w14:textId="1B250F6E" w:rsidR="002B7F7C" w:rsidRDefault="002B7F7C">
      <w:pPr>
        <w:pStyle w:val="TOC2"/>
        <w:rPr>
          <w:rFonts w:asciiTheme="minorHAnsi" w:eastAsiaTheme="minorEastAsia" w:hAnsiTheme="minorHAnsi"/>
          <w:noProof/>
          <w:color w:val="auto"/>
          <w:sz w:val="24"/>
        </w:rPr>
      </w:pPr>
      <w:hyperlink w:anchor="_Toc234334537" w:history="1">
        <w:r w:rsidRPr="00FB0F2E">
          <w:rPr>
            <w:rStyle w:val="Hyperlink"/>
            <w:rFonts w:cs="Cambria"/>
            <w:noProof/>
          </w:rPr>
          <w:t>2.8 Quiet Diplomacy Authority</w:t>
        </w:r>
        <w:r>
          <w:rPr>
            <w:noProof/>
            <w:webHidden/>
          </w:rPr>
          <w:tab/>
        </w:r>
        <w:r>
          <w:rPr>
            <w:noProof/>
            <w:webHidden/>
          </w:rPr>
          <w:fldChar w:fldCharType="begin"/>
        </w:r>
        <w:r>
          <w:rPr>
            <w:noProof/>
            <w:webHidden/>
          </w:rPr>
          <w:instrText xml:space="preserve"> PAGEREF _Toc234334537 \h </w:instrText>
        </w:r>
        <w:r>
          <w:rPr>
            <w:noProof/>
            <w:webHidden/>
          </w:rPr>
        </w:r>
        <w:r>
          <w:rPr>
            <w:noProof/>
            <w:webHidden/>
          </w:rPr>
          <w:fldChar w:fldCharType="separate"/>
        </w:r>
        <w:r>
          <w:rPr>
            <w:noProof/>
            <w:webHidden/>
          </w:rPr>
          <w:t>16</w:t>
        </w:r>
        <w:r>
          <w:rPr>
            <w:noProof/>
            <w:webHidden/>
          </w:rPr>
          <w:fldChar w:fldCharType="end"/>
        </w:r>
      </w:hyperlink>
    </w:p>
    <w:p w14:paraId="46F90E73" w14:textId="284A83F0" w:rsidR="002B7F7C" w:rsidRDefault="002B7F7C">
      <w:pPr>
        <w:pStyle w:val="TOC1"/>
        <w:rPr>
          <w:rFonts w:asciiTheme="minorHAnsi" w:eastAsiaTheme="minorEastAsia" w:hAnsiTheme="minorHAnsi"/>
          <w:b w:val="0"/>
          <w:noProof/>
          <w:color w:val="auto"/>
          <w:sz w:val="24"/>
        </w:rPr>
      </w:pPr>
      <w:hyperlink w:anchor="_Toc234334538" w:history="1">
        <w:r w:rsidRPr="00FB0F2E">
          <w:rPr>
            <w:rStyle w:val="Hyperlink"/>
            <w:rFonts w:cs="Cambria"/>
            <w:noProof/>
          </w:rPr>
          <w:t>Article 3: Legal Basis</w:t>
        </w:r>
        <w:r>
          <w:rPr>
            <w:noProof/>
            <w:webHidden/>
          </w:rPr>
          <w:tab/>
        </w:r>
        <w:r>
          <w:rPr>
            <w:noProof/>
            <w:webHidden/>
          </w:rPr>
          <w:fldChar w:fldCharType="begin"/>
        </w:r>
        <w:r>
          <w:rPr>
            <w:noProof/>
            <w:webHidden/>
          </w:rPr>
          <w:instrText xml:space="preserve"> PAGEREF _Toc234334538 \h </w:instrText>
        </w:r>
        <w:r>
          <w:rPr>
            <w:noProof/>
            <w:webHidden/>
          </w:rPr>
        </w:r>
        <w:r>
          <w:rPr>
            <w:noProof/>
            <w:webHidden/>
          </w:rPr>
          <w:fldChar w:fldCharType="separate"/>
        </w:r>
        <w:r>
          <w:rPr>
            <w:noProof/>
            <w:webHidden/>
          </w:rPr>
          <w:t>16</w:t>
        </w:r>
        <w:r>
          <w:rPr>
            <w:noProof/>
            <w:webHidden/>
          </w:rPr>
          <w:fldChar w:fldCharType="end"/>
        </w:r>
      </w:hyperlink>
    </w:p>
    <w:p w14:paraId="5BAC2998" w14:textId="1947916A" w:rsidR="002B7F7C" w:rsidRDefault="002B7F7C">
      <w:pPr>
        <w:pStyle w:val="TOC2"/>
        <w:rPr>
          <w:rFonts w:asciiTheme="minorHAnsi" w:eastAsiaTheme="minorEastAsia" w:hAnsiTheme="minorHAnsi"/>
          <w:noProof/>
          <w:color w:val="auto"/>
          <w:sz w:val="24"/>
        </w:rPr>
      </w:pPr>
      <w:hyperlink w:anchor="_Toc234334539" w:history="1">
        <w:r w:rsidRPr="00FB0F2E">
          <w:rPr>
            <w:rStyle w:val="Hyperlink"/>
            <w:rFonts w:cs="Cambria"/>
            <w:noProof/>
          </w:rPr>
          <w:t>3.1 The MENOC Charter</w:t>
        </w:r>
        <w:r>
          <w:rPr>
            <w:noProof/>
            <w:webHidden/>
          </w:rPr>
          <w:tab/>
        </w:r>
        <w:r>
          <w:rPr>
            <w:noProof/>
            <w:webHidden/>
          </w:rPr>
          <w:fldChar w:fldCharType="begin"/>
        </w:r>
        <w:r>
          <w:rPr>
            <w:noProof/>
            <w:webHidden/>
          </w:rPr>
          <w:instrText xml:space="preserve"> PAGEREF _Toc234334539 \h </w:instrText>
        </w:r>
        <w:r>
          <w:rPr>
            <w:noProof/>
            <w:webHidden/>
          </w:rPr>
        </w:r>
        <w:r>
          <w:rPr>
            <w:noProof/>
            <w:webHidden/>
          </w:rPr>
          <w:fldChar w:fldCharType="separate"/>
        </w:r>
        <w:r>
          <w:rPr>
            <w:noProof/>
            <w:webHidden/>
          </w:rPr>
          <w:t>16</w:t>
        </w:r>
        <w:r>
          <w:rPr>
            <w:noProof/>
            <w:webHidden/>
          </w:rPr>
          <w:fldChar w:fldCharType="end"/>
        </w:r>
      </w:hyperlink>
    </w:p>
    <w:p w14:paraId="76C4818F" w14:textId="102D1804" w:rsidR="002B7F7C" w:rsidRDefault="002B7F7C">
      <w:pPr>
        <w:pStyle w:val="TOC2"/>
        <w:rPr>
          <w:rFonts w:asciiTheme="minorHAnsi" w:eastAsiaTheme="minorEastAsia" w:hAnsiTheme="minorHAnsi"/>
          <w:noProof/>
          <w:color w:val="auto"/>
          <w:sz w:val="24"/>
        </w:rPr>
      </w:pPr>
      <w:hyperlink w:anchor="_Toc234334540" w:history="1">
        <w:r w:rsidRPr="00FB0F2E">
          <w:rPr>
            <w:rStyle w:val="Hyperlink"/>
            <w:rFonts w:cs="Cambria"/>
            <w:noProof/>
          </w:rPr>
          <w:t>3.2 United Nations Charter Chapter VI</w:t>
        </w:r>
        <w:r>
          <w:rPr>
            <w:noProof/>
            <w:webHidden/>
          </w:rPr>
          <w:tab/>
        </w:r>
        <w:r>
          <w:rPr>
            <w:noProof/>
            <w:webHidden/>
          </w:rPr>
          <w:fldChar w:fldCharType="begin"/>
        </w:r>
        <w:r>
          <w:rPr>
            <w:noProof/>
            <w:webHidden/>
          </w:rPr>
          <w:instrText xml:space="preserve"> PAGEREF _Toc234334540 \h </w:instrText>
        </w:r>
        <w:r>
          <w:rPr>
            <w:noProof/>
            <w:webHidden/>
          </w:rPr>
        </w:r>
        <w:r>
          <w:rPr>
            <w:noProof/>
            <w:webHidden/>
          </w:rPr>
          <w:fldChar w:fldCharType="separate"/>
        </w:r>
        <w:r>
          <w:rPr>
            <w:noProof/>
            <w:webHidden/>
          </w:rPr>
          <w:t>16</w:t>
        </w:r>
        <w:r>
          <w:rPr>
            <w:noProof/>
            <w:webHidden/>
          </w:rPr>
          <w:fldChar w:fldCharType="end"/>
        </w:r>
      </w:hyperlink>
    </w:p>
    <w:p w14:paraId="6BAB46E1" w14:textId="501C1CBC" w:rsidR="002B7F7C" w:rsidRDefault="002B7F7C">
      <w:pPr>
        <w:pStyle w:val="TOC2"/>
        <w:rPr>
          <w:rFonts w:asciiTheme="minorHAnsi" w:eastAsiaTheme="minorEastAsia" w:hAnsiTheme="minorHAnsi"/>
          <w:noProof/>
          <w:color w:val="auto"/>
          <w:sz w:val="24"/>
        </w:rPr>
      </w:pPr>
      <w:hyperlink w:anchor="_Toc234334541" w:history="1">
        <w:r w:rsidRPr="00FB0F2E">
          <w:rPr>
            <w:rStyle w:val="Hyperlink"/>
            <w:rFonts w:cs="Cambria"/>
            <w:noProof/>
          </w:rPr>
          <w:t>3.3 Host-State Agreements</w:t>
        </w:r>
        <w:r>
          <w:rPr>
            <w:noProof/>
            <w:webHidden/>
          </w:rPr>
          <w:tab/>
        </w:r>
        <w:r>
          <w:rPr>
            <w:noProof/>
            <w:webHidden/>
          </w:rPr>
          <w:fldChar w:fldCharType="begin"/>
        </w:r>
        <w:r>
          <w:rPr>
            <w:noProof/>
            <w:webHidden/>
          </w:rPr>
          <w:instrText xml:space="preserve"> PAGEREF _Toc234334541 \h </w:instrText>
        </w:r>
        <w:r>
          <w:rPr>
            <w:noProof/>
            <w:webHidden/>
          </w:rPr>
        </w:r>
        <w:r>
          <w:rPr>
            <w:noProof/>
            <w:webHidden/>
          </w:rPr>
          <w:fldChar w:fldCharType="separate"/>
        </w:r>
        <w:r>
          <w:rPr>
            <w:noProof/>
            <w:webHidden/>
          </w:rPr>
          <w:t>17</w:t>
        </w:r>
        <w:r>
          <w:rPr>
            <w:noProof/>
            <w:webHidden/>
          </w:rPr>
          <w:fldChar w:fldCharType="end"/>
        </w:r>
      </w:hyperlink>
    </w:p>
    <w:p w14:paraId="24CB105D" w14:textId="19E342AB" w:rsidR="002B7F7C" w:rsidRDefault="002B7F7C">
      <w:pPr>
        <w:pStyle w:val="TOC1"/>
        <w:rPr>
          <w:rFonts w:asciiTheme="minorHAnsi" w:eastAsiaTheme="minorEastAsia" w:hAnsiTheme="minorHAnsi"/>
          <w:b w:val="0"/>
          <w:noProof/>
          <w:color w:val="auto"/>
          <w:sz w:val="24"/>
        </w:rPr>
      </w:pPr>
      <w:hyperlink w:anchor="_Toc234334542" w:history="1">
        <w:r w:rsidRPr="00FB0F2E">
          <w:rPr>
            <w:rStyle w:val="Hyperlink"/>
            <w:rFonts w:cs="Cambria"/>
            <w:noProof/>
          </w:rPr>
          <w:t>Article 4: Organizational Structure</w:t>
        </w:r>
        <w:r>
          <w:rPr>
            <w:noProof/>
            <w:webHidden/>
          </w:rPr>
          <w:tab/>
        </w:r>
        <w:r>
          <w:rPr>
            <w:noProof/>
            <w:webHidden/>
          </w:rPr>
          <w:fldChar w:fldCharType="begin"/>
        </w:r>
        <w:r>
          <w:rPr>
            <w:noProof/>
            <w:webHidden/>
          </w:rPr>
          <w:instrText xml:space="preserve"> PAGEREF _Toc234334542 \h </w:instrText>
        </w:r>
        <w:r>
          <w:rPr>
            <w:noProof/>
            <w:webHidden/>
          </w:rPr>
        </w:r>
        <w:r>
          <w:rPr>
            <w:noProof/>
            <w:webHidden/>
          </w:rPr>
          <w:fldChar w:fldCharType="separate"/>
        </w:r>
        <w:r>
          <w:rPr>
            <w:noProof/>
            <w:webHidden/>
          </w:rPr>
          <w:t>17</w:t>
        </w:r>
        <w:r>
          <w:rPr>
            <w:noProof/>
            <w:webHidden/>
          </w:rPr>
          <w:fldChar w:fldCharType="end"/>
        </w:r>
      </w:hyperlink>
    </w:p>
    <w:p w14:paraId="1D3F858C" w14:textId="00C18150" w:rsidR="002B7F7C" w:rsidRDefault="002B7F7C">
      <w:pPr>
        <w:pStyle w:val="TOC2"/>
        <w:rPr>
          <w:rFonts w:asciiTheme="minorHAnsi" w:eastAsiaTheme="minorEastAsia" w:hAnsiTheme="minorHAnsi"/>
          <w:noProof/>
          <w:color w:val="auto"/>
          <w:sz w:val="24"/>
        </w:rPr>
      </w:pPr>
      <w:hyperlink w:anchor="_Toc234334543" w:history="1">
        <w:r w:rsidRPr="00FB0F2E">
          <w:rPr>
            <w:rStyle w:val="Hyperlink"/>
            <w:rFonts w:cs="Cambria"/>
            <w:noProof/>
          </w:rPr>
          <w:t>4.1 Central Directorate</w:t>
        </w:r>
        <w:r>
          <w:rPr>
            <w:noProof/>
            <w:webHidden/>
          </w:rPr>
          <w:tab/>
        </w:r>
        <w:r>
          <w:rPr>
            <w:noProof/>
            <w:webHidden/>
          </w:rPr>
          <w:fldChar w:fldCharType="begin"/>
        </w:r>
        <w:r>
          <w:rPr>
            <w:noProof/>
            <w:webHidden/>
          </w:rPr>
          <w:instrText xml:space="preserve"> PAGEREF _Toc234334543 \h </w:instrText>
        </w:r>
        <w:r>
          <w:rPr>
            <w:noProof/>
            <w:webHidden/>
          </w:rPr>
        </w:r>
        <w:r>
          <w:rPr>
            <w:noProof/>
            <w:webHidden/>
          </w:rPr>
          <w:fldChar w:fldCharType="separate"/>
        </w:r>
        <w:r>
          <w:rPr>
            <w:noProof/>
            <w:webHidden/>
          </w:rPr>
          <w:t>17</w:t>
        </w:r>
        <w:r>
          <w:rPr>
            <w:noProof/>
            <w:webHidden/>
          </w:rPr>
          <w:fldChar w:fldCharType="end"/>
        </w:r>
      </w:hyperlink>
    </w:p>
    <w:p w14:paraId="28F30375" w14:textId="4D905965" w:rsidR="002B7F7C" w:rsidRDefault="002B7F7C">
      <w:pPr>
        <w:pStyle w:val="TOC2"/>
        <w:rPr>
          <w:rFonts w:asciiTheme="minorHAnsi" w:eastAsiaTheme="minorEastAsia" w:hAnsiTheme="minorHAnsi"/>
          <w:noProof/>
          <w:color w:val="auto"/>
          <w:sz w:val="24"/>
        </w:rPr>
      </w:pPr>
      <w:hyperlink w:anchor="_Toc234334544" w:history="1">
        <w:r w:rsidRPr="00FB0F2E">
          <w:rPr>
            <w:rStyle w:val="Hyperlink"/>
            <w:rFonts w:cs="Cambria"/>
            <w:noProof/>
          </w:rPr>
          <w:t>4.2 Regional Nodes</w:t>
        </w:r>
        <w:r>
          <w:rPr>
            <w:noProof/>
            <w:webHidden/>
          </w:rPr>
          <w:tab/>
        </w:r>
        <w:r>
          <w:rPr>
            <w:noProof/>
            <w:webHidden/>
          </w:rPr>
          <w:fldChar w:fldCharType="begin"/>
        </w:r>
        <w:r>
          <w:rPr>
            <w:noProof/>
            <w:webHidden/>
          </w:rPr>
          <w:instrText xml:space="preserve"> PAGEREF _Toc234334544 \h </w:instrText>
        </w:r>
        <w:r>
          <w:rPr>
            <w:noProof/>
            <w:webHidden/>
          </w:rPr>
        </w:r>
        <w:r>
          <w:rPr>
            <w:noProof/>
            <w:webHidden/>
          </w:rPr>
          <w:fldChar w:fldCharType="separate"/>
        </w:r>
        <w:r>
          <w:rPr>
            <w:noProof/>
            <w:webHidden/>
          </w:rPr>
          <w:t>17</w:t>
        </w:r>
        <w:r>
          <w:rPr>
            <w:noProof/>
            <w:webHidden/>
          </w:rPr>
          <w:fldChar w:fldCharType="end"/>
        </w:r>
      </w:hyperlink>
    </w:p>
    <w:p w14:paraId="0DD870CE" w14:textId="7CCE1862" w:rsidR="002B7F7C" w:rsidRDefault="002B7F7C">
      <w:pPr>
        <w:pStyle w:val="TOC2"/>
        <w:rPr>
          <w:rFonts w:asciiTheme="minorHAnsi" w:eastAsiaTheme="minorEastAsia" w:hAnsiTheme="minorHAnsi"/>
          <w:noProof/>
          <w:color w:val="auto"/>
          <w:sz w:val="24"/>
        </w:rPr>
      </w:pPr>
      <w:hyperlink w:anchor="_Toc234334545" w:history="1">
        <w:r w:rsidRPr="00FB0F2E">
          <w:rPr>
            <w:rStyle w:val="Hyperlink"/>
            <w:rFonts w:cs="Cambria"/>
            <w:noProof/>
          </w:rPr>
          <w:t>4.3 Preventer Teams</w:t>
        </w:r>
        <w:r>
          <w:rPr>
            <w:noProof/>
            <w:webHidden/>
          </w:rPr>
          <w:tab/>
        </w:r>
        <w:r>
          <w:rPr>
            <w:noProof/>
            <w:webHidden/>
          </w:rPr>
          <w:fldChar w:fldCharType="begin"/>
        </w:r>
        <w:r>
          <w:rPr>
            <w:noProof/>
            <w:webHidden/>
          </w:rPr>
          <w:instrText xml:space="preserve"> PAGEREF _Toc234334545 \h </w:instrText>
        </w:r>
        <w:r>
          <w:rPr>
            <w:noProof/>
            <w:webHidden/>
          </w:rPr>
        </w:r>
        <w:r>
          <w:rPr>
            <w:noProof/>
            <w:webHidden/>
          </w:rPr>
          <w:fldChar w:fldCharType="separate"/>
        </w:r>
        <w:r>
          <w:rPr>
            <w:noProof/>
            <w:webHidden/>
          </w:rPr>
          <w:t>18</w:t>
        </w:r>
        <w:r>
          <w:rPr>
            <w:noProof/>
            <w:webHidden/>
          </w:rPr>
          <w:fldChar w:fldCharType="end"/>
        </w:r>
      </w:hyperlink>
    </w:p>
    <w:p w14:paraId="436C4562" w14:textId="1A19C57D" w:rsidR="002B7F7C" w:rsidRDefault="002B7F7C">
      <w:pPr>
        <w:pStyle w:val="TOC2"/>
        <w:rPr>
          <w:rFonts w:asciiTheme="minorHAnsi" w:eastAsiaTheme="minorEastAsia" w:hAnsiTheme="minorHAnsi"/>
          <w:noProof/>
          <w:color w:val="auto"/>
          <w:sz w:val="24"/>
        </w:rPr>
      </w:pPr>
      <w:hyperlink w:anchor="_Toc234334546" w:history="1">
        <w:r w:rsidRPr="00FB0F2E">
          <w:rPr>
            <w:rStyle w:val="Hyperlink"/>
            <w:rFonts w:cs="Cambria"/>
            <w:noProof/>
          </w:rPr>
          <w:t>4.4 Conflict-of-Interest Rules</w:t>
        </w:r>
        <w:r>
          <w:rPr>
            <w:noProof/>
            <w:webHidden/>
          </w:rPr>
          <w:tab/>
        </w:r>
        <w:r>
          <w:rPr>
            <w:noProof/>
            <w:webHidden/>
          </w:rPr>
          <w:fldChar w:fldCharType="begin"/>
        </w:r>
        <w:r>
          <w:rPr>
            <w:noProof/>
            <w:webHidden/>
          </w:rPr>
          <w:instrText xml:space="preserve"> PAGEREF _Toc234334546 \h </w:instrText>
        </w:r>
        <w:r>
          <w:rPr>
            <w:noProof/>
            <w:webHidden/>
          </w:rPr>
        </w:r>
        <w:r>
          <w:rPr>
            <w:noProof/>
            <w:webHidden/>
          </w:rPr>
          <w:fldChar w:fldCharType="separate"/>
        </w:r>
        <w:r>
          <w:rPr>
            <w:noProof/>
            <w:webHidden/>
          </w:rPr>
          <w:t>18</w:t>
        </w:r>
        <w:r>
          <w:rPr>
            <w:noProof/>
            <w:webHidden/>
          </w:rPr>
          <w:fldChar w:fldCharType="end"/>
        </w:r>
      </w:hyperlink>
    </w:p>
    <w:p w14:paraId="2BAEA36F" w14:textId="1F751AD2" w:rsidR="002B7F7C" w:rsidRDefault="002B7F7C">
      <w:pPr>
        <w:pStyle w:val="TOC2"/>
        <w:rPr>
          <w:rFonts w:asciiTheme="minorHAnsi" w:eastAsiaTheme="minorEastAsia" w:hAnsiTheme="minorHAnsi"/>
          <w:noProof/>
          <w:color w:val="auto"/>
          <w:sz w:val="24"/>
        </w:rPr>
      </w:pPr>
      <w:hyperlink w:anchor="_Toc234334547" w:history="1">
        <w:r w:rsidRPr="00FB0F2E">
          <w:rPr>
            <w:rStyle w:val="Hyperlink"/>
            <w:rFonts w:cs="Cambria"/>
            <w:noProof/>
          </w:rPr>
          <w:t>4.5 Rotation Policy</w:t>
        </w:r>
        <w:r>
          <w:rPr>
            <w:noProof/>
            <w:webHidden/>
          </w:rPr>
          <w:tab/>
        </w:r>
        <w:r>
          <w:rPr>
            <w:noProof/>
            <w:webHidden/>
          </w:rPr>
          <w:fldChar w:fldCharType="begin"/>
        </w:r>
        <w:r>
          <w:rPr>
            <w:noProof/>
            <w:webHidden/>
          </w:rPr>
          <w:instrText xml:space="preserve"> PAGEREF _Toc234334547 \h </w:instrText>
        </w:r>
        <w:r>
          <w:rPr>
            <w:noProof/>
            <w:webHidden/>
          </w:rPr>
        </w:r>
        <w:r>
          <w:rPr>
            <w:noProof/>
            <w:webHidden/>
          </w:rPr>
          <w:fldChar w:fldCharType="separate"/>
        </w:r>
        <w:r>
          <w:rPr>
            <w:noProof/>
            <w:webHidden/>
          </w:rPr>
          <w:t>19</w:t>
        </w:r>
        <w:r>
          <w:rPr>
            <w:noProof/>
            <w:webHidden/>
          </w:rPr>
          <w:fldChar w:fldCharType="end"/>
        </w:r>
      </w:hyperlink>
    </w:p>
    <w:p w14:paraId="65C0A334" w14:textId="17F18067" w:rsidR="002B7F7C" w:rsidRDefault="002B7F7C">
      <w:pPr>
        <w:pStyle w:val="TOC2"/>
        <w:rPr>
          <w:rFonts w:asciiTheme="minorHAnsi" w:eastAsiaTheme="minorEastAsia" w:hAnsiTheme="minorHAnsi"/>
          <w:noProof/>
          <w:color w:val="auto"/>
          <w:sz w:val="24"/>
        </w:rPr>
      </w:pPr>
      <w:hyperlink w:anchor="_Toc234334548" w:history="1">
        <w:r w:rsidRPr="00FB0F2E">
          <w:rPr>
            <w:rStyle w:val="Hyperlink"/>
            <w:rFonts w:cs="Cambria"/>
            <w:noProof/>
          </w:rPr>
          <w:t>4.6 Senior Preventer Regional Cadre</w:t>
        </w:r>
        <w:r>
          <w:rPr>
            <w:noProof/>
            <w:webHidden/>
          </w:rPr>
          <w:tab/>
        </w:r>
        <w:r>
          <w:rPr>
            <w:noProof/>
            <w:webHidden/>
          </w:rPr>
          <w:fldChar w:fldCharType="begin"/>
        </w:r>
        <w:r>
          <w:rPr>
            <w:noProof/>
            <w:webHidden/>
          </w:rPr>
          <w:instrText xml:space="preserve"> PAGEREF _Toc234334548 \h </w:instrText>
        </w:r>
        <w:r>
          <w:rPr>
            <w:noProof/>
            <w:webHidden/>
          </w:rPr>
        </w:r>
        <w:r>
          <w:rPr>
            <w:noProof/>
            <w:webHidden/>
          </w:rPr>
          <w:fldChar w:fldCharType="separate"/>
        </w:r>
        <w:r>
          <w:rPr>
            <w:noProof/>
            <w:webHidden/>
          </w:rPr>
          <w:t>19</w:t>
        </w:r>
        <w:r>
          <w:rPr>
            <w:noProof/>
            <w:webHidden/>
          </w:rPr>
          <w:fldChar w:fldCharType="end"/>
        </w:r>
      </w:hyperlink>
    </w:p>
    <w:p w14:paraId="2A41DF7A" w14:textId="38912860" w:rsidR="002B7F7C" w:rsidRDefault="002B7F7C">
      <w:pPr>
        <w:pStyle w:val="TOC2"/>
        <w:rPr>
          <w:rFonts w:asciiTheme="minorHAnsi" w:eastAsiaTheme="minorEastAsia" w:hAnsiTheme="minorHAnsi"/>
          <w:noProof/>
          <w:color w:val="auto"/>
          <w:sz w:val="24"/>
        </w:rPr>
      </w:pPr>
      <w:hyperlink w:anchor="_Toc234334549" w:history="1">
        <w:r w:rsidRPr="00FB0F2E">
          <w:rPr>
            <w:rStyle w:val="Hyperlink"/>
            <w:rFonts w:cs="Cambria"/>
            <w:noProof/>
          </w:rPr>
          <w:t>4.7 Independent Scientific Advisory Board</w:t>
        </w:r>
        <w:r>
          <w:rPr>
            <w:noProof/>
            <w:webHidden/>
          </w:rPr>
          <w:tab/>
        </w:r>
        <w:r>
          <w:rPr>
            <w:noProof/>
            <w:webHidden/>
          </w:rPr>
          <w:fldChar w:fldCharType="begin"/>
        </w:r>
        <w:r>
          <w:rPr>
            <w:noProof/>
            <w:webHidden/>
          </w:rPr>
          <w:instrText xml:space="preserve"> PAGEREF _Toc234334549 \h </w:instrText>
        </w:r>
        <w:r>
          <w:rPr>
            <w:noProof/>
            <w:webHidden/>
          </w:rPr>
        </w:r>
        <w:r>
          <w:rPr>
            <w:noProof/>
            <w:webHidden/>
          </w:rPr>
          <w:fldChar w:fldCharType="separate"/>
        </w:r>
        <w:r>
          <w:rPr>
            <w:noProof/>
            <w:webHidden/>
          </w:rPr>
          <w:t>19</w:t>
        </w:r>
        <w:r>
          <w:rPr>
            <w:noProof/>
            <w:webHidden/>
          </w:rPr>
          <w:fldChar w:fldCharType="end"/>
        </w:r>
      </w:hyperlink>
    </w:p>
    <w:p w14:paraId="3C272024" w14:textId="68DD7006" w:rsidR="002B7F7C" w:rsidRDefault="002B7F7C">
      <w:pPr>
        <w:pStyle w:val="TOC2"/>
        <w:rPr>
          <w:rFonts w:asciiTheme="minorHAnsi" w:eastAsiaTheme="minorEastAsia" w:hAnsiTheme="minorHAnsi"/>
          <w:noProof/>
          <w:color w:val="auto"/>
          <w:sz w:val="24"/>
        </w:rPr>
      </w:pPr>
      <w:hyperlink w:anchor="_Toc234334550" w:history="1">
        <w:r w:rsidRPr="00FB0F2E">
          <w:rPr>
            <w:rStyle w:val="Hyperlink"/>
            <w:rFonts w:cs="Cambria"/>
            <w:noProof/>
          </w:rPr>
          <w:t>4.8 Resilience Unit: Internal Red Team</w:t>
        </w:r>
        <w:r>
          <w:rPr>
            <w:noProof/>
            <w:webHidden/>
          </w:rPr>
          <w:tab/>
        </w:r>
        <w:r>
          <w:rPr>
            <w:noProof/>
            <w:webHidden/>
          </w:rPr>
          <w:fldChar w:fldCharType="begin"/>
        </w:r>
        <w:r>
          <w:rPr>
            <w:noProof/>
            <w:webHidden/>
          </w:rPr>
          <w:instrText xml:space="preserve"> PAGEREF _Toc234334550 \h </w:instrText>
        </w:r>
        <w:r>
          <w:rPr>
            <w:noProof/>
            <w:webHidden/>
          </w:rPr>
        </w:r>
        <w:r>
          <w:rPr>
            <w:noProof/>
            <w:webHidden/>
          </w:rPr>
          <w:fldChar w:fldCharType="separate"/>
        </w:r>
        <w:r>
          <w:rPr>
            <w:noProof/>
            <w:webHidden/>
          </w:rPr>
          <w:t>20</w:t>
        </w:r>
        <w:r>
          <w:rPr>
            <w:noProof/>
            <w:webHidden/>
          </w:rPr>
          <w:fldChar w:fldCharType="end"/>
        </w:r>
      </w:hyperlink>
    </w:p>
    <w:p w14:paraId="4408D03B" w14:textId="5FB6AC55" w:rsidR="002B7F7C" w:rsidRDefault="002B7F7C">
      <w:pPr>
        <w:pStyle w:val="TOC2"/>
        <w:rPr>
          <w:rFonts w:asciiTheme="minorHAnsi" w:eastAsiaTheme="minorEastAsia" w:hAnsiTheme="minorHAnsi"/>
          <w:noProof/>
          <w:color w:val="auto"/>
          <w:sz w:val="24"/>
        </w:rPr>
      </w:pPr>
      <w:hyperlink w:anchor="_Toc234334551" w:history="1">
        <w:r w:rsidRPr="00FB0F2E">
          <w:rPr>
            <w:rStyle w:val="Hyperlink"/>
            <w:rFonts w:cs="Cambria"/>
            <w:noProof/>
          </w:rPr>
          <w:t>4.9 Independent External Audit</w:t>
        </w:r>
        <w:r>
          <w:rPr>
            <w:noProof/>
            <w:webHidden/>
          </w:rPr>
          <w:tab/>
        </w:r>
        <w:r>
          <w:rPr>
            <w:noProof/>
            <w:webHidden/>
          </w:rPr>
          <w:fldChar w:fldCharType="begin"/>
        </w:r>
        <w:r>
          <w:rPr>
            <w:noProof/>
            <w:webHidden/>
          </w:rPr>
          <w:instrText xml:space="preserve"> PAGEREF _Toc234334551 \h </w:instrText>
        </w:r>
        <w:r>
          <w:rPr>
            <w:noProof/>
            <w:webHidden/>
          </w:rPr>
        </w:r>
        <w:r>
          <w:rPr>
            <w:noProof/>
            <w:webHidden/>
          </w:rPr>
          <w:fldChar w:fldCharType="separate"/>
        </w:r>
        <w:r>
          <w:rPr>
            <w:noProof/>
            <w:webHidden/>
          </w:rPr>
          <w:t>20</w:t>
        </w:r>
        <w:r>
          <w:rPr>
            <w:noProof/>
            <w:webHidden/>
          </w:rPr>
          <w:fldChar w:fldCharType="end"/>
        </w:r>
      </w:hyperlink>
    </w:p>
    <w:p w14:paraId="21294865" w14:textId="1BF2170A" w:rsidR="002B7F7C" w:rsidRDefault="002B7F7C">
      <w:pPr>
        <w:pStyle w:val="TOC2"/>
        <w:rPr>
          <w:rFonts w:asciiTheme="minorHAnsi" w:eastAsiaTheme="minorEastAsia" w:hAnsiTheme="minorHAnsi"/>
          <w:noProof/>
          <w:color w:val="auto"/>
          <w:sz w:val="24"/>
        </w:rPr>
      </w:pPr>
      <w:hyperlink w:anchor="_Toc234334552" w:history="1">
        <w:r w:rsidRPr="00FB0F2E">
          <w:rPr>
            <w:rStyle w:val="Hyperlink"/>
            <w:rFonts w:cs="Cambria"/>
            <w:noProof/>
          </w:rPr>
          <w:t>4.10 Institution Capture Protections</w:t>
        </w:r>
        <w:r>
          <w:rPr>
            <w:noProof/>
            <w:webHidden/>
          </w:rPr>
          <w:tab/>
        </w:r>
        <w:r>
          <w:rPr>
            <w:noProof/>
            <w:webHidden/>
          </w:rPr>
          <w:fldChar w:fldCharType="begin"/>
        </w:r>
        <w:r>
          <w:rPr>
            <w:noProof/>
            <w:webHidden/>
          </w:rPr>
          <w:instrText xml:space="preserve"> PAGEREF _Toc234334552 \h </w:instrText>
        </w:r>
        <w:r>
          <w:rPr>
            <w:noProof/>
            <w:webHidden/>
          </w:rPr>
        </w:r>
        <w:r>
          <w:rPr>
            <w:noProof/>
            <w:webHidden/>
          </w:rPr>
          <w:fldChar w:fldCharType="separate"/>
        </w:r>
        <w:r>
          <w:rPr>
            <w:noProof/>
            <w:webHidden/>
          </w:rPr>
          <w:t>21</w:t>
        </w:r>
        <w:r>
          <w:rPr>
            <w:noProof/>
            <w:webHidden/>
          </w:rPr>
          <w:fldChar w:fldCharType="end"/>
        </w:r>
      </w:hyperlink>
    </w:p>
    <w:p w14:paraId="47CAFFD1" w14:textId="5F50A00D" w:rsidR="002B7F7C" w:rsidRDefault="002B7F7C">
      <w:pPr>
        <w:pStyle w:val="TOC1"/>
        <w:rPr>
          <w:rFonts w:asciiTheme="minorHAnsi" w:eastAsiaTheme="minorEastAsia" w:hAnsiTheme="minorHAnsi"/>
          <w:b w:val="0"/>
          <w:noProof/>
          <w:color w:val="auto"/>
          <w:sz w:val="24"/>
        </w:rPr>
      </w:pPr>
      <w:hyperlink w:anchor="_Toc234334553" w:history="1">
        <w:r w:rsidRPr="00FB0F2E">
          <w:rPr>
            <w:rStyle w:val="Hyperlink"/>
            <w:rFonts w:cs="Cambria"/>
            <w:noProof/>
          </w:rPr>
          <w:t>Article 5: Deployment Categories</w:t>
        </w:r>
        <w:r>
          <w:rPr>
            <w:noProof/>
            <w:webHidden/>
          </w:rPr>
          <w:tab/>
        </w:r>
        <w:r>
          <w:rPr>
            <w:noProof/>
            <w:webHidden/>
          </w:rPr>
          <w:fldChar w:fldCharType="begin"/>
        </w:r>
        <w:r>
          <w:rPr>
            <w:noProof/>
            <w:webHidden/>
          </w:rPr>
          <w:instrText xml:space="preserve"> PAGEREF _Toc234334553 \h </w:instrText>
        </w:r>
        <w:r>
          <w:rPr>
            <w:noProof/>
            <w:webHidden/>
          </w:rPr>
        </w:r>
        <w:r>
          <w:rPr>
            <w:noProof/>
            <w:webHidden/>
          </w:rPr>
          <w:fldChar w:fldCharType="separate"/>
        </w:r>
        <w:r>
          <w:rPr>
            <w:noProof/>
            <w:webHidden/>
          </w:rPr>
          <w:t>21</w:t>
        </w:r>
        <w:r>
          <w:rPr>
            <w:noProof/>
            <w:webHidden/>
          </w:rPr>
          <w:fldChar w:fldCharType="end"/>
        </w:r>
      </w:hyperlink>
    </w:p>
    <w:p w14:paraId="51C4C672" w14:textId="5F0CD86A" w:rsidR="002B7F7C" w:rsidRDefault="002B7F7C">
      <w:pPr>
        <w:pStyle w:val="TOC2"/>
        <w:rPr>
          <w:rFonts w:asciiTheme="minorHAnsi" w:eastAsiaTheme="minorEastAsia" w:hAnsiTheme="minorHAnsi"/>
          <w:noProof/>
          <w:color w:val="auto"/>
          <w:sz w:val="24"/>
        </w:rPr>
      </w:pPr>
      <w:hyperlink w:anchor="_Toc234334554" w:history="1">
        <w:r w:rsidRPr="00FB0F2E">
          <w:rPr>
            <w:rStyle w:val="Hyperlink"/>
            <w:rFonts w:cs="Cambria"/>
            <w:noProof/>
          </w:rPr>
          <w:t>5.1 Category I: Standard Monitoring</w:t>
        </w:r>
        <w:r>
          <w:rPr>
            <w:noProof/>
            <w:webHidden/>
          </w:rPr>
          <w:tab/>
        </w:r>
        <w:r>
          <w:rPr>
            <w:noProof/>
            <w:webHidden/>
          </w:rPr>
          <w:fldChar w:fldCharType="begin"/>
        </w:r>
        <w:r>
          <w:rPr>
            <w:noProof/>
            <w:webHidden/>
          </w:rPr>
          <w:instrText xml:space="preserve"> PAGEREF _Toc234334554 \h </w:instrText>
        </w:r>
        <w:r>
          <w:rPr>
            <w:noProof/>
            <w:webHidden/>
          </w:rPr>
        </w:r>
        <w:r>
          <w:rPr>
            <w:noProof/>
            <w:webHidden/>
          </w:rPr>
          <w:fldChar w:fldCharType="separate"/>
        </w:r>
        <w:r>
          <w:rPr>
            <w:noProof/>
            <w:webHidden/>
          </w:rPr>
          <w:t>21</w:t>
        </w:r>
        <w:r>
          <w:rPr>
            <w:noProof/>
            <w:webHidden/>
          </w:rPr>
          <w:fldChar w:fldCharType="end"/>
        </w:r>
      </w:hyperlink>
    </w:p>
    <w:p w14:paraId="04FDF53C" w14:textId="7D39896A" w:rsidR="002B7F7C" w:rsidRDefault="002B7F7C">
      <w:pPr>
        <w:pStyle w:val="TOC2"/>
        <w:rPr>
          <w:rFonts w:asciiTheme="minorHAnsi" w:eastAsiaTheme="minorEastAsia" w:hAnsiTheme="minorHAnsi"/>
          <w:noProof/>
          <w:color w:val="auto"/>
          <w:sz w:val="24"/>
        </w:rPr>
      </w:pPr>
      <w:hyperlink w:anchor="_Toc234334555" w:history="1">
        <w:r w:rsidRPr="00FB0F2E">
          <w:rPr>
            <w:rStyle w:val="Hyperlink"/>
            <w:rFonts w:cs="Cambria"/>
            <w:noProof/>
          </w:rPr>
          <w:t>5.2 Category II: Advisory Team</w:t>
        </w:r>
        <w:r>
          <w:rPr>
            <w:noProof/>
            <w:webHidden/>
          </w:rPr>
          <w:tab/>
        </w:r>
        <w:r>
          <w:rPr>
            <w:noProof/>
            <w:webHidden/>
          </w:rPr>
          <w:fldChar w:fldCharType="begin"/>
        </w:r>
        <w:r>
          <w:rPr>
            <w:noProof/>
            <w:webHidden/>
          </w:rPr>
          <w:instrText xml:space="preserve"> PAGEREF _Toc234334555 \h </w:instrText>
        </w:r>
        <w:r>
          <w:rPr>
            <w:noProof/>
            <w:webHidden/>
          </w:rPr>
        </w:r>
        <w:r>
          <w:rPr>
            <w:noProof/>
            <w:webHidden/>
          </w:rPr>
          <w:fldChar w:fldCharType="separate"/>
        </w:r>
        <w:r>
          <w:rPr>
            <w:noProof/>
            <w:webHidden/>
          </w:rPr>
          <w:t>21</w:t>
        </w:r>
        <w:r>
          <w:rPr>
            <w:noProof/>
            <w:webHidden/>
          </w:rPr>
          <w:fldChar w:fldCharType="end"/>
        </w:r>
      </w:hyperlink>
    </w:p>
    <w:p w14:paraId="1DB5AEE7" w14:textId="40980D78" w:rsidR="002B7F7C" w:rsidRDefault="002B7F7C">
      <w:pPr>
        <w:pStyle w:val="TOC2"/>
        <w:rPr>
          <w:rFonts w:asciiTheme="minorHAnsi" w:eastAsiaTheme="minorEastAsia" w:hAnsiTheme="minorHAnsi"/>
          <w:noProof/>
          <w:color w:val="auto"/>
          <w:sz w:val="24"/>
        </w:rPr>
      </w:pPr>
      <w:hyperlink w:anchor="_Toc234334556" w:history="1">
        <w:r w:rsidRPr="00FB0F2E">
          <w:rPr>
            <w:rStyle w:val="Hyperlink"/>
            <w:rFonts w:cs="Cambria"/>
            <w:noProof/>
          </w:rPr>
          <w:t>5.3 Category III: Joint Deployment</w:t>
        </w:r>
        <w:r>
          <w:rPr>
            <w:noProof/>
            <w:webHidden/>
          </w:rPr>
          <w:tab/>
        </w:r>
        <w:r>
          <w:rPr>
            <w:noProof/>
            <w:webHidden/>
          </w:rPr>
          <w:fldChar w:fldCharType="begin"/>
        </w:r>
        <w:r>
          <w:rPr>
            <w:noProof/>
            <w:webHidden/>
          </w:rPr>
          <w:instrText xml:space="preserve"> PAGEREF _Toc234334556 \h </w:instrText>
        </w:r>
        <w:r>
          <w:rPr>
            <w:noProof/>
            <w:webHidden/>
          </w:rPr>
        </w:r>
        <w:r>
          <w:rPr>
            <w:noProof/>
            <w:webHidden/>
          </w:rPr>
          <w:fldChar w:fldCharType="separate"/>
        </w:r>
        <w:r>
          <w:rPr>
            <w:noProof/>
            <w:webHidden/>
          </w:rPr>
          <w:t>22</w:t>
        </w:r>
        <w:r>
          <w:rPr>
            <w:noProof/>
            <w:webHidden/>
          </w:rPr>
          <w:fldChar w:fldCharType="end"/>
        </w:r>
      </w:hyperlink>
    </w:p>
    <w:p w14:paraId="5E039EEB" w14:textId="34CA6B6B" w:rsidR="002B7F7C" w:rsidRDefault="002B7F7C">
      <w:pPr>
        <w:pStyle w:val="TOC2"/>
        <w:rPr>
          <w:rFonts w:asciiTheme="minorHAnsi" w:eastAsiaTheme="minorEastAsia" w:hAnsiTheme="minorHAnsi"/>
          <w:noProof/>
          <w:color w:val="auto"/>
          <w:sz w:val="24"/>
        </w:rPr>
      </w:pPr>
      <w:hyperlink w:anchor="_Toc234334557" w:history="1">
        <w:r w:rsidRPr="00FB0F2E">
          <w:rPr>
            <w:rStyle w:val="Hyperlink"/>
            <w:rFonts w:cs="Cambria"/>
            <w:noProof/>
          </w:rPr>
          <w:t>5.4 Category IV: Emergency Intervention</w:t>
        </w:r>
        <w:r>
          <w:rPr>
            <w:noProof/>
            <w:webHidden/>
          </w:rPr>
          <w:tab/>
        </w:r>
        <w:r>
          <w:rPr>
            <w:noProof/>
            <w:webHidden/>
          </w:rPr>
          <w:fldChar w:fldCharType="begin"/>
        </w:r>
        <w:r>
          <w:rPr>
            <w:noProof/>
            <w:webHidden/>
          </w:rPr>
          <w:instrText xml:space="preserve"> PAGEREF _Toc234334557 \h </w:instrText>
        </w:r>
        <w:r>
          <w:rPr>
            <w:noProof/>
            <w:webHidden/>
          </w:rPr>
        </w:r>
        <w:r>
          <w:rPr>
            <w:noProof/>
            <w:webHidden/>
          </w:rPr>
          <w:fldChar w:fldCharType="separate"/>
        </w:r>
        <w:r>
          <w:rPr>
            <w:noProof/>
            <w:webHidden/>
          </w:rPr>
          <w:t>22</w:t>
        </w:r>
        <w:r>
          <w:rPr>
            <w:noProof/>
            <w:webHidden/>
          </w:rPr>
          <w:fldChar w:fldCharType="end"/>
        </w:r>
      </w:hyperlink>
    </w:p>
    <w:p w14:paraId="4BF496C1" w14:textId="78194989" w:rsidR="002B7F7C" w:rsidRDefault="002B7F7C">
      <w:pPr>
        <w:pStyle w:val="TOC2"/>
        <w:rPr>
          <w:rFonts w:asciiTheme="minorHAnsi" w:eastAsiaTheme="minorEastAsia" w:hAnsiTheme="minorHAnsi"/>
          <w:noProof/>
          <w:color w:val="auto"/>
          <w:sz w:val="24"/>
        </w:rPr>
      </w:pPr>
      <w:hyperlink w:anchor="_Toc234334558" w:history="1">
        <w:r w:rsidRPr="00FB0F2E">
          <w:rPr>
            <w:rStyle w:val="Hyperlink"/>
            <w:rFonts w:cs="Cambria"/>
            <w:noProof/>
          </w:rPr>
          <w:t>5.5 Preventer Visit</w:t>
        </w:r>
        <w:r>
          <w:rPr>
            <w:noProof/>
            <w:webHidden/>
          </w:rPr>
          <w:tab/>
        </w:r>
        <w:r>
          <w:rPr>
            <w:noProof/>
            <w:webHidden/>
          </w:rPr>
          <w:fldChar w:fldCharType="begin"/>
        </w:r>
        <w:r>
          <w:rPr>
            <w:noProof/>
            <w:webHidden/>
          </w:rPr>
          <w:instrText xml:space="preserve"> PAGEREF _Toc234334558 \h </w:instrText>
        </w:r>
        <w:r>
          <w:rPr>
            <w:noProof/>
            <w:webHidden/>
          </w:rPr>
        </w:r>
        <w:r>
          <w:rPr>
            <w:noProof/>
            <w:webHidden/>
          </w:rPr>
          <w:fldChar w:fldCharType="separate"/>
        </w:r>
        <w:r>
          <w:rPr>
            <w:noProof/>
            <w:webHidden/>
          </w:rPr>
          <w:t>23</w:t>
        </w:r>
        <w:r>
          <w:rPr>
            <w:noProof/>
            <w:webHidden/>
          </w:rPr>
          <w:fldChar w:fldCharType="end"/>
        </w:r>
      </w:hyperlink>
    </w:p>
    <w:p w14:paraId="01484DD9" w14:textId="5C1B75CB" w:rsidR="002B7F7C" w:rsidRDefault="002B7F7C">
      <w:pPr>
        <w:pStyle w:val="TOC2"/>
        <w:rPr>
          <w:rFonts w:asciiTheme="minorHAnsi" w:eastAsiaTheme="minorEastAsia" w:hAnsiTheme="minorHAnsi"/>
          <w:noProof/>
          <w:color w:val="auto"/>
          <w:sz w:val="24"/>
        </w:rPr>
      </w:pPr>
      <w:hyperlink w:anchor="_Toc234334559" w:history="1">
        <w:r w:rsidRPr="00FB0F2E">
          <w:rPr>
            <w:rStyle w:val="Hyperlink"/>
            <w:rFonts w:cs="Cambria"/>
            <w:noProof/>
          </w:rPr>
          <w:t>5.6 Emergency Technical Assistance</w:t>
        </w:r>
        <w:r>
          <w:rPr>
            <w:noProof/>
            <w:webHidden/>
          </w:rPr>
          <w:tab/>
        </w:r>
        <w:r>
          <w:rPr>
            <w:noProof/>
            <w:webHidden/>
          </w:rPr>
          <w:fldChar w:fldCharType="begin"/>
        </w:r>
        <w:r>
          <w:rPr>
            <w:noProof/>
            <w:webHidden/>
          </w:rPr>
          <w:instrText xml:space="preserve"> PAGEREF _Toc234334559 \h </w:instrText>
        </w:r>
        <w:r>
          <w:rPr>
            <w:noProof/>
            <w:webHidden/>
          </w:rPr>
        </w:r>
        <w:r>
          <w:rPr>
            <w:noProof/>
            <w:webHidden/>
          </w:rPr>
          <w:fldChar w:fldCharType="separate"/>
        </w:r>
        <w:r>
          <w:rPr>
            <w:noProof/>
            <w:webHidden/>
          </w:rPr>
          <w:t>23</w:t>
        </w:r>
        <w:r>
          <w:rPr>
            <w:noProof/>
            <w:webHidden/>
          </w:rPr>
          <w:fldChar w:fldCharType="end"/>
        </w:r>
      </w:hyperlink>
    </w:p>
    <w:p w14:paraId="4DDF283E" w14:textId="4BC38F3A" w:rsidR="002B7F7C" w:rsidRDefault="002B7F7C">
      <w:pPr>
        <w:pStyle w:val="TOC2"/>
        <w:rPr>
          <w:rFonts w:asciiTheme="minorHAnsi" w:eastAsiaTheme="minorEastAsia" w:hAnsiTheme="minorHAnsi"/>
          <w:noProof/>
          <w:color w:val="auto"/>
          <w:sz w:val="24"/>
        </w:rPr>
      </w:pPr>
      <w:hyperlink w:anchor="_Toc234334560" w:history="1">
        <w:r w:rsidRPr="00FB0F2E">
          <w:rPr>
            <w:rStyle w:val="Hyperlink"/>
            <w:rFonts w:cs="Cambria"/>
            <w:noProof/>
          </w:rPr>
          <w:t>5.7 Deployment Summary Table</w:t>
        </w:r>
        <w:r>
          <w:rPr>
            <w:noProof/>
            <w:webHidden/>
          </w:rPr>
          <w:tab/>
        </w:r>
        <w:r>
          <w:rPr>
            <w:noProof/>
            <w:webHidden/>
          </w:rPr>
          <w:fldChar w:fldCharType="begin"/>
        </w:r>
        <w:r>
          <w:rPr>
            <w:noProof/>
            <w:webHidden/>
          </w:rPr>
          <w:instrText xml:space="preserve"> PAGEREF _Toc234334560 \h </w:instrText>
        </w:r>
        <w:r>
          <w:rPr>
            <w:noProof/>
            <w:webHidden/>
          </w:rPr>
        </w:r>
        <w:r>
          <w:rPr>
            <w:noProof/>
            <w:webHidden/>
          </w:rPr>
          <w:fldChar w:fldCharType="separate"/>
        </w:r>
        <w:r>
          <w:rPr>
            <w:noProof/>
            <w:webHidden/>
          </w:rPr>
          <w:t>23</w:t>
        </w:r>
        <w:r>
          <w:rPr>
            <w:noProof/>
            <w:webHidden/>
          </w:rPr>
          <w:fldChar w:fldCharType="end"/>
        </w:r>
      </w:hyperlink>
    </w:p>
    <w:p w14:paraId="0517A506" w14:textId="347A4FD9" w:rsidR="002B7F7C" w:rsidRDefault="002B7F7C">
      <w:pPr>
        <w:pStyle w:val="TOC2"/>
        <w:rPr>
          <w:rFonts w:asciiTheme="minorHAnsi" w:eastAsiaTheme="minorEastAsia" w:hAnsiTheme="minorHAnsi"/>
          <w:noProof/>
          <w:color w:val="auto"/>
          <w:sz w:val="24"/>
        </w:rPr>
      </w:pPr>
      <w:hyperlink w:anchor="_Toc234334561" w:history="1">
        <w:r w:rsidRPr="00FB0F2E">
          <w:rPr>
            <w:rStyle w:val="Hyperlink"/>
            <w:rFonts w:cs="Cambria"/>
            <w:noProof/>
          </w:rPr>
          <w:t>5.8 Provisional Category III+: Monitoring-Only Deployment</w:t>
        </w:r>
        <w:r>
          <w:rPr>
            <w:noProof/>
            <w:webHidden/>
          </w:rPr>
          <w:tab/>
        </w:r>
        <w:r>
          <w:rPr>
            <w:noProof/>
            <w:webHidden/>
          </w:rPr>
          <w:fldChar w:fldCharType="begin"/>
        </w:r>
        <w:r>
          <w:rPr>
            <w:noProof/>
            <w:webHidden/>
          </w:rPr>
          <w:instrText xml:space="preserve"> PAGEREF _Toc234334561 \h </w:instrText>
        </w:r>
        <w:r>
          <w:rPr>
            <w:noProof/>
            <w:webHidden/>
          </w:rPr>
        </w:r>
        <w:r>
          <w:rPr>
            <w:noProof/>
            <w:webHidden/>
          </w:rPr>
          <w:fldChar w:fldCharType="separate"/>
        </w:r>
        <w:r>
          <w:rPr>
            <w:noProof/>
            <w:webHidden/>
          </w:rPr>
          <w:t>24</w:t>
        </w:r>
        <w:r>
          <w:rPr>
            <w:noProof/>
            <w:webHidden/>
          </w:rPr>
          <w:fldChar w:fldCharType="end"/>
        </w:r>
      </w:hyperlink>
    </w:p>
    <w:p w14:paraId="77229598" w14:textId="28D6BAD0" w:rsidR="002B7F7C" w:rsidRDefault="002B7F7C">
      <w:pPr>
        <w:pStyle w:val="TOC2"/>
        <w:rPr>
          <w:rFonts w:asciiTheme="minorHAnsi" w:eastAsiaTheme="minorEastAsia" w:hAnsiTheme="minorHAnsi"/>
          <w:noProof/>
          <w:color w:val="auto"/>
          <w:sz w:val="24"/>
        </w:rPr>
      </w:pPr>
      <w:hyperlink w:anchor="_Toc234334562" w:history="1">
        <w:r w:rsidRPr="00FB0F2E">
          <w:rPr>
            <w:rStyle w:val="Hyperlink"/>
            <w:rFonts w:cs="Cambria"/>
            <w:noProof/>
          </w:rPr>
          <w:t>5.9 Good Faith Assessment</w:t>
        </w:r>
        <w:r>
          <w:rPr>
            <w:noProof/>
            <w:webHidden/>
          </w:rPr>
          <w:tab/>
        </w:r>
        <w:r>
          <w:rPr>
            <w:noProof/>
            <w:webHidden/>
          </w:rPr>
          <w:fldChar w:fldCharType="begin"/>
        </w:r>
        <w:r>
          <w:rPr>
            <w:noProof/>
            <w:webHidden/>
          </w:rPr>
          <w:instrText xml:space="preserve"> PAGEREF _Toc234334562 \h </w:instrText>
        </w:r>
        <w:r>
          <w:rPr>
            <w:noProof/>
            <w:webHidden/>
          </w:rPr>
        </w:r>
        <w:r>
          <w:rPr>
            <w:noProof/>
            <w:webHidden/>
          </w:rPr>
          <w:fldChar w:fldCharType="separate"/>
        </w:r>
        <w:r>
          <w:rPr>
            <w:noProof/>
            <w:webHidden/>
          </w:rPr>
          <w:t>24</w:t>
        </w:r>
        <w:r>
          <w:rPr>
            <w:noProof/>
            <w:webHidden/>
          </w:rPr>
          <w:fldChar w:fldCharType="end"/>
        </w:r>
      </w:hyperlink>
    </w:p>
    <w:p w14:paraId="04D1CDD3" w14:textId="5D47042E" w:rsidR="002B7F7C" w:rsidRDefault="002B7F7C">
      <w:pPr>
        <w:pStyle w:val="TOC1"/>
        <w:rPr>
          <w:rFonts w:asciiTheme="minorHAnsi" w:eastAsiaTheme="minorEastAsia" w:hAnsiTheme="minorHAnsi"/>
          <w:b w:val="0"/>
          <w:noProof/>
          <w:color w:val="auto"/>
          <w:sz w:val="24"/>
        </w:rPr>
      </w:pPr>
      <w:hyperlink w:anchor="_Toc234334563" w:history="1">
        <w:r w:rsidRPr="00FB0F2E">
          <w:rPr>
            <w:rStyle w:val="Hyperlink"/>
            <w:rFonts w:cs="Cambria"/>
            <w:noProof/>
          </w:rPr>
          <w:t>Article 6: Treaty Trigger Notices</w:t>
        </w:r>
        <w:r>
          <w:rPr>
            <w:noProof/>
            <w:webHidden/>
          </w:rPr>
          <w:tab/>
        </w:r>
        <w:r>
          <w:rPr>
            <w:noProof/>
            <w:webHidden/>
          </w:rPr>
          <w:fldChar w:fldCharType="begin"/>
        </w:r>
        <w:r>
          <w:rPr>
            <w:noProof/>
            <w:webHidden/>
          </w:rPr>
          <w:instrText xml:space="preserve"> PAGEREF _Toc234334563 \h </w:instrText>
        </w:r>
        <w:r>
          <w:rPr>
            <w:noProof/>
            <w:webHidden/>
          </w:rPr>
        </w:r>
        <w:r>
          <w:rPr>
            <w:noProof/>
            <w:webHidden/>
          </w:rPr>
          <w:fldChar w:fldCharType="separate"/>
        </w:r>
        <w:r>
          <w:rPr>
            <w:noProof/>
            <w:webHidden/>
          </w:rPr>
          <w:t>25</w:t>
        </w:r>
        <w:r>
          <w:rPr>
            <w:noProof/>
            <w:webHidden/>
          </w:rPr>
          <w:fldChar w:fldCharType="end"/>
        </w:r>
      </w:hyperlink>
    </w:p>
    <w:p w14:paraId="7FD1D6D0" w14:textId="07E189C2" w:rsidR="002B7F7C" w:rsidRDefault="002B7F7C">
      <w:pPr>
        <w:pStyle w:val="TOC2"/>
        <w:rPr>
          <w:rFonts w:asciiTheme="minorHAnsi" w:eastAsiaTheme="minorEastAsia" w:hAnsiTheme="minorHAnsi"/>
          <w:noProof/>
          <w:color w:val="auto"/>
          <w:sz w:val="24"/>
        </w:rPr>
      </w:pPr>
      <w:hyperlink w:anchor="_Toc234334564" w:history="1">
        <w:r w:rsidRPr="00FB0F2E">
          <w:rPr>
            <w:rStyle w:val="Hyperlink"/>
            <w:rFonts w:cs="Cambria"/>
            <w:noProof/>
          </w:rPr>
          <w:t>6.1 The Trigger Matrix</w:t>
        </w:r>
        <w:r>
          <w:rPr>
            <w:noProof/>
            <w:webHidden/>
          </w:rPr>
          <w:tab/>
        </w:r>
        <w:r>
          <w:rPr>
            <w:noProof/>
            <w:webHidden/>
          </w:rPr>
          <w:fldChar w:fldCharType="begin"/>
        </w:r>
        <w:r>
          <w:rPr>
            <w:noProof/>
            <w:webHidden/>
          </w:rPr>
          <w:instrText xml:space="preserve"> PAGEREF _Toc234334564 \h </w:instrText>
        </w:r>
        <w:r>
          <w:rPr>
            <w:noProof/>
            <w:webHidden/>
          </w:rPr>
        </w:r>
        <w:r>
          <w:rPr>
            <w:noProof/>
            <w:webHidden/>
          </w:rPr>
          <w:fldChar w:fldCharType="separate"/>
        </w:r>
        <w:r>
          <w:rPr>
            <w:noProof/>
            <w:webHidden/>
          </w:rPr>
          <w:t>25</w:t>
        </w:r>
        <w:r>
          <w:rPr>
            <w:noProof/>
            <w:webHidden/>
          </w:rPr>
          <w:fldChar w:fldCharType="end"/>
        </w:r>
      </w:hyperlink>
    </w:p>
    <w:p w14:paraId="302AEE7D" w14:textId="1659BE5E" w:rsidR="002B7F7C" w:rsidRDefault="002B7F7C">
      <w:pPr>
        <w:pStyle w:val="TOC2"/>
        <w:rPr>
          <w:rFonts w:asciiTheme="minorHAnsi" w:eastAsiaTheme="minorEastAsia" w:hAnsiTheme="minorHAnsi"/>
          <w:noProof/>
          <w:color w:val="auto"/>
          <w:sz w:val="24"/>
        </w:rPr>
      </w:pPr>
      <w:hyperlink w:anchor="_Toc234334565" w:history="1">
        <w:r w:rsidRPr="00FB0F2E">
          <w:rPr>
            <w:rStyle w:val="Hyperlink"/>
            <w:rFonts w:cs="Cambria"/>
            <w:noProof/>
          </w:rPr>
          <w:t>6.2 Issuance Procedure</w:t>
        </w:r>
        <w:r>
          <w:rPr>
            <w:noProof/>
            <w:webHidden/>
          </w:rPr>
          <w:tab/>
        </w:r>
        <w:r>
          <w:rPr>
            <w:noProof/>
            <w:webHidden/>
          </w:rPr>
          <w:fldChar w:fldCharType="begin"/>
        </w:r>
        <w:r>
          <w:rPr>
            <w:noProof/>
            <w:webHidden/>
          </w:rPr>
          <w:instrText xml:space="preserve"> PAGEREF _Toc234334565 \h </w:instrText>
        </w:r>
        <w:r>
          <w:rPr>
            <w:noProof/>
            <w:webHidden/>
          </w:rPr>
        </w:r>
        <w:r>
          <w:rPr>
            <w:noProof/>
            <w:webHidden/>
          </w:rPr>
          <w:fldChar w:fldCharType="separate"/>
        </w:r>
        <w:r>
          <w:rPr>
            <w:noProof/>
            <w:webHidden/>
          </w:rPr>
          <w:t>26</w:t>
        </w:r>
        <w:r>
          <w:rPr>
            <w:noProof/>
            <w:webHidden/>
          </w:rPr>
          <w:fldChar w:fldCharType="end"/>
        </w:r>
      </w:hyperlink>
    </w:p>
    <w:p w14:paraId="7A0BEDE0" w14:textId="7DB6FBB1" w:rsidR="002B7F7C" w:rsidRDefault="002B7F7C">
      <w:pPr>
        <w:pStyle w:val="TOC2"/>
        <w:rPr>
          <w:rFonts w:asciiTheme="minorHAnsi" w:eastAsiaTheme="minorEastAsia" w:hAnsiTheme="minorHAnsi"/>
          <w:noProof/>
          <w:color w:val="auto"/>
          <w:sz w:val="24"/>
        </w:rPr>
      </w:pPr>
      <w:hyperlink w:anchor="_Toc234334566" w:history="1">
        <w:r w:rsidRPr="00FB0F2E">
          <w:rPr>
            <w:rStyle w:val="Hyperlink"/>
            <w:rFonts w:cs="Cambria"/>
            <w:noProof/>
          </w:rPr>
          <w:t>6.3 Automatic Obligations</w:t>
        </w:r>
        <w:r>
          <w:rPr>
            <w:noProof/>
            <w:webHidden/>
          </w:rPr>
          <w:tab/>
        </w:r>
        <w:r>
          <w:rPr>
            <w:noProof/>
            <w:webHidden/>
          </w:rPr>
          <w:fldChar w:fldCharType="begin"/>
        </w:r>
        <w:r>
          <w:rPr>
            <w:noProof/>
            <w:webHidden/>
          </w:rPr>
          <w:instrText xml:space="preserve"> PAGEREF _Toc234334566 \h </w:instrText>
        </w:r>
        <w:r>
          <w:rPr>
            <w:noProof/>
            <w:webHidden/>
          </w:rPr>
        </w:r>
        <w:r>
          <w:rPr>
            <w:noProof/>
            <w:webHidden/>
          </w:rPr>
          <w:fldChar w:fldCharType="separate"/>
        </w:r>
        <w:r>
          <w:rPr>
            <w:noProof/>
            <w:webHidden/>
          </w:rPr>
          <w:t>26</w:t>
        </w:r>
        <w:r>
          <w:rPr>
            <w:noProof/>
            <w:webHidden/>
          </w:rPr>
          <w:fldChar w:fldCharType="end"/>
        </w:r>
      </w:hyperlink>
    </w:p>
    <w:p w14:paraId="36B19A9E" w14:textId="63F5CEAA" w:rsidR="002B7F7C" w:rsidRDefault="002B7F7C">
      <w:pPr>
        <w:pStyle w:val="TOC2"/>
        <w:rPr>
          <w:rFonts w:asciiTheme="minorHAnsi" w:eastAsiaTheme="minorEastAsia" w:hAnsiTheme="minorHAnsi"/>
          <w:noProof/>
          <w:color w:val="auto"/>
          <w:sz w:val="24"/>
        </w:rPr>
      </w:pPr>
      <w:hyperlink w:anchor="_Toc234334567" w:history="1">
        <w:r w:rsidRPr="00FB0F2E">
          <w:rPr>
            <w:rStyle w:val="Hyperlink"/>
            <w:rFonts w:cs="Cambria"/>
            <w:noProof/>
          </w:rPr>
          <w:t>6.4 Public versus Private Notices</w:t>
        </w:r>
        <w:r>
          <w:rPr>
            <w:noProof/>
            <w:webHidden/>
          </w:rPr>
          <w:tab/>
        </w:r>
        <w:r>
          <w:rPr>
            <w:noProof/>
            <w:webHidden/>
          </w:rPr>
          <w:fldChar w:fldCharType="begin"/>
        </w:r>
        <w:r>
          <w:rPr>
            <w:noProof/>
            <w:webHidden/>
          </w:rPr>
          <w:instrText xml:space="preserve"> PAGEREF _Toc234334567 \h </w:instrText>
        </w:r>
        <w:r>
          <w:rPr>
            <w:noProof/>
            <w:webHidden/>
          </w:rPr>
        </w:r>
        <w:r>
          <w:rPr>
            <w:noProof/>
            <w:webHidden/>
          </w:rPr>
          <w:fldChar w:fldCharType="separate"/>
        </w:r>
        <w:r>
          <w:rPr>
            <w:noProof/>
            <w:webHidden/>
          </w:rPr>
          <w:t>26</w:t>
        </w:r>
        <w:r>
          <w:rPr>
            <w:noProof/>
            <w:webHidden/>
          </w:rPr>
          <w:fldChar w:fldCharType="end"/>
        </w:r>
      </w:hyperlink>
    </w:p>
    <w:p w14:paraId="56857D22" w14:textId="52FD3BA5" w:rsidR="002B7F7C" w:rsidRDefault="002B7F7C">
      <w:pPr>
        <w:pStyle w:val="TOC2"/>
        <w:rPr>
          <w:rFonts w:asciiTheme="minorHAnsi" w:eastAsiaTheme="minorEastAsia" w:hAnsiTheme="minorHAnsi"/>
          <w:noProof/>
          <w:color w:val="auto"/>
          <w:sz w:val="24"/>
        </w:rPr>
      </w:pPr>
      <w:hyperlink w:anchor="_Toc234334568" w:history="1">
        <w:r w:rsidRPr="00FB0F2E">
          <w:rPr>
            <w:rStyle w:val="Hyperlink"/>
            <w:rFonts w:cs="Cambria"/>
            <w:noProof/>
          </w:rPr>
          <w:t>6.5 Annual Trigger Matrix Review</w:t>
        </w:r>
        <w:r>
          <w:rPr>
            <w:noProof/>
            <w:webHidden/>
          </w:rPr>
          <w:tab/>
        </w:r>
        <w:r>
          <w:rPr>
            <w:noProof/>
            <w:webHidden/>
          </w:rPr>
          <w:fldChar w:fldCharType="begin"/>
        </w:r>
        <w:r>
          <w:rPr>
            <w:noProof/>
            <w:webHidden/>
          </w:rPr>
          <w:instrText xml:space="preserve"> PAGEREF _Toc234334568 \h </w:instrText>
        </w:r>
        <w:r>
          <w:rPr>
            <w:noProof/>
            <w:webHidden/>
          </w:rPr>
        </w:r>
        <w:r>
          <w:rPr>
            <w:noProof/>
            <w:webHidden/>
          </w:rPr>
          <w:fldChar w:fldCharType="separate"/>
        </w:r>
        <w:r>
          <w:rPr>
            <w:noProof/>
            <w:webHidden/>
          </w:rPr>
          <w:t>26</w:t>
        </w:r>
        <w:r>
          <w:rPr>
            <w:noProof/>
            <w:webHidden/>
          </w:rPr>
          <w:fldChar w:fldCharType="end"/>
        </w:r>
      </w:hyperlink>
    </w:p>
    <w:p w14:paraId="5A1E641B" w14:textId="2F80F342" w:rsidR="002B7F7C" w:rsidRDefault="002B7F7C">
      <w:pPr>
        <w:pStyle w:val="TOC2"/>
        <w:rPr>
          <w:rFonts w:asciiTheme="minorHAnsi" w:eastAsiaTheme="minorEastAsia" w:hAnsiTheme="minorHAnsi"/>
          <w:noProof/>
          <w:color w:val="auto"/>
          <w:sz w:val="24"/>
        </w:rPr>
      </w:pPr>
      <w:hyperlink w:anchor="_Toc234334569" w:history="1">
        <w:r w:rsidRPr="00FB0F2E">
          <w:rPr>
            <w:rStyle w:val="Hyperlink"/>
            <w:rFonts w:cs="Cambria"/>
            <w:noProof/>
          </w:rPr>
          <w:t>6.6 Confidence Levels</w:t>
        </w:r>
        <w:r>
          <w:rPr>
            <w:noProof/>
            <w:webHidden/>
          </w:rPr>
          <w:tab/>
        </w:r>
        <w:r>
          <w:rPr>
            <w:noProof/>
            <w:webHidden/>
          </w:rPr>
          <w:fldChar w:fldCharType="begin"/>
        </w:r>
        <w:r>
          <w:rPr>
            <w:noProof/>
            <w:webHidden/>
          </w:rPr>
          <w:instrText xml:space="preserve"> PAGEREF _Toc234334569 \h </w:instrText>
        </w:r>
        <w:r>
          <w:rPr>
            <w:noProof/>
            <w:webHidden/>
          </w:rPr>
        </w:r>
        <w:r>
          <w:rPr>
            <w:noProof/>
            <w:webHidden/>
          </w:rPr>
          <w:fldChar w:fldCharType="separate"/>
        </w:r>
        <w:r>
          <w:rPr>
            <w:noProof/>
            <w:webHidden/>
          </w:rPr>
          <w:t>26</w:t>
        </w:r>
        <w:r>
          <w:rPr>
            <w:noProof/>
            <w:webHidden/>
          </w:rPr>
          <w:fldChar w:fldCharType="end"/>
        </w:r>
      </w:hyperlink>
    </w:p>
    <w:p w14:paraId="5AF34915" w14:textId="1E08E446" w:rsidR="002B7F7C" w:rsidRDefault="002B7F7C">
      <w:pPr>
        <w:pStyle w:val="TOC2"/>
        <w:rPr>
          <w:rFonts w:asciiTheme="minorHAnsi" w:eastAsiaTheme="minorEastAsia" w:hAnsiTheme="minorHAnsi"/>
          <w:noProof/>
          <w:color w:val="auto"/>
          <w:sz w:val="24"/>
        </w:rPr>
      </w:pPr>
      <w:hyperlink w:anchor="_Toc234334570" w:history="1">
        <w:r w:rsidRPr="00FB0F2E">
          <w:rPr>
            <w:rStyle w:val="Hyperlink"/>
            <w:rFonts w:cs="Cambria"/>
            <w:noProof/>
          </w:rPr>
          <w:t>6.7 Trigger Expiration and Review</w:t>
        </w:r>
        <w:r>
          <w:rPr>
            <w:noProof/>
            <w:webHidden/>
          </w:rPr>
          <w:tab/>
        </w:r>
        <w:r>
          <w:rPr>
            <w:noProof/>
            <w:webHidden/>
          </w:rPr>
          <w:fldChar w:fldCharType="begin"/>
        </w:r>
        <w:r>
          <w:rPr>
            <w:noProof/>
            <w:webHidden/>
          </w:rPr>
          <w:instrText xml:space="preserve"> PAGEREF _Toc234334570 \h </w:instrText>
        </w:r>
        <w:r>
          <w:rPr>
            <w:noProof/>
            <w:webHidden/>
          </w:rPr>
        </w:r>
        <w:r>
          <w:rPr>
            <w:noProof/>
            <w:webHidden/>
          </w:rPr>
          <w:fldChar w:fldCharType="separate"/>
        </w:r>
        <w:r>
          <w:rPr>
            <w:noProof/>
            <w:webHidden/>
          </w:rPr>
          <w:t>27</w:t>
        </w:r>
        <w:r>
          <w:rPr>
            <w:noProof/>
            <w:webHidden/>
          </w:rPr>
          <w:fldChar w:fldCharType="end"/>
        </w:r>
      </w:hyperlink>
    </w:p>
    <w:p w14:paraId="42478C56" w14:textId="2801F350" w:rsidR="002B7F7C" w:rsidRDefault="002B7F7C">
      <w:pPr>
        <w:pStyle w:val="TOC2"/>
        <w:rPr>
          <w:rFonts w:asciiTheme="minorHAnsi" w:eastAsiaTheme="minorEastAsia" w:hAnsiTheme="minorHAnsi"/>
          <w:noProof/>
          <w:color w:val="auto"/>
          <w:sz w:val="24"/>
        </w:rPr>
      </w:pPr>
      <w:hyperlink w:anchor="_Toc234334571" w:history="1">
        <w:r w:rsidRPr="00FB0F2E">
          <w:rPr>
            <w:rStyle w:val="Hyperlink"/>
            <w:rFonts w:cs="Cambria"/>
            <w:noProof/>
          </w:rPr>
          <w:t>6.8 Pattern-of-Behavior Clause</w:t>
        </w:r>
        <w:r>
          <w:rPr>
            <w:noProof/>
            <w:webHidden/>
          </w:rPr>
          <w:tab/>
        </w:r>
        <w:r>
          <w:rPr>
            <w:noProof/>
            <w:webHidden/>
          </w:rPr>
          <w:fldChar w:fldCharType="begin"/>
        </w:r>
        <w:r>
          <w:rPr>
            <w:noProof/>
            <w:webHidden/>
          </w:rPr>
          <w:instrText xml:space="preserve"> PAGEREF _Toc234334571 \h </w:instrText>
        </w:r>
        <w:r>
          <w:rPr>
            <w:noProof/>
            <w:webHidden/>
          </w:rPr>
        </w:r>
        <w:r>
          <w:rPr>
            <w:noProof/>
            <w:webHidden/>
          </w:rPr>
          <w:fldChar w:fldCharType="separate"/>
        </w:r>
        <w:r>
          <w:rPr>
            <w:noProof/>
            <w:webHidden/>
          </w:rPr>
          <w:t>28</w:t>
        </w:r>
        <w:r>
          <w:rPr>
            <w:noProof/>
            <w:webHidden/>
          </w:rPr>
          <w:fldChar w:fldCharType="end"/>
        </w:r>
      </w:hyperlink>
    </w:p>
    <w:p w14:paraId="4DDF93B0" w14:textId="49F657F1" w:rsidR="002B7F7C" w:rsidRDefault="002B7F7C">
      <w:pPr>
        <w:pStyle w:val="TOC2"/>
        <w:rPr>
          <w:rFonts w:asciiTheme="minorHAnsi" w:eastAsiaTheme="minorEastAsia" w:hAnsiTheme="minorHAnsi"/>
          <w:noProof/>
          <w:color w:val="auto"/>
          <w:sz w:val="24"/>
        </w:rPr>
      </w:pPr>
      <w:hyperlink w:anchor="_Toc234334572" w:history="1">
        <w:r w:rsidRPr="00FB0F2E">
          <w:rPr>
            <w:rStyle w:val="Hyperlink"/>
            <w:rFonts w:cs="Cambria"/>
            <w:noProof/>
          </w:rPr>
          <w:t>6.9 Suspicious Pattern Advisory</w:t>
        </w:r>
        <w:r>
          <w:rPr>
            <w:noProof/>
            <w:webHidden/>
          </w:rPr>
          <w:tab/>
        </w:r>
        <w:r>
          <w:rPr>
            <w:noProof/>
            <w:webHidden/>
          </w:rPr>
          <w:fldChar w:fldCharType="begin"/>
        </w:r>
        <w:r>
          <w:rPr>
            <w:noProof/>
            <w:webHidden/>
          </w:rPr>
          <w:instrText xml:space="preserve"> PAGEREF _Toc234334572 \h </w:instrText>
        </w:r>
        <w:r>
          <w:rPr>
            <w:noProof/>
            <w:webHidden/>
          </w:rPr>
        </w:r>
        <w:r>
          <w:rPr>
            <w:noProof/>
            <w:webHidden/>
          </w:rPr>
          <w:fldChar w:fldCharType="separate"/>
        </w:r>
        <w:r>
          <w:rPr>
            <w:noProof/>
            <w:webHidden/>
          </w:rPr>
          <w:t>28</w:t>
        </w:r>
        <w:r>
          <w:rPr>
            <w:noProof/>
            <w:webHidden/>
          </w:rPr>
          <w:fldChar w:fldCharType="end"/>
        </w:r>
      </w:hyperlink>
    </w:p>
    <w:p w14:paraId="1531959D" w14:textId="1CCFBA00" w:rsidR="002B7F7C" w:rsidRDefault="002B7F7C">
      <w:pPr>
        <w:pStyle w:val="TOC2"/>
        <w:rPr>
          <w:rFonts w:asciiTheme="minorHAnsi" w:eastAsiaTheme="minorEastAsia" w:hAnsiTheme="minorHAnsi"/>
          <w:noProof/>
          <w:color w:val="auto"/>
          <w:sz w:val="24"/>
        </w:rPr>
      </w:pPr>
      <w:hyperlink w:anchor="_Toc234334573" w:history="1">
        <w:r w:rsidRPr="00FB0F2E">
          <w:rPr>
            <w:rStyle w:val="Hyperlink"/>
            <w:rFonts w:cs="Cambria"/>
            <w:noProof/>
          </w:rPr>
          <w:t>6.10 Post-Facto Credibility Penalty</w:t>
        </w:r>
        <w:r>
          <w:rPr>
            <w:noProof/>
            <w:webHidden/>
          </w:rPr>
          <w:tab/>
        </w:r>
        <w:r>
          <w:rPr>
            <w:noProof/>
            <w:webHidden/>
          </w:rPr>
          <w:fldChar w:fldCharType="begin"/>
        </w:r>
        <w:r>
          <w:rPr>
            <w:noProof/>
            <w:webHidden/>
          </w:rPr>
          <w:instrText xml:space="preserve"> PAGEREF _Toc234334573 \h </w:instrText>
        </w:r>
        <w:r>
          <w:rPr>
            <w:noProof/>
            <w:webHidden/>
          </w:rPr>
        </w:r>
        <w:r>
          <w:rPr>
            <w:noProof/>
            <w:webHidden/>
          </w:rPr>
          <w:fldChar w:fldCharType="separate"/>
        </w:r>
        <w:r>
          <w:rPr>
            <w:noProof/>
            <w:webHidden/>
          </w:rPr>
          <w:t>29</w:t>
        </w:r>
        <w:r>
          <w:rPr>
            <w:noProof/>
            <w:webHidden/>
          </w:rPr>
          <w:fldChar w:fldCharType="end"/>
        </w:r>
      </w:hyperlink>
    </w:p>
    <w:p w14:paraId="2A45773C" w14:textId="131AE699" w:rsidR="002B7F7C" w:rsidRDefault="002B7F7C">
      <w:pPr>
        <w:pStyle w:val="TOC2"/>
        <w:rPr>
          <w:rFonts w:asciiTheme="minorHAnsi" w:eastAsiaTheme="minorEastAsia" w:hAnsiTheme="minorHAnsi"/>
          <w:noProof/>
          <w:color w:val="auto"/>
          <w:sz w:val="24"/>
        </w:rPr>
      </w:pPr>
      <w:hyperlink w:anchor="_Toc234334574" w:history="1">
        <w:r w:rsidRPr="00FB0F2E">
          <w:rPr>
            <w:rStyle w:val="Hyperlink"/>
            <w:rFonts w:cs="Cambria"/>
            <w:noProof/>
          </w:rPr>
          <w:t>6.11 Cumulative Stress Metric</w:t>
        </w:r>
        <w:r>
          <w:rPr>
            <w:noProof/>
            <w:webHidden/>
          </w:rPr>
          <w:tab/>
        </w:r>
        <w:r>
          <w:rPr>
            <w:noProof/>
            <w:webHidden/>
          </w:rPr>
          <w:fldChar w:fldCharType="begin"/>
        </w:r>
        <w:r>
          <w:rPr>
            <w:noProof/>
            <w:webHidden/>
          </w:rPr>
          <w:instrText xml:space="preserve"> PAGEREF _Toc234334574 \h </w:instrText>
        </w:r>
        <w:r>
          <w:rPr>
            <w:noProof/>
            <w:webHidden/>
          </w:rPr>
        </w:r>
        <w:r>
          <w:rPr>
            <w:noProof/>
            <w:webHidden/>
          </w:rPr>
          <w:fldChar w:fldCharType="separate"/>
        </w:r>
        <w:r>
          <w:rPr>
            <w:noProof/>
            <w:webHidden/>
          </w:rPr>
          <w:t>29</w:t>
        </w:r>
        <w:r>
          <w:rPr>
            <w:noProof/>
            <w:webHidden/>
          </w:rPr>
          <w:fldChar w:fldCharType="end"/>
        </w:r>
      </w:hyperlink>
    </w:p>
    <w:p w14:paraId="45FC1269" w14:textId="38C18DE1" w:rsidR="002B7F7C" w:rsidRDefault="002B7F7C">
      <w:pPr>
        <w:pStyle w:val="TOC2"/>
        <w:rPr>
          <w:rFonts w:asciiTheme="minorHAnsi" w:eastAsiaTheme="minorEastAsia" w:hAnsiTheme="minorHAnsi"/>
          <w:noProof/>
          <w:color w:val="auto"/>
          <w:sz w:val="24"/>
        </w:rPr>
      </w:pPr>
      <w:hyperlink w:anchor="_Toc234334575" w:history="1">
        <w:r w:rsidRPr="00FB0F2E">
          <w:rPr>
            <w:rStyle w:val="Hyperlink"/>
            <w:rFonts w:cs="Cambria"/>
            <w:noProof/>
          </w:rPr>
          <w:t>6.12 False-Positive Correction and Exoneration</w:t>
        </w:r>
        <w:r>
          <w:rPr>
            <w:noProof/>
            <w:webHidden/>
          </w:rPr>
          <w:tab/>
        </w:r>
        <w:r>
          <w:rPr>
            <w:noProof/>
            <w:webHidden/>
          </w:rPr>
          <w:fldChar w:fldCharType="begin"/>
        </w:r>
        <w:r>
          <w:rPr>
            <w:noProof/>
            <w:webHidden/>
          </w:rPr>
          <w:instrText xml:space="preserve"> PAGEREF _Toc234334575 \h </w:instrText>
        </w:r>
        <w:r>
          <w:rPr>
            <w:noProof/>
            <w:webHidden/>
          </w:rPr>
        </w:r>
        <w:r>
          <w:rPr>
            <w:noProof/>
            <w:webHidden/>
          </w:rPr>
          <w:fldChar w:fldCharType="separate"/>
        </w:r>
        <w:r>
          <w:rPr>
            <w:noProof/>
            <w:webHidden/>
          </w:rPr>
          <w:t>30</w:t>
        </w:r>
        <w:r>
          <w:rPr>
            <w:noProof/>
            <w:webHidden/>
          </w:rPr>
          <w:fldChar w:fldCharType="end"/>
        </w:r>
      </w:hyperlink>
    </w:p>
    <w:p w14:paraId="725B2946" w14:textId="09D5C1C6" w:rsidR="002B7F7C" w:rsidRDefault="002B7F7C">
      <w:pPr>
        <w:pStyle w:val="TOC1"/>
        <w:rPr>
          <w:rFonts w:asciiTheme="minorHAnsi" w:eastAsiaTheme="minorEastAsia" w:hAnsiTheme="minorHAnsi"/>
          <w:b w:val="0"/>
          <w:noProof/>
          <w:color w:val="auto"/>
          <w:sz w:val="24"/>
        </w:rPr>
      </w:pPr>
      <w:hyperlink w:anchor="_Toc234334576" w:history="1">
        <w:r w:rsidRPr="00FB0F2E">
          <w:rPr>
            <w:rStyle w:val="Hyperlink"/>
            <w:rFonts w:cs="Cambria"/>
            <w:noProof/>
          </w:rPr>
          <w:t>Article 7: Verification Functions</w:t>
        </w:r>
        <w:r>
          <w:rPr>
            <w:noProof/>
            <w:webHidden/>
          </w:rPr>
          <w:tab/>
        </w:r>
        <w:r>
          <w:rPr>
            <w:noProof/>
            <w:webHidden/>
          </w:rPr>
          <w:fldChar w:fldCharType="begin"/>
        </w:r>
        <w:r>
          <w:rPr>
            <w:noProof/>
            <w:webHidden/>
          </w:rPr>
          <w:instrText xml:space="preserve"> PAGEREF _Toc234334576 \h </w:instrText>
        </w:r>
        <w:r>
          <w:rPr>
            <w:noProof/>
            <w:webHidden/>
          </w:rPr>
        </w:r>
        <w:r>
          <w:rPr>
            <w:noProof/>
            <w:webHidden/>
          </w:rPr>
          <w:fldChar w:fldCharType="separate"/>
        </w:r>
        <w:r>
          <w:rPr>
            <w:noProof/>
            <w:webHidden/>
          </w:rPr>
          <w:t>30</w:t>
        </w:r>
        <w:r>
          <w:rPr>
            <w:noProof/>
            <w:webHidden/>
          </w:rPr>
          <w:fldChar w:fldCharType="end"/>
        </w:r>
      </w:hyperlink>
    </w:p>
    <w:p w14:paraId="2E4B482F" w14:textId="4A067DCD" w:rsidR="002B7F7C" w:rsidRDefault="002B7F7C">
      <w:pPr>
        <w:pStyle w:val="TOC2"/>
        <w:rPr>
          <w:rFonts w:asciiTheme="minorHAnsi" w:eastAsiaTheme="minorEastAsia" w:hAnsiTheme="minorHAnsi"/>
          <w:noProof/>
          <w:color w:val="auto"/>
          <w:sz w:val="24"/>
        </w:rPr>
      </w:pPr>
      <w:hyperlink w:anchor="_Toc234334577" w:history="1">
        <w:r w:rsidRPr="00FB0F2E">
          <w:rPr>
            <w:rStyle w:val="Hyperlink"/>
            <w:rFonts w:cs="Cambria"/>
            <w:noProof/>
          </w:rPr>
          <w:t>7.1 Reciprocal Verification Facilitation</w:t>
        </w:r>
        <w:r>
          <w:rPr>
            <w:noProof/>
            <w:webHidden/>
          </w:rPr>
          <w:tab/>
        </w:r>
        <w:r>
          <w:rPr>
            <w:noProof/>
            <w:webHidden/>
          </w:rPr>
          <w:fldChar w:fldCharType="begin"/>
        </w:r>
        <w:r>
          <w:rPr>
            <w:noProof/>
            <w:webHidden/>
          </w:rPr>
          <w:instrText xml:space="preserve"> PAGEREF _Toc234334577 \h </w:instrText>
        </w:r>
        <w:r>
          <w:rPr>
            <w:noProof/>
            <w:webHidden/>
          </w:rPr>
        </w:r>
        <w:r>
          <w:rPr>
            <w:noProof/>
            <w:webHidden/>
          </w:rPr>
          <w:fldChar w:fldCharType="separate"/>
        </w:r>
        <w:r>
          <w:rPr>
            <w:noProof/>
            <w:webHidden/>
          </w:rPr>
          <w:t>30</w:t>
        </w:r>
        <w:r>
          <w:rPr>
            <w:noProof/>
            <w:webHidden/>
          </w:rPr>
          <w:fldChar w:fldCharType="end"/>
        </w:r>
      </w:hyperlink>
    </w:p>
    <w:p w14:paraId="191D0054" w14:textId="1B92D96A" w:rsidR="002B7F7C" w:rsidRDefault="002B7F7C">
      <w:pPr>
        <w:pStyle w:val="TOC2"/>
        <w:rPr>
          <w:rFonts w:asciiTheme="minorHAnsi" w:eastAsiaTheme="minorEastAsia" w:hAnsiTheme="minorHAnsi"/>
          <w:noProof/>
          <w:color w:val="auto"/>
          <w:sz w:val="24"/>
        </w:rPr>
      </w:pPr>
      <w:hyperlink w:anchor="_Toc234334578" w:history="1">
        <w:r w:rsidRPr="00FB0F2E">
          <w:rPr>
            <w:rStyle w:val="Hyperlink"/>
            <w:rFonts w:cs="Cambria"/>
            <w:noProof/>
          </w:rPr>
          <w:t>7.2 Formal Appeals Procedure</w:t>
        </w:r>
        <w:r>
          <w:rPr>
            <w:noProof/>
            <w:webHidden/>
          </w:rPr>
          <w:tab/>
        </w:r>
        <w:r>
          <w:rPr>
            <w:noProof/>
            <w:webHidden/>
          </w:rPr>
          <w:fldChar w:fldCharType="begin"/>
        </w:r>
        <w:r>
          <w:rPr>
            <w:noProof/>
            <w:webHidden/>
          </w:rPr>
          <w:instrText xml:space="preserve"> PAGEREF _Toc234334578 \h </w:instrText>
        </w:r>
        <w:r>
          <w:rPr>
            <w:noProof/>
            <w:webHidden/>
          </w:rPr>
        </w:r>
        <w:r>
          <w:rPr>
            <w:noProof/>
            <w:webHidden/>
          </w:rPr>
          <w:fldChar w:fldCharType="separate"/>
        </w:r>
        <w:r>
          <w:rPr>
            <w:noProof/>
            <w:webHidden/>
          </w:rPr>
          <w:t>31</w:t>
        </w:r>
        <w:r>
          <w:rPr>
            <w:noProof/>
            <w:webHidden/>
          </w:rPr>
          <w:fldChar w:fldCharType="end"/>
        </w:r>
      </w:hyperlink>
    </w:p>
    <w:p w14:paraId="08A25469" w14:textId="2A1198C6" w:rsidR="002B7F7C" w:rsidRDefault="002B7F7C">
      <w:pPr>
        <w:pStyle w:val="TOC2"/>
        <w:rPr>
          <w:rFonts w:asciiTheme="minorHAnsi" w:eastAsiaTheme="minorEastAsia" w:hAnsiTheme="minorHAnsi"/>
          <w:noProof/>
          <w:color w:val="auto"/>
          <w:sz w:val="24"/>
        </w:rPr>
      </w:pPr>
      <w:hyperlink w:anchor="_Toc234334579" w:history="1">
        <w:r w:rsidRPr="00FB0F2E">
          <w:rPr>
            <w:rStyle w:val="Hyperlink"/>
            <w:rFonts w:cs="Cambria"/>
            <w:noProof/>
          </w:rPr>
          <w:t>7.3 Bilateral Verification Encouragement</w:t>
        </w:r>
        <w:r>
          <w:rPr>
            <w:noProof/>
            <w:webHidden/>
          </w:rPr>
          <w:tab/>
        </w:r>
        <w:r>
          <w:rPr>
            <w:noProof/>
            <w:webHidden/>
          </w:rPr>
          <w:fldChar w:fldCharType="begin"/>
        </w:r>
        <w:r>
          <w:rPr>
            <w:noProof/>
            <w:webHidden/>
          </w:rPr>
          <w:instrText xml:space="preserve"> PAGEREF _Toc234334579 \h </w:instrText>
        </w:r>
        <w:r>
          <w:rPr>
            <w:noProof/>
            <w:webHidden/>
          </w:rPr>
        </w:r>
        <w:r>
          <w:rPr>
            <w:noProof/>
            <w:webHidden/>
          </w:rPr>
          <w:fldChar w:fldCharType="separate"/>
        </w:r>
        <w:r>
          <w:rPr>
            <w:noProof/>
            <w:webHidden/>
          </w:rPr>
          <w:t>31</w:t>
        </w:r>
        <w:r>
          <w:rPr>
            <w:noProof/>
            <w:webHidden/>
          </w:rPr>
          <w:fldChar w:fldCharType="end"/>
        </w:r>
      </w:hyperlink>
    </w:p>
    <w:p w14:paraId="568CF4F8" w14:textId="32412FD5" w:rsidR="002B7F7C" w:rsidRDefault="002B7F7C">
      <w:pPr>
        <w:pStyle w:val="TOC2"/>
        <w:rPr>
          <w:rFonts w:asciiTheme="minorHAnsi" w:eastAsiaTheme="minorEastAsia" w:hAnsiTheme="minorHAnsi"/>
          <w:noProof/>
          <w:color w:val="auto"/>
          <w:sz w:val="24"/>
        </w:rPr>
      </w:pPr>
      <w:hyperlink w:anchor="_Toc234334580" w:history="1">
        <w:r w:rsidRPr="00FB0F2E">
          <w:rPr>
            <w:rStyle w:val="Hyperlink"/>
            <w:rFonts w:cs="Cambria"/>
            <w:noProof/>
          </w:rPr>
          <w:t>7.4 Unilateral Inspection Exclusion</w:t>
        </w:r>
        <w:r>
          <w:rPr>
            <w:noProof/>
            <w:webHidden/>
          </w:rPr>
          <w:tab/>
        </w:r>
        <w:r>
          <w:rPr>
            <w:noProof/>
            <w:webHidden/>
          </w:rPr>
          <w:fldChar w:fldCharType="begin"/>
        </w:r>
        <w:r>
          <w:rPr>
            <w:noProof/>
            <w:webHidden/>
          </w:rPr>
          <w:instrText xml:space="preserve"> PAGEREF _Toc234334580 \h </w:instrText>
        </w:r>
        <w:r>
          <w:rPr>
            <w:noProof/>
            <w:webHidden/>
          </w:rPr>
        </w:r>
        <w:r>
          <w:rPr>
            <w:noProof/>
            <w:webHidden/>
          </w:rPr>
          <w:fldChar w:fldCharType="separate"/>
        </w:r>
        <w:r>
          <w:rPr>
            <w:noProof/>
            <w:webHidden/>
          </w:rPr>
          <w:t>32</w:t>
        </w:r>
        <w:r>
          <w:rPr>
            <w:noProof/>
            <w:webHidden/>
          </w:rPr>
          <w:fldChar w:fldCharType="end"/>
        </w:r>
      </w:hyperlink>
    </w:p>
    <w:p w14:paraId="789EAA1A" w14:textId="42B49C37" w:rsidR="002B7F7C" w:rsidRDefault="002B7F7C">
      <w:pPr>
        <w:pStyle w:val="TOC2"/>
        <w:rPr>
          <w:rFonts w:asciiTheme="minorHAnsi" w:eastAsiaTheme="minorEastAsia" w:hAnsiTheme="minorHAnsi"/>
          <w:noProof/>
          <w:color w:val="auto"/>
          <w:sz w:val="24"/>
        </w:rPr>
      </w:pPr>
      <w:hyperlink w:anchor="_Toc234334581" w:history="1">
        <w:r w:rsidRPr="00FB0F2E">
          <w:rPr>
            <w:rStyle w:val="Hyperlink"/>
            <w:rFonts w:cs="Cambria"/>
            <w:noProof/>
          </w:rPr>
          <w:t>7.5 Parallel Verification Channels</w:t>
        </w:r>
        <w:r>
          <w:rPr>
            <w:noProof/>
            <w:webHidden/>
          </w:rPr>
          <w:tab/>
        </w:r>
        <w:r>
          <w:rPr>
            <w:noProof/>
            <w:webHidden/>
          </w:rPr>
          <w:fldChar w:fldCharType="begin"/>
        </w:r>
        <w:r>
          <w:rPr>
            <w:noProof/>
            <w:webHidden/>
          </w:rPr>
          <w:instrText xml:space="preserve"> PAGEREF _Toc234334581 \h </w:instrText>
        </w:r>
        <w:r>
          <w:rPr>
            <w:noProof/>
            <w:webHidden/>
          </w:rPr>
        </w:r>
        <w:r>
          <w:rPr>
            <w:noProof/>
            <w:webHidden/>
          </w:rPr>
          <w:fldChar w:fldCharType="separate"/>
        </w:r>
        <w:r>
          <w:rPr>
            <w:noProof/>
            <w:webHidden/>
          </w:rPr>
          <w:t>32</w:t>
        </w:r>
        <w:r>
          <w:rPr>
            <w:noProof/>
            <w:webHidden/>
          </w:rPr>
          <w:fldChar w:fldCharType="end"/>
        </w:r>
      </w:hyperlink>
    </w:p>
    <w:p w14:paraId="79F0A9BE" w14:textId="2FE38DD2" w:rsidR="002B7F7C" w:rsidRDefault="002B7F7C">
      <w:pPr>
        <w:pStyle w:val="TOC1"/>
        <w:rPr>
          <w:rFonts w:asciiTheme="minorHAnsi" w:eastAsiaTheme="minorEastAsia" w:hAnsiTheme="minorHAnsi"/>
          <w:b w:val="0"/>
          <w:noProof/>
          <w:color w:val="auto"/>
          <w:sz w:val="24"/>
        </w:rPr>
      </w:pPr>
      <w:hyperlink w:anchor="_Toc234334582" w:history="1">
        <w:r w:rsidRPr="00FB0F2E">
          <w:rPr>
            <w:rStyle w:val="Hyperlink"/>
            <w:rFonts w:cs="Cambria"/>
            <w:noProof/>
          </w:rPr>
          <w:t>Article 8: Operational Tools</w:t>
        </w:r>
        <w:r>
          <w:rPr>
            <w:noProof/>
            <w:webHidden/>
          </w:rPr>
          <w:tab/>
        </w:r>
        <w:r>
          <w:rPr>
            <w:noProof/>
            <w:webHidden/>
          </w:rPr>
          <w:fldChar w:fldCharType="begin"/>
        </w:r>
        <w:r>
          <w:rPr>
            <w:noProof/>
            <w:webHidden/>
          </w:rPr>
          <w:instrText xml:space="preserve"> PAGEREF _Toc234334582 \h </w:instrText>
        </w:r>
        <w:r>
          <w:rPr>
            <w:noProof/>
            <w:webHidden/>
          </w:rPr>
        </w:r>
        <w:r>
          <w:rPr>
            <w:noProof/>
            <w:webHidden/>
          </w:rPr>
          <w:fldChar w:fldCharType="separate"/>
        </w:r>
        <w:r>
          <w:rPr>
            <w:noProof/>
            <w:webHidden/>
          </w:rPr>
          <w:t>32</w:t>
        </w:r>
        <w:r>
          <w:rPr>
            <w:noProof/>
            <w:webHidden/>
          </w:rPr>
          <w:fldChar w:fldCharType="end"/>
        </w:r>
      </w:hyperlink>
    </w:p>
    <w:p w14:paraId="20ACD96F" w14:textId="5A9E7CB6" w:rsidR="002B7F7C" w:rsidRDefault="002B7F7C">
      <w:pPr>
        <w:pStyle w:val="TOC2"/>
        <w:rPr>
          <w:rFonts w:asciiTheme="minorHAnsi" w:eastAsiaTheme="minorEastAsia" w:hAnsiTheme="minorHAnsi"/>
          <w:noProof/>
          <w:color w:val="auto"/>
          <w:sz w:val="24"/>
        </w:rPr>
      </w:pPr>
      <w:hyperlink w:anchor="_Toc234334583" w:history="1">
        <w:r w:rsidRPr="00FB0F2E">
          <w:rPr>
            <w:rStyle w:val="Hyperlink"/>
            <w:rFonts w:cs="Cambria"/>
            <w:noProof/>
          </w:rPr>
          <w:t>8.1 Monitoring and Detection</w:t>
        </w:r>
        <w:r>
          <w:rPr>
            <w:noProof/>
            <w:webHidden/>
          </w:rPr>
          <w:tab/>
        </w:r>
        <w:r>
          <w:rPr>
            <w:noProof/>
            <w:webHidden/>
          </w:rPr>
          <w:fldChar w:fldCharType="begin"/>
        </w:r>
        <w:r>
          <w:rPr>
            <w:noProof/>
            <w:webHidden/>
          </w:rPr>
          <w:instrText xml:space="preserve"> PAGEREF _Toc234334583 \h </w:instrText>
        </w:r>
        <w:r>
          <w:rPr>
            <w:noProof/>
            <w:webHidden/>
          </w:rPr>
        </w:r>
        <w:r>
          <w:rPr>
            <w:noProof/>
            <w:webHidden/>
          </w:rPr>
          <w:fldChar w:fldCharType="separate"/>
        </w:r>
        <w:r>
          <w:rPr>
            <w:noProof/>
            <w:webHidden/>
          </w:rPr>
          <w:t>32</w:t>
        </w:r>
        <w:r>
          <w:rPr>
            <w:noProof/>
            <w:webHidden/>
          </w:rPr>
          <w:fldChar w:fldCharType="end"/>
        </w:r>
      </w:hyperlink>
    </w:p>
    <w:p w14:paraId="221E3119" w14:textId="199F2493" w:rsidR="002B7F7C" w:rsidRDefault="002B7F7C">
      <w:pPr>
        <w:pStyle w:val="TOC2"/>
        <w:rPr>
          <w:rFonts w:asciiTheme="minorHAnsi" w:eastAsiaTheme="minorEastAsia" w:hAnsiTheme="minorHAnsi"/>
          <w:noProof/>
          <w:color w:val="auto"/>
          <w:sz w:val="24"/>
        </w:rPr>
      </w:pPr>
      <w:hyperlink w:anchor="_Toc234334584" w:history="1">
        <w:r w:rsidRPr="00FB0F2E">
          <w:rPr>
            <w:rStyle w:val="Hyperlink"/>
            <w:rFonts w:cs="Cambria"/>
            <w:noProof/>
          </w:rPr>
          <w:t>8.2 Data Architecture</w:t>
        </w:r>
        <w:r>
          <w:rPr>
            <w:noProof/>
            <w:webHidden/>
          </w:rPr>
          <w:tab/>
        </w:r>
        <w:r>
          <w:rPr>
            <w:noProof/>
            <w:webHidden/>
          </w:rPr>
          <w:fldChar w:fldCharType="begin"/>
        </w:r>
        <w:r>
          <w:rPr>
            <w:noProof/>
            <w:webHidden/>
          </w:rPr>
          <w:instrText xml:space="preserve"> PAGEREF _Toc234334584 \h </w:instrText>
        </w:r>
        <w:r>
          <w:rPr>
            <w:noProof/>
            <w:webHidden/>
          </w:rPr>
        </w:r>
        <w:r>
          <w:rPr>
            <w:noProof/>
            <w:webHidden/>
          </w:rPr>
          <w:fldChar w:fldCharType="separate"/>
        </w:r>
        <w:r>
          <w:rPr>
            <w:noProof/>
            <w:webHidden/>
          </w:rPr>
          <w:t>33</w:t>
        </w:r>
        <w:r>
          <w:rPr>
            <w:noProof/>
            <w:webHidden/>
          </w:rPr>
          <w:fldChar w:fldCharType="end"/>
        </w:r>
      </w:hyperlink>
    </w:p>
    <w:p w14:paraId="7B4E4147" w14:textId="184B0441" w:rsidR="002B7F7C" w:rsidRDefault="002B7F7C">
      <w:pPr>
        <w:pStyle w:val="TOC2"/>
        <w:rPr>
          <w:rFonts w:asciiTheme="minorHAnsi" w:eastAsiaTheme="minorEastAsia" w:hAnsiTheme="minorHAnsi"/>
          <w:noProof/>
          <w:color w:val="auto"/>
          <w:sz w:val="24"/>
        </w:rPr>
      </w:pPr>
      <w:hyperlink w:anchor="_Toc234334585" w:history="1">
        <w:r w:rsidRPr="00FB0F2E">
          <w:rPr>
            <w:rStyle w:val="Hyperlink"/>
            <w:rFonts w:cs="Cambria"/>
            <w:noProof/>
          </w:rPr>
          <w:t>8.3 Algorithm Transparency</w:t>
        </w:r>
        <w:r>
          <w:rPr>
            <w:noProof/>
            <w:webHidden/>
          </w:rPr>
          <w:tab/>
        </w:r>
        <w:r>
          <w:rPr>
            <w:noProof/>
            <w:webHidden/>
          </w:rPr>
          <w:fldChar w:fldCharType="begin"/>
        </w:r>
        <w:r>
          <w:rPr>
            <w:noProof/>
            <w:webHidden/>
          </w:rPr>
          <w:instrText xml:space="preserve"> PAGEREF _Toc234334585 \h </w:instrText>
        </w:r>
        <w:r>
          <w:rPr>
            <w:noProof/>
            <w:webHidden/>
          </w:rPr>
        </w:r>
        <w:r>
          <w:rPr>
            <w:noProof/>
            <w:webHidden/>
          </w:rPr>
          <w:fldChar w:fldCharType="separate"/>
        </w:r>
        <w:r>
          <w:rPr>
            <w:noProof/>
            <w:webHidden/>
          </w:rPr>
          <w:t>33</w:t>
        </w:r>
        <w:r>
          <w:rPr>
            <w:noProof/>
            <w:webHidden/>
          </w:rPr>
          <w:fldChar w:fldCharType="end"/>
        </w:r>
      </w:hyperlink>
    </w:p>
    <w:p w14:paraId="042B3FA7" w14:textId="3A4FD894" w:rsidR="002B7F7C" w:rsidRDefault="002B7F7C">
      <w:pPr>
        <w:pStyle w:val="TOC2"/>
        <w:rPr>
          <w:rFonts w:asciiTheme="minorHAnsi" w:eastAsiaTheme="minorEastAsia" w:hAnsiTheme="minorHAnsi"/>
          <w:noProof/>
          <w:color w:val="auto"/>
          <w:sz w:val="24"/>
        </w:rPr>
      </w:pPr>
      <w:hyperlink w:anchor="_Toc234334586" w:history="1">
        <w:r w:rsidRPr="00FB0F2E">
          <w:rPr>
            <w:rStyle w:val="Hyperlink"/>
            <w:rFonts w:cs="Cambria"/>
            <w:noProof/>
          </w:rPr>
          <w:t>8.4 Cyber Stability Monitoring</w:t>
        </w:r>
        <w:r>
          <w:rPr>
            <w:noProof/>
            <w:webHidden/>
          </w:rPr>
          <w:tab/>
        </w:r>
        <w:r>
          <w:rPr>
            <w:noProof/>
            <w:webHidden/>
          </w:rPr>
          <w:fldChar w:fldCharType="begin"/>
        </w:r>
        <w:r>
          <w:rPr>
            <w:noProof/>
            <w:webHidden/>
          </w:rPr>
          <w:instrText xml:space="preserve"> PAGEREF _Toc234334586 \h </w:instrText>
        </w:r>
        <w:r>
          <w:rPr>
            <w:noProof/>
            <w:webHidden/>
          </w:rPr>
        </w:r>
        <w:r>
          <w:rPr>
            <w:noProof/>
            <w:webHidden/>
          </w:rPr>
          <w:fldChar w:fldCharType="separate"/>
        </w:r>
        <w:r>
          <w:rPr>
            <w:noProof/>
            <w:webHidden/>
          </w:rPr>
          <w:t>34</w:t>
        </w:r>
        <w:r>
          <w:rPr>
            <w:noProof/>
            <w:webHidden/>
          </w:rPr>
          <w:fldChar w:fldCharType="end"/>
        </w:r>
      </w:hyperlink>
    </w:p>
    <w:p w14:paraId="0A358AB7" w14:textId="095B99A9" w:rsidR="002B7F7C" w:rsidRDefault="002B7F7C">
      <w:pPr>
        <w:pStyle w:val="TOC2"/>
        <w:rPr>
          <w:rFonts w:asciiTheme="minorHAnsi" w:eastAsiaTheme="minorEastAsia" w:hAnsiTheme="minorHAnsi"/>
          <w:noProof/>
          <w:color w:val="auto"/>
          <w:sz w:val="24"/>
        </w:rPr>
      </w:pPr>
      <w:hyperlink w:anchor="_Toc234334587" w:history="1">
        <w:r w:rsidRPr="00FB0F2E">
          <w:rPr>
            <w:rStyle w:val="Hyperlink"/>
            <w:rFonts w:cs="Cambria"/>
            <w:noProof/>
          </w:rPr>
          <w:t>8.5 Community Risk Dashboard</w:t>
        </w:r>
        <w:r>
          <w:rPr>
            <w:noProof/>
            <w:webHidden/>
          </w:rPr>
          <w:tab/>
        </w:r>
        <w:r>
          <w:rPr>
            <w:noProof/>
            <w:webHidden/>
          </w:rPr>
          <w:fldChar w:fldCharType="begin"/>
        </w:r>
        <w:r>
          <w:rPr>
            <w:noProof/>
            <w:webHidden/>
          </w:rPr>
          <w:instrText xml:space="preserve"> PAGEREF _Toc234334587 \h </w:instrText>
        </w:r>
        <w:r>
          <w:rPr>
            <w:noProof/>
            <w:webHidden/>
          </w:rPr>
        </w:r>
        <w:r>
          <w:rPr>
            <w:noProof/>
            <w:webHidden/>
          </w:rPr>
          <w:fldChar w:fldCharType="separate"/>
        </w:r>
        <w:r>
          <w:rPr>
            <w:noProof/>
            <w:webHidden/>
          </w:rPr>
          <w:t>34</w:t>
        </w:r>
        <w:r>
          <w:rPr>
            <w:noProof/>
            <w:webHidden/>
          </w:rPr>
          <w:fldChar w:fldCharType="end"/>
        </w:r>
      </w:hyperlink>
    </w:p>
    <w:p w14:paraId="431745ED" w14:textId="3F466EB7" w:rsidR="002B7F7C" w:rsidRDefault="002B7F7C">
      <w:pPr>
        <w:pStyle w:val="TOC2"/>
        <w:rPr>
          <w:rFonts w:asciiTheme="minorHAnsi" w:eastAsiaTheme="minorEastAsia" w:hAnsiTheme="minorHAnsi"/>
          <w:noProof/>
          <w:color w:val="auto"/>
          <w:sz w:val="24"/>
        </w:rPr>
      </w:pPr>
      <w:hyperlink w:anchor="_Toc234334588" w:history="1">
        <w:r w:rsidRPr="00FB0F2E">
          <w:rPr>
            <w:rStyle w:val="Hyperlink"/>
            <w:rFonts w:cs="Cambria"/>
            <w:noProof/>
          </w:rPr>
          <w:t>8.6 Formal Risk Register</w:t>
        </w:r>
        <w:r>
          <w:rPr>
            <w:noProof/>
            <w:webHidden/>
          </w:rPr>
          <w:tab/>
        </w:r>
        <w:r>
          <w:rPr>
            <w:noProof/>
            <w:webHidden/>
          </w:rPr>
          <w:fldChar w:fldCharType="begin"/>
        </w:r>
        <w:r>
          <w:rPr>
            <w:noProof/>
            <w:webHidden/>
          </w:rPr>
          <w:instrText xml:space="preserve"> PAGEREF _Toc234334588 \h </w:instrText>
        </w:r>
        <w:r>
          <w:rPr>
            <w:noProof/>
            <w:webHidden/>
          </w:rPr>
        </w:r>
        <w:r>
          <w:rPr>
            <w:noProof/>
            <w:webHidden/>
          </w:rPr>
          <w:fldChar w:fldCharType="separate"/>
        </w:r>
        <w:r>
          <w:rPr>
            <w:noProof/>
            <w:webHidden/>
          </w:rPr>
          <w:t>35</w:t>
        </w:r>
        <w:r>
          <w:rPr>
            <w:noProof/>
            <w:webHidden/>
          </w:rPr>
          <w:fldChar w:fldCharType="end"/>
        </w:r>
      </w:hyperlink>
    </w:p>
    <w:p w14:paraId="6EE27ED2" w14:textId="3233AC60" w:rsidR="002B7F7C" w:rsidRDefault="002B7F7C">
      <w:pPr>
        <w:pStyle w:val="TOC2"/>
        <w:rPr>
          <w:rFonts w:asciiTheme="minorHAnsi" w:eastAsiaTheme="minorEastAsia" w:hAnsiTheme="minorHAnsi"/>
          <w:noProof/>
          <w:color w:val="auto"/>
          <w:sz w:val="24"/>
        </w:rPr>
      </w:pPr>
      <w:hyperlink w:anchor="_Toc234334589" w:history="1">
        <w:r w:rsidRPr="00FB0F2E">
          <w:rPr>
            <w:rStyle w:val="Hyperlink"/>
            <w:rFonts w:cs="Cambria"/>
            <w:noProof/>
          </w:rPr>
          <w:t>8.7 Success Metrics</w:t>
        </w:r>
        <w:r>
          <w:rPr>
            <w:noProof/>
            <w:webHidden/>
          </w:rPr>
          <w:tab/>
        </w:r>
        <w:r>
          <w:rPr>
            <w:noProof/>
            <w:webHidden/>
          </w:rPr>
          <w:fldChar w:fldCharType="begin"/>
        </w:r>
        <w:r>
          <w:rPr>
            <w:noProof/>
            <w:webHidden/>
          </w:rPr>
          <w:instrText xml:space="preserve"> PAGEREF _Toc234334589 \h </w:instrText>
        </w:r>
        <w:r>
          <w:rPr>
            <w:noProof/>
            <w:webHidden/>
          </w:rPr>
        </w:r>
        <w:r>
          <w:rPr>
            <w:noProof/>
            <w:webHidden/>
          </w:rPr>
          <w:fldChar w:fldCharType="separate"/>
        </w:r>
        <w:r>
          <w:rPr>
            <w:noProof/>
            <w:webHidden/>
          </w:rPr>
          <w:t>35</w:t>
        </w:r>
        <w:r>
          <w:rPr>
            <w:noProof/>
            <w:webHidden/>
          </w:rPr>
          <w:fldChar w:fldCharType="end"/>
        </w:r>
      </w:hyperlink>
    </w:p>
    <w:p w14:paraId="02282372" w14:textId="63EA917F" w:rsidR="002B7F7C" w:rsidRDefault="002B7F7C">
      <w:pPr>
        <w:pStyle w:val="TOC2"/>
        <w:rPr>
          <w:rFonts w:asciiTheme="minorHAnsi" w:eastAsiaTheme="minorEastAsia" w:hAnsiTheme="minorHAnsi"/>
          <w:noProof/>
          <w:color w:val="auto"/>
          <w:sz w:val="24"/>
        </w:rPr>
      </w:pPr>
      <w:hyperlink w:anchor="_Toc234334590" w:history="1">
        <w:r w:rsidRPr="00FB0F2E">
          <w:rPr>
            <w:rStyle w:val="Hyperlink"/>
            <w:rFonts w:cs="Cambria"/>
            <w:noProof/>
          </w:rPr>
          <w:t>8.8 False Data Registry</w:t>
        </w:r>
        <w:r>
          <w:rPr>
            <w:noProof/>
            <w:webHidden/>
          </w:rPr>
          <w:tab/>
        </w:r>
        <w:r>
          <w:rPr>
            <w:noProof/>
            <w:webHidden/>
          </w:rPr>
          <w:fldChar w:fldCharType="begin"/>
        </w:r>
        <w:r>
          <w:rPr>
            <w:noProof/>
            <w:webHidden/>
          </w:rPr>
          <w:instrText xml:space="preserve"> PAGEREF _Toc234334590 \h </w:instrText>
        </w:r>
        <w:r>
          <w:rPr>
            <w:noProof/>
            <w:webHidden/>
          </w:rPr>
        </w:r>
        <w:r>
          <w:rPr>
            <w:noProof/>
            <w:webHidden/>
          </w:rPr>
          <w:fldChar w:fldCharType="separate"/>
        </w:r>
        <w:r>
          <w:rPr>
            <w:noProof/>
            <w:webHidden/>
          </w:rPr>
          <w:t>35</w:t>
        </w:r>
        <w:r>
          <w:rPr>
            <w:noProof/>
            <w:webHidden/>
          </w:rPr>
          <w:fldChar w:fldCharType="end"/>
        </w:r>
      </w:hyperlink>
    </w:p>
    <w:p w14:paraId="58E48848" w14:textId="0118167A" w:rsidR="002B7F7C" w:rsidRDefault="002B7F7C">
      <w:pPr>
        <w:pStyle w:val="TOC2"/>
        <w:rPr>
          <w:rFonts w:asciiTheme="minorHAnsi" w:eastAsiaTheme="minorEastAsia" w:hAnsiTheme="minorHAnsi"/>
          <w:noProof/>
          <w:color w:val="auto"/>
          <w:sz w:val="24"/>
        </w:rPr>
      </w:pPr>
      <w:hyperlink w:anchor="_Toc234334591" w:history="1">
        <w:r w:rsidRPr="00FB0F2E">
          <w:rPr>
            <w:rStyle w:val="Hyperlink"/>
            <w:rFonts w:cs="Cambria"/>
            <w:noProof/>
          </w:rPr>
          <w:t>8.9 Data Licensing and Independent Revenue</w:t>
        </w:r>
        <w:r>
          <w:rPr>
            <w:noProof/>
            <w:webHidden/>
          </w:rPr>
          <w:tab/>
        </w:r>
        <w:r>
          <w:rPr>
            <w:noProof/>
            <w:webHidden/>
          </w:rPr>
          <w:fldChar w:fldCharType="begin"/>
        </w:r>
        <w:r>
          <w:rPr>
            <w:noProof/>
            <w:webHidden/>
          </w:rPr>
          <w:instrText xml:space="preserve"> PAGEREF _Toc234334591 \h </w:instrText>
        </w:r>
        <w:r>
          <w:rPr>
            <w:noProof/>
            <w:webHidden/>
          </w:rPr>
        </w:r>
        <w:r>
          <w:rPr>
            <w:noProof/>
            <w:webHidden/>
          </w:rPr>
          <w:fldChar w:fldCharType="separate"/>
        </w:r>
        <w:r>
          <w:rPr>
            <w:noProof/>
            <w:webHidden/>
          </w:rPr>
          <w:t>36</w:t>
        </w:r>
        <w:r>
          <w:rPr>
            <w:noProof/>
            <w:webHidden/>
          </w:rPr>
          <w:fldChar w:fldCharType="end"/>
        </w:r>
      </w:hyperlink>
    </w:p>
    <w:p w14:paraId="524D1104" w14:textId="1EB8C30F" w:rsidR="002B7F7C" w:rsidRDefault="002B7F7C">
      <w:pPr>
        <w:pStyle w:val="TOC2"/>
        <w:rPr>
          <w:rFonts w:asciiTheme="minorHAnsi" w:eastAsiaTheme="minorEastAsia" w:hAnsiTheme="minorHAnsi"/>
          <w:noProof/>
          <w:color w:val="auto"/>
          <w:sz w:val="24"/>
        </w:rPr>
      </w:pPr>
      <w:hyperlink w:anchor="_Toc234334592" w:history="1">
        <w:r w:rsidRPr="00FB0F2E">
          <w:rPr>
            <w:rStyle w:val="Hyperlink"/>
            <w:rFonts w:cs="Cambria"/>
            <w:noProof/>
          </w:rPr>
          <w:t>8.10 Data Inadmissibility Shield</w:t>
        </w:r>
        <w:r>
          <w:rPr>
            <w:noProof/>
            <w:webHidden/>
          </w:rPr>
          <w:tab/>
        </w:r>
        <w:r>
          <w:rPr>
            <w:noProof/>
            <w:webHidden/>
          </w:rPr>
          <w:fldChar w:fldCharType="begin"/>
        </w:r>
        <w:r>
          <w:rPr>
            <w:noProof/>
            <w:webHidden/>
          </w:rPr>
          <w:instrText xml:space="preserve"> PAGEREF _Toc234334592 \h </w:instrText>
        </w:r>
        <w:r>
          <w:rPr>
            <w:noProof/>
            <w:webHidden/>
          </w:rPr>
        </w:r>
        <w:r>
          <w:rPr>
            <w:noProof/>
            <w:webHidden/>
          </w:rPr>
          <w:fldChar w:fldCharType="separate"/>
        </w:r>
        <w:r>
          <w:rPr>
            <w:noProof/>
            <w:webHidden/>
          </w:rPr>
          <w:t>36</w:t>
        </w:r>
        <w:r>
          <w:rPr>
            <w:noProof/>
            <w:webHidden/>
          </w:rPr>
          <w:fldChar w:fldCharType="end"/>
        </w:r>
      </w:hyperlink>
    </w:p>
    <w:p w14:paraId="7192B5A5" w14:textId="2CF55ACD" w:rsidR="002B7F7C" w:rsidRDefault="002B7F7C">
      <w:pPr>
        <w:pStyle w:val="TOC1"/>
        <w:rPr>
          <w:rFonts w:asciiTheme="minorHAnsi" w:eastAsiaTheme="minorEastAsia" w:hAnsiTheme="minorHAnsi"/>
          <w:b w:val="0"/>
          <w:noProof/>
          <w:color w:val="auto"/>
          <w:sz w:val="24"/>
        </w:rPr>
      </w:pPr>
      <w:hyperlink w:anchor="_Toc234334593" w:history="1">
        <w:r w:rsidRPr="00FB0F2E">
          <w:rPr>
            <w:rStyle w:val="Hyperlink"/>
            <w:rFonts w:cs="Cambria"/>
            <w:noProof/>
          </w:rPr>
          <w:t>Article 9: Rapid Response</w:t>
        </w:r>
        <w:r>
          <w:rPr>
            <w:noProof/>
            <w:webHidden/>
          </w:rPr>
          <w:tab/>
        </w:r>
        <w:r>
          <w:rPr>
            <w:noProof/>
            <w:webHidden/>
          </w:rPr>
          <w:fldChar w:fldCharType="begin"/>
        </w:r>
        <w:r>
          <w:rPr>
            <w:noProof/>
            <w:webHidden/>
          </w:rPr>
          <w:instrText xml:space="preserve"> PAGEREF _Toc234334593 \h </w:instrText>
        </w:r>
        <w:r>
          <w:rPr>
            <w:noProof/>
            <w:webHidden/>
          </w:rPr>
        </w:r>
        <w:r>
          <w:rPr>
            <w:noProof/>
            <w:webHidden/>
          </w:rPr>
          <w:fldChar w:fldCharType="separate"/>
        </w:r>
        <w:r>
          <w:rPr>
            <w:noProof/>
            <w:webHidden/>
          </w:rPr>
          <w:t>37</w:t>
        </w:r>
        <w:r>
          <w:rPr>
            <w:noProof/>
            <w:webHidden/>
          </w:rPr>
          <w:fldChar w:fldCharType="end"/>
        </w:r>
      </w:hyperlink>
    </w:p>
    <w:p w14:paraId="244F6A10" w14:textId="03350646" w:rsidR="002B7F7C" w:rsidRDefault="002B7F7C">
      <w:pPr>
        <w:pStyle w:val="TOC2"/>
        <w:rPr>
          <w:rFonts w:asciiTheme="minorHAnsi" w:eastAsiaTheme="minorEastAsia" w:hAnsiTheme="minorHAnsi"/>
          <w:noProof/>
          <w:color w:val="auto"/>
          <w:sz w:val="24"/>
        </w:rPr>
      </w:pPr>
      <w:hyperlink w:anchor="_Toc234334594" w:history="1">
        <w:r w:rsidRPr="00FB0F2E">
          <w:rPr>
            <w:rStyle w:val="Hyperlink"/>
            <w:rFonts w:cs="Cambria"/>
            <w:noProof/>
          </w:rPr>
          <w:t>9.1 Mediation</w:t>
        </w:r>
        <w:r>
          <w:rPr>
            <w:noProof/>
            <w:webHidden/>
          </w:rPr>
          <w:tab/>
        </w:r>
        <w:r>
          <w:rPr>
            <w:noProof/>
            <w:webHidden/>
          </w:rPr>
          <w:fldChar w:fldCharType="begin"/>
        </w:r>
        <w:r>
          <w:rPr>
            <w:noProof/>
            <w:webHidden/>
          </w:rPr>
          <w:instrText xml:space="preserve"> PAGEREF _Toc234334594 \h </w:instrText>
        </w:r>
        <w:r>
          <w:rPr>
            <w:noProof/>
            <w:webHidden/>
          </w:rPr>
        </w:r>
        <w:r>
          <w:rPr>
            <w:noProof/>
            <w:webHidden/>
          </w:rPr>
          <w:fldChar w:fldCharType="separate"/>
        </w:r>
        <w:r>
          <w:rPr>
            <w:noProof/>
            <w:webHidden/>
          </w:rPr>
          <w:t>37</w:t>
        </w:r>
        <w:r>
          <w:rPr>
            <w:noProof/>
            <w:webHidden/>
          </w:rPr>
          <w:fldChar w:fldCharType="end"/>
        </w:r>
      </w:hyperlink>
    </w:p>
    <w:p w14:paraId="15A4A9AD" w14:textId="097DC86E" w:rsidR="002B7F7C" w:rsidRDefault="002B7F7C">
      <w:pPr>
        <w:pStyle w:val="TOC2"/>
        <w:rPr>
          <w:rFonts w:asciiTheme="minorHAnsi" w:eastAsiaTheme="minorEastAsia" w:hAnsiTheme="minorHAnsi"/>
          <w:noProof/>
          <w:color w:val="auto"/>
          <w:sz w:val="24"/>
        </w:rPr>
      </w:pPr>
      <w:hyperlink w:anchor="_Toc234334595" w:history="1">
        <w:r w:rsidRPr="00FB0F2E">
          <w:rPr>
            <w:rStyle w:val="Hyperlink"/>
            <w:rFonts w:cs="Cambria"/>
            <w:noProof/>
          </w:rPr>
          <w:t>9.2 Fact Verification</w:t>
        </w:r>
        <w:r>
          <w:rPr>
            <w:noProof/>
            <w:webHidden/>
          </w:rPr>
          <w:tab/>
        </w:r>
        <w:r>
          <w:rPr>
            <w:noProof/>
            <w:webHidden/>
          </w:rPr>
          <w:fldChar w:fldCharType="begin"/>
        </w:r>
        <w:r>
          <w:rPr>
            <w:noProof/>
            <w:webHidden/>
          </w:rPr>
          <w:instrText xml:space="preserve"> PAGEREF _Toc234334595 \h </w:instrText>
        </w:r>
        <w:r>
          <w:rPr>
            <w:noProof/>
            <w:webHidden/>
          </w:rPr>
        </w:r>
        <w:r>
          <w:rPr>
            <w:noProof/>
            <w:webHidden/>
          </w:rPr>
          <w:fldChar w:fldCharType="separate"/>
        </w:r>
        <w:r>
          <w:rPr>
            <w:noProof/>
            <w:webHidden/>
          </w:rPr>
          <w:t>37</w:t>
        </w:r>
        <w:r>
          <w:rPr>
            <w:noProof/>
            <w:webHidden/>
          </w:rPr>
          <w:fldChar w:fldCharType="end"/>
        </w:r>
      </w:hyperlink>
    </w:p>
    <w:p w14:paraId="690E1EB9" w14:textId="54381D0C" w:rsidR="002B7F7C" w:rsidRDefault="002B7F7C">
      <w:pPr>
        <w:pStyle w:val="TOC2"/>
        <w:rPr>
          <w:rFonts w:asciiTheme="minorHAnsi" w:eastAsiaTheme="minorEastAsia" w:hAnsiTheme="minorHAnsi"/>
          <w:noProof/>
          <w:color w:val="auto"/>
          <w:sz w:val="24"/>
        </w:rPr>
      </w:pPr>
      <w:hyperlink w:anchor="_Toc234334596" w:history="1">
        <w:r w:rsidRPr="00FB0F2E">
          <w:rPr>
            <w:rStyle w:val="Hyperlink"/>
            <w:rFonts w:cs="Cambria"/>
            <w:noProof/>
          </w:rPr>
          <w:t>9.3 Humanitarian Coordination</w:t>
        </w:r>
        <w:r>
          <w:rPr>
            <w:noProof/>
            <w:webHidden/>
          </w:rPr>
          <w:tab/>
        </w:r>
        <w:r>
          <w:rPr>
            <w:noProof/>
            <w:webHidden/>
          </w:rPr>
          <w:fldChar w:fldCharType="begin"/>
        </w:r>
        <w:r>
          <w:rPr>
            <w:noProof/>
            <w:webHidden/>
          </w:rPr>
          <w:instrText xml:space="preserve"> PAGEREF _Toc234334596 \h </w:instrText>
        </w:r>
        <w:r>
          <w:rPr>
            <w:noProof/>
            <w:webHidden/>
          </w:rPr>
        </w:r>
        <w:r>
          <w:rPr>
            <w:noProof/>
            <w:webHidden/>
          </w:rPr>
          <w:fldChar w:fldCharType="separate"/>
        </w:r>
        <w:r>
          <w:rPr>
            <w:noProof/>
            <w:webHidden/>
          </w:rPr>
          <w:t>37</w:t>
        </w:r>
        <w:r>
          <w:rPr>
            <w:noProof/>
            <w:webHidden/>
          </w:rPr>
          <w:fldChar w:fldCharType="end"/>
        </w:r>
      </w:hyperlink>
    </w:p>
    <w:p w14:paraId="5DBD86FB" w14:textId="4B51D6E8" w:rsidR="002B7F7C" w:rsidRDefault="002B7F7C">
      <w:pPr>
        <w:pStyle w:val="TOC2"/>
        <w:rPr>
          <w:rFonts w:asciiTheme="minorHAnsi" w:eastAsiaTheme="minorEastAsia" w:hAnsiTheme="minorHAnsi"/>
          <w:noProof/>
          <w:color w:val="auto"/>
          <w:sz w:val="24"/>
        </w:rPr>
      </w:pPr>
      <w:hyperlink w:anchor="_Toc234334597" w:history="1">
        <w:r w:rsidRPr="00FB0F2E">
          <w:rPr>
            <w:rStyle w:val="Hyperlink"/>
            <w:rFonts w:cs="Cambria"/>
            <w:noProof/>
          </w:rPr>
          <w:t>9.4 De-escalation Recommendation</w:t>
        </w:r>
        <w:r>
          <w:rPr>
            <w:noProof/>
            <w:webHidden/>
          </w:rPr>
          <w:tab/>
        </w:r>
        <w:r>
          <w:rPr>
            <w:noProof/>
            <w:webHidden/>
          </w:rPr>
          <w:fldChar w:fldCharType="begin"/>
        </w:r>
        <w:r>
          <w:rPr>
            <w:noProof/>
            <w:webHidden/>
          </w:rPr>
          <w:instrText xml:space="preserve"> PAGEREF _Toc234334597 \h </w:instrText>
        </w:r>
        <w:r>
          <w:rPr>
            <w:noProof/>
            <w:webHidden/>
          </w:rPr>
        </w:r>
        <w:r>
          <w:rPr>
            <w:noProof/>
            <w:webHidden/>
          </w:rPr>
          <w:fldChar w:fldCharType="separate"/>
        </w:r>
        <w:r>
          <w:rPr>
            <w:noProof/>
            <w:webHidden/>
          </w:rPr>
          <w:t>37</w:t>
        </w:r>
        <w:r>
          <w:rPr>
            <w:noProof/>
            <w:webHidden/>
          </w:rPr>
          <w:fldChar w:fldCharType="end"/>
        </w:r>
      </w:hyperlink>
    </w:p>
    <w:p w14:paraId="4AF03AFA" w14:textId="4738CA1A" w:rsidR="002B7F7C" w:rsidRDefault="002B7F7C">
      <w:pPr>
        <w:pStyle w:val="TOC2"/>
        <w:rPr>
          <w:rFonts w:asciiTheme="minorHAnsi" w:eastAsiaTheme="minorEastAsia" w:hAnsiTheme="minorHAnsi"/>
          <w:noProof/>
          <w:color w:val="auto"/>
          <w:sz w:val="24"/>
        </w:rPr>
      </w:pPr>
      <w:hyperlink w:anchor="_Toc234334598" w:history="1">
        <w:r w:rsidRPr="00FB0F2E">
          <w:rPr>
            <w:rStyle w:val="Hyperlink"/>
            <w:rFonts w:cs="Cambria"/>
            <w:noProof/>
          </w:rPr>
          <w:t>9.5 Rapid Response Reserve</w:t>
        </w:r>
        <w:r>
          <w:rPr>
            <w:noProof/>
            <w:webHidden/>
          </w:rPr>
          <w:tab/>
        </w:r>
        <w:r>
          <w:rPr>
            <w:noProof/>
            <w:webHidden/>
          </w:rPr>
          <w:fldChar w:fldCharType="begin"/>
        </w:r>
        <w:r>
          <w:rPr>
            <w:noProof/>
            <w:webHidden/>
          </w:rPr>
          <w:instrText xml:space="preserve"> PAGEREF _Toc234334598 \h </w:instrText>
        </w:r>
        <w:r>
          <w:rPr>
            <w:noProof/>
            <w:webHidden/>
          </w:rPr>
        </w:r>
        <w:r>
          <w:rPr>
            <w:noProof/>
            <w:webHidden/>
          </w:rPr>
          <w:fldChar w:fldCharType="separate"/>
        </w:r>
        <w:r>
          <w:rPr>
            <w:noProof/>
            <w:webHidden/>
          </w:rPr>
          <w:t>37</w:t>
        </w:r>
        <w:r>
          <w:rPr>
            <w:noProof/>
            <w:webHidden/>
          </w:rPr>
          <w:fldChar w:fldCharType="end"/>
        </w:r>
      </w:hyperlink>
    </w:p>
    <w:p w14:paraId="7D1362F5" w14:textId="7D566722" w:rsidR="002B7F7C" w:rsidRDefault="002B7F7C">
      <w:pPr>
        <w:pStyle w:val="TOC2"/>
        <w:rPr>
          <w:rFonts w:asciiTheme="minorHAnsi" w:eastAsiaTheme="minorEastAsia" w:hAnsiTheme="minorHAnsi"/>
          <w:noProof/>
          <w:color w:val="auto"/>
          <w:sz w:val="24"/>
        </w:rPr>
      </w:pPr>
      <w:hyperlink w:anchor="_Toc234334599" w:history="1">
        <w:r w:rsidRPr="00FB0F2E">
          <w:rPr>
            <w:rStyle w:val="Hyperlink"/>
            <w:rFonts w:cs="Cambria"/>
            <w:noProof/>
          </w:rPr>
          <w:t>9.6 Joint Training Exercises</w:t>
        </w:r>
        <w:r>
          <w:rPr>
            <w:noProof/>
            <w:webHidden/>
          </w:rPr>
          <w:tab/>
        </w:r>
        <w:r>
          <w:rPr>
            <w:noProof/>
            <w:webHidden/>
          </w:rPr>
          <w:fldChar w:fldCharType="begin"/>
        </w:r>
        <w:r>
          <w:rPr>
            <w:noProof/>
            <w:webHidden/>
          </w:rPr>
          <w:instrText xml:space="preserve"> PAGEREF _Toc234334599 \h </w:instrText>
        </w:r>
        <w:r>
          <w:rPr>
            <w:noProof/>
            <w:webHidden/>
          </w:rPr>
        </w:r>
        <w:r>
          <w:rPr>
            <w:noProof/>
            <w:webHidden/>
          </w:rPr>
          <w:fldChar w:fldCharType="separate"/>
        </w:r>
        <w:r>
          <w:rPr>
            <w:noProof/>
            <w:webHidden/>
          </w:rPr>
          <w:t>38</w:t>
        </w:r>
        <w:r>
          <w:rPr>
            <w:noProof/>
            <w:webHidden/>
          </w:rPr>
          <w:fldChar w:fldCharType="end"/>
        </w:r>
      </w:hyperlink>
    </w:p>
    <w:p w14:paraId="6BC83E8C" w14:textId="2C322FD1" w:rsidR="002B7F7C" w:rsidRDefault="002B7F7C">
      <w:pPr>
        <w:pStyle w:val="TOC2"/>
        <w:rPr>
          <w:rFonts w:asciiTheme="minorHAnsi" w:eastAsiaTheme="minorEastAsia" w:hAnsiTheme="minorHAnsi"/>
          <w:noProof/>
          <w:color w:val="auto"/>
          <w:sz w:val="24"/>
        </w:rPr>
      </w:pPr>
      <w:hyperlink w:anchor="_Toc234334600" w:history="1">
        <w:r w:rsidRPr="00FB0F2E">
          <w:rPr>
            <w:rStyle w:val="Hyperlink"/>
            <w:rFonts w:cs="Cambria"/>
            <w:noProof/>
          </w:rPr>
          <w:t>9.7 Graceful Surge: Standby Alert Authority</w:t>
        </w:r>
        <w:r>
          <w:rPr>
            <w:noProof/>
            <w:webHidden/>
          </w:rPr>
          <w:tab/>
        </w:r>
        <w:r>
          <w:rPr>
            <w:noProof/>
            <w:webHidden/>
          </w:rPr>
          <w:fldChar w:fldCharType="begin"/>
        </w:r>
        <w:r>
          <w:rPr>
            <w:noProof/>
            <w:webHidden/>
          </w:rPr>
          <w:instrText xml:space="preserve"> PAGEREF _Toc234334600 \h </w:instrText>
        </w:r>
        <w:r>
          <w:rPr>
            <w:noProof/>
            <w:webHidden/>
          </w:rPr>
        </w:r>
        <w:r>
          <w:rPr>
            <w:noProof/>
            <w:webHidden/>
          </w:rPr>
          <w:fldChar w:fldCharType="separate"/>
        </w:r>
        <w:r>
          <w:rPr>
            <w:noProof/>
            <w:webHidden/>
          </w:rPr>
          <w:t>38</w:t>
        </w:r>
        <w:r>
          <w:rPr>
            <w:noProof/>
            <w:webHidden/>
          </w:rPr>
          <w:fldChar w:fldCharType="end"/>
        </w:r>
      </w:hyperlink>
    </w:p>
    <w:p w14:paraId="7C147046" w14:textId="583647F2" w:rsidR="002B7F7C" w:rsidRDefault="002B7F7C">
      <w:pPr>
        <w:pStyle w:val="TOC2"/>
        <w:rPr>
          <w:rFonts w:asciiTheme="minorHAnsi" w:eastAsiaTheme="minorEastAsia" w:hAnsiTheme="minorHAnsi"/>
          <w:noProof/>
          <w:color w:val="auto"/>
          <w:sz w:val="24"/>
        </w:rPr>
      </w:pPr>
      <w:hyperlink w:anchor="_Toc234334601" w:history="1">
        <w:r w:rsidRPr="00FB0F2E">
          <w:rPr>
            <w:rStyle w:val="Hyperlink"/>
            <w:rFonts w:cs="Cambria"/>
            <w:noProof/>
          </w:rPr>
          <w:t>9.8 Personal Liaison Networks</w:t>
        </w:r>
        <w:r>
          <w:rPr>
            <w:noProof/>
            <w:webHidden/>
          </w:rPr>
          <w:tab/>
        </w:r>
        <w:r>
          <w:rPr>
            <w:noProof/>
            <w:webHidden/>
          </w:rPr>
          <w:fldChar w:fldCharType="begin"/>
        </w:r>
        <w:r>
          <w:rPr>
            <w:noProof/>
            <w:webHidden/>
          </w:rPr>
          <w:instrText xml:space="preserve"> PAGEREF _Toc234334601 \h </w:instrText>
        </w:r>
        <w:r>
          <w:rPr>
            <w:noProof/>
            <w:webHidden/>
          </w:rPr>
        </w:r>
        <w:r>
          <w:rPr>
            <w:noProof/>
            <w:webHidden/>
          </w:rPr>
          <w:fldChar w:fldCharType="separate"/>
        </w:r>
        <w:r>
          <w:rPr>
            <w:noProof/>
            <w:webHidden/>
          </w:rPr>
          <w:t>38</w:t>
        </w:r>
        <w:r>
          <w:rPr>
            <w:noProof/>
            <w:webHidden/>
          </w:rPr>
          <w:fldChar w:fldCharType="end"/>
        </w:r>
      </w:hyperlink>
    </w:p>
    <w:p w14:paraId="37243187" w14:textId="154F3AAB" w:rsidR="002B7F7C" w:rsidRDefault="002B7F7C">
      <w:pPr>
        <w:pStyle w:val="TOC2"/>
        <w:rPr>
          <w:rFonts w:asciiTheme="minorHAnsi" w:eastAsiaTheme="minorEastAsia" w:hAnsiTheme="minorHAnsi"/>
          <w:noProof/>
          <w:color w:val="auto"/>
          <w:sz w:val="24"/>
        </w:rPr>
      </w:pPr>
      <w:hyperlink w:anchor="_Toc234334602" w:history="1">
        <w:r w:rsidRPr="00FB0F2E">
          <w:rPr>
            <w:rStyle w:val="Hyperlink"/>
            <w:rFonts w:cs="Cambria"/>
            <w:noProof/>
          </w:rPr>
          <w:t>9.9 Permanent Crisis Liaison Officers</w:t>
        </w:r>
        <w:r>
          <w:rPr>
            <w:noProof/>
            <w:webHidden/>
          </w:rPr>
          <w:tab/>
        </w:r>
        <w:r>
          <w:rPr>
            <w:noProof/>
            <w:webHidden/>
          </w:rPr>
          <w:fldChar w:fldCharType="begin"/>
        </w:r>
        <w:r>
          <w:rPr>
            <w:noProof/>
            <w:webHidden/>
          </w:rPr>
          <w:instrText xml:space="preserve"> PAGEREF _Toc234334602 \h </w:instrText>
        </w:r>
        <w:r>
          <w:rPr>
            <w:noProof/>
            <w:webHidden/>
          </w:rPr>
        </w:r>
        <w:r>
          <w:rPr>
            <w:noProof/>
            <w:webHidden/>
          </w:rPr>
          <w:fldChar w:fldCharType="separate"/>
        </w:r>
        <w:r>
          <w:rPr>
            <w:noProof/>
            <w:webHidden/>
          </w:rPr>
          <w:t>38</w:t>
        </w:r>
        <w:r>
          <w:rPr>
            <w:noProof/>
            <w:webHidden/>
          </w:rPr>
          <w:fldChar w:fldCharType="end"/>
        </w:r>
      </w:hyperlink>
    </w:p>
    <w:p w14:paraId="028CEAE1" w14:textId="25F880CF" w:rsidR="002B7F7C" w:rsidRDefault="002B7F7C">
      <w:pPr>
        <w:pStyle w:val="TOC2"/>
        <w:rPr>
          <w:rFonts w:asciiTheme="minorHAnsi" w:eastAsiaTheme="minorEastAsia" w:hAnsiTheme="minorHAnsi"/>
          <w:noProof/>
          <w:color w:val="auto"/>
          <w:sz w:val="24"/>
        </w:rPr>
      </w:pPr>
      <w:hyperlink w:anchor="_Toc234334603" w:history="1">
        <w:r w:rsidRPr="00FB0F2E">
          <w:rPr>
            <w:rStyle w:val="Hyperlink"/>
            <w:rFonts w:cs="Cambria"/>
            <w:noProof/>
          </w:rPr>
          <w:t>9.10 Shuttle Mediation Teams</w:t>
        </w:r>
        <w:r>
          <w:rPr>
            <w:noProof/>
            <w:webHidden/>
          </w:rPr>
          <w:tab/>
        </w:r>
        <w:r>
          <w:rPr>
            <w:noProof/>
            <w:webHidden/>
          </w:rPr>
          <w:fldChar w:fldCharType="begin"/>
        </w:r>
        <w:r>
          <w:rPr>
            <w:noProof/>
            <w:webHidden/>
          </w:rPr>
          <w:instrText xml:space="preserve"> PAGEREF _Toc234334603 \h </w:instrText>
        </w:r>
        <w:r>
          <w:rPr>
            <w:noProof/>
            <w:webHidden/>
          </w:rPr>
        </w:r>
        <w:r>
          <w:rPr>
            <w:noProof/>
            <w:webHidden/>
          </w:rPr>
          <w:fldChar w:fldCharType="separate"/>
        </w:r>
        <w:r>
          <w:rPr>
            <w:noProof/>
            <w:webHidden/>
          </w:rPr>
          <w:t>39</w:t>
        </w:r>
        <w:r>
          <w:rPr>
            <w:noProof/>
            <w:webHidden/>
          </w:rPr>
          <w:fldChar w:fldCharType="end"/>
        </w:r>
      </w:hyperlink>
    </w:p>
    <w:p w14:paraId="731B5D40" w14:textId="4233A5A2" w:rsidR="002B7F7C" w:rsidRDefault="002B7F7C">
      <w:pPr>
        <w:pStyle w:val="TOC2"/>
        <w:rPr>
          <w:rFonts w:asciiTheme="minorHAnsi" w:eastAsiaTheme="minorEastAsia" w:hAnsiTheme="minorHAnsi"/>
          <w:noProof/>
          <w:color w:val="auto"/>
          <w:sz w:val="24"/>
        </w:rPr>
      </w:pPr>
      <w:hyperlink w:anchor="_Toc234334604" w:history="1">
        <w:r w:rsidRPr="00FB0F2E">
          <w:rPr>
            <w:rStyle w:val="Hyperlink"/>
            <w:rFonts w:cs="Cambria"/>
            <w:noProof/>
          </w:rPr>
          <w:t>9.11 Misunderstanding Resolution Missions</w:t>
        </w:r>
        <w:r>
          <w:rPr>
            <w:noProof/>
            <w:webHidden/>
          </w:rPr>
          <w:tab/>
        </w:r>
        <w:r>
          <w:rPr>
            <w:noProof/>
            <w:webHidden/>
          </w:rPr>
          <w:fldChar w:fldCharType="begin"/>
        </w:r>
        <w:r>
          <w:rPr>
            <w:noProof/>
            <w:webHidden/>
          </w:rPr>
          <w:instrText xml:space="preserve"> PAGEREF _Toc234334604 \h </w:instrText>
        </w:r>
        <w:r>
          <w:rPr>
            <w:noProof/>
            <w:webHidden/>
          </w:rPr>
        </w:r>
        <w:r>
          <w:rPr>
            <w:noProof/>
            <w:webHidden/>
          </w:rPr>
          <w:fldChar w:fldCharType="separate"/>
        </w:r>
        <w:r>
          <w:rPr>
            <w:noProof/>
            <w:webHidden/>
          </w:rPr>
          <w:t>39</w:t>
        </w:r>
        <w:r>
          <w:rPr>
            <w:noProof/>
            <w:webHidden/>
          </w:rPr>
          <w:fldChar w:fldCharType="end"/>
        </w:r>
      </w:hyperlink>
    </w:p>
    <w:p w14:paraId="7BD56433" w14:textId="32F4EBA0" w:rsidR="002B7F7C" w:rsidRDefault="002B7F7C">
      <w:pPr>
        <w:pStyle w:val="TOC2"/>
        <w:rPr>
          <w:rFonts w:asciiTheme="minorHAnsi" w:eastAsiaTheme="minorEastAsia" w:hAnsiTheme="minorHAnsi"/>
          <w:noProof/>
          <w:color w:val="auto"/>
          <w:sz w:val="24"/>
        </w:rPr>
      </w:pPr>
      <w:hyperlink w:anchor="_Toc234334605" w:history="1">
        <w:r w:rsidRPr="00FB0F2E">
          <w:rPr>
            <w:rStyle w:val="Hyperlink"/>
            <w:rFonts w:cs="Cambria"/>
            <w:noProof/>
          </w:rPr>
          <w:t>9.12 Preventer Reputation System</w:t>
        </w:r>
        <w:r>
          <w:rPr>
            <w:noProof/>
            <w:webHidden/>
          </w:rPr>
          <w:tab/>
        </w:r>
        <w:r>
          <w:rPr>
            <w:noProof/>
            <w:webHidden/>
          </w:rPr>
          <w:fldChar w:fldCharType="begin"/>
        </w:r>
        <w:r>
          <w:rPr>
            <w:noProof/>
            <w:webHidden/>
          </w:rPr>
          <w:instrText xml:space="preserve"> PAGEREF _Toc234334605 \h </w:instrText>
        </w:r>
        <w:r>
          <w:rPr>
            <w:noProof/>
            <w:webHidden/>
          </w:rPr>
        </w:r>
        <w:r>
          <w:rPr>
            <w:noProof/>
            <w:webHidden/>
          </w:rPr>
          <w:fldChar w:fldCharType="separate"/>
        </w:r>
        <w:r>
          <w:rPr>
            <w:noProof/>
            <w:webHidden/>
          </w:rPr>
          <w:t>39</w:t>
        </w:r>
        <w:r>
          <w:rPr>
            <w:noProof/>
            <w:webHidden/>
          </w:rPr>
          <w:fldChar w:fldCharType="end"/>
        </w:r>
      </w:hyperlink>
    </w:p>
    <w:p w14:paraId="4471E459" w14:textId="174E43CD" w:rsidR="002B7F7C" w:rsidRDefault="002B7F7C">
      <w:pPr>
        <w:pStyle w:val="TOC2"/>
        <w:rPr>
          <w:rFonts w:asciiTheme="minorHAnsi" w:eastAsiaTheme="minorEastAsia" w:hAnsiTheme="minorHAnsi"/>
          <w:noProof/>
          <w:color w:val="auto"/>
          <w:sz w:val="24"/>
        </w:rPr>
      </w:pPr>
      <w:hyperlink w:anchor="_Toc234334606" w:history="1">
        <w:r w:rsidRPr="00FB0F2E">
          <w:rPr>
            <w:rStyle w:val="Hyperlink"/>
            <w:rFonts w:cs="Cambria"/>
            <w:noProof/>
          </w:rPr>
          <w:t>9.13 Civil Society Channel</w:t>
        </w:r>
        <w:r>
          <w:rPr>
            <w:noProof/>
            <w:webHidden/>
          </w:rPr>
          <w:tab/>
        </w:r>
        <w:r>
          <w:rPr>
            <w:noProof/>
            <w:webHidden/>
          </w:rPr>
          <w:fldChar w:fldCharType="begin"/>
        </w:r>
        <w:r>
          <w:rPr>
            <w:noProof/>
            <w:webHidden/>
          </w:rPr>
          <w:instrText xml:space="preserve"> PAGEREF _Toc234334606 \h </w:instrText>
        </w:r>
        <w:r>
          <w:rPr>
            <w:noProof/>
            <w:webHidden/>
          </w:rPr>
        </w:r>
        <w:r>
          <w:rPr>
            <w:noProof/>
            <w:webHidden/>
          </w:rPr>
          <w:fldChar w:fldCharType="separate"/>
        </w:r>
        <w:r>
          <w:rPr>
            <w:noProof/>
            <w:webHidden/>
          </w:rPr>
          <w:t>40</w:t>
        </w:r>
        <w:r>
          <w:rPr>
            <w:noProof/>
            <w:webHidden/>
          </w:rPr>
          <w:fldChar w:fldCharType="end"/>
        </w:r>
      </w:hyperlink>
    </w:p>
    <w:p w14:paraId="605212DB" w14:textId="00718B89" w:rsidR="002B7F7C" w:rsidRDefault="002B7F7C">
      <w:pPr>
        <w:pStyle w:val="TOC2"/>
        <w:rPr>
          <w:rFonts w:asciiTheme="minorHAnsi" w:eastAsiaTheme="minorEastAsia" w:hAnsiTheme="minorHAnsi"/>
          <w:noProof/>
          <w:color w:val="auto"/>
          <w:sz w:val="24"/>
        </w:rPr>
      </w:pPr>
      <w:hyperlink w:anchor="_Toc234334607" w:history="1">
        <w:r w:rsidRPr="00FB0F2E">
          <w:rPr>
            <w:rStyle w:val="Hyperlink"/>
            <w:rFonts w:cs="Cambria"/>
            <w:noProof/>
          </w:rPr>
          <w:t>9.14 Rapid Clarification Missions</w:t>
        </w:r>
        <w:r>
          <w:rPr>
            <w:noProof/>
            <w:webHidden/>
          </w:rPr>
          <w:tab/>
        </w:r>
        <w:r>
          <w:rPr>
            <w:noProof/>
            <w:webHidden/>
          </w:rPr>
          <w:fldChar w:fldCharType="begin"/>
        </w:r>
        <w:r>
          <w:rPr>
            <w:noProof/>
            <w:webHidden/>
          </w:rPr>
          <w:instrText xml:space="preserve"> PAGEREF _Toc234334607 \h </w:instrText>
        </w:r>
        <w:r>
          <w:rPr>
            <w:noProof/>
            <w:webHidden/>
          </w:rPr>
        </w:r>
        <w:r>
          <w:rPr>
            <w:noProof/>
            <w:webHidden/>
          </w:rPr>
          <w:fldChar w:fldCharType="separate"/>
        </w:r>
        <w:r>
          <w:rPr>
            <w:noProof/>
            <w:webHidden/>
          </w:rPr>
          <w:t>40</w:t>
        </w:r>
        <w:r>
          <w:rPr>
            <w:noProof/>
            <w:webHidden/>
          </w:rPr>
          <w:fldChar w:fldCharType="end"/>
        </w:r>
      </w:hyperlink>
    </w:p>
    <w:p w14:paraId="47AA444F" w14:textId="4545A4DB" w:rsidR="002B7F7C" w:rsidRDefault="002B7F7C">
      <w:pPr>
        <w:pStyle w:val="TOC2"/>
        <w:rPr>
          <w:rFonts w:asciiTheme="minorHAnsi" w:eastAsiaTheme="minorEastAsia" w:hAnsiTheme="minorHAnsi"/>
          <w:noProof/>
          <w:color w:val="auto"/>
          <w:sz w:val="24"/>
        </w:rPr>
      </w:pPr>
      <w:hyperlink w:anchor="_Toc234334608" w:history="1">
        <w:r w:rsidRPr="00FB0F2E">
          <w:rPr>
            <w:rStyle w:val="Hyperlink"/>
            <w:rFonts w:cs="Cambria"/>
            <w:noProof/>
          </w:rPr>
          <w:t>9.15 Incident Clarification Mechanism</w:t>
        </w:r>
        <w:r>
          <w:rPr>
            <w:noProof/>
            <w:webHidden/>
          </w:rPr>
          <w:tab/>
        </w:r>
        <w:r>
          <w:rPr>
            <w:noProof/>
            <w:webHidden/>
          </w:rPr>
          <w:fldChar w:fldCharType="begin"/>
        </w:r>
        <w:r>
          <w:rPr>
            <w:noProof/>
            <w:webHidden/>
          </w:rPr>
          <w:instrText xml:space="preserve"> PAGEREF _Toc234334608 \h </w:instrText>
        </w:r>
        <w:r>
          <w:rPr>
            <w:noProof/>
            <w:webHidden/>
          </w:rPr>
        </w:r>
        <w:r>
          <w:rPr>
            <w:noProof/>
            <w:webHidden/>
          </w:rPr>
          <w:fldChar w:fldCharType="separate"/>
        </w:r>
        <w:r>
          <w:rPr>
            <w:noProof/>
            <w:webHidden/>
          </w:rPr>
          <w:t>40</w:t>
        </w:r>
        <w:r>
          <w:rPr>
            <w:noProof/>
            <w:webHidden/>
          </w:rPr>
          <w:fldChar w:fldCharType="end"/>
        </w:r>
      </w:hyperlink>
    </w:p>
    <w:p w14:paraId="6A0B61FD" w14:textId="6AD2D977" w:rsidR="002B7F7C" w:rsidRDefault="002B7F7C">
      <w:pPr>
        <w:pStyle w:val="TOC2"/>
        <w:rPr>
          <w:rFonts w:asciiTheme="minorHAnsi" w:eastAsiaTheme="minorEastAsia" w:hAnsiTheme="minorHAnsi"/>
          <w:noProof/>
          <w:color w:val="auto"/>
          <w:sz w:val="24"/>
        </w:rPr>
      </w:pPr>
      <w:hyperlink w:anchor="_Toc234334609" w:history="1">
        <w:r w:rsidRPr="00FB0F2E">
          <w:rPr>
            <w:rStyle w:val="Hyperlink"/>
            <w:rFonts w:cs="Cambria"/>
            <w:noProof/>
          </w:rPr>
          <w:t>9.16 Preventer Posture and Credentials</w:t>
        </w:r>
        <w:r>
          <w:rPr>
            <w:noProof/>
            <w:webHidden/>
          </w:rPr>
          <w:tab/>
        </w:r>
        <w:r>
          <w:rPr>
            <w:noProof/>
            <w:webHidden/>
          </w:rPr>
          <w:fldChar w:fldCharType="begin"/>
        </w:r>
        <w:r>
          <w:rPr>
            <w:noProof/>
            <w:webHidden/>
          </w:rPr>
          <w:instrText xml:space="preserve"> PAGEREF _Toc234334609 \h </w:instrText>
        </w:r>
        <w:r>
          <w:rPr>
            <w:noProof/>
            <w:webHidden/>
          </w:rPr>
        </w:r>
        <w:r>
          <w:rPr>
            <w:noProof/>
            <w:webHidden/>
          </w:rPr>
          <w:fldChar w:fldCharType="separate"/>
        </w:r>
        <w:r>
          <w:rPr>
            <w:noProof/>
            <w:webHidden/>
          </w:rPr>
          <w:t>41</w:t>
        </w:r>
        <w:r>
          <w:rPr>
            <w:noProof/>
            <w:webHidden/>
          </w:rPr>
          <w:fldChar w:fldCharType="end"/>
        </w:r>
      </w:hyperlink>
    </w:p>
    <w:p w14:paraId="51BB1833" w14:textId="788B0342" w:rsidR="002B7F7C" w:rsidRDefault="002B7F7C">
      <w:pPr>
        <w:pStyle w:val="TOC2"/>
        <w:rPr>
          <w:rFonts w:asciiTheme="minorHAnsi" w:eastAsiaTheme="minorEastAsia" w:hAnsiTheme="minorHAnsi"/>
          <w:noProof/>
          <w:color w:val="auto"/>
          <w:sz w:val="24"/>
        </w:rPr>
      </w:pPr>
      <w:hyperlink w:anchor="_Toc234334610" w:history="1">
        <w:r w:rsidRPr="00FB0F2E">
          <w:rPr>
            <w:rStyle w:val="Hyperlink"/>
            <w:rFonts w:cs="Cambria"/>
            <w:noProof/>
          </w:rPr>
          <w:t>9.17 Cooling Measure Recommendations</w:t>
        </w:r>
        <w:r>
          <w:rPr>
            <w:noProof/>
            <w:webHidden/>
          </w:rPr>
          <w:tab/>
        </w:r>
        <w:r>
          <w:rPr>
            <w:noProof/>
            <w:webHidden/>
          </w:rPr>
          <w:fldChar w:fldCharType="begin"/>
        </w:r>
        <w:r>
          <w:rPr>
            <w:noProof/>
            <w:webHidden/>
          </w:rPr>
          <w:instrText xml:space="preserve"> PAGEREF _Toc234334610 \h </w:instrText>
        </w:r>
        <w:r>
          <w:rPr>
            <w:noProof/>
            <w:webHidden/>
          </w:rPr>
        </w:r>
        <w:r>
          <w:rPr>
            <w:noProof/>
            <w:webHidden/>
          </w:rPr>
          <w:fldChar w:fldCharType="separate"/>
        </w:r>
        <w:r>
          <w:rPr>
            <w:noProof/>
            <w:webHidden/>
          </w:rPr>
          <w:t>41</w:t>
        </w:r>
        <w:r>
          <w:rPr>
            <w:noProof/>
            <w:webHidden/>
          </w:rPr>
          <w:fldChar w:fldCharType="end"/>
        </w:r>
      </w:hyperlink>
    </w:p>
    <w:p w14:paraId="119C4EF2" w14:textId="5C53BCFA" w:rsidR="002B7F7C" w:rsidRDefault="002B7F7C">
      <w:pPr>
        <w:pStyle w:val="TOC2"/>
        <w:rPr>
          <w:rFonts w:asciiTheme="minorHAnsi" w:eastAsiaTheme="minorEastAsia" w:hAnsiTheme="minorHAnsi"/>
          <w:noProof/>
          <w:color w:val="auto"/>
          <w:sz w:val="24"/>
        </w:rPr>
      </w:pPr>
      <w:hyperlink w:anchor="_Toc234334611" w:history="1">
        <w:r w:rsidRPr="00FB0F2E">
          <w:rPr>
            <w:rStyle w:val="Hyperlink"/>
            <w:rFonts w:cs="Cambria"/>
            <w:noProof/>
          </w:rPr>
          <w:t>9.18 Relationship Maintenance Mandate</w:t>
        </w:r>
        <w:r>
          <w:rPr>
            <w:noProof/>
            <w:webHidden/>
          </w:rPr>
          <w:tab/>
        </w:r>
        <w:r>
          <w:rPr>
            <w:noProof/>
            <w:webHidden/>
          </w:rPr>
          <w:fldChar w:fldCharType="begin"/>
        </w:r>
        <w:r>
          <w:rPr>
            <w:noProof/>
            <w:webHidden/>
          </w:rPr>
          <w:instrText xml:space="preserve"> PAGEREF _Toc234334611 \h </w:instrText>
        </w:r>
        <w:r>
          <w:rPr>
            <w:noProof/>
            <w:webHidden/>
          </w:rPr>
        </w:r>
        <w:r>
          <w:rPr>
            <w:noProof/>
            <w:webHidden/>
          </w:rPr>
          <w:fldChar w:fldCharType="separate"/>
        </w:r>
        <w:r>
          <w:rPr>
            <w:noProof/>
            <w:webHidden/>
          </w:rPr>
          <w:t>41</w:t>
        </w:r>
        <w:r>
          <w:rPr>
            <w:noProof/>
            <w:webHidden/>
          </w:rPr>
          <w:fldChar w:fldCharType="end"/>
        </w:r>
      </w:hyperlink>
    </w:p>
    <w:p w14:paraId="348D5B67" w14:textId="07E070AF" w:rsidR="002B7F7C" w:rsidRDefault="002B7F7C">
      <w:pPr>
        <w:pStyle w:val="TOC1"/>
        <w:rPr>
          <w:rFonts w:asciiTheme="minorHAnsi" w:eastAsiaTheme="minorEastAsia" w:hAnsiTheme="minorHAnsi"/>
          <w:b w:val="0"/>
          <w:noProof/>
          <w:color w:val="auto"/>
          <w:sz w:val="24"/>
        </w:rPr>
      </w:pPr>
      <w:hyperlink w:anchor="_Toc234334612" w:history="1">
        <w:r w:rsidRPr="00FB0F2E">
          <w:rPr>
            <w:rStyle w:val="Hyperlink"/>
            <w:rFonts w:cs="Cambria"/>
            <w:noProof/>
          </w:rPr>
          <w:t>Article 10: Sovereignty Safeguards</w:t>
        </w:r>
        <w:r>
          <w:rPr>
            <w:noProof/>
            <w:webHidden/>
          </w:rPr>
          <w:tab/>
        </w:r>
        <w:r>
          <w:rPr>
            <w:noProof/>
            <w:webHidden/>
          </w:rPr>
          <w:fldChar w:fldCharType="begin"/>
        </w:r>
        <w:r>
          <w:rPr>
            <w:noProof/>
            <w:webHidden/>
          </w:rPr>
          <w:instrText xml:space="preserve"> PAGEREF _Toc234334612 \h </w:instrText>
        </w:r>
        <w:r>
          <w:rPr>
            <w:noProof/>
            <w:webHidden/>
          </w:rPr>
        </w:r>
        <w:r>
          <w:rPr>
            <w:noProof/>
            <w:webHidden/>
          </w:rPr>
          <w:fldChar w:fldCharType="separate"/>
        </w:r>
        <w:r>
          <w:rPr>
            <w:noProof/>
            <w:webHidden/>
          </w:rPr>
          <w:t>42</w:t>
        </w:r>
        <w:r>
          <w:rPr>
            <w:noProof/>
            <w:webHidden/>
          </w:rPr>
          <w:fldChar w:fldCharType="end"/>
        </w:r>
      </w:hyperlink>
    </w:p>
    <w:p w14:paraId="2DF84ED1" w14:textId="2F5D4383" w:rsidR="002B7F7C" w:rsidRDefault="002B7F7C">
      <w:pPr>
        <w:pStyle w:val="TOC2"/>
        <w:rPr>
          <w:rFonts w:asciiTheme="minorHAnsi" w:eastAsiaTheme="minorEastAsia" w:hAnsiTheme="minorHAnsi"/>
          <w:noProof/>
          <w:color w:val="auto"/>
          <w:sz w:val="24"/>
        </w:rPr>
      </w:pPr>
      <w:hyperlink w:anchor="_Toc234334613" w:history="1">
        <w:r w:rsidRPr="00FB0F2E">
          <w:rPr>
            <w:rStyle w:val="Hyperlink"/>
            <w:rFonts w:cs="Cambria"/>
            <w:noProof/>
          </w:rPr>
          <w:t>10.1 Institutional Independence</w:t>
        </w:r>
        <w:r>
          <w:rPr>
            <w:noProof/>
            <w:webHidden/>
          </w:rPr>
          <w:tab/>
        </w:r>
        <w:r>
          <w:rPr>
            <w:noProof/>
            <w:webHidden/>
          </w:rPr>
          <w:fldChar w:fldCharType="begin"/>
        </w:r>
        <w:r>
          <w:rPr>
            <w:noProof/>
            <w:webHidden/>
          </w:rPr>
          <w:instrText xml:space="preserve"> PAGEREF _Toc234334613 \h </w:instrText>
        </w:r>
        <w:r>
          <w:rPr>
            <w:noProof/>
            <w:webHidden/>
          </w:rPr>
        </w:r>
        <w:r>
          <w:rPr>
            <w:noProof/>
            <w:webHidden/>
          </w:rPr>
          <w:fldChar w:fldCharType="separate"/>
        </w:r>
        <w:r>
          <w:rPr>
            <w:noProof/>
            <w:webHidden/>
          </w:rPr>
          <w:t>43</w:t>
        </w:r>
        <w:r>
          <w:rPr>
            <w:noProof/>
            <w:webHidden/>
          </w:rPr>
          <w:fldChar w:fldCharType="end"/>
        </w:r>
      </w:hyperlink>
    </w:p>
    <w:p w14:paraId="29F47DF2" w14:textId="4C2AE22E" w:rsidR="002B7F7C" w:rsidRDefault="002B7F7C">
      <w:pPr>
        <w:pStyle w:val="TOC2"/>
        <w:rPr>
          <w:rFonts w:asciiTheme="minorHAnsi" w:eastAsiaTheme="minorEastAsia" w:hAnsiTheme="minorHAnsi"/>
          <w:noProof/>
          <w:color w:val="auto"/>
          <w:sz w:val="24"/>
        </w:rPr>
      </w:pPr>
      <w:hyperlink w:anchor="_Toc234334614" w:history="1">
        <w:r w:rsidRPr="00FB0F2E">
          <w:rPr>
            <w:rStyle w:val="Hyperlink"/>
            <w:rFonts w:cs="Cambria"/>
            <w:noProof/>
          </w:rPr>
          <w:t>10.2 Rolling Horizon Mandate</w:t>
        </w:r>
        <w:r>
          <w:rPr>
            <w:noProof/>
            <w:webHidden/>
          </w:rPr>
          <w:tab/>
        </w:r>
        <w:r>
          <w:rPr>
            <w:noProof/>
            <w:webHidden/>
          </w:rPr>
          <w:fldChar w:fldCharType="begin"/>
        </w:r>
        <w:r>
          <w:rPr>
            <w:noProof/>
            <w:webHidden/>
          </w:rPr>
          <w:instrText xml:space="preserve"> PAGEREF _Toc234334614 \h </w:instrText>
        </w:r>
        <w:r>
          <w:rPr>
            <w:noProof/>
            <w:webHidden/>
          </w:rPr>
        </w:r>
        <w:r>
          <w:rPr>
            <w:noProof/>
            <w:webHidden/>
          </w:rPr>
          <w:fldChar w:fldCharType="separate"/>
        </w:r>
        <w:r>
          <w:rPr>
            <w:noProof/>
            <w:webHidden/>
          </w:rPr>
          <w:t>43</w:t>
        </w:r>
        <w:r>
          <w:rPr>
            <w:noProof/>
            <w:webHidden/>
          </w:rPr>
          <w:fldChar w:fldCharType="end"/>
        </w:r>
      </w:hyperlink>
    </w:p>
    <w:p w14:paraId="23907479" w14:textId="75ED3509" w:rsidR="002B7F7C" w:rsidRDefault="002B7F7C">
      <w:pPr>
        <w:pStyle w:val="TOC2"/>
        <w:rPr>
          <w:rFonts w:asciiTheme="minorHAnsi" w:eastAsiaTheme="minorEastAsia" w:hAnsiTheme="minorHAnsi"/>
          <w:noProof/>
          <w:color w:val="auto"/>
          <w:sz w:val="24"/>
        </w:rPr>
      </w:pPr>
      <w:hyperlink w:anchor="_Toc234334615" w:history="1">
        <w:r w:rsidRPr="00FB0F2E">
          <w:rPr>
            <w:rStyle w:val="Hyperlink"/>
            <w:rFonts w:cs="Cambria"/>
            <w:noProof/>
          </w:rPr>
          <w:t>10.3 Technical Assistance First</w:t>
        </w:r>
        <w:r>
          <w:rPr>
            <w:noProof/>
            <w:webHidden/>
          </w:rPr>
          <w:tab/>
        </w:r>
        <w:r>
          <w:rPr>
            <w:noProof/>
            <w:webHidden/>
          </w:rPr>
          <w:fldChar w:fldCharType="begin"/>
        </w:r>
        <w:r>
          <w:rPr>
            <w:noProof/>
            <w:webHidden/>
          </w:rPr>
          <w:instrText xml:space="preserve"> PAGEREF _Toc234334615 \h </w:instrText>
        </w:r>
        <w:r>
          <w:rPr>
            <w:noProof/>
            <w:webHidden/>
          </w:rPr>
        </w:r>
        <w:r>
          <w:rPr>
            <w:noProof/>
            <w:webHidden/>
          </w:rPr>
          <w:fldChar w:fldCharType="separate"/>
        </w:r>
        <w:r>
          <w:rPr>
            <w:noProof/>
            <w:webHidden/>
          </w:rPr>
          <w:t>44</w:t>
        </w:r>
        <w:r>
          <w:rPr>
            <w:noProof/>
            <w:webHidden/>
          </w:rPr>
          <w:fldChar w:fldCharType="end"/>
        </w:r>
      </w:hyperlink>
    </w:p>
    <w:p w14:paraId="77D10B56" w14:textId="51F690C5" w:rsidR="002B7F7C" w:rsidRDefault="002B7F7C">
      <w:pPr>
        <w:pStyle w:val="TOC1"/>
        <w:rPr>
          <w:rFonts w:asciiTheme="minorHAnsi" w:eastAsiaTheme="minorEastAsia" w:hAnsiTheme="minorHAnsi"/>
          <w:b w:val="0"/>
          <w:noProof/>
          <w:color w:val="auto"/>
          <w:sz w:val="24"/>
        </w:rPr>
      </w:pPr>
      <w:hyperlink w:anchor="_Toc234334616" w:history="1">
        <w:r w:rsidRPr="00FB0F2E">
          <w:rPr>
            <w:rStyle w:val="Hyperlink"/>
            <w:rFonts w:cs="Cambria"/>
            <w:noProof/>
          </w:rPr>
          <w:t>Article 11: Integration with the Peace Architecture</w:t>
        </w:r>
        <w:r>
          <w:rPr>
            <w:noProof/>
            <w:webHidden/>
          </w:rPr>
          <w:tab/>
        </w:r>
        <w:r>
          <w:rPr>
            <w:noProof/>
            <w:webHidden/>
          </w:rPr>
          <w:fldChar w:fldCharType="begin"/>
        </w:r>
        <w:r>
          <w:rPr>
            <w:noProof/>
            <w:webHidden/>
          </w:rPr>
          <w:instrText xml:space="preserve"> PAGEREF _Toc234334616 \h </w:instrText>
        </w:r>
        <w:r>
          <w:rPr>
            <w:noProof/>
            <w:webHidden/>
          </w:rPr>
        </w:r>
        <w:r>
          <w:rPr>
            <w:noProof/>
            <w:webHidden/>
          </w:rPr>
          <w:fldChar w:fldCharType="separate"/>
        </w:r>
        <w:r>
          <w:rPr>
            <w:noProof/>
            <w:webHidden/>
          </w:rPr>
          <w:t>44</w:t>
        </w:r>
        <w:r>
          <w:rPr>
            <w:noProof/>
            <w:webHidden/>
          </w:rPr>
          <w:fldChar w:fldCharType="end"/>
        </w:r>
      </w:hyperlink>
    </w:p>
    <w:p w14:paraId="29ACEA17" w14:textId="1947FA83" w:rsidR="002B7F7C" w:rsidRDefault="002B7F7C">
      <w:pPr>
        <w:pStyle w:val="TOC2"/>
        <w:rPr>
          <w:rFonts w:asciiTheme="minorHAnsi" w:eastAsiaTheme="minorEastAsia" w:hAnsiTheme="minorHAnsi"/>
          <w:noProof/>
          <w:color w:val="auto"/>
          <w:sz w:val="24"/>
        </w:rPr>
      </w:pPr>
      <w:hyperlink w:anchor="_Toc234334617" w:history="1">
        <w:r w:rsidRPr="00FB0F2E">
          <w:rPr>
            <w:rStyle w:val="Hyperlink"/>
            <w:rFonts w:cs="Cambria"/>
            <w:noProof/>
          </w:rPr>
          <w:t>11.1 Integration with Annex ES (Escrow and Triggers)</w:t>
        </w:r>
        <w:r>
          <w:rPr>
            <w:noProof/>
            <w:webHidden/>
          </w:rPr>
          <w:tab/>
        </w:r>
        <w:r>
          <w:rPr>
            <w:noProof/>
            <w:webHidden/>
          </w:rPr>
          <w:fldChar w:fldCharType="begin"/>
        </w:r>
        <w:r>
          <w:rPr>
            <w:noProof/>
            <w:webHidden/>
          </w:rPr>
          <w:instrText xml:space="preserve"> PAGEREF _Toc234334617 \h </w:instrText>
        </w:r>
        <w:r>
          <w:rPr>
            <w:noProof/>
            <w:webHidden/>
          </w:rPr>
        </w:r>
        <w:r>
          <w:rPr>
            <w:noProof/>
            <w:webHidden/>
          </w:rPr>
          <w:fldChar w:fldCharType="separate"/>
        </w:r>
        <w:r>
          <w:rPr>
            <w:noProof/>
            <w:webHidden/>
          </w:rPr>
          <w:t>44</w:t>
        </w:r>
        <w:r>
          <w:rPr>
            <w:noProof/>
            <w:webHidden/>
          </w:rPr>
          <w:fldChar w:fldCharType="end"/>
        </w:r>
      </w:hyperlink>
    </w:p>
    <w:p w14:paraId="699D33F8" w14:textId="48222A96" w:rsidR="002B7F7C" w:rsidRDefault="002B7F7C">
      <w:pPr>
        <w:pStyle w:val="TOC2"/>
        <w:rPr>
          <w:rFonts w:asciiTheme="minorHAnsi" w:eastAsiaTheme="minorEastAsia" w:hAnsiTheme="minorHAnsi"/>
          <w:noProof/>
          <w:color w:val="auto"/>
          <w:sz w:val="24"/>
        </w:rPr>
      </w:pPr>
      <w:hyperlink w:anchor="_Toc234334618" w:history="1">
        <w:r w:rsidRPr="00FB0F2E">
          <w:rPr>
            <w:rStyle w:val="Hyperlink"/>
            <w:rFonts w:cs="Cambria"/>
            <w:noProof/>
          </w:rPr>
          <w:t>11.2 Integration with Annex LAES (Damaged Sites)</w:t>
        </w:r>
        <w:r>
          <w:rPr>
            <w:noProof/>
            <w:webHidden/>
          </w:rPr>
          <w:tab/>
        </w:r>
        <w:r>
          <w:rPr>
            <w:noProof/>
            <w:webHidden/>
          </w:rPr>
          <w:fldChar w:fldCharType="begin"/>
        </w:r>
        <w:r>
          <w:rPr>
            <w:noProof/>
            <w:webHidden/>
          </w:rPr>
          <w:instrText xml:space="preserve"> PAGEREF _Toc234334618 \h </w:instrText>
        </w:r>
        <w:r>
          <w:rPr>
            <w:noProof/>
            <w:webHidden/>
          </w:rPr>
        </w:r>
        <w:r>
          <w:rPr>
            <w:noProof/>
            <w:webHidden/>
          </w:rPr>
          <w:fldChar w:fldCharType="separate"/>
        </w:r>
        <w:r>
          <w:rPr>
            <w:noProof/>
            <w:webHidden/>
          </w:rPr>
          <w:t>44</w:t>
        </w:r>
        <w:r>
          <w:rPr>
            <w:noProof/>
            <w:webHidden/>
          </w:rPr>
          <w:fldChar w:fldCharType="end"/>
        </w:r>
      </w:hyperlink>
    </w:p>
    <w:p w14:paraId="4EDF9319" w14:textId="66619661" w:rsidR="002B7F7C" w:rsidRDefault="002B7F7C">
      <w:pPr>
        <w:pStyle w:val="TOC2"/>
        <w:rPr>
          <w:rFonts w:asciiTheme="minorHAnsi" w:eastAsiaTheme="minorEastAsia" w:hAnsiTheme="minorHAnsi"/>
          <w:noProof/>
          <w:color w:val="auto"/>
          <w:sz w:val="24"/>
        </w:rPr>
      </w:pPr>
      <w:hyperlink w:anchor="_Toc234334619" w:history="1">
        <w:r w:rsidRPr="00FB0F2E">
          <w:rPr>
            <w:rStyle w:val="Hyperlink"/>
            <w:rFonts w:cs="Cambria"/>
            <w:noProof/>
          </w:rPr>
          <w:t>11.3 Integration with Annex RDF (Reconstruction)</w:t>
        </w:r>
        <w:r>
          <w:rPr>
            <w:noProof/>
            <w:webHidden/>
          </w:rPr>
          <w:tab/>
        </w:r>
        <w:r>
          <w:rPr>
            <w:noProof/>
            <w:webHidden/>
          </w:rPr>
          <w:fldChar w:fldCharType="begin"/>
        </w:r>
        <w:r>
          <w:rPr>
            <w:noProof/>
            <w:webHidden/>
          </w:rPr>
          <w:instrText xml:space="preserve"> PAGEREF _Toc234334619 \h </w:instrText>
        </w:r>
        <w:r>
          <w:rPr>
            <w:noProof/>
            <w:webHidden/>
          </w:rPr>
        </w:r>
        <w:r>
          <w:rPr>
            <w:noProof/>
            <w:webHidden/>
          </w:rPr>
          <w:fldChar w:fldCharType="separate"/>
        </w:r>
        <w:r>
          <w:rPr>
            <w:noProof/>
            <w:webHidden/>
          </w:rPr>
          <w:t>45</w:t>
        </w:r>
        <w:r>
          <w:rPr>
            <w:noProof/>
            <w:webHidden/>
          </w:rPr>
          <w:fldChar w:fldCharType="end"/>
        </w:r>
      </w:hyperlink>
    </w:p>
    <w:p w14:paraId="721B1666" w14:textId="5DF1C3D9" w:rsidR="002B7F7C" w:rsidRDefault="002B7F7C">
      <w:pPr>
        <w:pStyle w:val="TOC2"/>
        <w:rPr>
          <w:rFonts w:asciiTheme="minorHAnsi" w:eastAsiaTheme="minorEastAsia" w:hAnsiTheme="minorHAnsi"/>
          <w:noProof/>
          <w:color w:val="auto"/>
          <w:sz w:val="24"/>
        </w:rPr>
      </w:pPr>
      <w:hyperlink w:anchor="_Toc234334620" w:history="1">
        <w:r w:rsidRPr="00FB0F2E">
          <w:rPr>
            <w:rStyle w:val="Hyperlink"/>
            <w:rFonts w:cs="Cambria"/>
            <w:noProof/>
          </w:rPr>
          <w:t>11.4 Integration with Annex SRCA (Sanctions Relief)</w:t>
        </w:r>
        <w:r>
          <w:rPr>
            <w:noProof/>
            <w:webHidden/>
          </w:rPr>
          <w:tab/>
        </w:r>
        <w:r>
          <w:rPr>
            <w:noProof/>
            <w:webHidden/>
          </w:rPr>
          <w:fldChar w:fldCharType="begin"/>
        </w:r>
        <w:r>
          <w:rPr>
            <w:noProof/>
            <w:webHidden/>
          </w:rPr>
          <w:instrText xml:space="preserve"> PAGEREF _Toc234334620 \h </w:instrText>
        </w:r>
        <w:r>
          <w:rPr>
            <w:noProof/>
            <w:webHidden/>
          </w:rPr>
        </w:r>
        <w:r>
          <w:rPr>
            <w:noProof/>
            <w:webHidden/>
          </w:rPr>
          <w:fldChar w:fldCharType="separate"/>
        </w:r>
        <w:r>
          <w:rPr>
            <w:noProof/>
            <w:webHidden/>
          </w:rPr>
          <w:t>45</w:t>
        </w:r>
        <w:r>
          <w:rPr>
            <w:noProof/>
            <w:webHidden/>
          </w:rPr>
          <w:fldChar w:fldCharType="end"/>
        </w:r>
      </w:hyperlink>
    </w:p>
    <w:p w14:paraId="14372B9D" w14:textId="76DFB0CE" w:rsidR="002B7F7C" w:rsidRDefault="002B7F7C">
      <w:pPr>
        <w:pStyle w:val="TOC2"/>
        <w:rPr>
          <w:rFonts w:asciiTheme="minorHAnsi" w:eastAsiaTheme="minorEastAsia" w:hAnsiTheme="minorHAnsi"/>
          <w:noProof/>
          <w:color w:val="auto"/>
          <w:sz w:val="24"/>
        </w:rPr>
      </w:pPr>
      <w:hyperlink w:anchor="_Toc234334621" w:history="1">
        <w:r w:rsidRPr="00FB0F2E">
          <w:rPr>
            <w:rStyle w:val="Hyperlink"/>
            <w:rFonts w:cs="Cambria"/>
            <w:noProof/>
          </w:rPr>
          <w:t>11.5 Integration with the MENOC Charter</w:t>
        </w:r>
        <w:r>
          <w:rPr>
            <w:noProof/>
            <w:webHidden/>
          </w:rPr>
          <w:tab/>
        </w:r>
        <w:r>
          <w:rPr>
            <w:noProof/>
            <w:webHidden/>
          </w:rPr>
          <w:fldChar w:fldCharType="begin"/>
        </w:r>
        <w:r>
          <w:rPr>
            <w:noProof/>
            <w:webHidden/>
          </w:rPr>
          <w:instrText xml:space="preserve"> PAGEREF _Toc234334621 \h </w:instrText>
        </w:r>
        <w:r>
          <w:rPr>
            <w:noProof/>
            <w:webHidden/>
          </w:rPr>
        </w:r>
        <w:r>
          <w:rPr>
            <w:noProof/>
            <w:webHidden/>
          </w:rPr>
          <w:fldChar w:fldCharType="separate"/>
        </w:r>
        <w:r>
          <w:rPr>
            <w:noProof/>
            <w:webHidden/>
          </w:rPr>
          <w:t>45</w:t>
        </w:r>
        <w:r>
          <w:rPr>
            <w:noProof/>
            <w:webHidden/>
          </w:rPr>
          <w:fldChar w:fldCharType="end"/>
        </w:r>
      </w:hyperlink>
    </w:p>
    <w:p w14:paraId="2390D086" w14:textId="44A1674C" w:rsidR="002B7F7C" w:rsidRDefault="002B7F7C">
      <w:pPr>
        <w:pStyle w:val="TOC2"/>
        <w:rPr>
          <w:rFonts w:asciiTheme="minorHAnsi" w:eastAsiaTheme="minorEastAsia" w:hAnsiTheme="minorHAnsi"/>
          <w:noProof/>
          <w:color w:val="auto"/>
          <w:sz w:val="24"/>
        </w:rPr>
      </w:pPr>
      <w:hyperlink w:anchor="_Toc234334622" w:history="1">
        <w:r w:rsidRPr="00FB0F2E">
          <w:rPr>
            <w:rStyle w:val="Hyperlink"/>
            <w:rFonts w:cs="Cambria"/>
            <w:noProof/>
          </w:rPr>
          <w:t>11.6 System Architecture</w:t>
        </w:r>
        <w:r>
          <w:rPr>
            <w:noProof/>
            <w:webHidden/>
          </w:rPr>
          <w:tab/>
        </w:r>
        <w:r>
          <w:rPr>
            <w:noProof/>
            <w:webHidden/>
          </w:rPr>
          <w:fldChar w:fldCharType="begin"/>
        </w:r>
        <w:r>
          <w:rPr>
            <w:noProof/>
            <w:webHidden/>
          </w:rPr>
          <w:instrText xml:space="preserve"> PAGEREF _Toc234334622 \h </w:instrText>
        </w:r>
        <w:r>
          <w:rPr>
            <w:noProof/>
            <w:webHidden/>
          </w:rPr>
        </w:r>
        <w:r>
          <w:rPr>
            <w:noProof/>
            <w:webHidden/>
          </w:rPr>
          <w:fldChar w:fldCharType="separate"/>
        </w:r>
        <w:r>
          <w:rPr>
            <w:noProof/>
            <w:webHidden/>
          </w:rPr>
          <w:t>45</w:t>
        </w:r>
        <w:r>
          <w:rPr>
            <w:noProof/>
            <w:webHidden/>
          </w:rPr>
          <w:fldChar w:fldCharType="end"/>
        </w:r>
      </w:hyperlink>
    </w:p>
    <w:p w14:paraId="059C57C9" w14:textId="71C1C9CF" w:rsidR="002B7F7C" w:rsidRDefault="002B7F7C">
      <w:pPr>
        <w:pStyle w:val="TOC1"/>
        <w:rPr>
          <w:rFonts w:asciiTheme="minorHAnsi" w:eastAsiaTheme="minorEastAsia" w:hAnsiTheme="minorHAnsi"/>
          <w:b w:val="0"/>
          <w:noProof/>
          <w:color w:val="auto"/>
          <w:sz w:val="24"/>
        </w:rPr>
      </w:pPr>
      <w:hyperlink w:anchor="_Toc234334623" w:history="1">
        <w:r w:rsidRPr="00FB0F2E">
          <w:rPr>
            <w:rStyle w:val="Hyperlink"/>
            <w:rFonts w:cs="Cambria"/>
            <w:noProof/>
          </w:rPr>
          <w:t>Article 12: Funding</w:t>
        </w:r>
        <w:r>
          <w:rPr>
            <w:noProof/>
            <w:webHidden/>
          </w:rPr>
          <w:tab/>
        </w:r>
        <w:r>
          <w:rPr>
            <w:noProof/>
            <w:webHidden/>
          </w:rPr>
          <w:fldChar w:fldCharType="begin"/>
        </w:r>
        <w:r>
          <w:rPr>
            <w:noProof/>
            <w:webHidden/>
          </w:rPr>
          <w:instrText xml:space="preserve"> PAGEREF _Toc234334623 \h </w:instrText>
        </w:r>
        <w:r>
          <w:rPr>
            <w:noProof/>
            <w:webHidden/>
          </w:rPr>
        </w:r>
        <w:r>
          <w:rPr>
            <w:noProof/>
            <w:webHidden/>
          </w:rPr>
          <w:fldChar w:fldCharType="separate"/>
        </w:r>
        <w:r>
          <w:rPr>
            <w:noProof/>
            <w:webHidden/>
          </w:rPr>
          <w:t>45</w:t>
        </w:r>
        <w:r>
          <w:rPr>
            <w:noProof/>
            <w:webHidden/>
          </w:rPr>
          <w:fldChar w:fldCharType="end"/>
        </w:r>
      </w:hyperlink>
    </w:p>
    <w:p w14:paraId="59E068D9" w14:textId="587B902B" w:rsidR="002B7F7C" w:rsidRDefault="002B7F7C">
      <w:pPr>
        <w:pStyle w:val="TOC2"/>
        <w:rPr>
          <w:rFonts w:asciiTheme="minorHAnsi" w:eastAsiaTheme="minorEastAsia" w:hAnsiTheme="minorHAnsi"/>
          <w:noProof/>
          <w:color w:val="auto"/>
          <w:sz w:val="24"/>
        </w:rPr>
      </w:pPr>
      <w:hyperlink w:anchor="_Toc234334624" w:history="1">
        <w:r w:rsidRPr="00FB0F2E">
          <w:rPr>
            <w:rStyle w:val="Hyperlink"/>
            <w:rFonts w:cs="Cambria"/>
            <w:noProof/>
          </w:rPr>
          <w:t>12.1 Fixed Guarantor Pledge</w:t>
        </w:r>
        <w:r>
          <w:rPr>
            <w:noProof/>
            <w:webHidden/>
          </w:rPr>
          <w:tab/>
        </w:r>
        <w:r>
          <w:rPr>
            <w:noProof/>
            <w:webHidden/>
          </w:rPr>
          <w:fldChar w:fldCharType="begin"/>
        </w:r>
        <w:r>
          <w:rPr>
            <w:noProof/>
            <w:webHidden/>
          </w:rPr>
          <w:instrText xml:space="preserve"> PAGEREF _Toc234334624 \h </w:instrText>
        </w:r>
        <w:r>
          <w:rPr>
            <w:noProof/>
            <w:webHidden/>
          </w:rPr>
        </w:r>
        <w:r>
          <w:rPr>
            <w:noProof/>
            <w:webHidden/>
          </w:rPr>
          <w:fldChar w:fldCharType="separate"/>
        </w:r>
        <w:r>
          <w:rPr>
            <w:noProof/>
            <w:webHidden/>
          </w:rPr>
          <w:t>46</w:t>
        </w:r>
        <w:r>
          <w:rPr>
            <w:noProof/>
            <w:webHidden/>
          </w:rPr>
          <w:fldChar w:fldCharType="end"/>
        </w:r>
      </w:hyperlink>
    </w:p>
    <w:p w14:paraId="11233AD4" w14:textId="73C44AF0" w:rsidR="002B7F7C" w:rsidRDefault="002B7F7C">
      <w:pPr>
        <w:pStyle w:val="TOC2"/>
        <w:rPr>
          <w:rFonts w:asciiTheme="minorHAnsi" w:eastAsiaTheme="minorEastAsia" w:hAnsiTheme="minorHAnsi"/>
          <w:noProof/>
          <w:color w:val="auto"/>
          <w:sz w:val="24"/>
        </w:rPr>
      </w:pPr>
      <w:hyperlink w:anchor="_Toc234334625" w:history="1">
        <w:r w:rsidRPr="00FB0F2E">
          <w:rPr>
            <w:rStyle w:val="Hyperlink"/>
            <w:rFonts w:cs="Cambria"/>
            <w:noProof/>
          </w:rPr>
          <w:t>12.2 Stability Bond</w:t>
        </w:r>
        <w:r>
          <w:rPr>
            <w:noProof/>
            <w:webHidden/>
          </w:rPr>
          <w:tab/>
        </w:r>
        <w:r>
          <w:rPr>
            <w:noProof/>
            <w:webHidden/>
          </w:rPr>
          <w:fldChar w:fldCharType="begin"/>
        </w:r>
        <w:r>
          <w:rPr>
            <w:noProof/>
            <w:webHidden/>
          </w:rPr>
          <w:instrText xml:space="preserve"> PAGEREF _Toc234334625 \h </w:instrText>
        </w:r>
        <w:r>
          <w:rPr>
            <w:noProof/>
            <w:webHidden/>
          </w:rPr>
        </w:r>
        <w:r>
          <w:rPr>
            <w:noProof/>
            <w:webHidden/>
          </w:rPr>
          <w:fldChar w:fldCharType="separate"/>
        </w:r>
        <w:r>
          <w:rPr>
            <w:noProof/>
            <w:webHidden/>
          </w:rPr>
          <w:t>46</w:t>
        </w:r>
        <w:r>
          <w:rPr>
            <w:noProof/>
            <w:webHidden/>
          </w:rPr>
          <w:fldChar w:fldCharType="end"/>
        </w:r>
      </w:hyperlink>
    </w:p>
    <w:p w14:paraId="0F94A35F" w14:textId="43F11E4A" w:rsidR="002B7F7C" w:rsidRDefault="002B7F7C">
      <w:pPr>
        <w:pStyle w:val="TOC2"/>
        <w:rPr>
          <w:rFonts w:asciiTheme="minorHAnsi" w:eastAsiaTheme="minorEastAsia" w:hAnsiTheme="minorHAnsi"/>
          <w:noProof/>
          <w:color w:val="auto"/>
          <w:sz w:val="24"/>
        </w:rPr>
      </w:pPr>
      <w:hyperlink w:anchor="_Toc234334626" w:history="1">
        <w:r w:rsidRPr="00FB0F2E">
          <w:rPr>
            <w:rStyle w:val="Hyperlink"/>
            <w:rFonts w:cs="Cambria"/>
            <w:noProof/>
          </w:rPr>
          <w:t>12.3 Spoiler Tax</w:t>
        </w:r>
        <w:r>
          <w:rPr>
            <w:noProof/>
            <w:webHidden/>
          </w:rPr>
          <w:tab/>
        </w:r>
        <w:r>
          <w:rPr>
            <w:noProof/>
            <w:webHidden/>
          </w:rPr>
          <w:fldChar w:fldCharType="begin"/>
        </w:r>
        <w:r>
          <w:rPr>
            <w:noProof/>
            <w:webHidden/>
          </w:rPr>
          <w:instrText xml:space="preserve"> PAGEREF _Toc234334626 \h </w:instrText>
        </w:r>
        <w:r>
          <w:rPr>
            <w:noProof/>
            <w:webHidden/>
          </w:rPr>
        </w:r>
        <w:r>
          <w:rPr>
            <w:noProof/>
            <w:webHidden/>
          </w:rPr>
          <w:fldChar w:fldCharType="separate"/>
        </w:r>
        <w:r>
          <w:rPr>
            <w:noProof/>
            <w:webHidden/>
          </w:rPr>
          <w:t>46</w:t>
        </w:r>
        <w:r>
          <w:rPr>
            <w:noProof/>
            <w:webHidden/>
          </w:rPr>
          <w:fldChar w:fldCharType="end"/>
        </w:r>
      </w:hyperlink>
    </w:p>
    <w:p w14:paraId="544C2A82" w14:textId="3BF47FC5" w:rsidR="002B7F7C" w:rsidRDefault="002B7F7C">
      <w:pPr>
        <w:pStyle w:val="TOC2"/>
        <w:rPr>
          <w:rFonts w:asciiTheme="minorHAnsi" w:eastAsiaTheme="minorEastAsia" w:hAnsiTheme="minorHAnsi"/>
          <w:noProof/>
          <w:color w:val="auto"/>
          <w:sz w:val="24"/>
        </w:rPr>
      </w:pPr>
      <w:hyperlink w:anchor="_Toc234334627" w:history="1">
        <w:r w:rsidRPr="00FB0F2E">
          <w:rPr>
            <w:rStyle w:val="Hyperlink"/>
            <w:rFonts w:cs="Cambria"/>
            <w:noProof/>
          </w:rPr>
          <w:t>12.4 Peacebuilding Fund Pre-Crisis Allocation</w:t>
        </w:r>
        <w:r>
          <w:rPr>
            <w:noProof/>
            <w:webHidden/>
          </w:rPr>
          <w:tab/>
        </w:r>
        <w:r>
          <w:rPr>
            <w:noProof/>
            <w:webHidden/>
          </w:rPr>
          <w:fldChar w:fldCharType="begin"/>
        </w:r>
        <w:r>
          <w:rPr>
            <w:noProof/>
            <w:webHidden/>
          </w:rPr>
          <w:instrText xml:space="preserve"> PAGEREF _Toc234334627 \h </w:instrText>
        </w:r>
        <w:r>
          <w:rPr>
            <w:noProof/>
            <w:webHidden/>
          </w:rPr>
        </w:r>
        <w:r>
          <w:rPr>
            <w:noProof/>
            <w:webHidden/>
          </w:rPr>
          <w:fldChar w:fldCharType="separate"/>
        </w:r>
        <w:r>
          <w:rPr>
            <w:noProof/>
            <w:webHidden/>
          </w:rPr>
          <w:t>47</w:t>
        </w:r>
        <w:r>
          <w:rPr>
            <w:noProof/>
            <w:webHidden/>
          </w:rPr>
          <w:fldChar w:fldCharType="end"/>
        </w:r>
      </w:hyperlink>
    </w:p>
    <w:p w14:paraId="0907A382" w14:textId="19588154" w:rsidR="002B7F7C" w:rsidRDefault="002B7F7C">
      <w:pPr>
        <w:pStyle w:val="TOC2"/>
        <w:rPr>
          <w:rFonts w:asciiTheme="minorHAnsi" w:eastAsiaTheme="minorEastAsia" w:hAnsiTheme="minorHAnsi"/>
          <w:noProof/>
          <w:color w:val="auto"/>
          <w:sz w:val="24"/>
        </w:rPr>
      </w:pPr>
      <w:hyperlink w:anchor="_Toc234334628" w:history="1">
        <w:r w:rsidRPr="00FB0F2E">
          <w:rPr>
            <w:rStyle w:val="Hyperlink"/>
            <w:rFonts w:cs="Cambria"/>
            <w:noProof/>
          </w:rPr>
          <w:t>12.5 Ban on Earmarked Contributions</w:t>
        </w:r>
        <w:r>
          <w:rPr>
            <w:noProof/>
            <w:webHidden/>
          </w:rPr>
          <w:tab/>
        </w:r>
        <w:r>
          <w:rPr>
            <w:noProof/>
            <w:webHidden/>
          </w:rPr>
          <w:fldChar w:fldCharType="begin"/>
        </w:r>
        <w:r>
          <w:rPr>
            <w:noProof/>
            <w:webHidden/>
          </w:rPr>
          <w:instrText xml:space="preserve"> PAGEREF _Toc234334628 \h </w:instrText>
        </w:r>
        <w:r>
          <w:rPr>
            <w:noProof/>
            <w:webHidden/>
          </w:rPr>
        </w:r>
        <w:r>
          <w:rPr>
            <w:noProof/>
            <w:webHidden/>
          </w:rPr>
          <w:fldChar w:fldCharType="separate"/>
        </w:r>
        <w:r>
          <w:rPr>
            <w:noProof/>
            <w:webHidden/>
          </w:rPr>
          <w:t>47</w:t>
        </w:r>
        <w:r>
          <w:rPr>
            <w:noProof/>
            <w:webHidden/>
          </w:rPr>
          <w:fldChar w:fldCharType="end"/>
        </w:r>
      </w:hyperlink>
    </w:p>
    <w:p w14:paraId="05186362" w14:textId="304357D6" w:rsidR="002B7F7C" w:rsidRDefault="002B7F7C">
      <w:pPr>
        <w:pStyle w:val="TOC2"/>
        <w:rPr>
          <w:rFonts w:asciiTheme="minorHAnsi" w:eastAsiaTheme="minorEastAsia" w:hAnsiTheme="minorHAnsi"/>
          <w:noProof/>
          <w:color w:val="auto"/>
          <w:sz w:val="24"/>
        </w:rPr>
      </w:pPr>
      <w:hyperlink w:anchor="_Toc234334629" w:history="1">
        <w:r w:rsidRPr="00FB0F2E">
          <w:rPr>
            <w:rStyle w:val="Hyperlink"/>
            <w:rFonts w:cs="Cambria"/>
            <w:noProof/>
          </w:rPr>
          <w:t>12.6 Rapid Response Revolving Fund</w:t>
        </w:r>
        <w:r>
          <w:rPr>
            <w:noProof/>
            <w:webHidden/>
          </w:rPr>
          <w:tab/>
        </w:r>
        <w:r>
          <w:rPr>
            <w:noProof/>
            <w:webHidden/>
          </w:rPr>
          <w:fldChar w:fldCharType="begin"/>
        </w:r>
        <w:r>
          <w:rPr>
            <w:noProof/>
            <w:webHidden/>
          </w:rPr>
          <w:instrText xml:space="preserve"> PAGEREF _Toc234334629 \h </w:instrText>
        </w:r>
        <w:r>
          <w:rPr>
            <w:noProof/>
            <w:webHidden/>
          </w:rPr>
        </w:r>
        <w:r>
          <w:rPr>
            <w:noProof/>
            <w:webHidden/>
          </w:rPr>
          <w:fldChar w:fldCharType="separate"/>
        </w:r>
        <w:r>
          <w:rPr>
            <w:noProof/>
            <w:webHidden/>
          </w:rPr>
          <w:t>48</w:t>
        </w:r>
        <w:r>
          <w:rPr>
            <w:noProof/>
            <w:webHidden/>
          </w:rPr>
          <w:fldChar w:fldCharType="end"/>
        </w:r>
      </w:hyperlink>
    </w:p>
    <w:p w14:paraId="13A96013" w14:textId="27D03211" w:rsidR="002B7F7C" w:rsidRDefault="002B7F7C">
      <w:pPr>
        <w:pStyle w:val="TOC2"/>
        <w:rPr>
          <w:rFonts w:asciiTheme="minorHAnsi" w:eastAsiaTheme="minorEastAsia" w:hAnsiTheme="minorHAnsi"/>
          <w:noProof/>
          <w:color w:val="auto"/>
          <w:sz w:val="24"/>
        </w:rPr>
      </w:pPr>
      <w:hyperlink w:anchor="_Toc234334630" w:history="1">
        <w:r w:rsidRPr="00FB0F2E">
          <w:rPr>
            <w:rStyle w:val="Hyperlink"/>
            <w:rFonts w:cs="Cambria"/>
            <w:noProof/>
          </w:rPr>
          <w:t>12.7 Host-State Agreement with Performance Penalties</w:t>
        </w:r>
        <w:r>
          <w:rPr>
            <w:noProof/>
            <w:webHidden/>
          </w:rPr>
          <w:tab/>
        </w:r>
        <w:r>
          <w:rPr>
            <w:noProof/>
            <w:webHidden/>
          </w:rPr>
          <w:fldChar w:fldCharType="begin"/>
        </w:r>
        <w:r>
          <w:rPr>
            <w:noProof/>
            <w:webHidden/>
          </w:rPr>
          <w:instrText xml:space="preserve"> PAGEREF _Toc234334630 \h </w:instrText>
        </w:r>
        <w:r>
          <w:rPr>
            <w:noProof/>
            <w:webHidden/>
          </w:rPr>
        </w:r>
        <w:r>
          <w:rPr>
            <w:noProof/>
            <w:webHidden/>
          </w:rPr>
          <w:fldChar w:fldCharType="separate"/>
        </w:r>
        <w:r>
          <w:rPr>
            <w:noProof/>
            <w:webHidden/>
          </w:rPr>
          <w:t>48</w:t>
        </w:r>
        <w:r>
          <w:rPr>
            <w:noProof/>
            <w:webHidden/>
          </w:rPr>
          <w:fldChar w:fldCharType="end"/>
        </w:r>
      </w:hyperlink>
    </w:p>
    <w:p w14:paraId="63D77897" w14:textId="7922F50F" w:rsidR="002B7F7C" w:rsidRDefault="002B7F7C">
      <w:pPr>
        <w:pStyle w:val="TOC2"/>
        <w:rPr>
          <w:rFonts w:asciiTheme="minorHAnsi" w:eastAsiaTheme="minorEastAsia" w:hAnsiTheme="minorHAnsi"/>
          <w:noProof/>
          <w:color w:val="auto"/>
          <w:sz w:val="24"/>
        </w:rPr>
      </w:pPr>
      <w:hyperlink w:anchor="_Toc234334631" w:history="1">
        <w:r w:rsidRPr="00FB0F2E">
          <w:rPr>
            <w:rStyle w:val="Hyperlink"/>
            <w:rFonts w:cs="Cambria"/>
            <w:noProof/>
          </w:rPr>
          <w:t>12.8 Automated Delinquency Consequences</w:t>
        </w:r>
        <w:r>
          <w:rPr>
            <w:noProof/>
            <w:webHidden/>
          </w:rPr>
          <w:tab/>
        </w:r>
        <w:r>
          <w:rPr>
            <w:noProof/>
            <w:webHidden/>
          </w:rPr>
          <w:fldChar w:fldCharType="begin"/>
        </w:r>
        <w:r>
          <w:rPr>
            <w:noProof/>
            <w:webHidden/>
          </w:rPr>
          <w:instrText xml:space="preserve"> PAGEREF _Toc234334631 \h </w:instrText>
        </w:r>
        <w:r>
          <w:rPr>
            <w:noProof/>
            <w:webHidden/>
          </w:rPr>
        </w:r>
        <w:r>
          <w:rPr>
            <w:noProof/>
            <w:webHidden/>
          </w:rPr>
          <w:fldChar w:fldCharType="separate"/>
        </w:r>
        <w:r>
          <w:rPr>
            <w:noProof/>
            <w:webHidden/>
          </w:rPr>
          <w:t>48</w:t>
        </w:r>
        <w:r>
          <w:rPr>
            <w:noProof/>
            <w:webHidden/>
          </w:rPr>
          <w:fldChar w:fldCharType="end"/>
        </w:r>
      </w:hyperlink>
    </w:p>
    <w:p w14:paraId="5C3A21D4" w14:textId="6A0990A7" w:rsidR="002B7F7C" w:rsidRDefault="002B7F7C">
      <w:pPr>
        <w:pStyle w:val="TOC2"/>
        <w:rPr>
          <w:rFonts w:asciiTheme="minorHAnsi" w:eastAsiaTheme="minorEastAsia" w:hAnsiTheme="minorHAnsi"/>
          <w:noProof/>
          <w:color w:val="auto"/>
          <w:sz w:val="24"/>
        </w:rPr>
      </w:pPr>
      <w:hyperlink w:anchor="_Toc234334632" w:history="1">
        <w:r w:rsidRPr="00FB0F2E">
          <w:rPr>
            <w:rStyle w:val="Hyperlink"/>
            <w:rFonts w:cs="Cambria"/>
            <w:noProof/>
          </w:rPr>
          <w:t>12.9 Catastrophic Risk Insurance Surcharge</w:t>
        </w:r>
        <w:r>
          <w:rPr>
            <w:noProof/>
            <w:webHidden/>
          </w:rPr>
          <w:tab/>
        </w:r>
        <w:r>
          <w:rPr>
            <w:noProof/>
            <w:webHidden/>
          </w:rPr>
          <w:fldChar w:fldCharType="begin"/>
        </w:r>
        <w:r>
          <w:rPr>
            <w:noProof/>
            <w:webHidden/>
          </w:rPr>
          <w:instrText xml:space="preserve"> PAGEREF _Toc234334632 \h </w:instrText>
        </w:r>
        <w:r>
          <w:rPr>
            <w:noProof/>
            <w:webHidden/>
          </w:rPr>
        </w:r>
        <w:r>
          <w:rPr>
            <w:noProof/>
            <w:webHidden/>
          </w:rPr>
          <w:fldChar w:fldCharType="separate"/>
        </w:r>
        <w:r>
          <w:rPr>
            <w:noProof/>
            <w:webHidden/>
          </w:rPr>
          <w:t>49</w:t>
        </w:r>
        <w:r>
          <w:rPr>
            <w:noProof/>
            <w:webHidden/>
          </w:rPr>
          <w:fldChar w:fldCharType="end"/>
        </w:r>
      </w:hyperlink>
    </w:p>
    <w:p w14:paraId="3D30AE36" w14:textId="5C1F2CEB" w:rsidR="002B7F7C" w:rsidRDefault="002B7F7C">
      <w:pPr>
        <w:pStyle w:val="TOC2"/>
        <w:rPr>
          <w:rFonts w:asciiTheme="minorHAnsi" w:eastAsiaTheme="minorEastAsia" w:hAnsiTheme="minorHAnsi"/>
          <w:noProof/>
          <w:color w:val="auto"/>
          <w:sz w:val="24"/>
        </w:rPr>
      </w:pPr>
      <w:hyperlink w:anchor="_Toc234334633" w:history="1">
        <w:r w:rsidRPr="00FB0F2E">
          <w:rPr>
            <w:rStyle w:val="Hyperlink"/>
            <w:rFonts w:cs="Cambria"/>
            <w:noProof/>
          </w:rPr>
          <w:t>12.10 Data Licensing Revenue</w:t>
        </w:r>
        <w:r>
          <w:rPr>
            <w:noProof/>
            <w:webHidden/>
          </w:rPr>
          <w:tab/>
        </w:r>
        <w:r>
          <w:rPr>
            <w:noProof/>
            <w:webHidden/>
          </w:rPr>
          <w:fldChar w:fldCharType="begin"/>
        </w:r>
        <w:r>
          <w:rPr>
            <w:noProof/>
            <w:webHidden/>
          </w:rPr>
          <w:instrText xml:space="preserve"> PAGEREF _Toc234334633 \h </w:instrText>
        </w:r>
        <w:r>
          <w:rPr>
            <w:noProof/>
            <w:webHidden/>
          </w:rPr>
        </w:r>
        <w:r>
          <w:rPr>
            <w:noProof/>
            <w:webHidden/>
          </w:rPr>
          <w:fldChar w:fldCharType="separate"/>
        </w:r>
        <w:r>
          <w:rPr>
            <w:noProof/>
            <w:webHidden/>
          </w:rPr>
          <w:t>49</w:t>
        </w:r>
        <w:r>
          <w:rPr>
            <w:noProof/>
            <w:webHidden/>
          </w:rPr>
          <w:fldChar w:fldCharType="end"/>
        </w:r>
      </w:hyperlink>
    </w:p>
    <w:p w14:paraId="0F98328D" w14:textId="4ACCF95D" w:rsidR="002B7F7C" w:rsidRDefault="002B7F7C">
      <w:pPr>
        <w:pStyle w:val="TOC2"/>
        <w:rPr>
          <w:rFonts w:asciiTheme="minorHAnsi" w:eastAsiaTheme="minorEastAsia" w:hAnsiTheme="minorHAnsi"/>
          <w:noProof/>
          <w:color w:val="auto"/>
          <w:sz w:val="24"/>
        </w:rPr>
      </w:pPr>
      <w:hyperlink w:anchor="_Toc234334634" w:history="1">
        <w:r w:rsidRPr="00FB0F2E">
          <w:rPr>
            <w:rStyle w:val="Hyperlink"/>
            <w:rFonts w:cs="Cambria"/>
            <w:noProof/>
          </w:rPr>
          <w:t>12.11 Financial Transparency</w:t>
        </w:r>
        <w:r>
          <w:rPr>
            <w:noProof/>
            <w:webHidden/>
          </w:rPr>
          <w:tab/>
        </w:r>
        <w:r>
          <w:rPr>
            <w:noProof/>
            <w:webHidden/>
          </w:rPr>
          <w:fldChar w:fldCharType="begin"/>
        </w:r>
        <w:r>
          <w:rPr>
            <w:noProof/>
            <w:webHidden/>
          </w:rPr>
          <w:instrText xml:space="preserve"> PAGEREF _Toc234334634 \h </w:instrText>
        </w:r>
        <w:r>
          <w:rPr>
            <w:noProof/>
            <w:webHidden/>
          </w:rPr>
        </w:r>
        <w:r>
          <w:rPr>
            <w:noProof/>
            <w:webHidden/>
          </w:rPr>
          <w:fldChar w:fldCharType="separate"/>
        </w:r>
        <w:r>
          <w:rPr>
            <w:noProof/>
            <w:webHidden/>
          </w:rPr>
          <w:t>49</w:t>
        </w:r>
        <w:r>
          <w:rPr>
            <w:noProof/>
            <w:webHidden/>
          </w:rPr>
          <w:fldChar w:fldCharType="end"/>
        </w:r>
      </w:hyperlink>
    </w:p>
    <w:p w14:paraId="5CD7F209" w14:textId="46CA4BA5" w:rsidR="002B7F7C" w:rsidRDefault="002B7F7C">
      <w:pPr>
        <w:pStyle w:val="TOC2"/>
        <w:rPr>
          <w:rFonts w:asciiTheme="minorHAnsi" w:eastAsiaTheme="minorEastAsia" w:hAnsiTheme="minorHAnsi"/>
          <w:noProof/>
          <w:color w:val="auto"/>
          <w:sz w:val="24"/>
        </w:rPr>
      </w:pPr>
      <w:hyperlink w:anchor="_Toc234334635" w:history="1">
        <w:r w:rsidRPr="00FB0F2E">
          <w:rPr>
            <w:rStyle w:val="Hyperlink"/>
            <w:rFonts w:cs="Cambria"/>
            <w:noProof/>
          </w:rPr>
          <w:t>12.12 Estimated Annual Budget</w:t>
        </w:r>
        <w:r>
          <w:rPr>
            <w:noProof/>
            <w:webHidden/>
          </w:rPr>
          <w:tab/>
        </w:r>
        <w:r>
          <w:rPr>
            <w:noProof/>
            <w:webHidden/>
          </w:rPr>
          <w:fldChar w:fldCharType="begin"/>
        </w:r>
        <w:r>
          <w:rPr>
            <w:noProof/>
            <w:webHidden/>
          </w:rPr>
          <w:instrText xml:space="preserve"> PAGEREF _Toc234334635 \h </w:instrText>
        </w:r>
        <w:r>
          <w:rPr>
            <w:noProof/>
            <w:webHidden/>
          </w:rPr>
        </w:r>
        <w:r>
          <w:rPr>
            <w:noProof/>
            <w:webHidden/>
          </w:rPr>
          <w:fldChar w:fldCharType="separate"/>
        </w:r>
        <w:r>
          <w:rPr>
            <w:noProof/>
            <w:webHidden/>
          </w:rPr>
          <w:t>49</w:t>
        </w:r>
        <w:r>
          <w:rPr>
            <w:noProof/>
            <w:webHidden/>
          </w:rPr>
          <w:fldChar w:fldCharType="end"/>
        </w:r>
      </w:hyperlink>
    </w:p>
    <w:p w14:paraId="636D208E" w14:textId="708EE08A" w:rsidR="002B7F7C" w:rsidRDefault="002B7F7C">
      <w:pPr>
        <w:pStyle w:val="TOC2"/>
        <w:rPr>
          <w:rFonts w:asciiTheme="minorHAnsi" w:eastAsiaTheme="minorEastAsia" w:hAnsiTheme="minorHAnsi"/>
          <w:noProof/>
          <w:color w:val="auto"/>
          <w:sz w:val="24"/>
        </w:rPr>
      </w:pPr>
      <w:hyperlink w:anchor="_Toc234334636" w:history="1">
        <w:r w:rsidRPr="00FB0F2E">
          <w:rPr>
            <w:rStyle w:val="Hyperlink"/>
            <w:rFonts w:cs="Cambria"/>
            <w:noProof/>
          </w:rPr>
          <w:t>12.13 Budget Failure Procedures</w:t>
        </w:r>
        <w:r>
          <w:rPr>
            <w:noProof/>
            <w:webHidden/>
          </w:rPr>
          <w:tab/>
        </w:r>
        <w:r>
          <w:rPr>
            <w:noProof/>
            <w:webHidden/>
          </w:rPr>
          <w:fldChar w:fldCharType="begin"/>
        </w:r>
        <w:r>
          <w:rPr>
            <w:noProof/>
            <w:webHidden/>
          </w:rPr>
          <w:instrText xml:space="preserve"> PAGEREF _Toc234334636 \h </w:instrText>
        </w:r>
        <w:r>
          <w:rPr>
            <w:noProof/>
            <w:webHidden/>
          </w:rPr>
        </w:r>
        <w:r>
          <w:rPr>
            <w:noProof/>
            <w:webHidden/>
          </w:rPr>
          <w:fldChar w:fldCharType="separate"/>
        </w:r>
        <w:r>
          <w:rPr>
            <w:noProof/>
            <w:webHidden/>
          </w:rPr>
          <w:t>50</w:t>
        </w:r>
        <w:r>
          <w:rPr>
            <w:noProof/>
            <w:webHidden/>
          </w:rPr>
          <w:fldChar w:fldCharType="end"/>
        </w:r>
      </w:hyperlink>
    </w:p>
    <w:p w14:paraId="6C86C6E4" w14:textId="6F2588AD" w:rsidR="002B7F7C" w:rsidRDefault="002B7F7C">
      <w:pPr>
        <w:pStyle w:val="TOC1"/>
        <w:rPr>
          <w:rFonts w:asciiTheme="minorHAnsi" w:eastAsiaTheme="minorEastAsia" w:hAnsiTheme="minorHAnsi"/>
          <w:b w:val="0"/>
          <w:noProof/>
          <w:color w:val="auto"/>
          <w:sz w:val="24"/>
        </w:rPr>
      </w:pPr>
      <w:hyperlink w:anchor="_Toc234334637" w:history="1">
        <w:r w:rsidRPr="00FB0F2E">
          <w:rPr>
            <w:rStyle w:val="Hyperlink"/>
            <w:rFonts w:cs="Cambria"/>
            <w:noProof/>
          </w:rPr>
          <w:t>Article 13: Operational Learning</w:t>
        </w:r>
        <w:r>
          <w:rPr>
            <w:noProof/>
            <w:webHidden/>
          </w:rPr>
          <w:tab/>
        </w:r>
        <w:r>
          <w:rPr>
            <w:noProof/>
            <w:webHidden/>
          </w:rPr>
          <w:fldChar w:fldCharType="begin"/>
        </w:r>
        <w:r>
          <w:rPr>
            <w:noProof/>
            <w:webHidden/>
          </w:rPr>
          <w:instrText xml:space="preserve"> PAGEREF _Toc234334637 \h </w:instrText>
        </w:r>
        <w:r>
          <w:rPr>
            <w:noProof/>
            <w:webHidden/>
          </w:rPr>
        </w:r>
        <w:r>
          <w:rPr>
            <w:noProof/>
            <w:webHidden/>
          </w:rPr>
          <w:fldChar w:fldCharType="separate"/>
        </w:r>
        <w:r>
          <w:rPr>
            <w:noProof/>
            <w:webHidden/>
          </w:rPr>
          <w:t>50</w:t>
        </w:r>
        <w:r>
          <w:rPr>
            <w:noProof/>
            <w:webHidden/>
          </w:rPr>
          <w:fldChar w:fldCharType="end"/>
        </w:r>
      </w:hyperlink>
    </w:p>
    <w:p w14:paraId="09891AD5" w14:textId="30F8C8C7" w:rsidR="002B7F7C" w:rsidRDefault="002B7F7C">
      <w:pPr>
        <w:pStyle w:val="TOC2"/>
        <w:rPr>
          <w:rFonts w:asciiTheme="minorHAnsi" w:eastAsiaTheme="minorEastAsia" w:hAnsiTheme="minorHAnsi"/>
          <w:noProof/>
          <w:color w:val="auto"/>
          <w:sz w:val="24"/>
        </w:rPr>
      </w:pPr>
      <w:hyperlink w:anchor="_Toc234334638" w:history="1">
        <w:r w:rsidRPr="00FB0F2E">
          <w:rPr>
            <w:rStyle w:val="Hyperlink"/>
            <w:rFonts w:cs="Cambria"/>
            <w:noProof/>
          </w:rPr>
          <w:t>13.1 Lessons Learned Database</w:t>
        </w:r>
        <w:r>
          <w:rPr>
            <w:noProof/>
            <w:webHidden/>
          </w:rPr>
          <w:tab/>
        </w:r>
        <w:r>
          <w:rPr>
            <w:noProof/>
            <w:webHidden/>
          </w:rPr>
          <w:fldChar w:fldCharType="begin"/>
        </w:r>
        <w:r>
          <w:rPr>
            <w:noProof/>
            <w:webHidden/>
          </w:rPr>
          <w:instrText xml:space="preserve"> PAGEREF _Toc234334638 \h </w:instrText>
        </w:r>
        <w:r>
          <w:rPr>
            <w:noProof/>
            <w:webHidden/>
          </w:rPr>
        </w:r>
        <w:r>
          <w:rPr>
            <w:noProof/>
            <w:webHidden/>
          </w:rPr>
          <w:fldChar w:fldCharType="separate"/>
        </w:r>
        <w:r>
          <w:rPr>
            <w:noProof/>
            <w:webHidden/>
          </w:rPr>
          <w:t>50</w:t>
        </w:r>
        <w:r>
          <w:rPr>
            <w:noProof/>
            <w:webHidden/>
          </w:rPr>
          <w:fldChar w:fldCharType="end"/>
        </w:r>
      </w:hyperlink>
    </w:p>
    <w:p w14:paraId="6BD7168C" w14:textId="264E0B91" w:rsidR="002B7F7C" w:rsidRDefault="002B7F7C">
      <w:pPr>
        <w:pStyle w:val="TOC2"/>
        <w:rPr>
          <w:rFonts w:asciiTheme="minorHAnsi" w:eastAsiaTheme="minorEastAsia" w:hAnsiTheme="minorHAnsi"/>
          <w:noProof/>
          <w:color w:val="auto"/>
          <w:sz w:val="24"/>
        </w:rPr>
      </w:pPr>
      <w:hyperlink w:anchor="_Toc234334639" w:history="1">
        <w:r w:rsidRPr="00FB0F2E">
          <w:rPr>
            <w:rStyle w:val="Hyperlink"/>
            <w:rFonts w:cs="Cambria"/>
            <w:noProof/>
          </w:rPr>
          <w:t>13.2 False Alarm Metrics</w:t>
        </w:r>
        <w:r>
          <w:rPr>
            <w:noProof/>
            <w:webHidden/>
          </w:rPr>
          <w:tab/>
        </w:r>
        <w:r>
          <w:rPr>
            <w:noProof/>
            <w:webHidden/>
          </w:rPr>
          <w:fldChar w:fldCharType="begin"/>
        </w:r>
        <w:r>
          <w:rPr>
            <w:noProof/>
            <w:webHidden/>
          </w:rPr>
          <w:instrText xml:space="preserve"> PAGEREF _Toc234334639 \h </w:instrText>
        </w:r>
        <w:r>
          <w:rPr>
            <w:noProof/>
            <w:webHidden/>
          </w:rPr>
        </w:r>
        <w:r>
          <w:rPr>
            <w:noProof/>
            <w:webHidden/>
          </w:rPr>
          <w:fldChar w:fldCharType="separate"/>
        </w:r>
        <w:r>
          <w:rPr>
            <w:noProof/>
            <w:webHidden/>
          </w:rPr>
          <w:t>51</w:t>
        </w:r>
        <w:r>
          <w:rPr>
            <w:noProof/>
            <w:webHidden/>
          </w:rPr>
          <w:fldChar w:fldCharType="end"/>
        </w:r>
      </w:hyperlink>
    </w:p>
    <w:p w14:paraId="3588E967" w14:textId="7EC0641D" w:rsidR="002B7F7C" w:rsidRDefault="002B7F7C">
      <w:pPr>
        <w:pStyle w:val="TOC2"/>
        <w:rPr>
          <w:rFonts w:asciiTheme="minorHAnsi" w:eastAsiaTheme="minorEastAsia" w:hAnsiTheme="minorHAnsi"/>
          <w:noProof/>
          <w:color w:val="auto"/>
          <w:sz w:val="24"/>
        </w:rPr>
      </w:pPr>
      <w:hyperlink w:anchor="_Toc234334640" w:history="1">
        <w:r w:rsidRPr="00FB0F2E">
          <w:rPr>
            <w:rStyle w:val="Hyperlink"/>
            <w:rFonts w:cs="Cambria"/>
            <w:noProof/>
          </w:rPr>
          <w:t>13.3 Annual Learning Review</w:t>
        </w:r>
        <w:r>
          <w:rPr>
            <w:noProof/>
            <w:webHidden/>
          </w:rPr>
          <w:tab/>
        </w:r>
        <w:r>
          <w:rPr>
            <w:noProof/>
            <w:webHidden/>
          </w:rPr>
          <w:fldChar w:fldCharType="begin"/>
        </w:r>
        <w:r>
          <w:rPr>
            <w:noProof/>
            <w:webHidden/>
          </w:rPr>
          <w:instrText xml:space="preserve"> PAGEREF _Toc234334640 \h </w:instrText>
        </w:r>
        <w:r>
          <w:rPr>
            <w:noProof/>
            <w:webHidden/>
          </w:rPr>
        </w:r>
        <w:r>
          <w:rPr>
            <w:noProof/>
            <w:webHidden/>
          </w:rPr>
          <w:fldChar w:fldCharType="separate"/>
        </w:r>
        <w:r>
          <w:rPr>
            <w:noProof/>
            <w:webHidden/>
          </w:rPr>
          <w:t>51</w:t>
        </w:r>
        <w:r>
          <w:rPr>
            <w:noProof/>
            <w:webHidden/>
          </w:rPr>
          <w:fldChar w:fldCharType="end"/>
        </w:r>
      </w:hyperlink>
    </w:p>
    <w:p w14:paraId="606EE7A9" w14:textId="2DC4C7DB" w:rsidR="002B7F7C" w:rsidRDefault="002B7F7C">
      <w:pPr>
        <w:pStyle w:val="TOC2"/>
        <w:rPr>
          <w:rFonts w:asciiTheme="minorHAnsi" w:eastAsiaTheme="minorEastAsia" w:hAnsiTheme="minorHAnsi"/>
          <w:noProof/>
          <w:color w:val="auto"/>
          <w:sz w:val="24"/>
        </w:rPr>
      </w:pPr>
      <w:hyperlink w:anchor="_Toc234334641" w:history="1">
        <w:r w:rsidRPr="00FB0F2E">
          <w:rPr>
            <w:rStyle w:val="Hyperlink"/>
            <w:rFonts w:cs="Cambria"/>
            <w:noProof/>
          </w:rPr>
          <w:t>13.4 Sanitized Publication</w:t>
        </w:r>
        <w:r>
          <w:rPr>
            <w:noProof/>
            <w:webHidden/>
          </w:rPr>
          <w:tab/>
        </w:r>
        <w:r>
          <w:rPr>
            <w:noProof/>
            <w:webHidden/>
          </w:rPr>
          <w:fldChar w:fldCharType="begin"/>
        </w:r>
        <w:r>
          <w:rPr>
            <w:noProof/>
            <w:webHidden/>
          </w:rPr>
          <w:instrText xml:space="preserve"> PAGEREF _Toc234334641 \h </w:instrText>
        </w:r>
        <w:r>
          <w:rPr>
            <w:noProof/>
            <w:webHidden/>
          </w:rPr>
        </w:r>
        <w:r>
          <w:rPr>
            <w:noProof/>
            <w:webHidden/>
          </w:rPr>
          <w:fldChar w:fldCharType="separate"/>
        </w:r>
        <w:r>
          <w:rPr>
            <w:noProof/>
            <w:webHidden/>
          </w:rPr>
          <w:t>51</w:t>
        </w:r>
        <w:r>
          <w:rPr>
            <w:noProof/>
            <w:webHidden/>
          </w:rPr>
          <w:fldChar w:fldCharType="end"/>
        </w:r>
      </w:hyperlink>
    </w:p>
    <w:p w14:paraId="19BA3708" w14:textId="6E7B3B83" w:rsidR="002B7F7C" w:rsidRDefault="002B7F7C">
      <w:pPr>
        <w:pStyle w:val="TOC2"/>
        <w:rPr>
          <w:rFonts w:asciiTheme="minorHAnsi" w:eastAsiaTheme="minorEastAsia" w:hAnsiTheme="minorHAnsi"/>
          <w:noProof/>
          <w:color w:val="auto"/>
          <w:sz w:val="24"/>
        </w:rPr>
      </w:pPr>
      <w:hyperlink w:anchor="_Toc234334642" w:history="1">
        <w:r w:rsidRPr="00FB0F2E">
          <w:rPr>
            <w:rStyle w:val="Hyperlink"/>
            <w:rFonts w:cs="Cambria"/>
            <w:noProof/>
          </w:rPr>
          <w:t>13.5 Continuous Improvement Cycle</w:t>
        </w:r>
        <w:r>
          <w:rPr>
            <w:noProof/>
            <w:webHidden/>
          </w:rPr>
          <w:tab/>
        </w:r>
        <w:r>
          <w:rPr>
            <w:noProof/>
            <w:webHidden/>
          </w:rPr>
          <w:fldChar w:fldCharType="begin"/>
        </w:r>
        <w:r>
          <w:rPr>
            <w:noProof/>
            <w:webHidden/>
          </w:rPr>
          <w:instrText xml:space="preserve"> PAGEREF _Toc234334642 \h </w:instrText>
        </w:r>
        <w:r>
          <w:rPr>
            <w:noProof/>
            <w:webHidden/>
          </w:rPr>
        </w:r>
        <w:r>
          <w:rPr>
            <w:noProof/>
            <w:webHidden/>
          </w:rPr>
          <w:fldChar w:fldCharType="separate"/>
        </w:r>
        <w:r>
          <w:rPr>
            <w:noProof/>
            <w:webHidden/>
          </w:rPr>
          <w:t>52</w:t>
        </w:r>
        <w:r>
          <w:rPr>
            <w:noProof/>
            <w:webHidden/>
          </w:rPr>
          <w:fldChar w:fldCharType="end"/>
        </w:r>
      </w:hyperlink>
    </w:p>
    <w:p w14:paraId="17DDF252" w14:textId="0B9554FF" w:rsidR="002B7F7C" w:rsidRDefault="002B7F7C">
      <w:pPr>
        <w:pStyle w:val="TOC2"/>
        <w:rPr>
          <w:rFonts w:asciiTheme="minorHAnsi" w:eastAsiaTheme="minorEastAsia" w:hAnsiTheme="minorHAnsi"/>
          <w:noProof/>
          <w:color w:val="auto"/>
          <w:sz w:val="24"/>
        </w:rPr>
      </w:pPr>
      <w:hyperlink w:anchor="_Toc234334643" w:history="1">
        <w:r w:rsidRPr="00FB0F2E">
          <w:rPr>
            <w:rStyle w:val="Hyperlink"/>
            <w:rFonts w:cs="Cambria"/>
            <w:noProof/>
          </w:rPr>
          <w:t>13.6 Lessons Learned Oversight Committee</w:t>
        </w:r>
        <w:r>
          <w:rPr>
            <w:noProof/>
            <w:webHidden/>
          </w:rPr>
          <w:tab/>
        </w:r>
        <w:r>
          <w:rPr>
            <w:noProof/>
            <w:webHidden/>
          </w:rPr>
          <w:fldChar w:fldCharType="begin"/>
        </w:r>
        <w:r>
          <w:rPr>
            <w:noProof/>
            <w:webHidden/>
          </w:rPr>
          <w:instrText xml:space="preserve"> PAGEREF _Toc234334643 \h </w:instrText>
        </w:r>
        <w:r>
          <w:rPr>
            <w:noProof/>
            <w:webHidden/>
          </w:rPr>
        </w:r>
        <w:r>
          <w:rPr>
            <w:noProof/>
            <w:webHidden/>
          </w:rPr>
          <w:fldChar w:fldCharType="separate"/>
        </w:r>
        <w:r>
          <w:rPr>
            <w:noProof/>
            <w:webHidden/>
          </w:rPr>
          <w:t>52</w:t>
        </w:r>
        <w:r>
          <w:rPr>
            <w:noProof/>
            <w:webHidden/>
          </w:rPr>
          <w:fldChar w:fldCharType="end"/>
        </w:r>
      </w:hyperlink>
    </w:p>
    <w:p w14:paraId="38A5E10C" w14:textId="10DC65B3" w:rsidR="002B7F7C" w:rsidRDefault="002B7F7C">
      <w:pPr>
        <w:pStyle w:val="TOC1"/>
        <w:rPr>
          <w:rFonts w:asciiTheme="minorHAnsi" w:eastAsiaTheme="minorEastAsia" w:hAnsiTheme="minorHAnsi"/>
          <w:b w:val="0"/>
          <w:noProof/>
          <w:color w:val="auto"/>
          <w:sz w:val="24"/>
        </w:rPr>
      </w:pPr>
      <w:hyperlink w:anchor="_Toc234334644" w:history="1">
        <w:r w:rsidRPr="00FB0F2E">
          <w:rPr>
            <w:rStyle w:val="Hyperlink"/>
            <w:rFonts w:cs="Cambria"/>
            <w:noProof/>
          </w:rPr>
          <w:t>Article 14: Public Narrative</w:t>
        </w:r>
        <w:r>
          <w:rPr>
            <w:noProof/>
            <w:webHidden/>
          </w:rPr>
          <w:tab/>
        </w:r>
        <w:r>
          <w:rPr>
            <w:noProof/>
            <w:webHidden/>
          </w:rPr>
          <w:fldChar w:fldCharType="begin"/>
        </w:r>
        <w:r>
          <w:rPr>
            <w:noProof/>
            <w:webHidden/>
          </w:rPr>
          <w:instrText xml:space="preserve"> PAGEREF _Toc234334644 \h </w:instrText>
        </w:r>
        <w:r>
          <w:rPr>
            <w:noProof/>
            <w:webHidden/>
          </w:rPr>
        </w:r>
        <w:r>
          <w:rPr>
            <w:noProof/>
            <w:webHidden/>
          </w:rPr>
          <w:fldChar w:fldCharType="separate"/>
        </w:r>
        <w:r>
          <w:rPr>
            <w:noProof/>
            <w:webHidden/>
          </w:rPr>
          <w:t>52</w:t>
        </w:r>
        <w:r>
          <w:rPr>
            <w:noProof/>
            <w:webHidden/>
          </w:rPr>
          <w:fldChar w:fldCharType="end"/>
        </w:r>
      </w:hyperlink>
    </w:p>
    <w:p w14:paraId="4EB7581C" w14:textId="24CE239B" w:rsidR="002B7F7C" w:rsidRDefault="002B7F7C">
      <w:pPr>
        <w:pStyle w:val="TOC2"/>
        <w:rPr>
          <w:rFonts w:asciiTheme="minorHAnsi" w:eastAsiaTheme="minorEastAsia" w:hAnsiTheme="minorHAnsi"/>
          <w:noProof/>
          <w:color w:val="auto"/>
          <w:sz w:val="24"/>
        </w:rPr>
      </w:pPr>
      <w:hyperlink w:anchor="_Toc234334645" w:history="1">
        <w:r w:rsidRPr="00FB0F2E">
          <w:rPr>
            <w:rStyle w:val="Hyperlink"/>
            <w:rFonts w:cs="Cambria"/>
            <w:noProof/>
          </w:rPr>
          <w:t>14.1 Public Annual Report</w:t>
        </w:r>
        <w:r>
          <w:rPr>
            <w:noProof/>
            <w:webHidden/>
          </w:rPr>
          <w:tab/>
        </w:r>
        <w:r>
          <w:rPr>
            <w:noProof/>
            <w:webHidden/>
          </w:rPr>
          <w:fldChar w:fldCharType="begin"/>
        </w:r>
        <w:r>
          <w:rPr>
            <w:noProof/>
            <w:webHidden/>
          </w:rPr>
          <w:instrText xml:space="preserve"> PAGEREF _Toc234334645 \h </w:instrText>
        </w:r>
        <w:r>
          <w:rPr>
            <w:noProof/>
            <w:webHidden/>
          </w:rPr>
        </w:r>
        <w:r>
          <w:rPr>
            <w:noProof/>
            <w:webHidden/>
          </w:rPr>
          <w:fldChar w:fldCharType="separate"/>
        </w:r>
        <w:r>
          <w:rPr>
            <w:noProof/>
            <w:webHidden/>
          </w:rPr>
          <w:t>53</w:t>
        </w:r>
        <w:r>
          <w:rPr>
            <w:noProof/>
            <w:webHidden/>
          </w:rPr>
          <w:fldChar w:fldCharType="end"/>
        </w:r>
      </w:hyperlink>
    </w:p>
    <w:p w14:paraId="6ABC0056" w14:textId="032CD59F" w:rsidR="002B7F7C" w:rsidRDefault="002B7F7C">
      <w:pPr>
        <w:pStyle w:val="TOC2"/>
        <w:rPr>
          <w:rFonts w:asciiTheme="minorHAnsi" w:eastAsiaTheme="minorEastAsia" w:hAnsiTheme="minorHAnsi"/>
          <w:noProof/>
          <w:color w:val="auto"/>
          <w:sz w:val="24"/>
        </w:rPr>
      </w:pPr>
      <w:hyperlink w:anchor="_Toc234334646" w:history="1">
        <w:r w:rsidRPr="00FB0F2E">
          <w:rPr>
            <w:rStyle w:val="Hyperlink"/>
            <w:rFonts w:cs="Cambria"/>
            <w:noProof/>
          </w:rPr>
          <w:t>14.2 Communications Authority</w:t>
        </w:r>
        <w:r>
          <w:rPr>
            <w:noProof/>
            <w:webHidden/>
          </w:rPr>
          <w:tab/>
        </w:r>
        <w:r>
          <w:rPr>
            <w:noProof/>
            <w:webHidden/>
          </w:rPr>
          <w:fldChar w:fldCharType="begin"/>
        </w:r>
        <w:r>
          <w:rPr>
            <w:noProof/>
            <w:webHidden/>
          </w:rPr>
          <w:instrText xml:space="preserve"> PAGEREF _Toc234334646 \h </w:instrText>
        </w:r>
        <w:r>
          <w:rPr>
            <w:noProof/>
            <w:webHidden/>
          </w:rPr>
        </w:r>
        <w:r>
          <w:rPr>
            <w:noProof/>
            <w:webHidden/>
          </w:rPr>
          <w:fldChar w:fldCharType="separate"/>
        </w:r>
        <w:r>
          <w:rPr>
            <w:noProof/>
            <w:webHidden/>
          </w:rPr>
          <w:t>53</w:t>
        </w:r>
        <w:r>
          <w:rPr>
            <w:noProof/>
            <w:webHidden/>
          </w:rPr>
          <w:fldChar w:fldCharType="end"/>
        </w:r>
      </w:hyperlink>
    </w:p>
    <w:p w14:paraId="4965DF19" w14:textId="65328555" w:rsidR="002B7F7C" w:rsidRDefault="002B7F7C">
      <w:pPr>
        <w:pStyle w:val="TOC1"/>
        <w:rPr>
          <w:rFonts w:asciiTheme="minorHAnsi" w:eastAsiaTheme="minorEastAsia" w:hAnsiTheme="minorHAnsi"/>
          <w:b w:val="0"/>
          <w:noProof/>
          <w:color w:val="auto"/>
          <w:sz w:val="24"/>
        </w:rPr>
      </w:pPr>
      <w:hyperlink w:anchor="_Toc234334647" w:history="1">
        <w:r w:rsidRPr="00FB0F2E">
          <w:rPr>
            <w:rStyle w:val="Hyperlink"/>
            <w:rFonts w:cs="Cambria"/>
            <w:noProof/>
          </w:rPr>
          <w:t>Article 15: Sunset and Review</w:t>
        </w:r>
        <w:r>
          <w:rPr>
            <w:noProof/>
            <w:webHidden/>
          </w:rPr>
          <w:tab/>
        </w:r>
        <w:r>
          <w:rPr>
            <w:noProof/>
            <w:webHidden/>
          </w:rPr>
          <w:fldChar w:fldCharType="begin"/>
        </w:r>
        <w:r>
          <w:rPr>
            <w:noProof/>
            <w:webHidden/>
          </w:rPr>
          <w:instrText xml:space="preserve"> PAGEREF _Toc234334647 \h </w:instrText>
        </w:r>
        <w:r>
          <w:rPr>
            <w:noProof/>
            <w:webHidden/>
          </w:rPr>
        </w:r>
        <w:r>
          <w:rPr>
            <w:noProof/>
            <w:webHidden/>
          </w:rPr>
          <w:fldChar w:fldCharType="separate"/>
        </w:r>
        <w:r>
          <w:rPr>
            <w:noProof/>
            <w:webHidden/>
          </w:rPr>
          <w:t>53</w:t>
        </w:r>
        <w:r>
          <w:rPr>
            <w:noProof/>
            <w:webHidden/>
          </w:rPr>
          <w:fldChar w:fldCharType="end"/>
        </w:r>
      </w:hyperlink>
    </w:p>
    <w:p w14:paraId="642CA596" w14:textId="4047B954" w:rsidR="002B7F7C" w:rsidRDefault="002B7F7C">
      <w:pPr>
        <w:pStyle w:val="TOC2"/>
        <w:rPr>
          <w:rFonts w:asciiTheme="minorHAnsi" w:eastAsiaTheme="minorEastAsia" w:hAnsiTheme="minorHAnsi"/>
          <w:noProof/>
          <w:color w:val="auto"/>
          <w:sz w:val="24"/>
        </w:rPr>
      </w:pPr>
      <w:hyperlink w:anchor="_Toc234334648" w:history="1">
        <w:r w:rsidRPr="00FB0F2E">
          <w:rPr>
            <w:rStyle w:val="Hyperlink"/>
            <w:rFonts w:cs="Cambria"/>
            <w:noProof/>
          </w:rPr>
          <w:t>15.1 Rolling Horizon Mandate</w:t>
        </w:r>
        <w:r>
          <w:rPr>
            <w:noProof/>
            <w:webHidden/>
          </w:rPr>
          <w:tab/>
        </w:r>
        <w:r>
          <w:rPr>
            <w:noProof/>
            <w:webHidden/>
          </w:rPr>
          <w:fldChar w:fldCharType="begin"/>
        </w:r>
        <w:r>
          <w:rPr>
            <w:noProof/>
            <w:webHidden/>
          </w:rPr>
          <w:instrText xml:space="preserve"> PAGEREF _Toc234334648 \h </w:instrText>
        </w:r>
        <w:r>
          <w:rPr>
            <w:noProof/>
            <w:webHidden/>
          </w:rPr>
        </w:r>
        <w:r>
          <w:rPr>
            <w:noProof/>
            <w:webHidden/>
          </w:rPr>
          <w:fldChar w:fldCharType="separate"/>
        </w:r>
        <w:r>
          <w:rPr>
            <w:noProof/>
            <w:webHidden/>
          </w:rPr>
          <w:t>53</w:t>
        </w:r>
        <w:r>
          <w:rPr>
            <w:noProof/>
            <w:webHidden/>
          </w:rPr>
          <w:fldChar w:fldCharType="end"/>
        </w:r>
      </w:hyperlink>
    </w:p>
    <w:p w14:paraId="1FD94DBA" w14:textId="2CBDC728" w:rsidR="002B7F7C" w:rsidRDefault="002B7F7C">
      <w:pPr>
        <w:pStyle w:val="TOC2"/>
        <w:rPr>
          <w:rFonts w:asciiTheme="minorHAnsi" w:eastAsiaTheme="minorEastAsia" w:hAnsiTheme="minorHAnsi"/>
          <w:noProof/>
          <w:color w:val="auto"/>
          <w:sz w:val="24"/>
        </w:rPr>
      </w:pPr>
      <w:hyperlink w:anchor="_Toc234334649" w:history="1">
        <w:r w:rsidRPr="00FB0F2E">
          <w:rPr>
            <w:rStyle w:val="Hyperlink"/>
            <w:rFonts w:cs="Cambria"/>
            <w:noProof/>
          </w:rPr>
          <w:t>15.2 Annual Performance Review</w:t>
        </w:r>
        <w:r>
          <w:rPr>
            <w:noProof/>
            <w:webHidden/>
          </w:rPr>
          <w:tab/>
        </w:r>
        <w:r>
          <w:rPr>
            <w:noProof/>
            <w:webHidden/>
          </w:rPr>
          <w:fldChar w:fldCharType="begin"/>
        </w:r>
        <w:r>
          <w:rPr>
            <w:noProof/>
            <w:webHidden/>
          </w:rPr>
          <w:instrText xml:space="preserve"> PAGEREF _Toc234334649 \h </w:instrText>
        </w:r>
        <w:r>
          <w:rPr>
            <w:noProof/>
            <w:webHidden/>
          </w:rPr>
        </w:r>
        <w:r>
          <w:rPr>
            <w:noProof/>
            <w:webHidden/>
          </w:rPr>
          <w:fldChar w:fldCharType="separate"/>
        </w:r>
        <w:r>
          <w:rPr>
            <w:noProof/>
            <w:webHidden/>
          </w:rPr>
          <w:t>53</w:t>
        </w:r>
        <w:r>
          <w:rPr>
            <w:noProof/>
            <w:webHidden/>
          </w:rPr>
          <w:fldChar w:fldCharType="end"/>
        </w:r>
      </w:hyperlink>
    </w:p>
    <w:p w14:paraId="6E879110" w14:textId="6E2A1C25" w:rsidR="002B7F7C" w:rsidRDefault="002B7F7C">
      <w:pPr>
        <w:pStyle w:val="TOC2"/>
        <w:rPr>
          <w:rFonts w:asciiTheme="minorHAnsi" w:eastAsiaTheme="minorEastAsia" w:hAnsiTheme="minorHAnsi"/>
          <w:noProof/>
          <w:color w:val="auto"/>
          <w:sz w:val="24"/>
        </w:rPr>
      </w:pPr>
      <w:hyperlink w:anchor="_Toc234334650" w:history="1">
        <w:r w:rsidRPr="00FB0F2E">
          <w:rPr>
            <w:rStyle w:val="Hyperlink"/>
            <w:rFonts w:cs="Cambria"/>
            <w:noProof/>
          </w:rPr>
          <w:t>15.3 Graceful Degradation</w:t>
        </w:r>
        <w:r>
          <w:rPr>
            <w:noProof/>
            <w:webHidden/>
          </w:rPr>
          <w:tab/>
        </w:r>
        <w:r>
          <w:rPr>
            <w:noProof/>
            <w:webHidden/>
          </w:rPr>
          <w:fldChar w:fldCharType="begin"/>
        </w:r>
        <w:r>
          <w:rPr>
            <w:noProof/>
            <w:webHidden/>
          </w:rPr>
          <w:instrText xml:space="preserve"> PAGEREF _Toc234334650 \h </w:instrText>
        </w:r>
        <w:r>
          <w:rPr>
            <w:noProof/>
            <w:webHidden/>
          </w:rPr>
        </w:r>
        <w:r>
          <w:rPr>
            <w:noProof/>
            <w:webHidden/>
          </w:rPr>
          <w:fldChar w:fldCharType="separate"/>
        </w:r>
        <w:r>
          <w:rPr>
            <w:noProof/>
            <w:webHidden/>
          </w:rPr>
          <w:t>54</w:t>
        </w:r>
        <w:r>
          <w:rPr>
            <w:noProof/>
            <w:webHidden/>
          </w:rPr>
          <w:fldChar w:fldCharType="end"/>
        </w:r>
      </w:hyperlink>
    </w:p>
    <w:p w14:paraId="61D5115D" w14:textId="2931FE48" w:rsidR="002B7F7C" w:rsidRDefault="002B7F7C">
      <w:pPr>
        <w:pStyle w:val="TOC2"/>
        <w:rPr>
          <w:rFonts w:asciiTheme="minorHAnsi" w:eastAsiaTheme="minorEastAsia" w:hAnsiTheme="minorHAnsi"/>
          <w:noProof/>
          <w:color w:val="auto"/>
          <w:sz w:val="24"/>
        </w:rPr>
      </w:pPr>
      <w:hyperlink w:anchor="_Toc234334651" w:history="1">
        <w:r w:rsidRPr="00FB0F2E">
          <w:rPr>
            <w:rStyle w:val="Hyperlink"/>
            <w:rFonts w:cs="Cambria"/>
            <w:noProof/>
          </w:rPr>
          <w:t>15.4 Mandate Renewal Vote</w:t>
        </w:r>
        <w:r>
          <w:rPr>
            <w:noProof/>
            <w:webHidden/>
          </w:rPr>
          <w:tab/>
        </w:r>
        <w:r>
          <w:rPr>
            <w:noProof/>
            <w:webHidden/>
          </w:rPr>
          <w:fldChar w:fldCharType="begin"/>
        </w:r>
        <w:r>
          <w:rPr>
            <w:noProof/>
            <w:webHidden/>
          </w:rPr>
          <w:instrText xml:space="preserve"> PAGEREF _Toc234334651 \h </w:instrText>
        </w:r>
        <w:r>
          <w:rPr>
            <w:noProof/>
            <w:webHidden/>
          </w:rPr>
        </w:r>
        <w:r>
          <w:rPr>
            <w:noProof/>
            <w:webHidden/>
          </w:rPr>
          <w:fldChar w:fldCharType="separate"/>
        </w:r>
        <w:r>
          <w:rPr>
            <w:noProof/>
            <w:webHidden/>
          </w:rPr>
          <w:t>54</w:t>
        </w:r>
        <w:r>
          <w:rPr>
            <w:noProof/>
            <w:webHidden/>
          </w:rPr>
          <w:fldChar w:fldCharType="end"/>
        </w:r>
      </w:hyperlink>
    </w:p>
    <w:p w14:paraId="4608150C" w14:textId="35B964B8" w:rsidR="002B7F7C" w:rsidRDefault="002B7F7C">
      <w:pPr>
        <w:pStyle w:val="TOC2"/>
        <w:rPr>
          <w:rFonts w:asciiTheme="minorHAnsi" w:eastAsiaTheme="minorEastAsia" w:hAnsiTheme="minorHAnsi"/>
          <w:noProof/>
          <w:color w:val="auto"/>
          <w:sz w:val="24"/>
        </w:rPr>
      </w:pPr>
      <w:hyperlink w:anchor="_Toc234334652" w:history="1">
        <w:r w:rsidRPr="00FB0F2E">
          <w:rPr>
            <w:rStyle w:val="Hyperlink"/>
            <w:rFonts w:cs="Cambria"/>
            <w:noProof/>
          </w:rPr>
          <w:t>15.5 Reform Proposals</w:t>
        </w:r>
        <w:r>
          <w:rPr>
            <w:noProof/>
            <w:webHidden/>
          </w:rPr>
          <w:tab/>
        </w:r>
        <w:r>
          <w:rPr>
            <w:noProof/>
            <w:webHidden/>
          </w:rPr>
          <w:fldChar w:fldCharType="begin"/>
        </w:r>
        <w:r>
          <w:rPr>
            <w:noProof/>
            <w:webHidden/>
          </w:rPr>
          <w:instrText xml:space="preserve"> PAGEREF _Toc234334652 \h </w:instrText>
        </w:r>
        <w:r>
          <w:rPr>
            <w:noProof/>
            <w:webHidden/>
          </w:rPr>
        </w:r>
        <w:r>
          <w:rPr>
            <w:noProof/>
            <w:webHidden/>
          </w:rPr>
          <w:fldChar w:fldCharType="separate"/>
        </w:r>
        <w:r>
          <w:rPr>
            <w:noProof/>
            <w:webHidden/>
          </w:rPr>
          <w:t>54</w:t>
        </w:r>
        <w:r>
          <w:rPr>
            <w:noProof/>
            <w:webHidden/>
          </w:rPr>
          <w:fldChar w:fldCharType="end"/>
        </w:r>
      </w:hyperlink>
    </w:p>
    <w:p w14:paraId="3F1C354A" w14:textId="1F0030C1" w:rsidR="002B7F7C" w:rsidRDefault="002B7F7C">
      <w:pPr>
        <w:pStyle w:val="TOC2"/>
        <w:rPr>
          <w:rFonts w:asciiTheme="minorHAnsi" w:eastAsiaTheme="minorEastAsia" w:hAnsiTheme="minorHAnsi"/>
          <w:noProof/>
          <w:color w:val="auto"/>
          <w:sz w:val="24"/>
        </w:rPr>
      </w:pPr>
      <w:hyperlink w:anchor="_Toc234334653" w:history="1">
        <w:r w:rsidRPr="00FB0F2E">
          <w:rPr>
            <w:rStyle w:val="Hyperlink"/>
            <w:rFonts w:cs="Cambria"/>
            <w:noProof/>
          </w:rPr>
          <w:t>15.6 Independent External Review</w:t>
        </w:r>
        <w:r>
          <w:rPr>
            <w:noProof/>
            <w:webHidden/>
          </w:rPr>
          <w:tab/>
        </w:r>
        <w:r>
          <w:rPr>
            <w:noProof/>
            <w:webHidden/>
          </w:rPr>
          <w:fldChar w:fldCharType="begin"/>
        </w:r>
        <w:r>
          <w:rPr>
            <w:noProof/>
            <w:webHidden/>
          </w:rPr>
          <w:instrText xml:space="preserve"> PAGEREF _Toc234334653 \h </w:instrText>
        </w:r>
        <w:r>
          <w:rPr>
            <w:noProof/>
            <w:webHidden/>
          </w:rPr>
        </w:r>
        <w:r>
          <w:rPr>
            <w:noProof/>
            <w:webHidden/>
          </w:rPr>
          <w:fldChar w:fldCharType="separate"/>
        </w:r>
        <w:r>
          <w:rPr>
            <w:noProof/>
            <w:webHidden/>
          </w:rPr>
          <w:t>54</w:t>
        </w:r>
        <w:r>
          <w:rPr>
            <w:noProof/>
            <w:webHidden/>
          </w:rPr>
          <w:fldChar w:fldCharType="end"/>
        </w:r>
      </w:hyperlink>
    </w:p>
    <w:p w14:paraId="3835401C" w14:textId="7240DC37" w:rsidR="002B7F7C" w:rsidRDefault="002B7F7C">
      <w:pPr>
        <w:pStyle w:val="TOC2"/>
        <w:rPr>
          <w:rFonts w:asciiTheme="minorHAnsi" w:eastAsiaTheme="minorEastAsia" w:hAnsiTheme="minorHAnsi"/>
          <w:noProof/>
          <w:color w:val="auto"/>
          <w:sz w:val="24"/>
        </w:rPr>
      </w:pPr>
      <w:hyperlink w:anchor="_Toc234334654" w:history="1">
        <w:r w:rsidRPr="00FB0F2E">
          <w:rPr>
            <w:rStyle w:val="Hyperlink"/>
            <w:rFonts w:cs="Cambria"/>
            <w:noProof/>
          </w:rPr>
          <w:t>15.7 Objective Auto-Downsizing Trigger</w:t>
        </w:r>
        <w:r>
          <w:rPr>
            <w:noProof/>
            <w:webHidden/>
          </w:rPr>
          <w:tab/>
        </w:r>
        <w:r>
          <w:rPr>
            <w:noProof/>
            <w:webHidden/>
          </w:rPr>
          <w:fldChar w:fldCharType="begin"/>
        </w:r>
        <w:r>
          <w:rPr>
            <w:noProof/>
            <w:webHidden/>
          </w:rPr>
          <w:instrText xml:space="preserve"> PAGEREF _Toc234334654 \h </w:instrText>
        </w:r>
        <w:r>
          <w:rPr>
            <w:noProof/>
            <w:webHidden/>
          </w:rPr>
        </w:r>
        <w:r>
          <w:rPr>
            <w:noProof/>
            <w:webHidden/>
          </w:rPr>
          <w:fldChar w:fldCharType="separate"/>
        </w:r>
        <w:r>
          <w:rPr>
            <w:noProof/>
            <w:webHidden/>
          </w:rPr>
          <w:t>55</w:t>
        </w:r>
        <w:r>
          <w:rPr>
            <w:noProof/>
            <w:webHidden/>
          </w:rPr>
          <w:fldChar w:fldCharType="end"/>
        </w:r>
      </w:hyperlink>
    </w:p>
    <w:p w14:paraId="6DE93F0C" w14:textId="500E1039" w:rsidR="002B7F7C" w:rsidRDefault="002B7F7C">
      <w:pPr>
        <w:pStyle w:val="TOC2"/>
        <w:rPr>
          <w:rFonts w:asciiTheme="minorHAnsi" w:eastAsiaTheme="minorEastAsia" w:hAnsiTheme="minorHAnsi"/>
          <w:noProof/>
          <w:color w:val="auto"/>
          <w:sz w:val="24"/>
        </w:rPr>
      </w:pPr>
      <w:hyperlink w:anchor="_Toc234334655" w:history="1">
        <w:r w:rsidRPr="00FB0F2E">
          <w:rPr>
            <w:rStyle w:val="Hyperlink"/>
            <w:rFonts w:cs="Cambria"/>
            <w:noProof/>
          </w:rPr>
          <w:t>15.8 Sustained Operations During Stable Periods</w:t>
        </w:r>
        <w:r>
          <w:rPr>
            <w:noProof/>
            <w:webHidden/>
          </w:rPr>
          <w:tab/>
        </w:r>
        <w:r>
          <w:rPr>
            <w:noProof/>
            <w:webHidden/>
          </w:rPr>
          <w:fldChar w:fldCharType="begin"/>
        </w:r>
        <w:r>
          <w:rPr>
            <w:noProof/>
            <w:webHidden/>
          </w:rPr>
          <w:instrText xml:space="preserve"> PAGEREF _Toc234334655 \h </w:instrText>
        </w:r>
        <w:r>
          <w:rPr>
            <w:noProof/>
            <w:webHidden/>
          </w:rPr>
        </w:r>
        <w:r>
          <w:rPr>
            <w:noProof/>
            <w:webHidden/>
          </w:rPr>
          <w:fldChar w:fldCharType="separate"/>
        </w:r>
        <w:r>
          <w:rPr>
            <w:noProof/>
            <w:webHidden/>
          </w:rPr>
          <w:t>55</w:t>
        </w:r>
        <w:r>
          <w:rPr>
            <w:noProof/>
            <w:webHidden/>
          </w:rPr>
          <w:fldChar w:fldCharType="end"/>
        </w:r>
      </w:hyperlink>
    </w:p>
    <w:p w14:paraId="28249723" w14:textId="4CC782F4" w:rsidR="002B7F7C" w:rsidRDefault="002B7F7C">
      <w:pPr>
        <w:pStyle w:val="TOC2"/>
        <w:rPr>
          <w:rFonts w:asciiTheme="minorHAnsi" w:eastAsiaTheme="minorEastAsia" w:hAnsiTheme="minorHAnsi"/>
          <w:noProof/>
          <w:color w:val="auto"/>
          <w:sz w:val="24"/>
        </w:rPr>
      </w:pPr>
      <w:hyperlink w:anchor="_Toc234334656" w:history="1">
        <w:r w:rsidRPr="00FB0F2E">
          <w:rPr>
            <w:rStyle w:val="Hyperlink"/>
            <w:rFonts w:cs="Cambria"/>
            <w:noProof/>
          </w:rPr>
          <w:t>15.9 State Withdrawal Valve</w:t>
        </w:r>
        <w:r>
          <w:rPr>
            <w:noProof/>
            <w:webHidden/>
          </w:rPr>
          <w:tab/>
        </w:r>
        <w:r>
          <w:rPr>
            <w:noProof/>
            <w:webHidden/>
          </w:rPr>
          <w:fldChar w:fldCharType="begin"/>
        </w:r>
        <w:r>
          <w:rPr>
            <w:noProof/>
            <w:webHidden/>
          </w:rPr>
          <w:instrText xml:space="preserve"> PAGEREF _Toc234334656 \h </w:instrText>
        </w:r>
        <w:r>
          <w:rPr>
            <w:noProof/>
            <w:webHidden/>
          </w:rPr>
        </w:r>
        <w:r>
          <w:rPr>
            <w:noProof/>
            <w:webHidden/>
          </w:rPr>
          <w:fldChar w:fldCharType="separate"/>
        </w:r>
        <w:r>
          <w:rPr>
            <w:noProof/>
            <w:webHidden/>
          </w:rPr>
          <w:t>55</w:t>
        </w:r>
        <w:r>
          <w:rPr>
            <w:noProof/>
            <w:webHidden/>
          </w:rPr>
          <w:fldChar w:fldCharType="end"/>
        </w:r>
      </w:hyperlink>
    </w:p>
    <w:p w14:paraId="1EC6E339" w14:textId="61C187A0" w:rsidR="002B7F7C" w:rsidRDefault="002B7F7C">
      <w:pPr>
        <w:pStyle w:val="TOC1"/>
        <w:rPr>
          <w:rFonts w:asciiTheme="minorHAnsi" w:eastAsiaTheme="minorEastAsia" w:hAnsiTheme="minorHAnsi"/>
          <w:b w:val="0"/>
          <w:noProof/>
          <w:color w:val="auto"/>
          <w:sz w:val="24"/>
        </w:rPr>
      </w:pPr>
      <w:hyperlink w:anchor="_Toc234334657" w:history="1">
        <w:r w:rsidRPr="00FB0F2E">
          <w:rPr>
            <w:rStyle w:val="Hyperlink"/>
            <w:rFonts w:cs="Cambria"/>
            <w:noProof/>
          </w:rPr>
          <w:t>Article 16: Relationship to Other Instruments</w:t>
        </w:r>
        <w:r>
          <w:rPr>
            <w:noProof/>
            <w:webHidden/>
          </w:rPr>
          <w:tab/>
        </w:r>
        <w:r>
          <w:rPr>
            <w:noProof/>
            <w:webHidden/>
          </w:rPr>
          <w:fldChar w:fldCharType="begin"/>
        </w:r>
        <w:r>
          <w:rPr>
            <w:noProof/>
            <w:webHidden/>
          </w:rPr>
          <w:instrText xml:space="preserve"> PAGEREF _Toc234334657 \h </w:instrText>
        </w:r>
        <w:r>
          <w:rPr>
            <w:noProof/>
            <w:webHidden/>
          </w:rPr>
        </w:r>
        <w:r>
          <w:rPr>
            <w:noProof/>
            <w:webHidden/>
          </w:rPr>
          <w:fldChar w:fldCharType="separate"/>
        </w:r>
        <w:r>
          <w:rPr>
            <w:noProof/>
            <w:webHidden/>
          </w:rPr>
          <w:t>56</w:t>
        </w:r>
        <w:r>
          <w:rPr>
            <w:noProof/>
            <w:webHidden/>
          </w:rPr>
          <w:fldChar w:fldCharType="end"/>
        </w:r>
      </w:hyperlink>
    </w:p>
    <w:p w14:paraId="4F07BC73" w14:textId="4979DBCA" w:rsidR="002B7F7C" w:rsidRDefault="002B7F7C">
      <w:pPr>
        <w:pStyle w:val="TOC2"/>
        <w:rPr>
          <w:rFonts w:asciiTheme="minorHAnsi" w:eastAsiaTheme="minorEastAsia" w:hAnsiTheme="minorHAnsi"/>
          <w:noProof/>
          <w:color w:val="auto"/>
          <w:sz w:val="24"/>
        </w:rPr>
      </w:pPr>
      <w:hyperlink w:anchor="_Toc234334658" w:history="1">
        <w:r w:rsidRPr="00FB0F2E">
          <w:rPr>
            <w:rStyle w:val="Hyperlink"/>
            <w:rFonts w:cs="Cambria"/>
            <w:noProof/>
          </w:rPr>
          <w:t>16.1 Shared Technology Standards</w:t>
        </w:r>
        <w:r>
          <w:rPr>
            <w:noProof/>
            <w:webHidden/>
          </w:rPr>
          <w:tab/>
        </w:r>
        <w:r>
          <w:rPr>
            <w:noProof/>
            <w:webHidden/>
          </w:rPr>
          <w:fldChar w:fldCharType="begin"/>
        </w:r>
        <w:r>
          <w:rPr>
            <w:noProof/>
            <w:webHidden/>
          </w:rPr>
          <w:instrText xml:space="preserve"> PAGEREF _Toc234334658 \h </w:instrText>
        </w:r>
        <w:r>
          <w:rPr>
            <w:noProof/>
            <w:webHidden/>
          </w:rPr>
        </w:r>
        <w:r>
          <w:rPr>
            <w:noProof/>
            <w:webHidden/>
          </w:rPr>
          <w:fldChar w:fldCharType="separate"/>
        </w:r>
        <w:r>
          <w:rPr>
            <w:noProof/>
            <w:webHidden/>
          </w:rPr>
          <w:t>56</w:t>
        </w:r>
        <w:r>
          <w:rPr>
            <w:noProof/>
            <w:webHidden/>
          </w:rPr>
          <w:fldChar w:fldCharType="end"/>
        </w:r>
      </w:hyperlink>
    </w:p>
    <w:p w14:paraId="76D57133" w14:textId="6E7E9DD0" w:rsidR="002B7F7C" w:rsidRDefault="002B7F7C">
      <w:pPr>
        <w:pStyle w:val="TOC1"/>
        <w:rPr>
          <w:rFonts w:asciiTheme="minorHAnsi" w:eastAsiaTheme="minorEastAsia" w:hAnsiTheme="minorHAnsi"/>
          <w:b w:val="0"/>
          <w:noProof/>
          <w:color w:val="auto"/>
          <w:sz w:val="24"/>
        </w:rPr>
      </w:pPr>
      <w:hyperlink w:anchor="_Toc234334659" w:history="1">
        <w:r w:rsidRPr="00FB0F2E">
          <w:rPr>
            <w:rStyle w:val="Hyperlink"/>
            <w:rFonts w:cs="Cambria"/>
            <w:noProof/>
          </w:rPr>
          <w:t>Signature Block</w:t>
        </w:r>
        <w:r>
          <w:rPr>
            <w:noProof/>
            <w:webHidden/>
          </w:rPr>
          <w:tab/>
        </w:r>
        <w:r>
          <w:rPr>
            <w:noProof/>
            <w:webHidden/>
          </w:rPr>
          <w:fldChar w:fldCharType="begin"/>
        </w:r>
        <w:r>
          <w:rPr>
            <w:noProof/>
            <w:webHidden/>
          </w:rPr>
          <w:instrText xml:space="preserve"> PAGEREF _Toc234334659 \h </w:instrText>
        </w:r>
        <w:r>
          <w:rPr>
            <w:noProof/>
            <w:webHidden/>
          </w:rPr>
        </w:r>
        <w:r>
          <w:rPr>
            <w:noProof/>
            <w:webHidden/>
          </w:rPr>
          <w:fldChar w:fldCharType="separate"/>
        </w:r>
        <w:r>
          <w:rPr>
            <w:noProof/>
            <w:webHidden/>
          </w:rPr>
          <w:t>57</w:t>
        </w:r>
        <w:r>
          <w:rPr>
            <w:noProof/>
            <w:webHidden/>
          </w:rPr>
          <w:fldChar w:fldCharType="end"/>
        </w:r>
      </w:hyperlink>
    </w:p>
    <w:p w14:paraId="471565C0" w14:textId="7564A12B" w:rsidR="00FC09E2" w:rsidRDefault="00000000">
      <w:r>
        <w:fldChar w:fldCharType="end"/>
      </w:r>
    </w:p>
    <w:p w14:paraId="1AED517E" w14:textId="77777777" w:rsidR="00FC09E2" w:rsidRDefault="00FC09E2">
      <w:pPr>
        <w:sectPr w:rsidR="00FC09E2">
          <w:pgSz w:w="11906" w:h="16838"/>
          <w:pgMar w:top="1800" w:right="1440" w:bottom="1440" w:left="1440" w:header="720" w:footer="720" w:gutter="0"/>
          <w:cols w:space="720"/>
        </w:sectPr>
      </w:pPr>
    </w:p>
    <w:p w14:paraId="1D5C00FA" w14:textId="77777777" w:rsidR="00FC09E2" w:rsidRDefault="00000000">
      <w:pPr>
        <w:pStyle w:val="Heading1"/>
      </w:pPr>
      <w:bookmarkStart w:id="0" w:name="_TocPreamble"/>
      <w:bookmarkStart w:id="1" w:name="_Toc234334499"/>
      <w:r>
        <w:rPr>
          <w:rFonts w:cs="Cambria"/>
          <w:szCs w:val="36"/>
        </w:rPr>
        <w:lastRenderedPageBreak/>
        <w:t>Preamble</w:t>
      </w:r>
      <w:bookmarkEnd w:id="0"/>
      <w:bookmarkEnd w:id="1"/>
    </w:p>
    <w:p w14:paraId="6D9E451E" w14:textId="77777777" w:rsidR="00FC09E2" w:rsidRDefault="00000000">
      <w:r>
        <w:rPr>
          <w:rFonts w:cs="Cambria"/>
          <w:szCs w:val="22"/>
        </w:rPr>
        <w:t>The Parties to this Protocol recognize that sustainable peace in the Middle East demands more than political agreements and economic incentives. Peace demands a permanent architecture of prevention: a system that detects instability before it ignites, that intervenes before escalation becomes irreversible, and that learns continuously from every crisis it encounters. The Parties further recognize that the stabilization engine's credibility rests on its performance during asymmetric tensions. No provision of this Protocol confers a tactical advantage upon any Party based solely on its status as a host state versus a guarantor state.</w:t>
      </w:r>
    </w:p>
    <w:p w14:paraId="6BCE88FB" w14:textId="77777777" w:rsidR="00FC09E2" w:rsidRDefault="00000000">
      <w:r>
        <w:rPr>
          <w:rFonts w:cs="Cambria"/>
          <w:szCs w:val="22"/>
        </w:rPr>
        <w:t>The Parties name this architecture Al-Tawazun (Arabic: The Balancing). In the classical tradition, tawazun describes the equilibrium of opposing forces, the precise calibration that prevents any single variable from overwhelming the system. This Protocol embodies that principle. It creates neither a police force nor an intelligence agency. It creates a stabilization engine: neutral, technical, and structurally subordinate to the sovereign equality of all signatories. Al-Tawazun operates as a standalone United Nations office under the Department of Political and Peacebuilding Affairs. It coordinates with the MENOC Framework but remains subordinate to no regional charter.</w:t>
      </w:r>
    </w:p>
    <w:p w14:paraId="6D69F367" w14:textId="77777777" w:rsidR="00FC09E2" w:rsidRDefault="00000000">
      <w:r>
        <w:rPr>
          <w:rFonts w:cs="Cambria"/>
          <w:szCs w:val="22"/>
        </w:rPr>
        <w:t>The name Al-Tawazun reflects the operational logic that governs this Protocol: the logic of the early warning system that issues authoritative, independently verified certifications before instability escalates. The Stabilization Branch carries no enforcement authority. It possesses no supranational power. It watches, it certifies, and it activates predefined stabilizers. This is the essence of the stabilization engine: present before the crisis, invisible during stability, and decisive at the moment of threshold crossing. Al-Tawazun's greatest power lies in certified transparency: the convergence of multiple independent encrypted data sources. No Treaty Trigger Notice proceeds on fewer than three independent source categories. High Confidence requires five independent source categories.</w:t>
      </w:r>
    </w:p>
    <w:p w14:paraId="14AB97C1" w14:textId="77777777" w:rsidR="00FC09E2" w:rsidRDefault="00000000">
      <w:r>
        <w:rPr>
          <w:rFonts w:cs="Cambria"/>
          <w:szCs w:val="22"/>
        </w:rPr>
        <w:t>Al-Tawazun operates under three foundational principles:</w:t>
      </w:r>
    </w:p>
    <w:p w14:paraId="15E978CB" w14:textId="77777777" w:rsidR="00FC09E2" w:rsidRDefault="00000000">
      <w:r>
        <w:rPr>
          <w:rFonts w:cs="Cambria"/>
          <w:szCs w:val="22"/>
        </w:rPr>
        <w:t>Sovereign Equality: The framework architecture binds all Parties equally. No provision of this Protocol imposes a unilateral obligation on one Party that the other does not share. Al-Tawazun is not a tool of intervention. It is a shared instrument of mutual prevention. The Parties recognize that power asymmetries exist among signatories. The framework architecture accounts for these asymmetries through procedural design rather than pretense of equal power.</w:t>
      </w:r>
    </w:p>
    <w:p w14:paraId="38CBC7A2" w14:textId="77777777" w:rsidR="00FC09E2" w:rsidRDefault="00000000">
      <w:r>
        <w:rPr>
          <w:rFonts w:cs="Cambria"/>
          <w:szCs w:val="22"/>
        </w:rPr>
        <w:t>Technical Neutrality: Every function of Al-Tawazun proceeds from objective indicators, not political judgment. The Stabilization Branch certifies that predefined thresholds have crossed. It does not evaluate the political legitimacy of the underlying actions.</w:t>
      </w:r>
    </w:p>
    <w:p w14:paraId="7CB65B0E" w14:textId="77777777" w:rsidR="00FC09E2" w:rsidRDefault="00000000">
      <w:r>
        <w:rPr>
          <w:rFonts w:cs="Cambria"/>
          <w:szCs w:val="22"/>
        </w:rPr>
        <w:t xml:space="preserve">Non-Coercive Activation: Al-Tawazun possesses no enforcement authority. It activates cooling-off protocols, deploys advisory teams, and issues technical certifications. The treaty itself defines the obligations. Al-Tawazun certifies that the conditions for those obligations have materialized. Certification proceeds from at least three independent source categories. High Confidence </w:t>
      </w:r>
      <w:r>
        <w:rPr>
          <w:rFonts w:cs="Cambria"/>
          <w:szCs w:val="22"/>
        </w:rPr>
        <w:lastRenderedPageBreak/>
        <w:t>requires five. This certified transparency makes denial politically difficult, not through coercion but through the objective aggregation of independent evidence.</w:t>
      </w:r>
    </w:p>
    <w:p w14:paraId="7AD013AE" w14:textId="77777777" w:rsidR="00FC09E2" w:rsidRDefault="00000000">
      <w:r>
        <w:rPr>
          <w:rFonts w:cs="Cambria"/>
          <w:szCs w:val="22"/>
        </w:rPr>
        <w:t>This Protocol establishes Al-Tawazun as a standalone office under the United Nations Department of Political and Peacebuilding Affairs. It operates consistently with the United Nations Charter Chapter VI (Pacific Settlement of Disputes). It coordinates with the MENOC Framework and all associated annexes but remains subordinate to no regional instrument. It creates no precedent for coercive international intervention. It establishes a new category of international institution: the stabilization engine.</w:t>
      </w:r>
    </w:p>
    <w:p w14:paraId="1B8FF41F" w14:textId="77777777" w:rsidR="00FC09E2" w:rsidRDefault="00000000">
      <w:pPr>
        <w:pStyle w:val="Heading1"/>
      </w:pPr>
      <w:bookmarkStart w:id="2" w:name="_TocArt1"/>
      <w:bookmarkStart w:id="3" w:name="_Toc234334500"/>
      <w:r>
        <w:rPr>
          <w:rFonts w:cs="Cambria"/>
          <w:szCs w:val="36"/>
        </w:rPr>
        <w:t>Article 1: Definitions</w:t>
      </w:r>
      <w:bookmarkEnd w:id="2"/>
      <w:bookmarkEnd w:id="3"/>
    </w:p>
    <w:p w14:paraId="7C95111D" w14:textId="77777777" w:rsidR="00FC09E2" w:rsidRDefault="00000000">
      <w:r>
        <w:rPr>
          <w:rFonts w:cs="Cambria"/>
          <w:szCs w:val="22"/>
        </w:rPr>
        <w:t>For the purposes of this Protocol, the following terms bear the meanings set forth below.</w:t>
      </w:r>
    </w:p>
    <w:p w14:paraId="7DBE8D27" w14:textId="77777777" w:rsidR="00FC09E2" w:rsidRDefault="00000000">
      <w:pPr>
        <w:pStyle w:val="Heading2"/>
      </w:pPr>
      <w:bookmarkStart w:id="4" w:name="_Toc234334501"/>
      <w:r>
        <w:rPr>
          <w:rFonts w:cs="Cambria"/>
          <w:szCs w:val="28"/>
        </w:rPr>
        <w:t>1.1 Formal Mission Statement</w:t>
      </w:r>
      <w:bookmarkEnd w:id="4"/>
    </w:p>
    <w:p w14:paraId="123A08AF" w14:textId="77777777" w:rsidR="00FC09E2" w:rsidRDefault="00000000">
      <w:r>
        <w:rPr>
          <w:rFonts w:cs="Cambria"/>
          <w:szCs w:val="22"/>
        </w:rPr>
        <w:t>Al-Tawazun exists to preserve strategic stability through early warning, reciprocal verification facilitation, technical mediation, and crisis de-escalation, while fully respecting the sovereignty and equality of all signatory states.</w:t>
      </w:r>
    </w:p>
    <w:p w14:paraId="576BCA42" w14:textId="77777777" w:rsidR="00FC09E2" w:rsidRDefault="00000000">
      <w:pPr>
        <w:pStyle w:val="Heading2"/>
      </w:pPr>
      <w:bookmarkStart w:id="5" w:name="_Toc234334502"/>
      <w:r>
        <w:rPr>
          <w:rFonts w:cs="Cambria"/>
          <w:szCs w:val="28"/>
        </w:rPr>
        <w:t>1.2 "Treaty Trigger Notice"</w:t>
      </w:r>
      <w:bookmarkEnd w:id="5"/>
    </w:p>
    <w:p w14:paraId="5D3B3804" w14:textId="77777777" w:rsidR="00FC09E2" w:rsidRDefault="00000000">
      <w:r>
        <w:rPr>
          <w:rFonts w:cs="Cambria"/>
          <w:szCs w:val="22"/>
        </w:rPr>
        <w:t>A formal certification issued by Al-Tawazun when predefined indicators cross their associated thresholds. A Treaty Trigger Notice does not impose obligations. The treaty itself defines the obligations. The Notice merely certifies that the conditions for those obligations have materialized.</w:t>
      </w:r>
    </w:p>
    <w:p w14:paraId="43E0DCD3" w14:textId="77777777" w:rsidR="00FC09E2" w:rsidRDefault="00000000">
      <w:r>
        <w:rPr>
          <w:rFonts w:cs="Cambria"/>
          <w:szCs w:val="22"/>
        </w:rPr>
        <w:t>Each Treaty Trigger Notice carries a confidence level (High, Moderate, or Low) indicating the degree of certainty in the underlying assessment. Each Notice expires automatically after thirty days unless renewed through the review procedure defined in Article 6.7.</w:t>
      </w:r>
    </w:p>
    <w:p w14:paraId="24846FA8" w14:textId="77777777" w:rsidR="00FC09E2" w:rsidRDefault="00000000">
      <w:r>
        <w:rPr>
          <w:rFonts w:cs="Cambria"/>
          <w:szCs w:val="22"/>
        </w:rPr>
        <w:t>Upon issuance, the obligations specified in the Trigger Matrix automatically apply. The Notice activates Cooling-Off Protocols, convenes emergency Joint Commission sessions, and informs the Guarantor Matrix. The Notice does not constitute a Step-Back trigger under Annex ES, but the Joint Commission considers it in assessing good-faith compliance.</w:t>
      </w:r>
    </w:p>
    <w:p w14:paraId="07BC542E" w14:textId="77777777" w:rsidR="00FC09E2" w:rsidRDefault="00000000">
      <w:pPr>
        <w:pStyle w:val="Heading2"/>
      </w:pPr>
      <w:bookmarkStart w:id="6" w:name="_Toc234334503"/>
      <w:r>
        <w:rPr>
          <w:rFonts w:cs="Cambria"/>
          <w:szCs w:val="28"/>
        </w:rPr>
        <w:t>1.3 "Al-Tawazun" or "the Stabilization Branch"</w:t>
      </w:r>
      <w:bookmarkEnd w:id="6"/>
    </w:p>
    <w:p w14:paraId="5EF61B83" w14:textId="77777777" w:rsidR="00FC09E2" w:rsidRDefault="00000000">
      <w:r>
        <w:rPr>
          <w:rFonts w:cs="Cambria"/>
          <w:szCs w:val="22"/>
        </w:rPr>
        <w:t>The conflict-prevention, early-warning, and rapid-intervention mechanism established by this Protocol. It functions as the operational health monitor of the broader peace architecture. It does not govern. It does not command. It detects instability and activates predefined stabilizers.</w:t>
      </w:r>
    </w:p>
    <w:p w14:paraId="228A5047" w14:textId="77777777" w:rsidR="00FC09E2" w:rsidRDefault="00000000">
      <w:pPr>
        <w:pStyle w:val="Heading2"/>
      </w:pPr>
      <w:bookmarkStart w:id="7" w:name="_Toc234334504"/>
      <w:r>
        <w:rPr>
          <w:rFonts w:cs="Cambria"/>
          <w:szCs w:val="28"/>
        </w:rPr>
        <w:lastRenderedPageBreak/>
        <w:t>1.4 "Trigger Matrix"</w:t>
      </w:r>
      <w:bookmarkEnd w:id="7"/>
    </w:p>
    <w:p w14:paraId="2F36658C" w14:textId="77777777" w:rsidR="00FC09E2" w:rsidRDefault="00000000">
      <w:r>
        <w:rPr>
          <w:rFonts w:cs="Cambria"/>
          <w:szCs w:val="22"/>
        </w:rPr>
        <w:t>The comprehensive index maintained by Al-Tawazun that specifies the indicators, thresholds, confidence levels, expiration timelines, and associated obligations for each category of Treaty Trigger Notice. The Trigger Matrix is a living document. The Joint Commission reviews and updates it annually based on operational experience and the Lessons Learned Database.</w:t>
      </w:r>
    </w:p>
    <w:p w14:paraId="54E276B6" w14:textId="77777777" w:rsidR="00FC09E2" w:rsidRDefault="00000000">
      <w:pPr>
        <w:pStyle w:val="Heading2"/>
      </w:pPr>
      <w:bookmarkStart w:id="8" w:name="_Toc234334505"/>
      <w:r>
        <w:rPr>
          <w:rFonts w:cs="Cambria"/>
          <w:szCs w:val="28"/>
        </w:rPr>
        <w:t>1.5 "Preventer Team"</w:t>
      </w:r>
      <w:bookmarkEnd w:id="8"/>
    </w:p>
    <w:p w14:paraId="0EF10F91" w14:textId="77777777" w:rsidR="00FC09E2" w:rsidRDefault="00000000">
      <w:r>
        <w:rPr>
          <w:rFonts w:cs="Cambria"/>
          <w:szCs w:val="22"/>
        </w:rPr>
        <w:t>A small, agile, multidisciplinary unit deployed by Al-Tawazun for rapid response and crisis mediation. Each Preventer Team comprises three to seven personnel drawn from diplomatic, technical, and humanitarian disciplines. Preventer Teams deploy without weapons and without uniforms. They function as stability technicians, not inspectors or enforcers.</w:t>
      </w:r>
    </w:p>
    <w:p w14:paraId="50EEF349" w14:textId="77777777" w:rsidR="00FC09E2" w:rsidRDefault="00000000">
      <w:pPr>
        <w:pStyle w:val="Heading2"/>
      </w:pPr>
      <w:bookmarkStart w:id="9" w:name="_Toc234334506"/>
      <w:r>
        <w:rPr>
          <w:rFonts w:cs="Cambria"/>
          <w:szCs w:val="28"/>
        </w:rPr>
        <w:t>1.6 "Cooling-Off Protocol"</w:t>
      </w:r>
      <w:bookmarkEnd w:id="9"/>
    </w:p>
    <w:p w14:paraId="79F8078A" w14:textId="77777777" w:rsidR="00FC09E2" w:rsidRDefault="00000000">
      <w:r>
        <w:rPr>
          <w:rFonts w:cs="Cambria"/>
          <w:szCs w:val="22"/>
        </w:rPr>
        <w:t>The set of automatic stabilization measures that activate upon issuance of a Treaty Trigger Notice. These measures include: a seventy-two-hour freeze on specified military movements; mandatory activation of established hotlines; emergency convening of the Joint Commission; and deployment of a Preventer Team under the appropriate Deployment Category.</w:t>
      </w:r>
    </w:p>
    <w:p w14:paraId="3B463909" w14:textId="77777777" w:rsidR="00FC09E2" w:rsidRDefault="00000000">
      <w:pPr>
        <w:pStyle w:val="Heading2"/>
      </w:pPr>
      <w:bookmarkStart w:id="10" w:name="_Toc234334507"/>
      <w:r>
        <w:rPr>
          <w:rFonts w:cs="Cambria"/>
          <w:szCs w:val="28"/>
        </w:rPr>
        <w:t>1.7 "Deployment Category"</w:t>
      </w:r>
      <w:bookmarkEnd w:id="10"/>
    </w:p>
    <w:p w14:paraId="1006EA82" w14:textId="77777777" w:rsidR="00FC09E2" w:rsidRDefault="00000000">
      <w:r>
        <w:rPr>
          <w:rFonts w:cs="Cambria"/>
          <w:szCs w:val="22"/>
        </w:rPr>
        <w:t>One of four graduated levels of Al-Tawazun engagement, defined in Article 5. Each category specifies the scope of deployment, the consent requirements, and the notification timeline. Categories I and II operate with minimal consent barriers. Categories III and IV require escalating levels of authorization.</w:t>
      </w:r>
    </w:p>
    <w:p w14:paraId="745F47B4" w14:textId="77777777" w:rsidR="00FC09E2" w:rsidRDefault="00000000">
      <w:pPr>
        <w:pStyle w:val="Heading2"/>
      </w:pPr>
      <w:bookmarkStart w:id="11" w:name="_Toc234334508"/>
      <w:r>
        <w:rPr>
          <w:rFonts w:cs="Cambria"/>
          <w:szCs w:val="28"/>
        </w:rPr>
        <w:t>1.8 "Lessons Learned Database"</w:t>
      </w:r>
      <w:bookmarkEnd w:id="11"/>
    </w:p>
    <w:p w14:paraId="064EB35D" w14:textId="77777777" w:rsidR="00FC09E2" w:rsidRDefault="00000000">
      <w:r>
        <w:rPr>
          <w:rFonts w:cs="Cambria"/>
          <w:szCs w:val="22"/>
        </w:rPr>
        <w:t>The comprehensive record maintained by Al-Tawazun documenting the indicators that preceded each intervention, the effectiveness of deployed measures, the failure modes of early-warning systems, false alarm rates, detection accuracy metrics, and recommendations for treaty updates, threshold revisions, and procedural improvements.</w:t>
      </w:r>
    </w:p>
    <w:p w14:paraId="1443AAB7" w14:textId="77777777" w:rsidR="00FC09E2" w:rsidRDefault="00000000">
      <w:pPr>
        <w:pStyle w:val="Heading2"/>
      </w:pPr>
      <w:bookmarkStart w:id="12" w:name="_Toc234334509"/>
      <w:r>
        <w:rPr>
          <w:rFonts w:cs="Cambria"/>
          <w:szCs w:val="28"/>
        </w:rPr>
        <w:t>1.9 "Signatory State"</w:t>
      </w:r>
      <w:bookmarkEnd w:id="12"/>
    </w:p>
    <w:p w14:paraId="02F8DD3D" w14:textId="77777777" w:rsidR="00FC09E2" w:rsidRDefault="00000000">
      <w:r>
        <w:rPr>
          <w:rFonts w:cs="Cambria"/>
          <w:szCs w:val="22"/>
        </w:rPr>
        <w:t>Any state that has ratified the MENOC Charter and its associated annexes, including this Protocol.</w:t>
      </w:r>
    </w:p>
    <w:p w14:paraId="204C2DD3" w14:textId="77777777" w:rsidR="00FC09E2" w:rsidRDefault="00000000">
      <w:pPr>
        <w:pStyle w:val="Heading2"/>
      </w:pPr>
      <w:bookmarkStart w:id="13" w:name="_Toc234334510"/>
      <w:r>
        <w:rPr>
          <w:rFonts w:cs="Cambria"/>
          <w:szCs w:val="28"/>
        </w:rPr>
        <w:t>1.10 "Host State"</w:t>
      </w:r>
      <w:bookmarkEnd w:id="13"/>
    </w:p>
    <w:p w14:paraId="2586C821" w14:textId="77777777" w:rsidR="00FC09E2" w:rsidRDefault="00000000">
      <w:r>
        <w:rPr>
          <w:rFonts w:cs="Cambria"/>
          <w:szCs w:val="22"/>
        </w:rPr>
        <w:t>The signatory state on whose territory Al-Tawazun operates, maintains a Regional Node, or deploys a Preventer Team.</w:t>
      </w:r>
    </w:p>
    <w:p w14:paraId="3EB8679D" w14:textId="77777777" w:rsidR="00FC09E2" w:rsidRDefault="00000000">
      <w:pPr>
        <w:pStyle w:val="Heading2"/>
      </w:pPr>
      <w:bookmarkStart w:id="14" w:name="_Toc234334511"/>
      <w:r>
        <w:rPr>
          <w:rFonts w:cs="Cambria"/>
          <w:szCs w:val="28"/>
        </w:rPr>
        <w:lastRenderedPageBreak/>
        <w:t>1.11 "Joint Commission"</w:t>
      </w:r>
      <w:bookmarkEnd w:id="14"/>
    </w:p>
    <w:p w14:paraId="436BD2C5" w14:textId="77777777" w:rsidR="00FC09E2" w:rsidRDefault="00000000">
      <w:r>
        <w:rPr>
          <w:rFonts w:cs="Cambria"/>
          <w:szCs w:val="22"/>
        </w:rPr>
        <w:t>The political oversight body established under the MENOC Charter, comprising representatives of all signatory states. The Joint Commission reviews Al-Tawazun recommendations, approves updates to the Trigger Matrix, adjudicates disputes regarding Stabilization Branch activities, and determines the political consequences of Treaty Trigger Notices. For operational decisions concerning a specific host state, Constructive Abstention applies.</w:t>
      </w:r>
    </w:p>
    <w:p w14:paraId="1A819627" w14:textId="77777777" w:rsidR="00FC09E2" w:rsidRDefault="00000000">
      <w:pPr>
        <w:pStyle w:val="Heading2"/>
      </w:pPr>
      <w:bookmarkStart w:id="15" w:name="_Toc234334512"/>
      <w:r>
        <w:rPr>
          <w:rFonts w:cs="Cambria"/>
          <w:szCs w:val="28"/>
        </w:rPr>
        <w:t>1.12 "Troika"</w:t>
      </w:r>
      <w:bookmarkEnd w:id="15"/>
    </w:p>
    <w:p w14:paraId="786A0DB0" w14:textId="77777777" w:rsidR="00FC09E2" w:rsidRDefault="00000000">
      <w:r>
        <w:rPr>
          <w:rFonts w:cs="Cambria"/>
          <w:szCs w:val="22"/>
        </w:rPr>
        <w:t>The decision-making body that replaces the Joint Commission for all operational decisions under Categories III, IV, and Behavioral Alerts. The Troika comprises three members: one representative from the host state (where the issue concerns a specific state), one representative from a neutral regional state selected by consensus, and one representative from a great power guarantor selected by rotation. The Troika decides by simple majority. No single state possesses veto power in Troika proceedings.</w:t>
      </w:r>
    </w:p>
    <w:p w14:paraId="179C09A2" w14:textId="77777777" w:rsidR="00FC09E2" w:rsidRDefault="00000000">
      <w:pPr>
        <w:pStyle w:val="Heading2"/>
      </w:pPr>
      <w:bookmarkStart w:id="16" w:name="_Toc234334513"/>
      <w:r>
        <w:rPr>
          <w:rFonts w:cs="Cambria"/>
          <w:szCs w:val="28"/>
        </w:rPr>
        <w:t>1.13 "Constructive Abstention"</w:t>
      </w:r>
      <w:bookmarkEnd w:id="16"/>
    </w:p>
    <w:p w14:paraId="582A4685" w14:textId="77777777" w:rsidR="00FC09E2" w:rsidRDefault="00000000">
      <w:r>
        <w:rPr>
          <w:rFonts w:cs="Cambria"/>
          <w:szCs w:val="22"/>
        </w:rPr>
        <w:t>The recusal mechanism that removes a host state and its immediate guarantor from operational votes concerning that host state. When Constructive Abstention activates, the recused states receive all documentation, participate in all discussions, but cast no vote. The remaining members decide by simple majority. Political decisions retain the two-thirds requirement.</w:t>
      </w:r>
    </w:p>
    <w:p w14:paraId="68E03EC5" w14:textId="77777777" w:rsidR="00FC09E2" w:rsidRDefault="00000000">
      <w:pPr>
        <w:pStyle w:val="Heading2"/>
      </w:pPr>
      <w:bookmarkStart w:id="17" w:name="_Toc234334514"/>
      <w:r>
        <w:rPr>
          <w:rFonts w:cs="Cambria"/>
          <w:szCs w:val="28"/>
        </w:rPr>
        <w:t>1.14 "Stability Bond"</w:t>
      </w:r>
      <w:bookmarkEnd w:id="17"/>
    </w:p>
    <w:p w14:paraId="7DD4FF54" w14:textId="77777777" w:rsidR="00FC09E2" w:rsidRDefault="00000000">
      <w:r>
        <w:rPr>
          <w:rFonts w:cs="Cambria"/>
          <w:szCs w:val="22"/>
        </w:rPr>
        <w:t>The one-time financial contribution that each signatory state pays upon ratification. The Bond equals 0.01 percent of GDP, capped at fifty million dollars for large states and two million dollars for small states. The Bond principal remains in a perpetually funded escrow account at the United Nations. Interest generated by the Bond funds core operations. The Bond principal is not refundable.</w:t>
      </w:r>
    </w:p>
    <w:p w14:paraId="6F542BB4" w14:textId="77777777" w:rsidR="00FC09E2" w:rsidRDefault="00000000">
      <w:pPr>
        <w:pStyle w:val="Heading2"/>
      </w:pPr>
      <w:bookmarkStart w:id="18" w:name="_Toc234334515"/>
      <w:r>
        <w:rPr>
          <w:rFonts w:cs="Cambria"/>
          <w:szCs w:val="28"/>
        </w:rPr>
        <w:t>1.15 "Cumulative Stress Metric"</w:t>
      </w:r>
      <w:bookmarkEnd w:id="18"/>
    </w:p>
    <w:p w14:paraId="0B1D91B4" w14:textId="77777777" w:rsidR="00FC09E2" w:rsidRDefault="00000000">
      <w:r>
        <w:rPr>
          <w:rFonts w:cs="Cambria"/>
          <w:szCs w:val="22"/>
        </w:rPr>
        <w:t>The tracking mechanism that accumulates active Treaty Trigger Notice days across a rolling twelve-month period. The Metric counts all days during which any Treaty Trigger Notice remains active against a state, whether consecutive or non-consecutive. Accumulation of ninety days triggers an automatic Structural Instability Declaration.</w:t>
      </w:r>
    </w:p>
    <w:p w14:paraId="086B5CDE" w14:textId="77777777" w:rsidR="00FC09E2" w:rsidRDefault="00000000">
      <w:pPr>
        <w:pStyle w:val="Heading2"/>
      </w:pPr>
      <w:bookmarkStart w:id="19" w:name="_Toc234334516"/>
      <w:r>
        <w:rPr>
          <w:rFonts w:cs="Cambria"/>
          <w:szCs w:val="28"/>
        </w:rPr>
        <w:t>1.16 "Structural Instability Declaration"</w:t>
      </w:r>
      <w:bookmarkEnd w:id="19"/>
    </w:p>
    <w:p w14:paraId="19D66626" w14:textId="77777777" w:rsidR="00FC09E2" w:rsidRDefault="00000000">
      <w:r>
        <w:rPr>
          <w:rFonts w:cs="Cambria"/>
          <w:szCs w:val="22"/>
        </w:rPr>
        <w:t xml:space="preserve">The automatic designation that activates when a state accumulates ninety days of active Treaty Trigger Notices within any twelve-month period under the Cumulative Stress Metric. The Declaration places the state under permanent enhanced monitoring for the remainder of the </w:t>
      </w:r>
      <w:r>
        <w:rPr>
          <w:rFonts w:cs="Cambria"/>
          <w:szCs w:val="22"/>
        </w:rPr>
        <w:lastRenderedPageBreak/>
        <w:t>twelve-month period. Category II deployments proceed without further consent. The Declaration overrides the thirty-day expiration cycle for Treaty Trigger Notices.</w:t>
      </w:r>
    </w:p>
    <w:p w14:paraId="51198DCE" w14:textId="77777777" w:rsidR="00FC09E2" w:rsidRDefault="00000000">
      <w:pPr>
        <w:pStyle w:val="Heading2"/>
      </w:pPr>
      <w:bookmarkStart w:id="20" w:name="_Toc234334517"/>
      <w:r>
        <w:rPr>
          <w:rFonts w:cs="Cambria"/>
          <w:szCs w:val="28"/>
        </w:rPr>
        <w:t>1.17 "Early-Warning Cyber Telemetry"</w:t>
      </w:r>
      <w:bookmarkEnd w:id="20"/>
    </w:p>
    <w:p w14:paraId="5C61F50C" w14:textId="77777777" w:rsidR="00FC09E2" w:rsidRDefault="00000000">
      <w:r>
        <w:rPr>
          <w:rFonts w:cs="Cambria"/>
          <w:szCs w:val="22"/>
        </w:rPr>
        <w:t>The reciprocal opt-in system through which signatory states share anonymized, aggregated data on major network intrusions affecting treaty-related infrastructure. Participation is voluntary. Shared data includes attack vectors and origin indicators, not content. Refusal to share this data, followed by a major cyber incident, constitutes a Material Omission.</w:t>
      </w:r>
    </w:p>
    <w:p w14:paraId="3502A5B3" w14:textId="77777777" w:rsidR="00FC09E2" w:rsidRDefault="00000000">
      <w:pPr>
        <w:pStyle w:val="Heading2"/>
      </w:pPr>
      <w:bookmarkStart w:id="21" w:name="_Toc234334518"/>
      <w:r>
        <w:rPr>
          <w:rFonts w:cs="Cambria"/>
          <w:szCs w:val="28"/>
        </w:rPr>
        <w:t>1.18 "Monitoring Category"</w:t>
      </w:r>
      <w:bookmarkEnd w:id="21"/>
    </w:p>
    <w:p w14:paraId="419BA3C9" w14:textId="77777777" w:rsidR="00FC09E2" w:rsidRDefault="00000000">
      <w:r>
        <w:rPr>
          <w:rFonts w:cs="Cambria"/>
          <w:szCs w:val="22"/>
        </w:rPr>
        <w:t>One of five opt-in subject areas that signatory states select upon ratification. Category A covers nuclear facilities. Category B covers conventional military mobilization. Category C covers cyber infrastructure. Category D covers sanctions compliance. Category E covers humanitarian coordination. A state opts out of any category, but by opting out, it forfeits its right to object to Al-Tawazun monitoring that category on its territory.</w:t>
      </w:r>
    </w:p>
    <w:p w14:paraId="0AE7351B" w14:textId="77777777" w:rsidR="00FC09E2" w:rsidRDefault="00000000">
      <w:pPr>
        <w:pStyle w:val="Heading2"/>
      </w:pPr>
      <w:bookmarkStart w:id="22" w:name="_Toc234334519"/>
      <w:r>
        <w:rPr>
          <w:rFonts w:cs="Cambria"/>
          <w:szCs w:val="28"/>
        </w:rPr>
        <w:t>1.19 "Regional Stability Score"</w:t>
      </w:r>
      <w:bookmarkEnd w:id="22"/>
    </w:p>
    <w:p w14:paraId="62ED138A" w14:textId="77777777" w:rsidR="00FC09E2" w:rsidRDefault="00000000">
      <w:r>
        <w:rPr>
          <w:rFonts w:cs="Cambria"/>
          <w:szCs w:val="22"/>
        </w:rPr>
        <w:t>The composite metric calculated by the Independent Scientific Advisory Board that measures the overall stability of the region covered by this Protocol. The Score aggregates Treaty Trigger Notice frequency, Preventer Team deployment success rates, verification dispute resolution speed, and signatory state compliance indicators. The Score serves as an objective trigger for the Graceful Degradation procedure.</w:t>
      </w:r>
    </w:p>
    <w:p w14:paraId="3C1380F5" w14:textId="77777777" w:rsidR="00FC09E2" w:rsidRDefault="00000000">
      <w:pPr>
        <w:pStyle w:val="Heading2"/>
      </w:pPr>
      <w:bookmarkStart w:id="23" w:name="_Toc234334520"/>
      <w:r>
        <w:rPr>
          <w:rFonts w:cs="Cambria"/>
          <w:szCs w:val="28"/>
        </w:rPr>
        <w:t>1.20 "Material Omission"</w:t>
      </w:r>
      <w:bookmarkEnd w:id="23"/>
    </w:p>
    <w:p w14:paraId="5346F917" w14:textId="77777777" w:rsidR="00FC09E2" w:rsidRDefault="00000000">
      <w:r>
        <w:rPr>
          <w:rFonts w:cs="Cambria"/>
          <w:szCs w:val="22"/>
        </w:rPr>
        <w:t>The deliberate withholding of data required under this Protocol where the withholding significantly impairs Al-Tawazun's assessment capability. Material Omission includes refusal to provide Early-Warning Cyber Telemetry followed by a major cyber incident, failure to process visas for Preventer Team members within forty-eight hours without credible justification, and submission of demonstrably false data to the Stabilization Branch. Material Omission triggers an automatic Amber Notice.</w:t>
      </w:r>
    </w:p>
    <w:p w14:paraId="64CEC923" w14:textId="77777777" w:rsidR="00FC09E2" w:rsidRDefault="00000000">
      <w:pPr>
        <w:pStyle w:val="Heading2"/>
      </w:pPr>
      <w:bookmarkStart w:id="24" w:name="_Toc234334521"/>
      <w:r>
        <w:rPr>
          <w:rFonts w:cs="Cambria"/>
          <w:szCs w:val="28"/>
        </w:rPr>
        <w:t>1.21 "Certified Transparency"</w:t>
      </w:r>
      <w:bookmarkEnd w:id="24"/>
    </w:p>
    <w:p w14:paraId="6C071F20" w14:textId="77777777" w:rsidR="00FC09E2" w:rsidRDefault="00000000">
      <w:r>
        <w:rPr>
          <w:rFonts w:cs="Cambria"/>
          <w:szCs w:val="22"/>
        </w:rPr>
        <w:t>The principle that Al-Tawazun derives its authority from the convergence of multiple independent encrypted data sources. No Treaty Trigger Notice proceeds on fewer than three independent source categories. High Confidence requires five. No single source category determines a Treaty Trigger Notice. Certified Transparency makes denial politically impossible because the data originates from sources no single state controls.</w:t>
      </w:r>
    </w:p>
    <w:p w14:paraId="6841FF8A" w14:textId="77777777" w:rsidR="00FC09E2" w:rsidRDefault="00000000">
      <w:pPr>
        <w:pStyle w:val="Heading2"/>
      </w:pPr>
      <w:bookmarkStart w:id="25" w:name="_Toc234334522"/>
      <w:r>
        <w:rPr>
          <w:rFonts w:cs="Cambria"/>
          <w:szCs w:val="28"/>
        </w:rPr>
        <w:lastRenderedPageBreak/>
        <w:t>1.22 "Confidentiality Shield"</w:t>
      </w:r>
      <w:bookmarkEnd w:id="25"/>
    </w:p>
    <w:p w14:paraId="46F54725" w14:textId="77777777" w:rsidR="00FC09E2" w:rsidRDefault="00000000">
      <w:r>
        <w:rPr>
          <w:rFonts w:cs="Cambria"/>
          <w:szCs w:val="22"/>
        </w:rPr>
        <w:t>The privilege that protects communications between Al-Tawazun and a host state. Disclosure to any other state, the Joint Commission, or the public requires explicit host-state authorization in ordinary circumstances. The Confidentiality Shield yields in three defined exceptions: imminent mass-casualty risk where delay costs lives; nuclear safety emergencies where immediate multilateral response is necessary; and treaty-defined catastrophic events where the Guarantor Matrix determines by two-thirds majority that confidentiality would enable further destruction. Outside these narrow exceptions, unauthorized disclosure by the Director-General constitutes grounds for immediate removal. The Shield transforms Al-Tawazun into a trusted mediator while preserving the institution's credibility in genuine emergencies.</w:t>
      </w:r>
    </w:p>
    <w:p w14:paraId="4AB73381" w14:textId="77777777" w:rsidR="00FC09E2" w:rsidRDefault="00000000">
      <w:pPr>
        <w:pStyle w:val="Heading2"/>
      </w:pPr>
      <w:bookmarkStart w:id="26" w:name="_Toc234334523"/>
      <w:r>
        <w:rPr>
          <w:rFonts w:cs="Cambria"/>
          <w:szCs w:val="28"/>
        </w:rPr>
        <w:t>1.23 "Sovereignty Enhancer"</w:t>
      </w:r>
      <w:bookmarkEnd w:id="26"/>
    </w:p>
    <w:p w14:paraId="713FA644" w14:textId="77777777" w:rsidR="00FC09E2" w:rsidRDefault="00000000">
      <w:r>
        <w:rPr>
          <w:rFonts w:cs="Cambria"/>
          <w:szCs w:val="22"/>
        </w:rPr>
        <w:t>The framing principle that presents Al-Tawazun as a tool that strengthens signatory state sovereignty rather than constraining it. Sovereignty Enhancement includes independent verification that allows a state to rebut false accusations from adversaries, certification that unlocks development assistance and trade preferences, and de-confliction of military movements that prevents accidental escalations. Al-Tawazun protects states from false accusations and unintended war.</w:t>
      </w:r>
    </w:p>
    <w:p w14:paraId="31DA66B4" w14:textId="77777777" w:rsidR="00FC09E2" w:rsidRDefault="00000000">
      <w:pPr>
        <w:pStyle w:val="Heading2"/>
      </w:pPr>
      <w:bookmarkStart w:id="27" w:name="_Toc234334524"/>
      <w:r>
        <w:rPr>
          <w:rFonts w:cs="Cambria"/>
          <w:szCs w:val="28"/>
        </w:rPr>
        <w:t>1.24 "Host-State Agreement"</w:t>
      </w:r>
      <w:bookmarkEnd w:id="27"/>
    </w:p>
    <w:p w14:paraId="22A2E5BA" w14:textId="77777777" w:rsidR="00FC09E2" w:rsidRDefault="00000000">
      <w:r>
        <w:rPr>
          <w:rFonts w:cs="Cambria"/>
          <w:szCs w:val="22"/>
        </w:rPr>
        <w:t>The binding bilateral instrument that every host state signs with Al-Tawazun as a condition of maintaining a Regional Node. The Agreement specifies performance benchmarks for logistical support, including a forty-eight-hour visa processing requirement. Failure to process a visa within forty-eight hours incurs a ten-thousand-dollar fine per day, deducted from the state's Stability Bond.</w:t>
      </w:r>
    </w:p>
    <w:p w14:paraId="5E53DE58" w14:textId="77777777" w:rsidR="00FC09E2" w:rsidRDefault="00000000">
      <w:pPr>
        <w:pStyle w:val="Heading2"/>
      </w:pPr>
      <w:bookmarkStart w:id="28" w:name="_Toc234334525"/>
      <w:r>
        <w:rPr>
          <w:rFonts w:cs="Cambria"/>
          <w:szCs w:val="28"/>
        </w:rPr>
        <w:t>1.25 "Spoiler Tax"</w:t>
      </w:r>
      <w:bookmarkEnd w:id="28"/>
    </w:p>
    <w:p w14:paraId="5285C4A3" w14:textId="77777777" w:rsidR="00FC09E2" w:rsidRDefault="00000000">
      <w:r>
        <w:rPr>
          <w:rFonts w:cs="Cambria"/>
          <w:szCs w:val="22"/>
        </w:rPr>
        <w:t>The financial penalty imposed on the state or states whose actions directly and materially caused the conditions that necessitated a Category IV deployment. The Spoiler Tax equals one hundred percent of the deployment's actual cost plus a twenty-five percent administrative penalty. The Tax deducts automatically from the liable state's Stability Bond. If the Bond exhausts, the state loses all procedural rights, including its right to object to further monitoring, until it settles the debt. The Tax attaches to responsibility for the crisis, not to geography.</w:t>
      </w:r>
    </w:p>
    <w:p w14:paraId="70D585EA" w14:textId="77777777" w:rsidR="00FC09E2" w:rsidRDefault="00000000">
      <w:pPr>
        <w:pStyle w:val="Heading2"/>
      </w:pPr>
      <w:bookmarkStart w:id="29" w:name="_Toc234334526"/>
      <w:r>
        <w:rPr>
          <w:rFonts w:cs="Cambria"/>
          <w:szCs w:val="28"/>
        </w:rPr>
        <w:t>1.26 "Rapid Response Revolving Fund"</w:t>
      </w:r>
      <w:bookmarkEnd w:id="29"/>
    </w:p>
    <w:p w14:paraId="4A7F6701" w14:textId="77777777" w:rsidR="00FC09E2" w:rsidRDefault="00000000">
      <w:r>
        <w:rPr>
          <w:rFonts w:cs="Cambria"/>
          <w:szCs w:val="22"/>
        </w:rPr>
        <w:t>The pre-positioned reserve of twenty million dollars held in United Nations accounts. The Director-General draws from this Fund for any deployment up to Category III without prior approval. The Fund replenishes annually from Stability Bond interest. No political body reviews or vetoes withdrawals from the Revolving Fund.</w:t>
      </w:r>
    </w:p>
    <w:p w14:paraId="149F7B17" w14:textId="77777777" w:rsidR="00FC09E2" w:rsidRDefault="00000000">
      <w:pPr>
        <w:pStyle w:val="Heading2"/>
      </w:pPr>
      <w:bookmarkStart w:id="30" w:name="_Toc234334527"/>
      <w:r>
        <w:rPr>
          <w:rFonts w:cs="Cambria"/>
          <w:szCs w:val="28"/>
        </w:rPr>
        <w:lastRenderedPageBreak/>
        <w:t>1.27 "Catastrophic Risk Insurance Surcharge"</w:t>
      </w:r>
      <w:bookmarkEnd w:id="30"/>
    </w:p>
    <w:p w14:paraId="4541E025" w14:textId="77777777" w:rsidR="00FC09E2" w:rsidRDefault="00000000">
      <w:r>
        <w:rPr>
          <w:rFonts w:cs="Cambria"/>
          <w:szCs w:val="22"/>
        </w:rPr>
        <w:t>The annual premium that every signatory state pays into a dedicated Crisis Reserve Fund targeting fifty million dollars. Large states pay five hundred thousand dollars annually. Small states pay fifty thousand dollars annually. The Director-General accesses this Fund only upon unanimous recommendation of the Guarantor Matrix. The Surcharge is separate from the core budget and no state earmarks it.</w:t>
      </w:r>
    </w:p>
    <w:p w14:paraId="0B40CD87" w14:textId="77777777" w:rsidR="00FC09E2" w:rsidRDefault="00000000">
      <w:pPr>
        <w:pStyle w:val="Heading2"/>
      </w:pPr>
      <w:bookmarkStart w:id="31" w:name="_Toc234334528"/>
      <w:r>
        <w:rPr>
          <w:rFonts w:cs="Cambria"/>
          <w:szCs w:val="28"/>
        </w:rPr>
        <w:t>1.28 "Data Licensing Revenue"</w:t>
      </w:r>
      <w:bookmarkEnd w:id="31"/>
    </w:p>
    <w:p w14:paraId="50195E9A" w14:textId="77777777" w:rsidR="00FC09E2" w:rsidRDefault="00000000">
      <w:r>
        <w:rPr>
          <w:rFonts w:cs="Cambria"/>
          <w:szCs w:val="22"/>
        </w:rPr>
        <w:t>The independent income stream generated by licensing anonymized, aggregated, non-sensitive monitoring data to commercial entities including shipping companies, agricultural insurers, and commodity traders. Licensing fees enter the core operating budget. A strict firewall prevents commercialization from compromising neutrality. The Data Licensing program operates on a three-year trial basis. The Independent Scientific Advisory Board evaluates annually whether licensing compromises neutrality. Where the Board determines that licensing undermines credibility, the Director-General terminates the program. Data Licensing on a trial basis reduces</w:t>
      </w:r>
    </w:p>
    <w:p w14:paraId="784F1A60" w14:textId="77777777" w:rsidR="00FC09E2" w:rsidRDefault="00000000">
      <w:pPr>
        <w:pStyle w:val="Heading1"/>
      </w:pPr>
      <w:bookmarkStart w:id="32" w:name="_TocArt2"/>
      <w:bookmarkStart w:id="33" w:name="_Toc234334529"/>
      <w:r>
        <w:rPr>
          <w:rFonts w:cs="Cambria"/>
          <w:szCs w:val="36"/>
        </w:rPr>
        <w:t>Article 2: Mandate</w:t>
      </w:r>
      <w:bookmarkEnd w:id="32"/>
      <w:bookmarkEnd w:id="33"/>
    </w:p>
    <w:p w14:paraId="0DB3CC50" w14:textId="77777777" w:rsidR="00FC09E2" w:rsidRDefault="00000000">
      <w:pPr>
        <w:pStyle w:val="Heading2"/>
      </w:pPr>
      <w:bookmarkStart w:id="34" w:name="_Toc234334530"/>
      <w:r>
        <w:rPr>
          <w:rFonts w:cs="Cambria"/>
          <w:szCs w:val="28"/>
        </w:rPr>
        <w:t>2.1 Core Function</w:t>
      </w:r>
      <w:bookmarkEnd w:id="34"/>
    </w:p>
    <w:p w14:paraId="45B1E138" w14:textId="77777777" w:rsidR="00FC09E2" w:rsidRDefault="00000000">
      <w:r>
        <w:rPr>
          <w:rFonts w:cs="Cambria"/>
          <w:szCs w:val="22"/>
        </w:rPr>
        <w:t>Al-Tawazun prevents escalation, detects destabilizing actions early, and activates rapid diplomatic or technical interventions before crises ignite. It serves as the stabilization engine of the broader peace architecture: a watchdog supervisor that monitors system health, detects anomalies, and triggers predefined safety protocols.</w:t>
      </w:r>
    </w:p>
    <w:p w14:paraId="5419F81C" w14:textId="77777777" w:rsidR="00FC09E2" w:rsidRDefault="00000000">
      <w:pPr>
        <w:pStyle w:val="Heading2"/>
      </w:pPr>
      <w:bookmarkStart w:id="35" w:name="_Toc234334531"/>
      <w:r>
        <w:rPr>
          <w:rFonts w:cs="Cambria"/>
          <w:szCs w:val="28"/>
        </w:rPr>
        <w:t>2.2 Mandate Components</w:t>
      </w:r>
      <w:bookmarkEnd w:id="35"/>
    </w:p>
    <w:p w14:paraId="0350310D" w14:textId="77777777" w:rsidR="00FC09E2" w:rsidRDefault="00000000">
      <w:r>
        <w:rPr>
          <w:rFonts w:cs="Cambria"/>
          <w:szCs w:val="22"/>
        </w:rPr>
        <w:t>Al-Tawazun exercises the following functions:</w:t>
      </w:r>
    </w:p>
    <w:p w14:paraId="36768243" w14:textId="77777777" w:rsidR="00FC09E2" w:rsidRDefault="00000000">
      <w:r>
        <w:rPr>
          <w:rFonts w:cs="Cambria"/>
          <w:szCs w:val="22"/>
        </w:rPr>
        <w:t>Early Warning: Al-Tawazun monitors indicators of treaty stress, military mobilization, weapons flows, political drift, economic disruption, and cyber incidents affecting treaty-related infrastructure. It maintains real-time dashboards tracking the operational health of every annex in the peace architecture.</w:t>
      </w:r>
    </w:p>
    <w:p w14:paraId="7B700334" w14:textId="77777777" w:rsidR="00FC09E2" w:rsidRDefault="00000000">
      <w:r>
        <w:rPr>
          <w:rFonts w:cs="Cambria"/>
          <w:szCs w:val="22"/>
        </w:rPr>
        <w:t>Verification Facilitation: Al-Tawazun facilitates reciprocal verification between signatories. It provides technical expertise, develops mutually acceptable verification protocols, certifies the completion of verification activities, and resolves verification disputes through technical assessment. It does not conduct unilateral inspections.</w:t>
      </w:r>
    </w:p>
    <w:p w14:paraId="1337E1F2" w14:textId="77777777" w:rsidR="00FC09E2" w:rsidRDefault="00000000">
      <w:r>
        <w:rPr>
          <w:rFonts w:cs="Cambria"/>
          <w:szCs w:val="22"/>
        </w:rPr>
        <w:t>Intervention: Al-Tawazun deploys small, specialized Preventer Teams to defuse emerging crises. These teams mediate between commanders, verify facts on the ground, coordinate humanitarian access, de-conflict misunderstandings, and recommend de-escalation steps.</w:t>
      </w:r>
    </w:p>
    <w:p w14:paraId="61E3C4B9" w14:textId="77777777" w:rsidR="00FC09E2" w:rsidRDefault="00000000">
      <w:r>
        <w:rPr>
          <w:rFonts w:cs="Cambria"/>
          <w:szCs w:val="22"/>
        </w:rPr>
        <w:lastRenderedPageBreak/>
        <w:t>Emergency Technical Assistance: Al-Tawazun deploys technical specialists -- including engineers, infrastructure specialists, radiation experts, and environmental scientists -- to assist signatory states upon request. This deployment proceeds without invoking a crisis deployment category. It constitutes technical cooperation, not crisis intervention.</w:t>
      </w:r>
    </w:p>
    <w:p w14:paraId="79FED5CE" w14:textId="77777777" w:rsidR="00FC09E2" w:rsidRDefault="00000000">
      <w:r>
        <w:rPr>
          <w:rFonts w:cs="Cambria"/>
          <w:szCs w:val="22"/>
        </w:rPr>
        <w:t>Notification: Al-Tawazun issues Treaty Trigger Notices when indicators cross defined thresholds. These Notices carry confidence levels and activate automatic Cooling-Off Protocols. They convene emergency Joint Commission sessions.</w:t>
      </w:r>
    </w:p>
    <w:p w14:paraId="405D2F8E" w14:textId="77777777" w:rsidR="00FC09E2" w:rsidRDefault="00000000">
      <w:r>
        <w:rPr>
          <w:rFonts w:cs="Cambria"/>
          <w:szCs w:val="22"/>
        </w:rPr>
        <w:t>Coordination: Al-Tawazun serves as a neutral hub linking signatory states, UN agencies, and regional organizations. It ensures that all parties maintain shared situational awareness during periods of tension.</w:t>
      </w:r>
    </w:p>
    <w:p w14:paraId="51F62DD5" w14:textId="77777777" w:rsidR="00FC09E2" w:rsidRDefault="00000000">
      <w:pPr>
        <w:pStyle w:val="Heading2"/>
      </w:pPr>
      <w:bookmarkStart w:id="36" w:name="_Toc234334532"/>
      <w:r>
        <w:rPr>
          <w:rFonts w:cs="Cambria"/>
          <w:szCs w:val="28"/>
        </w:rPr>
        <w:t>2.3 Separation of Operational and Political Decisions</w:t>
      </w:r>
      <w:bookmarkEnd w:id="36"/>
    </w:p>
    <w:p w14:paraId="6C4916A6" w14:textId="77777777" w:rsidR="00FC09E2" w:rsidRDefault="00000000">
      <w:r>
        <w:rPr>
          <w:rFonts w:cs="Cambria"/>
          <w:szCs w:val="22"/>
        </w:rPr>
        <w:t>The framework architecture maintains a clear separation between operational decisions and political decisions.</w:t>
      </w:r>
    </w:p>
    <w:p w14:paraId="4AF6C914" w14:textId="77777777" w:rsidR="00FC09E2" w:rsidRDefault="00000000">
      <w:r>
        <w:rPr>
          <w:rFonts w:cs="Cambria"/>
          <w:szCs w:val="22"/>
        </w:rPr>
        <w:t>Operational decisions remain with the Troika. These include: issuance of Treaty Trigger Notices; deployment of Preventer Teams under Categories III and above; activation of Cooling-Off Protocols; technical certification of verification activities; Behavioral Alert determinations; and appointment of personnel to the Central Directorate and Regional Nodes. The Troika applies Constructive Abstention where a decision concerns a specific host state. The recused states participate in discussion but cast no vote. The remaining Troika members decide by simple majority.</w:t>
      </w:r>
    </w:p>
    <w:p w14:paraId="788CD7F5" w14:textId="77777777" w:rsidR="00FC09E2" w:rsidRDefault="00000000">
      <w:r>
        <w:rPr>
          <w:rFonts w:cs="Cambria"/>
          <w:szCs w:val="22"/>
        </w:rPr>
        <w:t>Political consequences remain solely with the Joint Commission. These include: determining whether a Step-Back event has occurred under Annex ES; imposing sanctions or penalties for material breach; approving updates to the Trigger Matrix; deciding on mandate renewal or dissolution; and amending this Protocol. Category IV Emergency Intervention is an operational decision under the Troika.</w:t>
      </w:r>
    </w:p>
    <w:p w14:paraId="4E45CE16" w14:textId="77777777" w:rsidR="00FC09E2" w:rsidRDefault="00000000">
      <w:r>
        <w:rPr>
          <w:rFonts w:cs="Cambria"/>
          <w:szCs w:val="22"/>
        </w:rPr>
        <w:t>This separation protects the neutrality of Al-Tawazun. The Stabilization Branch makes technical determinations. The Joint Commission makes political decisions. Neither body substitutes for the other.</w:t>
      </w:r>
    </w:p>
    <w:p w14:paraId="66FFF409" w14:textId="77777777" w:rsidR="00FC09E2" w:rsidRDefault="00000000">
      <w:pPr>
        <w:pStyle w:val="Heading2"/>
      </w:pPr>
      <w:bookmarkStart w:id="37" w:name="_Toc234334533"/>
      <w:r>
        <w:rPr>
          <w:rFonts w:cs="Cambria"/>
          <w:szCs w:val="28"/>
        </w:rPr>
        <w:t>2.4 Prohibited Activities</w:t>
      </w:r>
      <w:bookmarkEnd w:id="37"/>
    </w:p>
    <w:p w14:paraId="0441F981" w14:textId="77777777" w:rsidR="00FC09E2" w:rsidRDefault="00000000">
      <w:r>
        <w:rPr>
          <w:rFonts w:cs="Cambria"/>
          <w:szCs w:val="22"/>
        </w:rPr>
        <w:t>The framework architecture explicitly excludes the following activities from the Al-Tawazun mandate:</w:t>
      </w:r>
    </w:p>
    <w:p w14:paraId="720D837B" w14:textId="77777777" w:rsidR="00FC09E2" w:rsidRDefault="00000000">
      <w:r>
        <w:rPr>
          <w:rFonts w:cs="Cambria"/>
          <w:szCs w:val="22"/>
        </w:rPr>
        <w:t>Military Operations: Al-Tawazun is prohibited from conducting, coordinating, or supporting any form of military operation. The framework architecture excludes all kinetic enforcement mechanisms.</w:t>
      </w:r>
    </w:p>
    <w:p w14:paraId="0B79F9AD" w14:textId="77777777" w:rsidR="00FC09E2" w:rsidRDefault="00000000">
      <w:r>
        <w:rPr>
          <w:rFonts w:cs="Cambria"/>
          <w:szCs w:val="22"/>
        </w:rPr>
        <w:lastRenderedPageBreak/>
        <w:t>Intelligence Collection: Al-Tawazun is prohibited from collecting intelligence inside private domestic systems. All data gathering proceeds through treaty-mandated feeds, open-source monitoring, and host-state liaison channels.</w:t>
      </w:r>
    </w:p>
    <w:p w14:paraId="616C1C37" w14:textId="77777777" w:rsidR="00FC09E2" w:rsidRDefault="00000000">
      <w:r>
        <w:rPr>
          <w:rFonts w:cs="Cambria"/>
          <w:szCs w:val="22"/>
        </w:rPr>
        <w:t>Enforcement Actions: Al-Tawazun is prohibited from taking enforcement actions without state consent. It certifies conditions. It does not impose consequences.</w:t>
      </w:r>
    </w:p>
    <w:p w14:paraId="0B8356EE" w14:textId="77777777" w:rsidR="00FC09E2" w:rsidRDefault="00000000">
      <w:r>
        <w:rPr>
          <w:rFonts w:cs="Cambria"/>
          <w:szCs w:val="22"/>
        </w:rPr>
        <w:t>Political Interference: Al-Tawazun is prohibited from engaging in political advocacy, electoral interference, or regime change activities. Its function is technical and operational, not political.</w:t>
      </w:r>
    </w:p>
    <w:p w14:paraId="48AA9FFC" w14:textId="77777777" w:rsidR="00FC09E2" w:rsidRDefault="00000000">
      <w:pPr>
        <w:pStyle w:val="Heading2"/>
      </w:pPr>
      <w:bookmarkStart w:id="38" w:name="_Toc234334534"/>
      <w:r>
        <w:rPr>
          <w:rFonts w:cs="Cambria"/>
          <w:szCs w:val="28"/>
        </w:rPr>
        <w:t>2.5 Confidentiality Shield</w:t>
      </w:r>
      <w:bookmarkEnd w:id="38"/>
    </w:p>
    <w:p w14:paraId="54C850E0" w14:textId="77777777" w:rsidR="00FC09E2" w:rsidRDefault="00000000">
      <w:r>
        <w:rPr>
          <w:rFonts w:cs="Cambria"/>
          <w:szCs w:val="22"/>
        </w:rPr>
        <w:t>All communications between Al-Tawazun and a host state remain privileged and confidential. Disclosure to any other state, the Joint Commission, or the public requires explicit host-state authorization in ordinary circumstances. Three narrow exceptions override the Shield: imminent mass-casualty risk where delay costs lives; nuclear safety emergencies where immediate multilateral response is necessary; and treaty-defined catastrophic events where the Guarantor Matrix determines by two-thirds majority that confidentiality would enable further destruction. The Director-General faces immediate removal for any disclosure outside these exceptions without authorization. States share sensitive information because they know Al-Tawazun protects confidentiality except in genuine emergencies where silence is unconscionable.</w:t>
      </w:r>
    </w:p>
    <w:p w14:paraId="23D38269" w14:textId="77777777" w:rsidR="00FC09E2" w:rsidRDefault="00000000">
      <w:pPr>
        <w:pStyle w:val="Heading2"/>
      </w:pPr>
      <w:bookmarkStart w:id="39" w:name="_Toc234334535"/>
      <w:r>
        <w:rPr>
          <w:rFonts w:cs="Cambria"/>
          <w:szCs w:val="28"/>
        </w:rPr>
        <w:t>2.6 Deadlock Resolution Procedures</w:t>
      </w:r>
      <w:bookmarkEnd w:id="39"/>
    </w:p>
    <w:p w14:paraId="043EB23E" w14:textId="77777777" w:rsidR="00FC09E2" w:rsidRDefault="00000000">
      <w:r>
        <w:rPr>
          <w:rFonts w:cs="Cambria"/>
          <w:szCs w:val="22"/>
        </w:rPr>
        <w:t>Where the Troika deadlocks on an operational decision, the following procedures apply: Where one member abstains, the remaining two members decide. Where two members oppose each other and the third abstains, the matter escalates to the Guarantor Matrix for advisory opinion within forty-eight hours. Where all three members vote differently, the Director-General casts a tiebreaking vote based solely on technical criteria, not political preference.</w:t>
      </w:r>
    </w:p>
    <w:p w14:paraId="74489B8F" w14:textId="77777777" w:rsidR="00FC09E2" w:rsidRDefault="00000000">
      <w:r>
        <w:rPr>
          <w:rFonts w:cs="Cambria"/>
          <w:szCs w:val="22"/>
        </w:rPr>
        <w:t>Where Guarantor Matrix members are in direct conflict with each other, Al-Tawazun maintains operational continuity through the following cascade: the Director-General consults each Guarantor Matrix member individually; where unanimous Guarantor Matrix concurrence is impossible due to direct conflict, the Director-General proceeds based on the technical assessment alone, documenting the divergence of Guarantor views; and the Joint Commission reviews the matter at its next session and provides political guidance for future similar cases.</w:t>
      </w:r>
    </w:p>
    <w:p w14:paraId="2084AF24" w14:textId="77777777" w:rsidR="00FC09E2" w:rsidRDefault="00000000">
      <w:pPr>
        <w:pStyle w:val="Heading2"/>
      </w:pPr>
      <w:bookmarkStart w:id="40" w:name="_Toc234334536"/>
      <w:r>
        <w:rPr>
          <w:rFonts w:cs="Cambria"/>
          <w:szCs w:val="28"/>
        </w:rPr>
        <w:t>2.7 Certified Transparency Principle</w:t>
      </w:r>
      <w:bookmarkEnd w:id="40"/>
    </w:p>
    <w:p w14:paraId="1D3FCB07" w14:textId="77777777" w:rsidR="00FC09E2" w:rsidRDefault="00000000">
      <w:r>
        <w:rPr>
          <w:rFonts w:cs="Cambria"/>
          <w:szCs w:val="22"/>
        </w:rPr>
        <w:t xml:space="preserve">Al-Tawazun certifies conditions through the convergence of multiple independent encrypted data sources. No Treaty Trigger Notice proceeds on fewer than three independent source categories. High Confidence requires five. The aggregation of independent indicators produces assessments that no signatory state credibly dismisses. Certified Transparency makes denial politically difficult because the data originates from sources no single state controls. </w:t>
      </w:r>
    </w:p>
    <w:p w14:paraId="335C81F1" w14:textId="77777777" w:rsidR="00FC09E2" w:rsidRDefault="00000000">
      <w:pPr>
        <w:pStyle w:val="Heading2"/>
      </w:pPr>
      <w:bookmarkStart w:id="41" w:name="_Toc234334537"/>
      <w:r>
        <w:rPr>
          <w:rFonts w:cs="Cambria"/>
          <w:szCs w:val="28"/>
        </w:rPr>
        <w:lastRenderedPageBreak/>
        <w:t>2.8 Quiet Diplomacy Authority</w:t>
      </w:r>
      <w:bookmarkEnd w:id="41"/>
    </w:p>
    <w:p w14:paraId="7EF1CF71" w14:textId="77777777" w:rsidR="00FC09E2" w:rsidRDefault="00000000">
      <w:r>
        <w:rPr>
          <w:rFonts w:cs="Cambria"/>
          <w:szCs w:val="22"/>
        </w:rPr>
        <w:t>Al-Tawazun exercises Quiet Diplomacy Authority when indicators trend upward but remain below formal Trigger Matrix thresholds. Under this Authority, Senior Preventers engage in confidential conversations with relevant parties. No reports are issued. No formal notices are published. No public action is taken. The Senior Preventer listens, identifies emerging risks, and facilitates informal communication between parties who do not realize they are misunderstanding each other.</w:t>
      </w:r>
    </w:p>
    <w:p w14:paraId="1DB01A8A" w14:textId="77777777" w:rsidR="00FC09E2" w:rsidRDefault="00000000">
      <w:r>
        <w:rPr>
          <w:rFonts w:cs="Cambria"/>
          <w:szCs w:val="22"/>
        </w:rPr>
        <w:t>Quiet Diplomacy produces no documentation beyond a confidential internal memorandum for the Director-General. The memorandum describes the conversations, the concerns raised, and any recommended preventive actions. The Director-General determines whether the concerns warrant enhanced monitoring, informal outreach to other signatories, or continued Quiet Diplomacy. Most crises are easier to stop at this stage than at Amber.</w:t>
      </w:r>
    </w:p>
    <w:p w14:paraId="07F6D69C" w14:textId="77777777" w:rsidR="00FC09E2" w:rsidRDefault="00000000">
      <w:pPr>
        <w:pStyle w:val="Heading1"/>
      </w:pPr>
      <w:bookmarkStart w:id="42" w:name="_TocArt3"/>
      <w:bookmarkStart w:id="43" w:name="_Toc234334538"/>
      <w:r>
        <w:rPr>
          <w:rFonts w:cs="Cambria"/>
          <w:szCs w:val="36"/>
        </w:rPr>
        <w:t>Article 3: Legal Basis</w:t>
      </w:r>
      <w:bookmarkEnd w:id="42"/>
      <w:bookmarkEnd w:id="43"/>
    </w:p>
    <w:p w14:paraId="2393D42C" w14:textId="77777777" w:rsidR="00FC09E2" w:rsidRDefault="00000000">
      <w:r>
        <w:rPr>
          <w:rFonts w:cs="Cambria"/>
          <w:szCs w:val="22"/>
        </w:rPr>
        <w:t>Al-Tawazun derives its authority from three sources:</w:t>
      </w:r>
    </w:p>
    <w:p w14:paraId="793F69FB" w14:textId="77777777" w:rsidR="00FC09E2" w:rsidRDefault="00000000">
      <w:pPr>
        <w:pStyle w:val="Heading2"/>
      </w:pPr>
      <w:bookmarkStart w:id="44" w:name="_Toc234334539"/>
      <w:r>
        <w:rPr>
          <w:rFonts w:cs="Cambria"/>
          <w:szCs w:val="28"/>
        </w:rPr>
        <w:t>3.1 The MENOC Charter</w:t>
      </w:r>
      <w:bookmarkEnd w:id="44"/>
    </w:p>
    <w:p w14:paraId="10D1C5C3" w14:textId="77777777" w:rsidR="00FC09E2" w:rsidRDefault="00000000">
      <w:r>
        <w:rPr>
          <w:rFonts w:cs="Cambria"/>
          <w:szCs w:val="22"/>
        </w:rPr>
        <w:t>This Protocol establishes Al-Tawazun as a standalone office under the United Nations Department of Political and Peacebuilding Affairs. It enters into force upon ratification by all signatory states. Al-Tawazun coordinates with the MENOC Framework and its associated annexes but derives its primary authority from the United Nations Charter, not from the MENOC Charter. States join Al-Tawazun without endorsing the entire MENOC architecture.</w:t>
      </w:r>
    </w:p>
    <w:p w14:paraId="5A9C7BD1" w14:textId="77777777" w:rsidR="00FC09E2" w:rsidRDefault="00000000">
      <w:pPr>
        <w:pStyle w:val="Heading2"/>
      </w:pPr>
      <w:bookmarkStart w:id="45" w:name="_Toc234334540"/>
      <w:r>
        <w:rPr>
          <w:rFonts w:cs="Cambria"/>
          <w:szCs w:val="28"/>
        </w:rPr>
        <w:t>3.2 United Nations Charter Chapter VI</w:t>
      </w:r>
      <w:bookmarkEnd w:id="45"/>
    </w:p>
    <w:p w14:paraId="4046E0AF" w14:textId="77777777" w:rsidR="00FC09E2" w:rsidRDefault="00000000">
      <w:r>
        <w:rPr>
          <w:rFonts w:cs="Cambria"/>
          <w:szCs w:val="22"/>
        </w:rPr>
        <w:t>Al-Tawazun operates under the authority of United Nations Charter Chapter VI (Pacific Settlement of Disputes). This Protocol explicitly avoids Chapter VII (Action with Respect to Threats to the Peace, Breaches of the Peace, and Acts of Aggression), which would confer coercive authority. The Chapter VI basis ensures that Al-Tawazun functions as a facilitator of peaceful settlement, not an instrument of enforcement. Data collected by Al-Tawazun for stabilization purposes is presumed confidential and not automatically transferable to judicial bodies. Transfer to any criminal, administrative, or judicial proceeding requires the express written consent of the state from which the data was collected, except where an international court with jurisdiction issues a binding order for specific data and the Guarantor Matrix concurs that the order does not compromise ongoing stabilization operations.</w:t>
      </w:r>
    </w:p>
    <w:p w14:paraId="7A2678A8" w14:textId="77777777" w:rsidR="00FC09E2" w:rsidRDefault="00000000">
      <w:pPr>
        <w:pStyle w:val="Heading2"/>
      </w:pPr>
      <w:bookmarkStart w:id="46" w:name="_Toc234334541"/>
      <w:r>
        <w:rPr>
          <w:rFonts w:cs="Cambria"/>
          <w:szCs w:val="28"/>
        </w:rPr>
        <w:lastRenderedPageBreak/>
        <w:t>3.3 Host-State Agreements</w:t>
      </w:r>
      <w:bookmarkEnd w:id="46"/>
    </w:p>
    <w:p w14:paraId="30EFB221" w14:textId="77777777" w:rsidR="00FC09E2" w:rsidRDefault="00000000">
      <w:r>
        <w:rPr>
          <w:rFonts w:cs="Cambria"/>
          <w:szCs w:val="22"/>
        </w:rPr>
        <w:t>Each signatory state concludes a Host-State Agreement with Al-Tawazun specifying the modalities of operational access, data sharing, and personnel presence on its territory. These agreements are bilateral instruments. They do not create multilateral obligations beyond the consenting state.</w:t>
      </w:r>
    </w:p>
    <w:p w14:paraId="76916172" w14:textId="77777777" w:rsidR="00FC09E2" w:rsidRDefault="00000000">
      <w:pPr>
        <w:pStyle w:val="Heading1"/>
      </w:pPr>
      <w:bookmarkStart w:id="47" w:name="_TocArt4"/>
      <w:bookmarkStart w:id="48" w:name="_Toc234334542"/>
      <w:r>
        <w:rPr>
          <w:rFonts w:cs="Cambria"/>
          <w:szCs w:val="36"/>
        </w:rPr>
        <w:t>Article 4: Organizational Structure</w:t>
      </w:r>
      <w:bookmarkEnd w:id="47"/>
      <w:bookmarkEnd w:id="48"/>
    </w:p>
    <w:p w14:paraId="42543ADD" w14:textId="77777777" w:rsidR="00FC09E2" w:rsidRDefault="00000000">
      <w:pPr>
        <w:pStyle w:val="Heading2"/>
      </w:pPr>
      <w:bookmarkStart w:id="49" w:name="_Toc234334543"/>
      <w:r>
        <w:rPr>
          <w:rFonts w:cs="Cambria"/>
          <w:szCs w:val="28"/>
        </w:rPr>
        <w:t>4.1 Central Directorate</w:t>
      </w:r>
      <w:bookmarkEnd w:id="49"/>
    </w:p>
    <w:p w14:paraId="34631238" w14:textId="77777777" w:rsidR="00FC09E2" w:rsidRDefault="00000000">
      <w:r>
        <w:rPr>
          <w:rFonts w:cs="Cambria"/>
          <w:szCs w:val="22"/>
        </w:rPr>
        <w:t>Al-Tawazun maintains a Central Directorate at a location determined by the Joint Commission. The Central Directorate serves as the coordinating hub for all Stabilization Branch activities.</w:t>
      </w:r>
    </w:p>
    <w:p w14:paraId="57BEB154" w14:textId="77777777" w:rsidR="00FC09E2" w:rsidRDefault="00000000">
      <w:r>
        <w:rPr>
          <w:rFonts w:cs="Cambria"/>
          <w:szCs w:val="22"/>
        </w:rPr>
        <w:t>The Central Directorate comprises the following offices:</w:t>
      </w:r>
    </w:p>
    <w:p w14:paraId="49A5CC31" w14:textId="77777777" w:rsidR="00FC09E2" w:rsidRDefault="00000000">
      <w:r>
        <w:rPr>
          <w:rFonts w:cs="Cambria"/>
          <w:szCs w:val="22"/>
        </w:rPr>
        <w:t>Director-General: The Director-General leads Al-Tawazun and reports to the Joint Commission. The Director-General position rotates every three years among the four Regional Nodes. Years one through three: a candidate from the Levant Node. Years four through six: a candidate from the Gulf Node. Years seven through nine: a candidate from the North Africa Node. Years ten through twelve: a candidate from the Eastern Mediterranean Node. The candidate's home region nominates. The Guarantor Matrix approves by consensus, not the Joint Commission. The Director-General possesses no independent enforcement authority. The Director-General coordinates, certifies, and recommends. This rotation guarantees that no single great power dominates the selection and that every region develops ownership of the institution.</w:t>
      </w:r>
    </w:p>
    <w:p w14:paraId="7897441F" w14:textId="77777777" w:rsidR="00FC09E2" w:rsidRDefault="00000000">
      <w:r>
        <w:rPr>
          <w:rFonts w:cs="Cambria"/>
          <w:szCs w:val="22"/>
        </w:rPr>
        <w:t>Deputy Director for Early Warning: This office maintains the Trigger Matrix, monitors all early-warning indicators, and issues Treaty Trigger Notices when thresholds cross.</w:t>
      </w:r>
    </w:p>
    <w:p w14:paraId="5E1D4EAC" w14:textId="77777777" w:rsidR="00FC09E2" w:rsidRDefault="00000000">
      <w:r>
        <w:rPr>
          <w:rFonts w:cs="Cambria"/>
          <w:szCs w:val="22"/>
        </w:rPr>
        <w:t>Deputy Director for Verification and Monitoring: This office facilitates reciprocal verification between signatories, develops verification protocols, and certifies compliance assessments.</w:t>
      </w:r>
    </w:p>
    <w:p w14:paraId="25600E9A" w14:textId="77777777" w:rsidR="00FC09E2" w:rsidRDefault="00000000">
      <w:r>
        <w:rPr>
          <w:rFonts w:cs="Cambria"/>
          <w:szCs w:val="22"/>
        </w:rPr>
        <w:t>Deputy Director for Rapid Response: This office oversees Preventer Team deployment, manages the Rapid Response Reserve, and coordinates all field-level crisis interventions.</w:t>
      </w:r>
    </w:p>
    <w:p w14:paraId="711CF5EC" w14:textId="77777777" w:rsidR="00FC09E2" w:rsidRDefault="00000000">
      <w:r>
        <w:rPr>
          <w:rFonts w:cs="Cambria"/>
          <w:szCs w:val="22"/>
        </w:rPr>
        <w:t>Deputy Director for Political Liaison: This office maintains communication channels with signatory governments, the Joint Commission, the Joint Secretariat, and relevant UN agencies.</w:t>
      </w:r>
    </w:p>
    <w:p w14:paraId="7F133F9D" w14:textId="77777777" w:rsidR="00FC09E2" w:rsidRDefault="00000000">
      <w:r>
        <w:rPr>
          <w:rFonts w:cs="Cambria"/>
          <w:szCs w:val="22"/>
        </w:rPr>
        <w:t>Deputy Director for Data and Analytics: This office maintains the Lessons Learned Database, analyzes operational trends, produces the Annual Stabilization Assessment, and publishes the False Alarm Metrics Report.</w:t>
      </w:r>
    </w:p>
    <w:p w14:paraId="207C64FF" w14:textId="77777777" w:rsidR="00FC09E2" w:rsidRDefault="00000000">
      <w:pPr>
        <w:pStyle w:val="Heading2"/>
      </w:pPr>
      <w:bookmarkStart w:id="50" w:name="_Toc234334544"/>
      <w:r>
        <w:rPr>
          <w:rFonts w:cs="Cambria"/>
          <w:szCs w:val="28"/>
        </w:rPr>
        <w:t>4.2 Regional Nodes</w:t>
      </w:r>
      <w:bookmarkEnd w:id="50"/>
    </w:p>
    <w:p w14:paraId="5F3B40F5" w14:textId="77777777" w:rsidR="00FC09E2" w:rsidRDefault="00000000">
      <w:r>
        <w:rPr>
          <w:rFonts w:cs="Cambria"/>
          <w:szCs w:val="22"/>
        </w:rPr>
        <w:t>Al-Tawazun maintains four Regional Nodes, one per sub-region:</w:t>
      </w:r>
    </w:p>
    <w:p w14:paraId="7F37EB4A" w14:textId="77777777" w:rsidR="00FC09E2" w:rsidRDefault="00000000">
      <w:r>
        <w:rPr>
          <w:rFonts w:cs="Cambria"/>
          <w:szCs w:val="22"/>
        </w:rPr>
        <w:t>The Levant Node covers Jordan, Lebanon, Syria, and the Palestinian territories.</w:t>
      </w:r>
    </w:p>
    <w:p w14:paraId="1F4A727E" w14:textId="77777777" w:rsidR="00FC09E2" w:rsidRDefault="00000000">
      <w:r>
        <w:rPr>
          <w:rFonts w:cs="Cambria"/>
          <w:szCs w:val="22"/>
        </w:rPr>
        <w:lastRenderedPageBreak/>
        <w:t>The Gulf Node covers the GCC states, Iraq, and Iran.</w:t>
      </w:r>
    </w:p>
    <w:p w14:paraId="061701F3" w14:textId="77777777" w:rsidR="00FC09E2" w:rsidRDefault="00000000">
      <w:r>
        <w:rPr>
          <w:rFonts w:cs="Cambria"/>
          <w:szCs w:val="22"/>
        </w:rPr>
        <w:t>The North Africa Node covers Egypt, Libya, Tunisia, Algeria, and Morocco.</w:t>
      </w:r>
    </w:p>
    <w:p w14:paraId="3BB28744" w14:textId="77777777" w:rsidR="00FC09E2" w:rsidRDefault="00000000">
      <w:r>
        <w:rPr>
          <w:rFonts w:cs="Cambria"/>
          <w:szCs w:val="22"/>
        </w:rPr>
        <w:t>The Eastern Mediterranean Node covers Turkey, Cyprus, and associated maritime zones.</w:t>
      </w:r>
    </w:p>
    <w:p w14:paraId="4AFC1A30" w14:textId="77777777" w:rsidR="00FC09E2" w:rsidRDefault="00000000">
      <w:r>
        <w:rPr>
          <w:rFonts w:cs="Cambria"/>
          <w:szCs w:val="22"/>
        </w:rPr>
        <w:t>Each Regional Node maintains the following capabilities: a team of regional analysts tracking sub-specific indicators; liaison officers seconded from host-state foreign ministries; technical specialists in verification, satellite imagery analysis, and data science; rapid-response mediators on standby for immediate Preventer Team deployment; and a Joint Training Exercise coordinator.</w:t>
      </w:r>
    </w:p>
    <w:p w14:paraId="44857F26" w14:textId="77777777" w:rsidR="00FC09E2" w:rsidRDefault="00000000">
      <w:pPr>
        <w:pStyle w:val="Heading2"/>
      </w:pPr>
      <w:bookmarkStart w:id="51" w:name="_Toc234334545"/>
      <w:r>
        <w:rPr>
          <w:rFonts w:cs="Cambria"/>
          <w:szCs w:val="28"/>
        </w:rPr>
        <w:t>4.3 Preventer Teams</w:t>
      </w:r>
      <w:bookmarkEnd w:id="51"/>
    </w:p>
    <w:p w14:paraId="506BBB3B" w14:textId="77777777" w:rsidR="00FC09E2" w:rsidRDefault="00000000">
      <w:r>
        <w:rPr>
          <w:rFonts w:cs="Cambria"/>
          <w:szCs w:val="22"/>
        </w:rPr>
        <w:t>Preventer Teams constitute the deployable element of Al-Tawazun. Each team comprises three to seven personnel drawn from diplomatic, technical, and humanitarian disciplines.</w:t>
      </w:r>
    </w:p>
    <w:p w14:paraId="4FFAABE3" w14:textId="77777777" w:rsidR="00FC09E2" w:rsidRDefault="00000000">
      <w:r>
        <w:rPr>
          <w:rFonts w:cs="Cambria"/>
          <w:szCs w:val="22"/>
        </w:rPr>
        <w:t>Preventer Teams deploy without weapons and without uniforms. They carry only identification credentials issued by the Joint Secretariat. Their function is to stabilize, not to enforce. They mediate, verify, de-conflict, and recommend.</w:t>
      </w:r>
    </w:p>
    <w:p w14:paraId="5EA0FB0E" w14:textId="77777777" w:rsidR="00FC09E2" w:rsidRDefault="00000000">
      <w:r>
        <w:rPr>
          <w:rFonts w:cs="Cambria"/>
          <w:szCs w:val="22"/>
        </w:rPr>
        <w:t>Preventer Teams deploy under Categories I and II with a target timeline of twenty-four to forty-eight hours. Category III deployments target seventy-two hours. Category IV deployments target ninety-six hours following Troika authorization and Guarantor Matrix concurrence. These timelines are targets, not guarantees. During actual regional crises, airports close, visas stall, and communications fail. Al-Tawazun documents any timeline deviation, identifies the cause, and adjusts procedures accordingly.</w:t>
      </w:r>
    </w:p>
    <w:p w14:paraId="60CC2EE3" w14:textId="77777777" w:rsidR="00FC09E2" w:rsidRDefault="00000000">
      <w:pPr>
        <w:pStyle w:val="Heading2"/>
      </w:pPr>
      <w:bookmarkStart w:id="52" w:name="_Toc234334546"/>
      <w:r>
        <w:rPr>
          <w:rFonts w:cs="Cambria"/>
          <w:szCs w:val="28"/>
        </w:rPr>
        <w:t>4.4 Conflict-of-Interest Rules</w:t>
      </w:r>
      <w:bookmarkEnd w:id="52"/>
    </w:p>
    <w:p w14:paraId="142F9C66" w14:textId="77777777" w:rsidR="00FC09E2" w:rsidRDefault="00000000">
      <w:r>
        <w:rPr>
          <w:rFonts w:cs="Cambria"/>
          <w:szCs w:val="22"/>
        </w:rPr>
        <w:t>Every Preventer Team member discloses the following before deployment:</w:t>
      </w:r>
    </w:p>
    <w:p w14:paraId="018FB80B" w14:textId="77777777" w:rsidR="00FC09E2" w:rsidRDefault="00000000">
      <w:r>
        <w:rPr>
          <w:rFonts w:cs="Cambria"/>
          <w:szCs w:val="22"/>
        </w:rPr>
        <w:t>Financial interests: All investments, ownership stakes, or financial relationships with entities operating in the deployment region.</w:t>
      </w:r>
    </w:p>
    <w:p w14:paraId="01944050" w14:textId="77777777" w:rsidR="00FC09E2" w:rsidRDefault="00000000">
      <w:r>
        <w:rPr>
          <w:rFonts w:cs="Cambria"/>
          <w:szCs w:val="22"/>
        </w:rPr>
        <w:t>Prior government service: All previous employment with the governments of signatory states or entities subject to Al-Tawazun monitoring.</w:t>
      </w:r>
    </w:p>
    <w:p w14:paraId="2F73E706" w14:textId="77777777" w:rsidR="00FC09E2" w:rsidRDefault="00000000">
      <w:r>
        <w:rPr>
          <w:rFonts w:cs="Cambria"/>
          <w:szCs w:val="22"/>
        </w:rPr>
        <w:t>Family relationships: All familial connections to government officials, military officers, or business leaders in signatory states.</w:t>
      </w:r>
    </w:p>
    <w:p w14:paraId="0C72ABBB" w14:textId="77777777" w:rsidR="00FC09E2" w:rsidRDefault="00000000">
      <w:r>
        <w:rPr>
          <w:rFonts w:cs="Cambria"/>
          <w:szCs w:val="22"/>
        </w:rPr>
        <w:t>Prior employment: All previous positions with organizations that maintain active interests in the deployment region.</w:t>
      </w:r>
    </w:p>
    <w:p w14:paraId="2632E842" w14:textId="77777777" w:rsidR="00FC09E2" w:rsidRDefault="00000000">
      <w:r>
        <w:rPr>
          <w:rFonts w:cs="Cambria"/>
          <w:szCs w:val="22"/>
        </w:rPr>
        <w:t>The Central Directorate maintains a Conflict-of-Interest Register. Where a disclosed conflict creates a material risk of bias, the affected personnel recuse themselves from the relevant deployment. The Director-General reviews all disclosures within seventy-two hours and determines the appropriate recusal measures.</w:t>
      </w:r>
    </w:p>
    <w:p w14:paraId="0A04FA78" w14:textId="77777777" w:rsidR="00FC09E2" w:rsidRDefault="00000000">
      <w:pPr>
        <w:pStyle w:val="Heading2"/>
      </w:pPr>
      <w:bookmarkStart w:id="53" w:name="_Toc234334547"/>
      <w:r>
        <w:rPr>
          <w:rFonts w:cs="Cambria"/>
          <w:szCs w:val="28"/>
        </w:rPr>
        <w:lastRenderedPageBreak/>
        <w:t>4.5 Rotation Policy</w:t>
      </w:r>
      <w:bookmarkEnd w:id="53"/>
    </w:p>
    <w:p w14:paraId="7C097830" w14:textId="77777777" w:rsidR="00FC09E2" w:rsidRDefault="00000000">
      <w:r>
        <w:rPr>
          <w:rFonts w:cs="Cambria"/>
          <w:szCs w:val="22"/>
        </w:rPr>
        <w:t>The team leader and two senior members of each Preventer Team remain in place for five years, coinciding with the Director-General's term. Junior members rotate every eighteen months. This preserves institutional memory and relationships at the senior level while bringing fresh perspectives at the junior level.</w:t>
      </w:r>
    </w:p>
    <w:p w14:paraId="1254C08A" w14:textId="77777777" w:rsidR="00FC09E2" w:rsidRDefault="00000000">
      <w:r>
        <w:rPr>
          <w:rFonts w:cs="Cambria"/>
          <w:szCs w:val="22"/>
        </w:rPr>
        <w:t>The senior continuity policy ensures that the best mediators know the players, the history, and the local nuances. Senior members develop trusted relationships with host-state counterparts. Junior rotation prevents groupthink and brings new analytical perspectives. Staggered transitions ensure continuity: incoming junior members shadow outgoing members for thirty days before assuming full responsibility.</w:t>
      </w:r>
    </w:p>
    <w:p w14:paraId="586B2A00" w14:textId="77777777" w:rsidR="00FC09E2" w:rsidRDefault="00000000">
      <w:r>
        <w:rPr>
          <w:rFonts w:cs="Cambria"/>
          <w:szCs w:val="22"/>
        </w:rPr>
        <w:t>Staggered rotations ensure continuity: incoming team members shadow outgoing team members for a minimum of thirty days before assuming full operational responsibility.</w:t>
      </w:r>
    </w:p>
    <w:p w14:paraId="223720DD" w14:textId="77777777" w:rsidR="00FC09E2" w:rsidRDefault="00000000">
      <w:pPr>
        <w:pStyle w:val="Heading2"/>
      </w:pPr>
      <w:bookmarkStart w:id="54" w:name="_Toc234334548"/>
      <w:r>
        <w:rPr>
          <w:rFonts w:cs="Cambria"/>
          <w:szCs w:val="28"/>
        </w:rPr>
        <w:t>4.6 Senior Preventer Regional Cadre</w:t>
      </w:r>
      <w:bookmarkEnd w:id="54"/>
    </w:p>
    <w:p w14:paraId="37F4701D" w14:textId="77777777" w:rsidR="00FC09E2" w:rsidRDefault="00000000">
      <w:r>
        <w:rPr>
          <w:rFonts w:cs="Cambria"/>
          <w:szCs w:val="22"/>
        </w:rPr>
        <w:t>Each Regional Node maintains a small cadre of Senior Preventers assigned to the same subregion for seven to ten years. These Senior Preventers constitute the institutional memory of the Node. They know the generals, the ministers, the rivalries, and the histories. They develop relationships that span multiple crises and multiple governments. A Senior Preventer who has spent a decade in the Gulf knows which deputy foreign minister takes which negotiating position before the meeting begins.</w:t>
      </w:r>
    </w:p>
    <w:p w14:paraId="377DDA5C" w14:textId="77777777" w:rsidR="00FC09E2" w:rsidRDefault="00000000">
      <w:r>
        <w:rPr>
          <w:rFonts w:cs="Cambria"/>
          <w:szCs w:val="22"/>
        </w:rPr>
        <w:t>Senior Preventers mentor junior rotating members, provide context that no database captures, and serve as the primary interface with Permanent Crisis Liaison Officers under Article 9.8. Their extended tenure creates trust that no short-term rotation produces. A state that has worked with the same Senior Preventer for eight years treats that Preventer differently from a stranger with a fresh passport.</w:t>
      </w:r>
    </w:p>
    <w:p w14:paraId="722EBC62" w14:textId="77777777" w:rsidR="00FC09E2" w:rsidRDefault="00000000">
      <w:pPr>
        <w:pStyle w:val="Heading2"/>
      </w:pPr>
      <w:bookmarkStart w:id="55" w:name="_Toc234334549"/>
      <w:r>
        <w:rPr>
          <w:rFonts w:cs="Cambria"/>
          <w:szCs w:val="28"/>
        </w:rPr>
        <w:t>4.7 Independent Scientific Advisory Board</w:t>
      </w:r>
      <w:bookmarkEnd w:id="55"/>
    </w:p>
    <w:p w14:paraId="05FDE7F4" w14:textId="77777777" w:rsidR="00FC09E2" w:rsidRDefault="00000000">
      <w:r>
        <w:rPr>
          <w:rFonts w:cs="Cambria"/>
          <w:szCs w:val="22"/>
        </w:rPr>
        <w:t>Al-Tawazun maintains an Independent Scientific Advisory Board comprising experts in the following disciplines: satellite imagery and remote sensing; nuclear engineering and safeguards; economics and sanctions analysis; humanitarian operations; cyber security and infrastructure protection; and environmental science.</w:t>
      </w:r>
    </w:p>
    <w:p w14:paraId="78B821ED" w14:textId="77777777" w:rsidR="00FC09E2" w:rsidRDefault="00000000">
      <w:r>
        <w:rPr>
          <w:rFonts w:cs="Cambria"/>
          <w:szCs w:val="22"/>
        </w:rPr>
        <w:t>The Board issues presumptively authoritative determinations on procedural questions and technical assessments. The Board reviews the technical accuracy of Al-Tawazun assessments, evaluates the validity of analytical models, and recommends improvements to monitoring methodologies. The Board's determination on whether a host state's denial of Category III concurrence is objectively reasonable is presumptively authoritative for procedural purposes. Where the Board rules a denial objectively unreasonable, the host state forfeits its right to object to Category IV deployment. The Board does not participate in operational deployments.</w:t>
      </w:r>
    </w:p>
    <w:p w14:paraId="4AFA7A55" w14:textId="77777777" w:rsidR="00FC09E2" w:rsidRDefault="00000000">
      <w:r>
        <w:rPr>
          <w:rFonts w:cs="Cambria"/>
          <w:szCs w:val="22"/>
        </w:rPr>
        <w:lastRenderedPageBreak/>
        <w:t>The Joint Commission appoints Board members for three-year renewable terms. Board members disclose all potential conflicts of interest prior to appointment. The Board publishes an annual technical assessment of Al-Tawazun monitoring capabilities.</w:t>
      </w:r>
    </w:p>
    <w:p w14:paraId="0633E4D3" w14:textId="77777777" w:rsidR="00FC09E2" w:rsidRDefault="00000000">
      <w:pPr>
        <w:pStyle w:val="Heading2"/>
      </w:pPr>
      <w:bookmarkStart w:id="56" w:name="_Toc234334550"/>
      <w:r>
        <w:rPr>
          <w:rFonts w:cs="Cambria"/>
          <w:szCs w:val="28"/>
        </w:rPr>
        <w:t>4.8 Resilience Unit: Internal Red Team</w:t>
      </w:r>
      <w:bookmarkEnd w:id="56"/>
    </w:p>
    <w:p w14:paraId="0FDE333E" w14:textId="77777777" w:rsidR="00FC09E2" w:rsidRDefault="00000000">
      <w:r>
        <w:rPr>
          <w:rFonts w:cs="Cambria"/>
          <w:szCs w:val="22"/>
        </w:rPr>
        <w:t>The Central Directorate maintains a dedicated Resilience Unit whose sole function is to actively attempt to spoof the Al-Tawazun system, trigger false alarms, and paralyze deployments in controlled wargame environments. The Unit operates as an internal red team: it thinks like the adversary, identifies structural weaknesses, and tests the robustness of every protocol before real-world exposure.</w:t>
      </w:r>
    </w:p>
    <w:p w14:paraId="5A609B07" w14:textId="77777777" w:rsidR="00FC09E2" w:rsidRDefault="00000000">
      <w:r>
        <w:rPr>
          <w:rFonts w:cs="Cambria"/>
          <w:szCs w:val="22"/>
        </w:rPr>
        <w:t>The Resilience Unit reports directly to the Director-General and publishes an annual System Hardening Report. The Report documents: all spoofing attempts conducted during the year; the specific vulnerabilities identified; the protocol modifications recommended; and the hardening measures implemented in response. The Report goes immediately to the Guarantor Matrix upon publication. The Guarantor Matrix has thirty days to certify that all critical vulnerabilities have been patched.</w:t>
      </w:r>
    </w:p>
    <w:p w14:paraId="47283CA6" w14:textId="77777777" w:rsidR="00FC09E2" w:rsidRDefault="00000000">
      <w:r>
        <w:rPr>
          <w:rFonts w:cs="Cambria"/>
          <w:szCs w:val="22"/>
        </w:rPr>
        <w:t>The Resilience Unit comprises personnel with backgrounds in intelligence analysis, systems penetration, game theory, and crisis simulation. Unit members rotate through operational departments to maintain current knowledge of deployed procedures. The Unit has no operational authority; it tests, it reports, and it recommends. Where the Guarantor Matrix fails to certify within thirty days that all critical vulnerabilities have been patched, Al-Tawazun automatically downgrades its own confidence levels for all Treaty Trigger Notices by one full level. High Confidence becomes Moderate. Moderate becomes Low. This downgrade persists until the Guarantor Matrix certifies the patch. This creates a powerful incentive for the great powers to force through fixes rather than letting their allied state benefit from an unpatched vulnerability.</w:t>
      </w:r>
    </w:p>
    <w:p w14:paraId="6DAB95BA" w14:textId="77777777" w:rsidR="00FC09E2" w:rsidRDefault="00000000">
      <w:pPr>
        <w:pStyle w:val="Heading2"/>
      </w:pPr>
      <w:bookmarkStart w:id="57" w:name="_Toc234334551"/>
      <w:r>
        <w:rPr>
          <w:rFonts w:cs="Cambria"/>
          <w:szCs w:val="28"/>
        </w:rPr>
        <w:t>4.9 Independent External Audit</w:t>
      </w:r>
      <w:bookmarkEnd w:id="57"/>
    </w:p>
    <w:p w14:paraId="6A9BF036" w14:textId="77777777" w:rsidR="00FC09E2" w:rsidRDefault="00000000">
      <w:r>
        <w:rPr>
          <w:rFonts w:cs="Cambria"/>
          <w:szCs w:val="22"/>
        </w:rPr>
        <w:t>Al-Tawazun commissions an independent external audit every three years. The audit panel comprises experts with no current or prior affiliation to Al-Tawazun, the Joint Commission, or any signatory state government. The panel evaluates: the accuracy and timeliness of Treaty Trigger Notices; the effectiveness of Preventer Team deployments; the adequacy of sovereignty safeguards; the independence of the Stabilization Branch from political influence; the transparency of funding and operations; and the overall contribution of Al-Tawazun to regional stability.</w:t>
      </w:r>
    </w:p>
    <w:p w14:paraId="7B5B3A54" w14:textId="77777777" w:rsidR="00FC09E2" w:rsidRDefault="00000000">
      <w:r>
        <w:rPr>
          <w:rFonts w:cs="Cambria"/>
          <w:szCs w:val="22"/>
        </w:rPr>
        <w:t>The audit panel publishes its findings. The Joint Commission considers the recommendations within ninety days and publishes its response. Where the audit identifies serious deficiencies, Al-Tawazun implements corrective measures under Board supervision. The three-year cycle ensures that Al-Tawazun does not begin believing its own metrics.</w:t>
      </w:r>
    </w:p>
    <w:p w14:paraId="75D9AC3D" w14:textId="77777777" w:rsidR="00FC09E2" w:rsidRDefault="00000000">
      <w:pPr>
        <w:pStyle w:val="Heading2"/>
      </w:pPr>
      <w:bookmarkStart w:id="58" w:name="_Toc234334552"/>
      <w:r>
        <w:rPr>
          <w:rFonts w:cs="Cambria"/>
          <w:szCs w:val="28"/>
        </w:rPr>
        <w:lastRenderedPageBreak/>
        <w:t>4.10 Institution Capture Protections</w:t>
      </w:r>
      <w:bookmarkEnd w:id="58"/>
    </w:p>
    <w:p w14:paraId="3AB18696" w14:textId="77777777" w:rsidR="00FC09E2" w:rsidRDefault="00000000">
      <w:r>
        <w:rPr>
          <w:rFonts w:cs="Cambria"/>
          <w:szCs w:val="22"/>
        </w:rPr>
        <w:t>Al-Tawazun explicitly guards against bureaucratic capture by regional blocs, patronage networks, or single-state influence. The following safeguards apply: no single signatory state provides more than twenty percent of Preventer Team personnel; no regional bloc controls more than forty percent of Central Directorate positions; the Director-General appoints all senior positions based on merit criteria published annually; and hiring decisions require confirmation by at least two Deputy Directors from different regional backgrounds.</w:t>
      </w:r>
    </w:p>
    <w:p w14:paraId="47850E05" w14:textId="77777777" w:rsidR="00FC09E2" w:rsidRDefault="00000000">
      <w:r>
        <w:rPr>
          <w:rFonts w:cs="Cambria"/>
          <w:szCs w:val="22"/>
        </w:rPr>
        <w:t>Where the Independent External Audit identifies patterns suggesting capture, the audit recommends specific corrective measures including personnel rotation, recruitment diversification, or structural reorganization. The Joint Commission reviews capture allegations within sixty days. Where capture is confirmed, Al-Tawazun implements the audit recommendations under Board supervision.</w:t>
      </w:r>
    </w:p>
    <w:p w14:paraId="5677B460" w14:textId="77777777" w:rsidR="00FC09E2" w:rsidRDefault="00000000">
      <w:pPr>
        <w:pStyle w:val="Heading1"/>
      </w:pPr>
      <w:bookmarkStart w:id="59" w:name="_TocArt5"/>
      <w:bookmarkStart w:id="60" w:name="_Toc234334553"/>
      <w:r>
        <w:rPr>
          <w:rFonts w:cs="Cambria"/>
          <w:szCs w:val="36"/>
        </w:rPr>
        <w:t>Article 5: Deployment Categories</w:t>
      </w:r>
      <w:bookmarkEnd w:id="59"/>
      <w:bookmarkEnd w:id="60"/>
    </w:p>
    <w:p w14:paraId="494FA98E" w14:textId="77777777" w:rsidR="00FC09E2" w:rsidRDefault="00000000">
      <w:r>
        <w:rPr>
          <w:rFonts w:cs="Cambria"/>
          <w:szCs w:val="22"/>
        </w:rPr>
        <w:t>The framework architecture defines four graduated Deployment Categories. Each category specifies the scope of Al-Tawazun engagement, the consent requirements, and the notification timeline. This graduated system addresses the fundamental vulnerability of any stabilization mechanism: the risk that a host state refuses access precisely when access matters most.</w:t>
      </w:r>
    </w:p>
    <w:p w14:paraId="10288EE5" w14:textId="77777777" w:rsidR="00FC09E2" w:rsidRDefault="00000000">
      <w:pPr>
        <w:pStyle w:val="Heading2"/>
      </w:pPr>
      <w:bookmarkStart w:id="61" w:name="_Toc234334554"/>
      <w:r>
        <w:rPr>
          <w:rFonts w:cs="Cambria"/>
          <w:szCs w:val="28"/>
        </w:rPr>
        <w:t>5.1 Category I: Standard Monitoring</w:t>
      </w:r>
      <w:bookmarkEnd w:id="61"/>
    </w:p>
    <w:p w14:paraId="7EFEA6A7" w14:textId="77777777" w:rsidR="00FC09E2" w:rsidRDefault="00000000">
      <w:r>
        <w:rPr>
          <w:rFonts w:cs="Cambria"/>
          <w:szCs w:val="22"/>
        </w:rPr>
        <w:t>Al-Tawazun personnel conduct standard monitoring activities in any signatory territory with seventy-two hours advance notice to the host state. Category I activities proceed without host-state concurrence.</w:t>
      </w:r>
    </w:p>
    <w:p w14:paraId="0A4C4F1B" w14:textId="77777777" w:rsidR="00FC09E2" w:rsidRDefault="00000000">
      <w:r>
        <w:rPr>
          <w:rFonts w:cs="Cambria"/>
          <w:szCs w:val="22"/>
        </w:rPr>
        <w:t>Category I activities proceed without host-state concurrence. These activities include: review of open-source data feeds; satellite imagery analysis through UNOSAT and commercial providers; remote monitoring of treaty-mandated data feeds; and review of publicly available government reports and official statements.</w:t>
      </w:r>
    </w:p>
    <w:p w14:paraId="2C836ACB" w14:textId="77777777" w:rsidR="00FC09E2" w:rsidRDefault="00000000">
      <w:pPr>
        <w:pStyle w:val="Heading2"/>
      </w:pPr>
      <w:bookmarkStart w:id="62" w:name="_Toc234334555"/>
      <w:r>
        <w:rPr>
          <w:rFonts w:cs="Cambria"/>
          <w:szCs w:val="28"/>
        </w:rPr>
        <w:t>5.2 Category II: Advisory Team</w:t>
      </w:r>
      <w:bookmarkEnd w:id="62"/>
    </w:p>
    <w:p w14:paraId="48A4B920" w14:textId="77777777" w:rsidR="00FC09E2" w:rsidRDefault="00000000">
      <w:r>
        <w:rPr>
          <w:rFonts w:cs="Cambria"/>
          <w:szCs w:val="22"/>
        </w:rPr>
        <w:t>Where indicators cross defined Alert thresholds, Al-Tawazun deploys an Advisory Team of up to five personnel to consult with host-state authorities. The host state receives forty-eight hours advance notice. Host-state concurrence is presumed unless the host state explicitly objects within that forty-eight-hour window.</w:t>
      </w:r>
    </w:p>
    <w:p w14:paraId="725ED01F" w14:textId="77777777" w:rsidR="00FC09E2" w:rsidRDefault="00000000">
      <w:r>
        <w:rPr>
          <w:rFonts w:cs="Cambria"/>
          <w:szCs w:val="22"/>
        </w:rPr>
        <w:t>Category II Advisory Teams do not inspect, investigate, or verify. They consult. They share technical assessments. They recommend de-escalation measures. They facilitate communication between the host state and other signatories.</w:t>
      </w:r>
    </w:p>
    <w:p w14:paraId="3A632AC0" w14:textId="77777777" w:rsidR="00FC09E2" w:rsidRDefault="00000000">
      <w:pPr>
        <w:pStyle w:val="Heading2"/>
      </w:pPr>
      <w:bookmarkStart w:id="63" w:name="_Toc234334556"/>
      <w:r>
        <w:rPr>
          <w:rFonts w:cs="Cambria"/>
          <w:szCs w:val="28"/>
        </w:rPr>
        <w:lastRenderedPageBreak/>
        <w:t>5.3 Category III: Joint Deployment</w:t>
      </w:r>
      <w:bookmarkEnd w:id="63"/>
    </w:p>
    <w:p w14:paraId="096BDA66" w14:textId="77777777" w:rsidR="00FC09E2" w:rsidRDefault="00000000">
      <w:r>
        <w:rPr>
          <w:rFonts w:cs="Cambria"/>
          <w:szCs w:val="22"/>
        </w:rPr>
        <w:t>Where a potential crisis is identified and the Deputy Director for Rapid Response determines that Category II engagement is insufficient, Al-Tawazun seeks host-state concurrence for deployment of a full Preventer Team under Category III.</w:t>
      </w:r>
    </w:p>
    <w:p w14:paraId="09A63BF2" w14:textId="77777777" w:rsidR="00FC09E2" w:rsidRDefault="00000000">
      <w:r>
        <w:rPr>
          <w:rFonts w:cs="Cambria"/>
          <w:szCs w:val="22"/>
        </w:rPr>
        <w:t>Category III deployments include host-state personnel as full participants. Al-Tawazun and the host state jointly staff the deployed team. All findings require joint signatures. Either party terminates the deployment on twenty-four hours notice.</w:t>
      </w:r>
    </w:p>
    <w:p w14:paraId="495671EE" w14:textId="77777777" w:rsidR="00FC09E2" w:rsidRDefault="00000000">
      <w:r>
        <w:rPr>
          <w:rFonts w:cs="Cambria"/>
          <w:szCs w:val="22"/>
        </w:rPr>
        <w:t>If the host state does not provide concurrence within seventy-two hours of the Category III request, the matter escalates automatically to the Guarantor Matrix and the Joint Commission.</w:t>
      </w:r>
    </w:p>
    <w:p w14:paraId="145D8816" w14:textId="77777777" w:rsidR="00FC09E2" w:rsidRDefault="00000000">
      <w:r>
        <w:rPr>
          <w:rFonts w:cs="Cambria"/>
          <w:szCs w:val="22"/>
        </w:rPr>
        <w:t>Consent Clock Stopper: The seventy-two-hour response window pauses immediately where the host state engages in deliberate delaying tactics. Delaying tactics include: changing negotiation teams mid-process; demanding new translators or interpreters after initial agreement on language modalities; raising new procedural objections unrelated to the substance of the deployment request; or refusing to designate a point of contact for coordination. The clock resumes only when the host state engages in good-faith negotiations. The Director-General determines whether a delaying tactic has occurred and documents the determination in writing.</w:t>
      </w:r>
    </w:p>
    <w:p w14:paraId="633A788D" w14:textId="77777777" w:rsidR="00FC09E2" w:rsidRDefault="00000000">
      <w:pPr>
        <w:pStyle w:val="Heading2"/>
      </w:pPr>
      <w:bookmarkStart w:id="64" w:name="_Toc234334557"/>
      <w:r>
        <w:rPr>
          <w:rFonts w:cs="Cambria"/>
          <w:szCs w:val="28"/>
        </w:rPr>
        <w:t>5.4 Category IV: Emergency Intervention</w:t>
      </w:r>
      <w:bookmarkEnd w:id="64"/>
    </w:p>
    <w:p w14:paraId="552F9AC7" w14:textId="77777777" w:rsidR="00FC09E2" w:rsidRDefault="00000000">
      <w:r>
        <w:rPr>
          <w:rFonts w:cs="Cambria"/>
          <w:szCs w:val="22"/>
        </w:rPr>
        <w:t>Where the Independent Scientific Advisory Board determines that a host state has unreasonably withheld Category III concurrence, the host state forfeits its right to object to Category IV deployment. The Board's determination is presumptively authoritative for procedural purposes. The Joint Commission overrides a Board determination only by supermajority (three-fourths vote) on explicit national security grounds documented in writing. The Troika authorizes Category IV by simple majority under Constructive Abstention. The host state and its immediate guarantor recuse themselves from the vote. The remaining Troika members decide by simple majority. Deployment proceeds where both conditions are met: the Troika votes by simple majority under Constructive Abstention, and the Guarantor Matrix concurs. This dual safeguard prevents Category IV from becoming a tool of any single bloc. The Guarantor Matrix has forty-eight hours to register concurrence or objection. Silence constitutes concurrence.</w:t>
      </w:r>
    </w:p>
    <w:p w14:paraId="1E51B12B" w14:textId="77777777" w:rsidR="00FC09E2" w:rsidRDefault="00000000">
      <w:r>
        <w:rPr>
          <w:rFonts w:cs="Cambria"/>
          <w:szCs w:val="22"/>
        </w:rPr>
        <w:t>Objective Criteria for Unreasonable Withholding: The framework architecture substitutes subjective political judgment with specific technical criteria. A host state unreasonably withholds Category III concurrence where any of the following conditions apply: the host state refuses to meet with Al-Tawazun liaison officers within twenty-four hours of the request; the host state fails to provide a credible security justification for denial within forty-eight hours; the host state imposes operational conditions that render deployment technically impossible; or the host state has previously accepted Category III under comparable circumstances without security justification. The Director-General documents which criteria apply before recommending Category IV authorization.</w:t>
      </w:r>
    </w:p>
    <w:p w14:paraId="3F066F2D" w14:textId="77777777" w:rsidR="00FC09E2" w:rsidRDefault="00000000">
      <w:r>
        <w:rPr>
          <w:rFonts w:cs="Cambria"/>
          <w:szCs w:val="22"/>
        </w:rPr>
        <w:lastRenderedPageBreak/>
        <w:t>Accelerated Joint Commission Vote: Where a host state withholds Category III concurrence and the Deputy Director for Rapid Response determines that crisis conditions warrant immediate action, the automatic escalation to the Joint Commission occurs immediately rather than after the full seventy-two-hour window. The Commission convenes an emergency session within twenty-four hours of the escalation notice. This accelerated timeline prevents the party acting in bad faith from exploiting the full seventy-two-hour window to execute a fait accompli before the Commission convenes.</w:t>
      </w:r>
    </w:p>
    <w:p w14:paraId="74E3DFCB" w14:textId="77777777" w:rsidR="00FC09E2" w:rsidRDefault="00000000">
      <w:r>
        <w:rPr>
          <w:rFonts w:cs="Cambria"/>
          <w:szCs w:val="22"/>
        </w:rPr>
        <w:t>Category IV deployments proceed under enhanced transparency protocols. All activities are live-streamed to the Joint Commission. All reports are published within forty-eight hours. The deployment terminates automatically after fourteen days unless the Joint Commission votes to extend.</w:t>
      </w:r>
    </w:p>
    <w:p w14:paraId="650D75C4" w14:textId="77777777" w:rsidR="00FC09E2" w:rsidRDefault="00000000">
      <w:pPr>
        <w:pStyle w:val="Heading2"/>
      </w:pPr>
      <w:bookmarkStart w:id="65" w:name="_Toc234334558"/>
      <w:r>
        <w:rPr>
          <w:rFonts w:cs="Cambria"/>
          <w:szCs w:val="28"/>
        </w:rPr>
        <w:t>5.5 Preventer Visit</w:t>
      </w:r>
      <w:bookmarkEnd w:id="65"/>
    </w:p>
    <w:p w14:paraId="506BC654" w14:textId="77777777" w:rsidR="00FC09E2" w:rsidRDefault="00000000">
      <w:r>
        <w:rPr>
          <w:rFonts w:cs="Cambria"/>
          <w:szCs w:val="22"/>
        </w:rPr>
        <w:t>Any signatory state requests a Preventer Visit at any time. A Preventer Visit is not an investigation, not a mission, and not a deployment. It is a two- or three-person team arriving to listen, gather facts, and facilitate communication. No Treaty Trigger Notice is required. No Joint Commission vote is required. No host-state concurrence is required beyond the initial request.</w:t>
      </w:r>
    </w:p>
    <w:p w14:paraId="51A47475" w14:textId="77777777" w:rsidR="00FC09E2" w:rsidRDefault="00000000">
      <w:r>
        <w:rPr>
          <w:rFonts w:cs="Cambria"/>
          <w:szCs w:val="22"/>
        </w:rPr>
        <w:t>The best Preventers spend most of their time on preventive engagement rather than crisis response. A Preventer Visit allows this preventive function to operate formally. The requesting state specifies the scope and duration. The Preventers produce a confidential report for the requesting state only. The report contains recommendations, not findings. The requesting state decides what to do with the recommendations.</w:t>
      </w:r>
    </w:p>
    <w:p w14:paraId="2D149495" w14:textId="77777777" w:rsidR="00FC09E2" w:rsidRDefault="00000000">
      <w:pPr>
        <w:pStyle w:val="Heading2"/>
      </w:pPr>
      <w:bookmarkStart w:id="66" w:name="_Toc234334559"/>
      <w:r>
        <w:rPr>
          <w:rFonts w:cs="Cambria"/>
          <w:szCs w:val="28"/>
        </w:rPr>
        <w:t>5.6 Emergency Technical Assistance</w:t>
      </w:r>
      <w:bookmarkEnd w:id="66"/>
    </w:p>
    <w:p w14:paraId="0994D713" w14:textId="77777777" w:rsidR="00FC09E2" w:rsidRDefault="00000000">
      <w:r>
        <w:rPr>
          <w:rFonts w:cs="Cambria"/>
          <w:szCs w:val="22"/>
        </w:rPr>
        <w:t>Sometimes a signatory state does not need mediation. It needs expertise. Al-Tawazun deploys technical specialists -- including engineers, infrastructure specialists, radiation experts, and environmental scientists -- upon request from any signatory state.</w:t>
      </w:r>
    </w:p>
    <w:p w14:paraId="2E0B9732" w14:textId="77777777" w:rsidR="00FC09E2" w:rsidRDefault="00000000">
      <w:r>
        <w:rPr>
          <w:rFonts w:cs="Cambria"/>
          <w:szCs w:val="22"/>
        </w:rPr>
        <w:t>Emergency Technical Assistance proceeds without invoking a crisis deployment category. It constitutes technical cooperation, not crisis intervention. The requesting state specifies the scope of assistance, the duration of deployment, and the modalities of access. Al-Tawazun provides the expertise; the requesting state retains full operational control.</w:t>
      </w:r>
    </w:p>
    <w:p w14:paraId="0DB421D9" w14:textId="77777777" w:rsidR="00FC09E2" w:rsidRDefault="00000000">
      <w:r>
        <w:rPr>
          <w:rFonts w:cs="Cambria"/>
          <w:szCs w:val="22"/>
        </w:rPr>
        <w:t>Emergency Technical Assistance is available for: post-conflict infrastructure assessment; environmental remediation; radiation safety evaluation; cyber infrastructure hardening; and humanitarian logistics coordination.</w:t>
      </w:r>
    </w:p>
    <w:p w14:paraId="52833CA6" w14:textId="77777777" w:rsidR="00FC09E2" w:rsidRDefault="00000000">
      <w:pPr>
        <w:pStyle w:val="Heading2"/>
      </w:pPr>
      <w:bookmarkStart w:id="67" w:name="_Toc234334560"/>
      <w:r>
        <w:rPr>
          <w:rFonts w:cs="Cambria"/>
          <w:szCs w:val="28"/>
        </w:rPr>
        <w:t>5.7 Deployment Summary Table</w:t>
      </w:r>
      <w:bookmarkEnd w:id="67"/>
    </w:p>
    <w:tbl>
      <w:tblPr>
        <w:tblW w:w="5000" w:type="pct"/>
        <w:tblInd w:w="10" w:type="dxa"/>
        <w:tblBorders>
          <w:top w:val="single" w:sz="12" w:space="0" w:color="1A2744"/>
          <w:left w:val="nil"/>
          <w:bottom w:val="single" w:sz="12" w:space="0" w:color="1A2744"/>
          <w:right w:val="nil"/>
          <w:insideH w:val="single" w:sz="4" w:space="0" w:color="C8C4B8"/>
          <w:insideV w:val="nil"/>
        </w:tblBorders>
        <w:tblCellMar>
          <w:left w:w="10" w:type="dxa"/>
          <w:right w:w="10" w:type="dxa"/>
        </w:tblCellMar>
        <w:tblLook w:val="0000" w:firstRow="0" w:lastRow="0" w:firstColumn="0" w:lastColumn="0" w:noHBand="0" w:noVBand="0"/>
      </w:tblPr>
      <w:tblGrid>
        <w:gridCol w:w="1408"/>
        <w:gridCol w:w="2613"/>
        <w:gridCol w:w="3015"/>
        <w:gridCol w:w="2010"/>
      </w:tblGrid>
      <w:tr w:rsidR="00FC09E2" w14:paraId="1DD1EFFA" w14:textId="77777777">
        <w:trPr>
          <w:tblHeader/>
        </w:trPr>
        <w:tc>
          <w:tcPr>
            <w:tcW w:w="1400" w:type="dxa"/>
            <w:shd w:val="clear" w:color="auto" w:fill="E8E5DD"/>
          </w:tcPr>
          <w:p w14:paraId="0FBA9CB3" w14:textId="77777777" w:rsidR="00FC09E2" w:rsidRDefault="00000000">
            <w:pPr>
              <w:spacing w:before="60" w:after="60"/>
              <w:jc w:val="left"/>
            </w:pPr>
            <w:r>
              <w:rPr>
                <w:rFonts w:cs="Cambria"/>
                <w:b/>
                <w:sz w:val="20"/>
                <w:szCs w:val="20"/>
              </w:rPr>
              <w:t>Category</w:t>
            </w:r>
          </w:p>
        </w:tc>
        <w:tc>
          <w:tcPr>
            <w:tcW w:w="2600" w:type="dxa"/>
            <w:shd w:val="clear" w:color="auto" w:fill="E8E5DD"/>
          </w:tcPr>
          <w:p w14:paraId="051A4431" w14:textId="77777777" w:rsidR="00FC09E2" w:rsidRDefault="00000000">
            <w:pPr>
              <w:spacing w:before="60" w:after="60"/>
              <w:jc w:val="left"/>
            </w:pPr>
            <w:r>
              <w:rPr>
                <w:rFonts w:cs="Cambria"/>
                <w:b/>
                <w:sz w:val="20"/>
                <w:szCs w:val="20"/>
              </w:rPr>
              <w:t>Description</w:t>
            </w:r>
          </w:p>
        </w:tc>
        <w:tc>
          <w:tcPr>
            <w:tcW w:w="3000" w:type="dxa"/>
            <w:shd w:val="clear" w:color="auto" w:fill="E8E5DD"/>
          </w:tcPr>
          <w:p w14:paraId="5BB6B203" w14:textId="77777777" w:rsidR="00FC09E2" w:rsidRDefault="00000000">
            <w:pPr>
              <w:spacing w:before="60" w:after="60"/>
              <w:jc w:val="left"/>
            </w:pPr>
            <w:r>
              <w:rPr>
                <w:rFonts w:cs="Cambria"/>
                <w:b/>
                <w:sz w:val="20"/>
                <w:szCs w:val="20"/>
              </w:rPr>
              <w:t>Deploy Authority</w:t>
            </w:r>
          </w:p>
        </w:tc>
        <w:tc>
          <w:tcPr>
            <w:tcW w:w="2000" w:type="dxa"/>
            <w:shd w:val="clear" w:color="auto" w:fill="E8E5DD"/>
          </w:tcPr>
          <w:p w14:paraId="0AD80F5C" w14:textId="77777777" w:rsidR="00FC09E2" w:rsidRDefault="00000000">
            <w:pPr>
              <w:spacing w:before="60" w:after="60"/>
              <w:jc w:val="left"/>
            </w:pPr>
            <w:r>
              <w:rPr>
                <w:rFonts w:cs="Cambria"/>
                <w:b/>
                <w:sz w:val="20"/>
                <w:szCs w:val="20"/>
              </w:rPr>
              <w:t>Notification</w:t>
            </w:r>
          </w:p>
        </w:tc>
      </w:tr>
      <w:tr w:rsidR="00FC09E2" w14:paraId="619E37D7" w14:textId="77777777">
        <w:tc>
          <w:tcPr>
            <w:tcW w:w="1400" w:type="dxa"/>
          </w:tcPr>
          <w:p w14:paraId="19EFFC1A" w14:textId="77777777" w:rsidR="00FC09E2" w:rsidRDefault="00000000">
            <w:pPr>
              <w:spacing w:before="60" w:after="60"/>
              <w:jc w:val="left"/>
            </w:pPr>
            <w:r>
              <w:rPr>
                <w:rFonts w:cs="Cambria"/>
                <w:sz w:val="20"/>
                <w:szCs w:val="20"/>
              </w:rPr>
              <w:t>I</w:t>
            </w:r>
          </w:p>
        </w:tc>
        <w:tc>
          <w:tcPr>
            <w:tcW w:w="2600" w:type="dxa"/>
          </w:tcPr>
          <w:p w14:paraId="26A7205A" w14:textId="77777777" w:rsidR="00FC09E2" w:rsidRDefault="00000000">
            <w:pPr>
              <w:spacing w:before="60" w:after="60"/>
              <w:jc w:val="left"/>
            </w:pPr>
            <w:r>
              <w:rPr>
                <w:rFonts w:cs="Cambria"/>
                <w:sz w:val="20"/>
                <w:szCs w:val="20"/>
              </w:rPr>
              <w:t>Standard monitoring</w:t>
            </w:r>
          </w:p>
        </w:tc>
        <w:tc>
          <w:tcPr>
            <w:tcW w:w="3000" w:type="dxa"/>
          </w:tcPr>
          <w:p w14:paraId="7490EB4B" w14:textId="77777777" w:rsidR="00FC09E2" w:rsidRDefault="00000000">
            <w:pPr>
              <w:spacing w:before="60" w:after="60"/>
              <w:jc w:val="left"/>
            </w:pPr>
            <w:r>
              <w:rPr>
                <w:rFonts w:cs="Cambria"/>
                <w:sz w:val="20"/>
                <w:szCs w:val="20"/>
              </w:rPr>
              <w:t>Automatic</w:t>
            </w:r>
          </w:p>
        </w:tc>
        <w:tc>
          <w:tcPr>
            <w:tcW w:w="2000" w:type="dxa"/>
          </w:tcPr>
          <w:p w14:paraId="769F8AD6" w14:textId="77777777" w:rsidR="00FC09E2" w:rsidRDefault="00000000">
            <w:pPr>
              <w:spacing w:before="60" w:after="60"/>
              <w:jc w:val="left"/>
            </w:pPr>
            <w:r>
              <w:rPr>
                <w:rFonts w:cs="Cambria"/>
                <w:sz w:val="20"/>
                <w:szCs w:val="20"/>
              </w:rPr>
              <w:t>72 hours</w:t>
            </w:r>
          </w:p>
        </w:tc>
      </w:tr>
      <w:tr w:rsidR="00FC09E2" w14:paraId="66DA328C" w14:textId="77777777">
        <w:tc>
          <w:tcPr>
            <w:tcW w:w="1400" w:type="dxa"/>
          </w:tcPr>
          <w:p w14:paraId="0DD115F0" w14:textId="77777777" w:rsidR="00FC09E2" w:rsidRDefault="00000000">
            <w:pPr>
              <w:spacing w:before="60" w:after="60"/>
              <w:jc w:val="left"/>
            </w:pPr>
            <w:r>
              <w:rPr>
                <w:rFonts w:cs="Cambria"/>
                <w:sz w:val="20"/>
                <w:szCs w:val="20"/>
              </w:rPr>
              <w:lastRenderedPageBreak/>
              <w:t>II</w:t>
            </w:r>
          </w:p>
        </w:tc>
        <w:tc>
          <w:tcPr>
            <w:tcW w:w="2600" w:type="dxa"/>
          </w:tcPr>
          <w:p w14:paraId="29436212" w14:textId="77777777" w:rsidR="00FC09E2" w:rsidRDefault="00000000">
            <w:pPr>
              <w:spacing w:before="60" w:after="60"/>
              <w:jc w:val="left"/>
            </w:pPr>
            <w:r>
              <w:rPr>
                <w:rFonts w:cs="Cambria"/>
                <w:sz w:val="20"/>
                <w:szCs w:val="20"/>
              </w:rPr>
              <w:t>Advisory team (up to 5)</w:t>
            </w:r>
          </w:p>
        </w:tc>
        <w:tc>
          <w:tcPr>
            <w:tcW w:w="3000" w:type="dxa"/>
          </w:tcPr>
          <w:p w14:paraId="191603C4" w14:textId="77777777" w:rsidR="00FC09E2" w:rsidRDefault="00000000">
            <w:pPr>
              <w:spacing w:before="60" w:after="60"/>
              <w:jc w:val="left"/>
            </w:pPr>
            <w:r>
              <w:rPr>
                <w:rFonts w:cs="Cambria"/>
                <w:sz w:val="20"/>
                <w:szCs w:val="20"/>
              </w:rPr>
              <w:t>Presumed consent</w:t>
            </w:r>
          </w:p>
        </w:tc>
        <w:tc>
          <w:tcPr>
            <w:tcW w:w="2000" w:type="dxa"/>
          </w:tcPr>
          <w:p w14:paraId="7C9B24A8" w14:textId="77777777" w:rsidR="00FC09E2" w:rsidRDefault="00000000">
            <w:pPr>
              <w:spacing w:before="60" w:after="60"/>
              <w:jc w:val="left"/>
            </w:pPr>
            <w:r>
              <w:rPr>
                <w:rFonts w:cs="Cambria"/>
                <w:sz w:val="20"/>
                <w:szCs w:val="20"/>
              </w:rPr>
              <w:t>48 hours</w:t>
            </w:r>
          </w:p>
        </w:tc>
      </w:tr>
      <w:tr w:rsidR="00FC09E2" w14:paraId="08700743" w14:textId="77777777">
        <w:tc>
          <w:tcPr>
            <w:tcW w:w="1400" w:type="dxa"/>
          </w:tcPr>
          <w:p w14:paraId="5BD205E4" w14:textId="77777777" w:rsidR="00FC09E2" w:rsidRDefault="00000000">
            <w:pPr>
              <w:spacing w:before="60" w:after="60"/>
              <w:jc w:val="left"/>
            </w:pPr>
            <w:r>
              <w:rPr>
                <w:rFonts w:cs="Cambria"/>
                <w:sz w:val="20"/>
                <w:szCs w:val="20"/>
              </w:rPr>
              <w:t>III</w:t>
            </w:r>
          </w:p>
        </w:tc>
        <w:tc>
          <w:tcPr>
            <w:tcW w:w="2600" w:type="dxa"/>
          </w:tcPr>
          <w:p w14:paraId="2338DE49" w14:textId="77777777" w:rsidR="00FC09E2" w:rsidRDefault="00000000">
            <w:pPr>
              <w:spacing w:before="60" w:after="60"/>
              <w:jc w:val="left"/>
            </w:pPr>
            <w:r>
              <w:rPr>
                <w:rFonts w:cs="Cambria"/>
                <w:sz w:val="20"/>
                <w:szCs w:val="20"/>
              </w:rPr>
              <w:t>Joint deployment</w:t>
            </w:r>
          </w:p>
        </w:tc>
        <w:tc>
          <w:tcPr>
            <w:tcW w:w="3000" w:type="dxa"/>
          </w:tcPr>
          <w:p w14:paraId="57B463EB" w14:textId="77777777" w:rsidR="00FC09E2" w:rsidRDefault="00000000">
            <w:pPr>
              <w:spacing w:before="60" w:after="60"/>
              <w:jc w:val="left"/>
            </w:pPr>
            <w:r>
              <w:rPr>
                <w:rFonts w:cs="Cambria"/>
                <w:sz w:val="20"/>
                <w:szCs w:val="20"/>
              </w:rPr>
              <w:t>Host-state concurrence</w:t>
            </w:r>
          </w:p>
        </w:tc>
        <w:tc>
          <w:tcPr>
            <w:tcW w:w="2000" w:type="dxa"/>
          </w:tcPr>
          <w:p w14:paraId="3E6A2090" w14:textId="77777777" w:rsidR="00FC09E2" w:rsidRDefault="00000000">
            <w:pPr>
              <w:spacing w:before="60" w:after="60"/>
              <w:jc w:val="left"/>
            </w:pPr>
            <w:r>
              <w:rPr>
                <w:rFonts w:cs="Cambria"/>
                <w:sz w:val="20"/>
                <w:szCs w:val="20"/>
              </w:rPr>
              <w:t>72 hours</w:t>
            </w:r>
          </w:p>
        </w:tc>
      </w:tr>
      <w:tr w:rsidR="00FC09E2" w14:paraId="783FA7B7" w14:textId="77777777">
        <w:tc>
          <w:tcPr>
            <w:tcW w:w="1400" w:type="dxa"/>
          </w:tcPr>
          <w:p w14:paraId="4CD34BBD" w14:textId="77777777" w:rsidR="00FC09E2" w:rsidRDefault="00000000">
            <w:pPr>
              <w:spacing w:before="60" w:after="60"/>
              <w:jc w:val="left"/>
            </w:pPr>
            <w:r>
              <w:rPr>
                <w:rFonts w:cs="Cambria"/>
                <w:sz w:val="20"/>
                <w:szCs w:val="20"/>
              </w:rPr>
              <w:t>IV</w:t>
            </w:r>
          </w:p>
        </w:tc>
        <w:tc>
          <w:tcPr>
            <w:tcW w:w="2600" w:type="dxa"/>
          </w:tcPr>
          <w:p w14:paraId="610D668D" w14:textId="77777777" w:rsidR="00FC09E2" w:rsidRDefault="00000000">
            <w:pPr>
              <w:spacing w:before="60" w:after="60"/>
              <w:jc w:val="left"/>
            </w:pPr>
            <w:r>
              <w:rPr>
                <w:rFonts w:cs="Cambria"/>
                <w:sz w:val="20"/>
                <w:szCs w:val="20"/>
              </w:rPr>
              <w:t>Emergency intervention</w:t>
            </w:r>
          </w:p>
        </w:tc>
        <w:tc>
          <w:tcPr>
            <w:tcW w:w="3000" w:type="dxa"/>
          </w:tcPr>
          <w:p w14:paraId="5A2427B5" w14:textId="77777777" w:rsidR="00FC09E2" w:rsidRDefault="00000000">
            <w:pPr>
              <w:spacing w:before="60" w:after="60"/>
              <w:jc w:val="left"/>
            </w:pPr>
            <w:r>
              <w:rPr>
                <w:rFonts w:cs="Cambria"/>
                <w:sz w:val="20"/>
                <w:szCs w:val="20"/>
              </w:rPr>
              <w:t>Joint Commission 2/3 vote</w:t>
            </w:r>
          </w:p>
        </w:tc>
        <w:tc>
          <w:tcPr>
            <w:tcW w:w="2000" w:type="dxa"/>
          </w:tcPr>
          <w:p w14:paraId="38142797" w14:textId="77777777" w:rsidR="00FC09E2" w:rsidRDefault="00000000">
            <w:pPr>
              <w:spacing w:before="60" w:after="60"/>
              <w:jc w:val="left"/>
            </w:pPr>
            <w:r>
              <w:rPr>
                <w:rFonts w:cs="Cambria"/>
                <w:sz w:val="20"/>
                <w:szCs w:val="20"/>
              </w:rPr>
              <w:t>96 hours</w:t>
            </w:r>
          </w:p>
        </w:tc>
      </w:tr>
    </w:tbl>
    <w:p w14:paraId="3D120BD8" w14:textId="77777777" w:rsidR="00FC09E2" w:rsidRDefault="00000000">
      <w:pPr>
        <w:pStyle w:val="Heading2"/>
      </w:pPr>
      <w:bookmarkStart w:id="68" w:name="_Toc234334561"/>
      <w:r>
        <w:rPr>
          <w:rFonts w:cs="Cambria"/>
          <w:szCs w:val="28"/>
        </w:rPr>
        <w:t>5.8 Provisional Category III+: Monitoring-Only Deployment</w:t>
      </w:r>
      <w:bookmarkEnd w:id="68"/>
    </w:p>
    <w:p w14:paraId="785D3AC0" w14:textId="77777777" w:rsidR="00FC09E2" w:rsidRDefault="00000000">
      <w:r>
        <w:rPr>
          <w:rFonts w:cs="Cambria"/>
          <w:szCs w:val="22"/>
        </w:rPr>
        <w:t>Where a host state denies Category III concurrence, Al-Tawazun possesses the authority to deploy a Monitoring-Only team to maintain situational awareness and protect evidence. This deployment does not carry intervention authority. The team observes, records, and reports. It does not mediate, verify, or recommend de-escalation steps to the parties.</w:t>
      </w:r>
    </w:p>
    <w:p w14:paraId="2BA3DD6C" w14:textId="77777777" w:rsidR="00FC09E2" w:rsidRDefault="00000000">
      <w:r>
        <w:rPr>
          <w:rFonts w:cs="Cambria"/>
          <w:szCs w:val="22"/>
        </w:rPr>
        <w:t>The Provisional Category III+ deployment proceeds without host-state concurrence. It constitutes an extension of Category I monitoring rights into the crisis zone. The team operates from positions that do not require host-state authorization, including: border observation posts in neighboring signatory states; offshore maritime monitoring platforms; and satellite or aerial observation corridors. The team publishes all observations within twenty-four hours to the Joint Commission and the Guarantor Matrix.</w:t>
      </w:r>
    </w:p>
    <w:p w14:paraId="487253DF" w14:textId="77777777" w:rsidR="00FC09E2" w:rsidRDefault="00000000">
      <w:r>
        <w:rPr>
          <w:rFonts w:cs="Cambria"/>
          <w:szCs w:val="22"/>
        </w:rPr>
        <w:t>Where the host state subsequently grants Category III concurrence, the Monitoring-Only team transitions immediately to full Preventer Team status. Where the Joint Commission authorizes Category IV, the team provides real-time situational awareness to support the emergency intervention.</w:t>
      </w:r>
    </w:p>
    <w:p w14:paraId="65087178" w14:textId="77777777" w:rsidR="00FC09E2" w:rsidRDefault="00000000">
      <w:pPr>
        <w:pStyle w:val="Heading2"/>
      </w:pPr>
      <w:bookmarkStart w:id="69" w:name="_Toc234334562"/>
      <w:r>
        <w:rPr>
          <w:rFonts w:cs="Cambria"/>
          <w:szCs w:val="28"/>
        </w:rPr>
        <w:t>5.9 Good Faith Assessment</w:t>
      </w:r>
      <w:bookmarkEnd w:id="69"/>
    </w:p>
    <w:p w14:paraId="0FF5F22C" w14:textId="77777777" w:rsidR="00FC09E2" w:rsidRDefault="00000000">
      <w:r>
        <w:rPr>
          <w:rFonts w:cs="Cambria"/>
          <w:szCs w:val="22"/>
        </w:rPr>
        <w:t>Where a host state denies Category III concurrence, the Independent Scientific Advisory Board issues a binding technical determination on whether the denial is objectively reasonable. The Board reviews: the host state's stated justification for denial; the operational conditions the host state has imposed; comparable deployments the host state has previously accepted or rejected; and the temporal relationship between the denial and observable military or political developments. The Board's determination is binding for procedural purposes. Where the Board rules the denial objectively unreasonable, the host state forfeits its right to object to Category IV deployment.</w:t>
      </w:r>
    </w:p>
    <w:p w14:paraId="695832D6" w14:textId="77777777" w:rsidR="00FC09E2" w:rsidRDefault="00000000">
      <w:r>
        <w:rPr>
          <w:rFonts w:cs="Cambria"/>
          <w:szCs w:val="22"/>
        </w:rPr>
        <w:t>The Board publishes its technical determination within forty-eight hours of the denial. The determination overrides the host state's procedural right to block Category IV deployment. Where the Board rules the denial unreasonable, the matter proceeds directly to the Troika for Category IV authorization. The Troika votes under Constructive Abstention. The Joint Commission receives the Board's determination for its assessment of whether the denial constitutes a Step-Back event under Annex ES.</w:t>
      </w:r>
    </w:p>
    <w:p w14:paraId="77A32610" w14:textId="77777777" w:rsidR="00FC09E2" w:rsidRDefault="00000000">
      <w:pPr>
        <w:pStyle w:val="Heading1"/>
      </w:pPr>
      <w:bookmarkStart w:id="70" w:name="_TocArt6"/>
      <w:bookmarkStart w:id="71" w:name="_Toc234334563"/>
      <w:r>
        <w:rPr>
          <w:rFonts w:cs="Cambria"/>
          <w:szCs w:val="36"/>
        </w:rPr>
        <w:lastRenderedPageBreak/>
        <w:t>Article 6: Treaty Trigger Notices</w:t>
      </w:r>
      <w:bookmarkEnd w:id="70"/>
      <w:bookmarkEnd w:id="71"/>
    </w:p>
    <w:p w14:paraId="48F82A59" w14:textId="77777777" w:rsidR="00FC09E2" w:rsidRDefault="00000000">
      <w:r>
        <w:rPr>
          <w:rFonts w:cs="Cambria"/>
          <w:szCs w:val="22"/>
        </w:rPr>
        <w:t>Al-Tawazun does not issue orders. It certifies conditions. The Treaty Trigger Notice system replaces the concept of "binding cooling-off alerts" with a legally cleaner mechanism: Al-Tawazun certifies that a treaty-defined trigger has occurred, and the treaty itself imposes the associated stabilization obligations.</w:t>
      </w:r>
    </w:p>
    <w:p w14:paraId="737D7FF4" w14:textId="77777777" w:rsidR="00FC09E2" w:rsidRDefault="00000000">
      <w:pPr>
        <w:pStyle w:val="Heading2"/>
      </w:pPr>
      <w:bookmarkStart w:id="72" w:name="_Toc234334564"/>
      <w:r>
        <w:rPr>
          <w:rFonts w:cs="Cambria"/>
          <w:szCs w:val="28"/>
        </w:rPr>
        <w:t>6.1 The Trigger Matrix</w:t>
      </w:r>
      <w:bookmarkEnd w:id="72"/>
    </w:p>
    <w:p w14:paraId="30A2BBDD" w14:textId="77777777" w:rsidR="00FC09E2" w:rsidRDefault="00000000">
      <w:r>
        <w:rPr>
          <w:rFonts w:cs="Cambria"/>
          <w:szCs w:val="22"/>
        </w:rPr>
        <w:t>Al-Tawazun maintains a comprehensive Trigger Matrix specifying the indicators, thresholds, confidence levels, expiration timelines, and associated obligations for each category of Treaty Trigger Notice.</w:t>
      </w:r>
    </w:p>
    <w:p w14:paraId="6E0DC973" w14:textId="77777777" w:rsidR="00FC09E2" w:rsidRDefault="00000000">
      <w:r>
        <w:rPr>
          <w:rFonts w:cs="Cambria"/>
          <w:szCs w:val="22"/>
        </w:rPr>
        <w:t>The Trigger Matrix contains the following categories of triggers:</w:t>
      </w:r>
    </w:p>
    <w:p w14:paraId="21F63B83" w14:textId="77777777" w:rsidR="00FC09E2" w:rsidRDefault="00000000">
      <w:r>
        <w:rPr>
          <w:rFonts w:cs="Cambria"/>
          <w:szCs w:val="22"/>
        </w:rPr>
        <w:t>Preliminary Observation: The lowest tier of Al-Tawazun concern. A Preliminary Observation carries no treaty obligations, triggers no votes, activates no formal protocols, and carries no compliance implications. It states that several indicators suggest a developing risk requiring monitoring. The Director-General recommends attention. Preliminary Observations are internal documents circulated only to the Guarantor Matrix and relevant Senior Preventers. They exist because most crises are easier to stop at the observation phase than at Amber.</w:t>
      </w:r>
    </w:p>
    <w:p w14:paraId="7E55D871" w14:textId="77777777" w:rsidR="00FC09E2" w:rsidRDefault="00000000">
      <w:r>
        <w:rPr>
          <w:rFonts w:cs="Cambria"/>
          <w:szCs w:val="22"/>
        </w:rPr>
        <w:t>Amber Trigger: Early-warning indicators show elevated concern. Associated obligations include: enhanced monitoring; forty-eight-hour report to the Joint Commission; and preliminary assessment of escalation risk.</w:t>
      </w:r>
    </w:p>
    <w:p w14:paraId="3E5D6EAC" w14:textId="77777777" w:rsidR="00FC09E2" w:rsidRDefault="00000000">
      <w:r>
        <w:rPr>
          <w:rFonts w:cs="Cambria"/>
          <w:szCs w:val="22"/>
        </w:rPr>
        <w:t>Orange Trigger: Indicators cross the defined threshold for significant concern. Associated obligations include: mandatory Joint Commission convening within forty-eight hours; activation of established hotlines between signatory capitals; and deployment of a Category II Advisory Team.</w:t>
      </w:r>
    </w:p>
    <w:p w14:paraId="216B8DA2" w14:textId="77777777" w:rsidR="00FC09E2" w:rsidRDefault="00000000">
      <w:r>
        <w:rPr>
          <w:rFonts w:cs="Cambria"/>
          <w:szCs w:val="22"/>
        </w:rPr>
        <w:t>Red Trigger: Indicators cross the threshold for imminent crisis. Associated obligations include: seventy-two-hour freeze on specified military movements; emergency Joint Commission session within twenty-four hours; deployment of a Category III Preventer Team; and activation of all Crisis Anchors under the MENOC Charter.</w:t>
      </w:r>
    </w:p>
    <w:p w14:paraId="36254ED4" w14:textId="77777777" w:rsidR="00FC09E2" w:rsidRDefault="00000000">
      <w:r>
        <w:rPr>
          <w:rFonts w:cs="Cambria"/>
          <w:szCs w:val="22"/>
        </w:rPr>
        <w:t>Strategic Ambiguity Reserve: In addition to the published triggers above, the Trigger Matrix maintains a small set of classified indicators known only to the Director-General and the Guarantor Matrix. These unpublished triggers activate the same obligations as the public triggers but remain concealed to prevent adversaries from calibrating destabilizing activities to remain just below disclosed thresholds. The Joint Commission reviews the composition and calibration of the Strategic Ambiguity Reserve annually.</w:t>
      </w:r>
    </w:p>
    <w:p w14:paraId="504DDFB9" w14:textId="77777777" w:rsidR="00FC09E2" w:rsidRDefault="00000000">
      <w:pPr>
        <w:pStyle w:val="Heading2"/>
      </w:pPr>
      <w:bookmarkStart w:id="73" w:name="_Toc234334565"/>
      <w:r>
        <w:rPr>
          <w:rFonts w:cs="Cambria"/>
          <w:szCs w:val="28"/>
        </w:rPr>
        <w:lastRenderedPageBreak/>
        <w:t>6.2 Issuance Procedure</w:t>
      </w:r>
      <w:bookmarkEnd w:id="73"/>
    </w:p>
    <w:p w14:paraId="568CABB3" w14:textId="77777777" w:rsidR="00FC09E2" w:rsidRDefault="00000000">
      <w:r>
        <w:rPr>
          <w:rFonts w:cs="Cambria"/>
          <w:szCs w:val="22"/>
        </w:rPr>
        <w:t>The Deputy Director for Early Warning reviews indicator data continuously. Where the data suggests that a threshold has crossed or crosses within forty-eight hours, the Deputy Director convenes an internal Technical Assessment Panel.</w:t>
      </w:r>
    </w:p>
    <w:p w14:paraId="6DA3D6A7" w14:textId="77777777" w:rsidR="00FC09E2" w:rsidRDefault="00000000">
      <w:r>
        <w:rPr>
          <w:rFonts w:cs="Cambria"/>
          <w:szCs w:val="22"/>
        </w:rPr>
        <w:t>The Technical Assessment Panel comprises at least three senior analysts from different Regional Nodes. The Panel reviews the data, assesses the confidence level of the crossing, and votes on whether to recommend issuance of a Treaty Trigger Notice.</w:t>
      </w:r>
    </w:p>
    <w:p w14:paraId="416EC2B3" w14:textId="77777777" w:rsidR="00FC09E2" w:rsidRDefault="00000000">
      <w:r>
        <w:rPr>
          <w:rFonts w:cs="Cambria"/>
          <w:szCs w:val="22"/>
        </w:rPr>
        <w:t>The Technical Assessment Panel recommends issuance only upon reaching a two-thirds majority. The Director-General reviews the recommendation and either approves issuance or returns the matter to the Panel with written questions.</w:t>
      </w:r>
    </w:p>
    <w:p w14:paraId="51301495" w14:textId="77777777" w:rsidR="00FC09E2" w:rsidRDefault="00000000">
      <w:r>
        <w:rPr>
          <w:rFonts w:cs="Cambria"/>
          <w:szCs w:val="22"/>
        </w:rPr>
        <w:t>Upon Director-General approval, Al-Tawazun issues the Treaty Trigger Notice simultaneously to all signatory states, the Joint Commission, and the Guarantor Matrix.</w:t>
      </w:r>
    </w:p>
    <w:p w14:paraId="3C9283E0" w14:textId="77777777" w:rsidR="00FC09E2" w:rsidRDefault="00000000">
      <w:pPr>
        <w:pStyle w:val="Heading2"/>
      </w:pPr>
      <w:bookmarkStart w:id="74" w:name="_Toc234334566"/>
      <w:r>
        <w:rPr>
          <w:rFonts w:cs="Cambria"/>
          <w:szCs w:val="28"/>
        </w:rPr>
        <w:t>6.3 Automatic Obligations</w:t>
      </w:r>
      <w:bookmarkEnd w:id="74"/>
    </w:p>
    <w:p w14:paraId="5BDA09DB" w14:textId="77777777" w:rsidR="00FC09E2" w:rsidRDefault="00000000">
      <w:r>
        <w:rPr>
          <w:rFonts w:cs="Cambria"/>
          <w:szCs w:val="22"/>
        </w:rPr>
        <w:t>Upon issuance of a Treaty Trigger Notice, the obligations specified in the Trigger Matrix for that trigger level activate automatically. Al-Tawazun does not impose these obligations. The treaty imposes them. Al-Tawazun merely certifies that the conditions for activation have materialized.</w:t>
      </w:r>
    </w:p>
    <w:p w14:paraId="56B8FC76" w14:textId="77777777" w:rsidR="00FC09E2" w:rsidRDefault="00000000">
      <w:pPr>
        <w:pStyle w:val="Heading2"/>
      </w:pPr>
      <w:bookmarkStart w:id="75" w:name="_Toc234334567"/>
      <w:r>
        <w:rPr>
          <w:rFonts w:cs="Cambria"/>
          <w:szCs w:val="28"/>
        </w:rPr>
        <w:t>6.4 Public versus Private Notices</w:t>
      </w:r>
      <w:bookmarkEnd w:id="75"/>
    </w:p>
    <w:p w14:paraId="11BA15E9" w14:textId="77777777" w:rsidR="00FC09E2" w:rsidRDefault="00000000">
      <w:r>
        <w:rPr>
          <w:rFonts w:cs="Cambria"/>
          <w:szCs w:val="22"/>
        </w:rPr>
        <w:t>Treaty Trigger Notices are private by default. They circulate only to signatory states, the Joint Commission, and the Guarantor Matrix. Public issuance requires consensus of the Joint Commission. All communications between Al-Tawazun and a host state regarding Treaty Trigger Notices fall under the Confidentiality Shield. No disclosure occurs to any other state or the public without explicit host-state authorization.</w:t>
      </w:r>
    </w:p>
    <w:p w14:paraId="2AE7335C" w14:textId="77777777" w:rsidR="00FC09E2" w:rsidRDefault="00000000">
      <w:r>
        <w:rPr>
          <w:rFonts w:cs="Cambria"/>
          <w:szCs w:val="22"/>
        </w:rPr>
        <w:t>The default privacy of Treaty Trigger Notices protects the political space necessary for de-escalation. Public notices are rare and require that all signatories agree that transparency serves the de-escalation objective.</w:t>
      </w:r>
    </w:p>
    <w:p w14:paraId="02AA0E3E" w14:textId="77777777" w:rsidR="00FC09E2" w:rsidRDefault="00000000">
      <w:pPr>
        <w:pStyle w:val="Heading2"/>
      </w:pPr>
      <w:bookmarkStart w:id="76" w:name="_Toc234334568"/>
      <w:r>
        <w:rPr>
          <w:rFonts w:cs="Cambria"/>
          <w:szCs w:val="28"/>
        </w:rPr>
        <w:t>6.5 Annual Trigger Matrix Review</w:t>
      </w:r>
      <w:bookmarkEnd w:id="76"/>
    </w:p>
    <w:p w14:paraId="50F10E61" w14:textId="77777777" w:rsidR="00FC09E2" w:rsidRDefault="00000000">
      <w:r>
        <w:rPr>
          <w:rFonts w:cs="Cambria"/>
          <w:szCs w:val="22"/>
        </w:rPr>
        <w:t>The Joint Commission reviews the Trigger Matrix annually. The review considers: the accuracy of thresholds based on operational experience; recommendations from the Lessons Learned Database; technological advances in monitoring capabilities; and changes in the regional security environment.</w:t>
      </w:r>
    </w:p>
    <w:p w14:paraId="4AC17F60" w14:textId="77777777" w:rsidR="00FC09E2" w:rsidRDefault="00000000">
      <w:pPr>
        <w:pStyle w:val="Heading2"/>
      </w:pPr>
      <w:bookmarkStart w:id="77" w:name="_Toc234334569"/>
      <w:r>
        <w:rPr>
          <w:rFonts w:cs="Cambria"/>
          <w:szCs w:val="28"/>
        </w:rPr>
        <w:t>6.6 Confidence Levels</w:t>
      </w:r>
      <w:bookmarkEnd w:id="77"/>
    </w:p>
    <w:p w14:paraId="7C405213" w14:textId="77777777" w:rsidR="00FC09E2" w:rsidRDefault="00000000">
      <w:r>
        <w:rPr>
          <w:rFonts w:cs="Cambria"/>
          <w:szCs w:val="22"/>
        </w:rPr>
        <w:t>Every Treaty Trigger Notice includes a confidence level indicating the degree of certainty in the underlying assessment:</w:t>
      </w:r>
    </w:p>
    <w:p w14:paraId="4A9998B0" w14:textId="77777777" w:rsidR="00FC09E2" w:rsidRDefault="00000000">
      <w:r>
        <w:rPr>
          <w:rFonts w:cs="Cambria"/>
          <w:szCs w:val="22"/>
        </w:rPr>
        <w:lastRenderedPageBreak/>
        <w:t>High Confidence: Multiple independent indicators confirm the crossing. The Technical Assessment Panel reaches unanimous or near-unanimous agreement. The confidence level is High.</w:t>
      </w:r>
    </w:p>
    <w:p w14:paraId="01838676" w14:textId="77777777" w:rsidR="00FC09E2" w:rsidRDefault="00000000">
      <w:r>
        <w:rPr>
          <w:rFonts w:cs="Cambria"/>
          <w:szCs w:val="22"/>
        </w:rPr>
        <w:t>Moderate Confidence: Some indicators confirm the crossing; others remain ambiguous. The Technical Assessment Panel reaches the required two-thirds majority but with dissenting views. The confidence level is Moderate.</w:t>
      </w:r>
    </w:p>
    <w:p w14:paraId="2DCA0D46" w14:textId="77777777" w:rsidR="00FC09E2" w:rsidRDefault="00000000">
      <w:r>
        <w:rPr>
          <w:rFonts w:cs="Cambria"/>
          <w:szCs w:val="22"/>
        </w:rPr>
        <w:t>Low Confidence: Indicators suggest a potential crossing but remain insufficient for definitive certification. The Technical Assessment Panel issues a preliminary advisory rather than a formal Treaty Trigger Notice. The advisory triggers enhanced monitoring but does not activate Cooling-Off Protocols.</w:t>
      </w:r>
    </w:p>
    <w:p w14:paraId="3B6BF6F2" w14:textId="77777777" w:rsidR="00FC09E2" w:rsidRDefault="00000000">
      <w:r>
        <w:rPr>
          <w:rFonts w:cs="Cambria"/>
          <w:szCs w:val="22"/>
        </w:rPr>
        <w:t>The confidence level determines the intensity of the response: High Confidence triggers full protocol activation; Moderate Confidence triggers partial activation with enhanced review; Low Confidence triggers advisory status with increased monitoring frequency.</w:t>
      </w:r>
    </w:p>
    <w:p w14:paraId="37ED6FF4" w14:textId="77777777" w:rsidR="00FC09E2" w:rsidRDefault="00000000">
      <w:r>
        <w:rPr>
          <w:rFonts w:cs="Cambria"/>
          <w:szCs w:val="22"/>
        </w:rPr>
        <w:t>Human-in-the-Loop Review: A downgrade of a High Confidence trigger to Moderate Confidence based solely on ambiguous new data requires review by a three-person panel drawn from different Regional Nodes. No single analyst downgrades a High Confidence assessment without this cross-regional verification. This panel reviews the ambiguous data, re-evaluates the original indicators, and either affirms the downgrade or returns the assessment to High Confidence with written justification.</w:t>
      </w:r>
    </w:p>
    <w:p w14:paraId="2AECB11E" w14:textId="77777777" w:rsidR="00FC09E2" w:rsidRDefault="00000000">
      <w:pPr>
        <w:pStyle w:val="Heading2"/>
      </w:pPr>
      <w:bookmarkStart w:id="78" w:name="_Toc234334570"/>
      <w:r>
        <w:rPr>
          <w:rFonts w:cs="Cambria"/>
          <w:szCs w:val="28"/>
        </w:rPr>
        <w:t>6.7 Trigger Expiration and Review</w:t>
      </w:r>
      <w:bookmarkEnd w:id="78"/>
    </w:p>
    <w:p w14:paraId="55539EB1" w14:textId="77777777" w:rsidR="00FC09E2" w:rsidRDefault="00000000">
      <w:r>
        <w:rPr>
          <w:rFonts w:cs="Cambria"/>
          <w:szCs w:val="22"/>
        </w:rPr>
        <w:t>A Treaty Trigger Notice does not exist indefinitely. Every Notice carries an automatic expiration and review schedule:</w:t>
      </w:r>
    </w:p>
    <w:p w14:paraId="03FBE17E" w14:textId="77777777" w:rsidR="00FC09E2" w:rsidRDefault="00000000">
      <w:r>
        <w:rPr>
          <w:rFonts w:cs="Cambria"/>
          <w:szCs w:val="22"/>
        </w:rPr>
        <w:t>Thirty-Day Review: Al-Tawazun reviews the underlying indicators at thirty days. Where the indicators have returned below threshold, the Notice expires automatically. Where the indicators remain elevated, the Notice renews for a further thirty days with an updated confidence level.</w:t>
      </w:r>
    </w:p>
    <w:p w14:paraId="7106558B" w14:textId="77777777" w:rsidR="00FC09E2" w:rsidRDefault="00000000">
      <w:r>
        <w:rPr>
          <w:rFonts w:cs="Cambria"/>
          <w:szCs w:val="22"/>
        </w:rPr>
        <w:t>Sixty-Day Review: Where a Notice remains active at sixty days, the Technical Assessment Panel conducts a comprehensive reassessment. The Panel evaluates whether the original threshold crossing has evolved, whether new indicators have emerged, and whether the confidence level requires adjustment.</w:t>
      </w:r>
    </w:p>
    <w:p w14:paraId="1B0CAD3C" w14:textId="77777777" w:rsidR="00FC09E2" w:rsidRDefault="00000000">
      <w:r>
        <w:rPr>
          <w:rFonts w:cs="Cambria"/>
          <w:szCs w:val="22"/>
        </w:rPr>
        <w:t>Ninety-Day Review: Where a Notice remains active at ninety days, the matter escalates automatically to the Joint Commission for political review. The Joint Commission determines whether the ongoing trigger indicates a structural problem requiring treaty modification, a temporary anomaly, or a material breach.</w:t>
      </w:r>
    </w:p>
    <w:p w14:paraId="505E9476" w14:textId="77777777" w:rsidR="00FC09E2" w:rsidRDefault="00000000">
      <w:r>
        <w:rPr>
          <w:rFonts w:cs="Cambria"/>
          <w:szCs w:val="22"/>
        </w:rPr>
        <w:t xml:space="preserve">Retroactive Reckoning Window: During a declared crisis, the Joint Commission reviews the preceding ninety days and re-classifies previously ambiguous incidents as part of a coordinated pattern where the totality of evidence supports such a determination. An incident that expired below threshold or received an advisory classification does not immunize the state from </w:t>
      </w:r>
      <w:r>
        <w:rPr>
          <w:rFonts w:cs="Cambria"/>
          <w:szCs w:val="22"/>
        </w:rPr>
        <w:lastRenderedPageBreak/>
        <w:t>pattern-based assessment. The Commission documents the basis for each re-classification and incorporates the re-classified incidents into the Behavioral Alert record where applicable.</w:t>
      </w:r>
    </w:p>
    <w:p w14:paraId="57725F83" w14:textId="77777777" w:rsidR="00FC09E2" w:rsidRDefault="00000000">
      <w:r>
        <w:rPr>
          <w:rFonts w:cs="Cambria"/>
          <w:szCs w:val="22"/>
        </w:rPr>
        <w:t>The automatic expiration schedule keeps the dashboard current. It prevents stale triggers from accumulating and distorting the situational picture. It ensures that every active trigger reflects current conditions, not historical assessments.</w:t>
      </w:r>
    </w:p>
    <w:p w14:paraId="59C70CF7" w14:textId="77777777" w:rsidR="00FC09E2" w:rsidRDefault="00000000">
      <w:pPr>
        <w:pStyle w:val="Heading2"/>
      </w:pPr>
      <w:bookmarkStart w:id="79" w:name="_Toc234334571"/>
      <w:r>
        <w:rPr>
          <w:rFonts w:cs="Cambria"/>
          <w:szCs w:val="28"/>
        </w:rPr>
        <w:t>6.8 Pattern-of-Behavior Clause</w:t>
      </w:r>
      <w:bookmarkEnd w:id="79"/>
    </w:p>
    <w:p w14:paraId="44493A8B" w14:textId="77777777" w:rsidR="00FC09E2" w:rsidRDefault="00000000">
      <w:r>
        <w:rPr>
          <w:rFonts w:cs="Cambria"/>
          <w:szCs w:val="22"/>
        </w:rPr>
        <w:t>The Trigger Matrix operates on discrete numerical thresholds. An adversary aware of these thresholds engages in destabilizing activities while deliberately remaining below each individual threshold. This tactic exploits the transparency of the matrix and circumvents the early-warning function.</w:t>
      </w:r>
    </w:p>
    <w:p w14:paraId="4857C608" w14:textId="77777777" w:rsidR="00FC09E2" w:rsidRDefault="00000000">
      <w:r>
        <w:rPr>
          <w:rFonts w:cs="Cambria"/>
          <w:szCs w:val="22"/>
        </w:rPr>
        <w:t>Independent Attribution Requirement: Any act classified as a destabilizing activity under this clause requires independent corroboration by at least one non-signatory technical body before the Director-General issues a Behavioral Alert. Acceptable corroborating bodies include the IAEA, UNOSAT, the International Atomic Energy Agency's satellite imagery unit, or another internationally recognized technical organization agreed upon by the Joint Commission. The Director-General documents the corroborating body, the date of corroboration, and the nature of the independent finding before proceeding with the Alert.</w:t>
      </w:r>
    </w:p>
    <w:p w14:paraId="6A54EB15" w14:textId="77777777" w:rsidR="00FC09E2" w:rsidRDefault="00000000">
      <w:r>
        <w:rPr>
          <w:rFonts w:cs="Cambria"/>
          <w:szCs w:val="22"/>
        </w:rPr>
        <w:t>Where a state engages in three distinct low-level destabilizing acts within any rolling thirty-day period, the Director-General issues a Behavioral Alert. The Behavioral Alert is not a Treaty Trigger Notice. It does not activate Cooling-Off Protocols and it does not impose the obligations of the Trigger Matrix.</w:t>
      </w:r>
    </w:p>
    <w:p w14:paraId="56CB7E16" w14:textId="77777777" w:rsidR="00FC09E2" w:rsidRDefault="00000000">
      <w:r>
        <w:rPr>
          <w:rFonts w:cs="Cambria"/>
          <w:szCs w:val="22"/>
        </w:rPr>
        <w:t>The Behavioral Alert certifies that a pattern of low-level destabilization has occurred. This certification convenes an emergency Joint Commission session within forty-eight hours. The Joint Commission reviews the pattern, considers the totality of the circumstances, and determines the appropriate political response.</w:t>
      </w:r>
    </w:p>
    <w:p w14:paraId="57B0FCB0" w14:textId="77777777" w:rsidR="00FC09E2" w:rsidRDefault="00000000">
      <w:r>
        <w:rPr>
          <w:rFonts w:cs="Cambria"/>
          <w:szCs w:val="22"/>
        </w:rPr>
        <w:t>The three acts need not cross any single threshold in the Trigger Matrix. They need only constitute distinct destabilizing activities as defined in the Al-Tawazun Indicator Catalogue. The Director-General documents each act, its date, and its classification before issuing the Behavioral Alert.</w:t>
      </w:r>
    </w:p>
    <w:p w14:paraId="3BDADEF4" w14:textId="77777777" w:rsidR="00FC09E2" w:rsidRDefault="00000000">
      <w:r>
        <w:rPr>
          <w:rFonts w:cs="Cambria"/>
          <w:szCs w:val="22"/>
        </w:rPr>
        <w:t>This clause closes the gap between individual sub-threshold events and systemic destabilization. It preserves the technical neutrality of the Trigger Matrix while ensuring that cumulative behavior receives political attention.</w:t>
      </w:r>
    </w:p>
    <w:p w14:paraId="56A80983" w14:textId="77777777" w:rsidR="00FC09E2" w:rsidRDefault="00000000">
      <w:pPr>
        <w:pStyle w:val="Heading2"/>
      </w:pPr>
      <w:bookmarkStart w:id="80" w:name="_Toc234334572"/>
      <w:r>
        <w:rPr>
          <w:rFonts w:cs="Cambria"/>
          <w:szCs w:val="28"/>
        </w:rPr>
        <w:t>6.9 Suspicious Pattern Advisory</w:t>
      </w:r>
      <w:bookmarkEnd w:id="80"/>
    </w:p>
    <w:p w14:paraId="0781BC63" w14:textId="77777777" w:rsidR="00FC09E2" w:rsidRDefault="00000000">
      <w:r>
        <w:rPr>
          <w:rFonts w:cs="Cambria"/>
          <w:szCs w:val="22"/>
        </w:rPr>
        <w:t>The Director-General possesses the authority to issue a confidential Suspicious Pattern Advisory to the Guarantor Matrix independent of the three-act threshold in the Behavioral Alert. This Advisory flags cumulative activity that does not yet meet the formal Behavioral Alert threshold but warrants elevated political attention.</w:t>
      </w:r>
    </w:p>
    <w:p w14:paraId="1724D49F" w14:textId="77777777" w:rsidR="00FC09E2" w:rsidRDefault="00000000">
      <w:r>
        <w:rPr>
          <w:rFonts w:cs="Cambria"/>
          <w:szCs w:val="22"/>
        </w:rPr>
        <w:lastRenderedPageBreak/>
        <w:t>The Suspicious Pattern Advisory operates confidentially. It does not trigger public protocols. It does not activate Cooling-Off measures. It alerts the Guarantor Matrix to emerging patterns before the thirty-day public clock begins, preserving the element of surprise and preventing adversary adaptation.</w:t>
      </w:r>
    </w:p>
    <w:p w14:paraId="7AFD8324" w14:textId="77777777" w:rsidR="00FC09E2" w:rsidRDefault="00000000">
      <w:r>
        <w:rPr>
          <w:rFonts w:cs="Cambria"/>
          <w:szCs w:val="22"/>
        </w:rPr>
        <w:t>The Director-General issues a Suspicious Pattern Advisory only where the cumulative activity exhibits temporal sequencing, geographic clustering, or actor coordination that suggests deliberate sub-threshold maneuvering. The Advisory includes: a description of the observed pattern; the specific indicators that support the assessment; and a recommended scope of enhanced monitoring. The Guarantor Matrix reviews the Advisory within forty-eight hours and determines whether to activate enhanced political engagement.</w:t>
      </w:r>
    </w:p>
    <w:p w14:paraId="6A9D02CC" w14:textId="77777777" w:rsidR="00FC09E2" w:rsidRDefault="00000000">
      <w:pPr>
        <w:pStyle w:val="Heading2"/>
      </w:pPr>
      <w:bookmarkStart w:id="81" w:name="_Toc234334573"/>
      <w:r>
        <w:rPr>
          <w:rFonts w:cs="Cambria"/>
          <w:szCs w:val="28"/>
        </w:rPr>
        <w:t>6.10 Post-Facto Credibility Penalty</w:t>
      </w:r>
      <w:bookmarkEnd w:id="81"/>
    </w:p>
    <w:p w14:paraId="24813CBB" w14:textId="77777777" w:rsidR="00FC09E2" w:rsidRDefault="00000000">
      <w:r>
        <w:rPr>
          <w:rFonts w:cs="Cambria"/>
          <w:szCs w:val="22"/>
        </w:rPr>
        <w:t>Where the Joint Commission determines that incidents underlying a Behavioral Alert were deliberately manufactured to trigger a false alarm, the state responsible for the fabrication automatically loses its voting rights on all Trigger Matrix update decisions for a period of one year. This penalty applies from the date of the Commission's determination.</w:t>
      </w:r>
    </w:p>
    <w:p w14:paraId="0D0385A3" w14:textId="77777777" w:rsidR="00FC09E2" w:rsidRDefault="00000000">
      <w:r>
        <w:rPr>
          <w:rFonts w:cs="Cambria"/>
          <w:szCs w:val="22"/>
        </w:rPr>
        <w:t>The penalty deters strategic false-flag operations designed to discredit the Pattern-of-Behavior system. A state that loses voting rights under this provision continues to participate in Joint Commission discussions on Trigger Matrix matters but does not vote on threshold changes, indicator additions, or Matrix restructuring decisions.</w:t>
      </w:r>
    </w:p>
    <w:p w14:paraId="5B2A7E6D" w14:textId="77777777" w:rsidR="00FC09E2" w:rsidRDefault="00000000">
      <w:r>
        <w:rPr>
          <w:rFonts w:cs="Cambria"/>
          <w:szCs w:val="22"/>
        </w:rPr>
        <w:t>The Independent Scientific Advisory Board reviews any Post-Facto Credibility Penalty determination and issues a technical opinion on the validity of the Commission's finding within thirty days. This review ensures that political disagreement does not masquerade as fabrication determination.</w:t>
      </w:r>
    </w:p>
    <w:p w14:paraId="08410EFE" w14:textId="77777777" w:rsidR="00FC09E2" w:rsidRDefault="00000000">
      <w:pPr>
        <w:pStyle w:val="Heading2"/>
      </w:pPr>
      <w:bookmarkStart w:id="82" w:name="_Toc234334574"/>
      <w:r>
        <w:rPr>
          <w:rFonts w:cs="Cambria"/>
          <w:szCs w:val="28"/>
        </w:rPr>
        <w:t>6.11 Cumulative Stress Metric</w:t>
      </w:r>
      <w:bookmarkEnd w:id="82"/>
    </w:p>
    <w:p w14:paraId="42E8CF42" w14:textId="77777777" w:rsidR="00FC09E2" w:rsidRDefault="00000000">
      <w:r>
        <w:rPr>
          <w:rFonts w:cs="Cambria"/>
          <w:szCs w:val="22"/>
        </w:rPr>
        <w:t>The Cumulative Stress Metric tracks all active Treaty Trigger Notice days accumulated by a state within any rolling twelve-month period. The Metric counts both consecutive and non-consecutive days. The Metric activates automatically upon the first Treaty Trigger Notice issued against a state within the twelve-month window.</w:t>
      </w:r>
    </w:p>
    <w:p w14:paraId="7863FE86" w14:textId="77777777" w:rsidR="00FC09E2" w:rsidRDefault="00000000">
      <w:r>
        <w:rPr>
          <w:rFonts w:cs="Cambria"/>
          <w:szCs w:val="22"/>
        </w:rPr>
        <w:t>Accumulation of ninety days of active Treaty Trigger Notices within any twelve-month period triggers an automatic Structural Instability Declaration. This Declaration places the state under permanent enhanced monitoring for the remainder of the twelve-month period. Category II deployments proceed without further consent. The Declaration overrides the thirty-day expiration cycle. The Structural Instability Declaration lifts automatically at the end of the twelve-month period if the Cumulative Stress Metric falls below ninety days.</w:t>
      </w:r>
    </w:p>
    <w:p w14:paraId="2F285BEF" w14:textId="77777777" w:rsidR="00FC09E2" w:rsidRDefault="00000000">
      <w:r>
        <w:rPr>
          <w:rFonts w:cs="Cambria"/>
          <w:szCs w:val="22"/>
        </w:rPr>
        <w:t xml:space="preserve">The Cumulative Stress Metric closes the incremental-escalation vulnerability. A state cannot maintain a low-level simmering crisis just below Red Trigger and wait out the clock. The </w:t>
      </w:r>
      <w:r>
        <w:rPr>
          <w:rFonts w:cs="Cambria"/>
          <w:szCs w:val="22"/>
        </w:rPr>
        <w:lastRenderedPageBreak/>
        <w:t>cumulative nature of the Metric ensures that sustained pressure triggers automatic escalation regardless of the individual trigger level at any moment.</w:t>
      </w:r>
    </w:p>
    <w:p w14:paraId="3A5BA00A" w14:textId="77777777" w:rsidR="00FC09E2" w:rsidRDefault="00000000">
      <w:pPr>
        <w:pStyle w:val="Heading2"/>
      </w:pPr>
      <w:bookmarkStart w:id="83" w:name="_Toc234334575"/>
      <w:r>
        <w:rPr>
          <w:rFonts w:cs="Cambria"/>
          <w:szCs w:val="28"/>
        </w:rPr>
        <w:t>6.12 False-Positive Correction and Exoneration</w:t>
      </w:r>
      <w:bookmarkEnd w:id="83"/>
    </w:p>
    <w:p w14:paraId="68176CA8" w14:textId="77777777" w:rsidR="00FC09E2" w:rsidRDefault="00000000">
      <w:r>
        <w:rPr>
          <w:rFonts w:cs="Cambria"/>
          <w:szCs w:val="22"/>
        </w:rPr>
        <w:t>Where a Treaty Trigger Notice is subsequently proven incorrect through independent verification, Al-Tawazun initiates a formal Correction Protocol. The Protocol includes: public acknowledgment of the error; a technical explanation of why the indicators produced a false positive; implementation of measures to prevent similar false positives; and a published exoneration of the affected state. The Correction Protocol protects states from reputational damage caused by erroneous certification.</w:t>
      </w:r>
    </w:p>
    <w:p w14:paraId="65B05EBE" w14:textId="77777777" w:rsidR="00FC09E2" w:rsidRDefault="00000000">
      <w:r>
        <w:rPr>
          <w:rFonts w:cs="Cambria"/>
          <w:szCs w:val="22"/>
        </w:rPr>
        <w:t>Where a state suffers demonstrable financial loss directly attributable to an incorrect Treaty Trigger Notice, the state files a claim with the Independent Scientific Advisory Board. The Board reviews the claim within sixty days. Where the Board confirms the loss was caused by the false positive, Al-Tawazun issues compensation from the Rapid Response Revolving Fund, capped at five hundred thousand dollars per incident. This cap prevents claims from destabilizing the budget while ensuring genuine harm receives redress.</w:t>
      </w:r>
    </w:p>
    <w:p w14:paraId="3A2F8693" w14:textId="77777777" w:rsidR="00FC09E2" w:rsidRDefault="00000000">
      <w:pPr>
        <w:pStyle w:val="Heading1"/>
      </w:pPr>
      <w:bookmarkStart w:id="84" w:name="_TocArt7"/>
      <w:bookmarkStart w:id="85" w:name="_Toc234334576"/>
      <w:r>
        <w:rPr>
          <w:rFonts w:cs="Cambria"/>
          <w:szCs w:val="36"/>
        </w:rPr>
        <w:t>Article 7: Verification Functions</w:t>
      </w:r>
      <w:bookmarkEnd w:id="84"/>
      <w:bookmarkEnd w:id="85"/>
    </w:p>
    <w:p w14:paraId="4C4A904A" w14:textId="77777777" w:rsidR="00FC09E2" w:rsidRDefault="00000000">
      <w:r>
        <w:rPr>
          <w:rFonts w:cs="Cambria"/>
          <w:szCs w:val="22"/>
        </w:rPr>
        <w:t>Al-Tawazun approaches verification as a facilitation function, not an inspection function. The framework architecture frames verification as a mutual structural feature shared equally by all signatories. No single state submits to verification. All states participate in reciprocal verification.</w:t>
      </w:r>
    </w:p>
    <w:p w14:paraId="638E4D62" w14:textId="77777777" w:rsidR="00FC09E2" w:rsidRDefault="00000000">
      <w:pPr>
        <w:pStyle w:val="Heading2"/>
      </w:pPr>
      <w:bookmarkStart w:id="86" w:name="_Toc234334577"/>
      <w:r>
        <w:rPr>
          <w:rFonts w:cs="Cambria"/>
          <w:szCs w:val="28"/>
        </w:rPr>
        <w:t>7.1 Reciprocal Verification Facilitation</w:t>
      </w:r>
      <w:bookmarkEnd w:id="86"/>
    </w:p>
    <w:p w14:paraId="653B9505" w14:textId="77777777" w:rsidR="00FC09E2" w:rsidRDefault="00000000">
      <w:r>
        <w:rPr>
          <w:rFonts w:cs="Cambria"/>
          <w:szCs w:val="22"/>
        </w:rPr>
        <w:t>Al-Tawazun facilitates reciprocal verification between signatories through the following activities:</w:t>
      </w:r>
    </w:p>
    <w:p w14:paraId="39D0DAA7" w14:textId="77777777" w:rsidR="00FC09E2" w:rsidRDefault="00000000">
      <w:r>
        <w:rPr>
          <w:rFonts w:cs="Cambria"/>
          <w:szCs w:val="22"/>
        </w:rPr>
        <w:t>Al-Tawazun provides technical expertise and equipment for verification activities. It maintains a shared technical library of verification protocols, equipment specifications, and best practices. All signatories access this library equally.</w:t>
      </w:r>
    </w:p>
    <w:p w14:paraId="1C60F97C" w14:textId="77777777" w:rsidR="00FC09E2" w:rsidRDefault="00000000">
      <w:r>
        <w:rPr>
          <w:rFonts w:cs="Cambria"/>
          <w:szCs w:val="22"/>
        </w:rPr>
        <w:t>Al-Tawazun develops mutually acceptable verification protocols through a consultative process involving all signatories. No protocol enters the shared library without consensus approval of the Verification Working Group.</w:t>
      </w:r>
    </w:p>
    <w:p w14:paraId="4F4FC218" w14:textId="77777777" w:rsidR="00FC09E2" w:rsidRDefault="00000000">
      <w:r>
        <w:rPr>
          <w:rFonts w:cs="Cambria"/>
          <w:szCs w:val="22"/>
        </w:rPr>
        <w:t>Al-Tawazun certifies the completion of verification activities. Its certification is technical, not political. It confirms that the parties followed the agreed protocol, not that the underlying activity was desirable.</w:t>
      </w:r>
    </w:p>
    <w:p w14:paraId="41D5E776" w14:textId="77777777" w:rsidR="00FC09E2" w:rsidRDefault="00000000">
      <w:r>
        <w:rPr>
          <w:rFonts w:cs="Cambria"/>
          <w:szCs w:val="22"/>
        </w:rPr>
        <w:lastRenderedPageBreak/>
        <w:t>Al-Tawazun resolves verification disputes through technical assessment. Where signatories disagree on verification results, Al-Tawazun convenes a Technical Arbitration Panel of independent experts. The Panel issues an initial technical finding within fifteen days.</w:t>
      </w:r>
    </w:p>
    <w:p w14:paraId="461D846A" w14:textId="77777777" w:rsidR="00FC09E2" w:rsidRDefault="00000000">
      <w:pPr>
        <w:pStyle w:val="Heading2"/>
      </w:pPr>
      <w:bookmarkStart w:id="87" w:name="_Toc234334578"/>
      <w:r>
        <w:rPr>
          <w:rFonts w:cs="Cambria"/>
          <w:szCs w:val="28"/>
        </w:rPr>
        <w:t>7.2 Formal Appeals Procedure</w:t>
      </w:r>
      <w:bookmarkEnd w:id="87"/>
    </w:p>
    <w:p w14:paraId="756DBB95" w14:textId="77777777" w:rsidR="00FC09E2" w:rsidRDefault="00000000">
      <w:r>
        <w:rPr>
          <w:rFonts w:cs="Cambria"/>
          <w:szCs w:val="22"/>
        </w:rPr>
        <w:t>Where a signatory state disagrees with a Technical Arbitration Panel finding, the following appeals procedure applies:</w:t>
      </w:r>
    </w:p>
    <w:p w14:paraId="0DC2449C" w14:textId="77777777" w:rsidR="00FC09E2" w:rsidRDefault="00000000">
      <w:r>
        <w:rPr>
          <w:rFonts w:cs="Cambria"/>
          <w:szCs w:val="22"/>
        </w:rPr>
        <w:t>Initial Technical Finding: The Panel issues its initial finding within fifteen days of convening. The finding addresses the technical question: whether the parties followed the verification protocol correctly and whether the results support the challenged conclusion.</w:t>
      </w:r>
    </w:p>
    <w:p w14:paraId="70CEC359" w14:textId="77777777" w:rsidR="00FC09E2" w:rsidRDefault="00000000">
      <w:r>
        <w:rPr>
          <w:rFonts w:cs="Cambria"/>
          <w:szCs w:val="22"/>
        </w:rPr>
        <w:t>Request for Reconsideration: Any signatory state requests reconsideration within fifteen days of the initial finding. The request specifies the technical grounds for reconsideration: new evidence, procedural concerns, or methodological objections.</w:t>
      </w:r>
    </w:p>
    <w:p w14:paraId="472933C1" w14:textId="77777777" w:rsidR="00FC09E2" w:rsidRDefault="00000000">
      <w:r>
        <w:rPr>
          <w:rFonts w:cs="Cambria"/>
          <w:szCs w:val="22"/>
        </w:rPr>
        <w:t>Final Technical Determination: The Panel reviews the reconsideration request and issues a final technical determination within fifteen days. The final determination addresses the grounds raised in the request and either affirms, modifies, or reverses the initial finding.</w:t>
      </w:r>
    </w:p>
    <w:p w14:paraId="12B347DC" w14:textId="77777777" w:rsidR="00FC09E2" w:rsidRDefault="00000000">
      <w:r>
        <w:rPr>
          <w:rFonts w:cs="Cambria"/>
          <w:szCs w:val="22"/>
        </w:rPr>
        <w:t>The final technical determination is binding on Al-Tawazun for operational purposes. It does not preclude the Joint Commission from reaching a different political conclusion. The technical finding addresses verification methodology; the political determination addresses treaty compliance.</w:t>
      </w:r>
    </w:p>
    <w:p w14:paraId="02D8871C" w14:textId="77777777" w:rsidR="00FC09E2" w:rsidRDefault="00000000">
      <w:r>
        <w:rPr>
          <w:rFonts w:cs="Cambria"/>
          <w:szCs w:val="22"/>
        </w:rPr>
        <w:t>Expedited Review for Materiality: Where the Joint Commission determines that a verification dispute is immaterial to the overall treaty compliance assessment, the appeal is automatically dismissed. An appeal is immaterial where: the disputed finding concerns a technical detail that does not affect the treaty obligation in question; the discrepancy falls within the margin of measurement error defined in the applicable verification protocol; or the challenged finding has been superseded by subsequent verified data. The Director-General issues a Materiality Determination within ten days of the appeal filing. This provision prevents parties acting in bad faith from weaponizing the appeals process to create indefinite delays.</w:t>
      </w:r>
    </w:p>
    <w:p w14:paraId="47C3FBE3" w14:textId="77777777" w:rsidR="00FC09E2" w:rsidRDefault="00000000">
      <w:pPr>
        <w:pStyle w:val="Heading2"/>
      </w:pPr>
      <w:bookmarkStart w:id="88" w:name="_Toc234334579"/>
      <w:r>
        <w:rPr>
          <w:rFonts w:cs="Cambria"/>
          <w:szCs w:val="28"/>
        </w:rPr>
        <w:t>7.3 Bilateral Verification Encouragement</w:t>
      </w:r>
      <w:bookmarkEnd w:id="88"/>
    </w:p>
    <w:p w14:paraId="44A30E94" w14:textId="77777777" w:rsidR="00FC09E2" w:rsidRDefault="00000000">
      <w:r>
        <w:rPr>
          <w:rFonts w:cs="Cambria"/>
          <w:szCs w:val="22"/>
        </w:rPr>
        <w:t>Al-Tawazun actively encourages bilateral verification arrangements between signatory pairs. Bilateral arrangements reduce the burden on Al-Tawazun resources and increase the ownership that signatories feel over the verification process.</w:t>
      </w:r>
    </w:p>
    <w:p w14:paraId="3E732FD0" w14:textId="77777777" w:rsidR="00FC09E2" w:rsidRDefault="00000000">
      <w:r>
        <w:rPr>
          <w:rFonts w:cs="Cambria"/>
          <w:szCs w:val="22"/>
        </w:rPr>
        <w:t>Where two or more signatories establish a bilateral verification arrangement, Al-Tawazun provides technical support, protocol templates, and certification services at no cost. The bilateral arrangement remains sovereign to the participating states. Al-Tawazun does not oversee, supervise, or direct bilateral activities.</w:t>
      </w:r>
    </w:p>
    <w:p w14:paraId="63FE158D" w14:textId="77777777" w:rsidR="00FC09E2" w:rsidRDefault="00000000">
      <w:pPr>
        <w:pStyle w:val="Heading2"/>
      </w:pPr>
      <w:bookmarkStart w:id="89" w:name="_Toc234334580"/>
      <w:r>
        <w:rPr>
          <w:rFonts w:cs="Cambria"/>
          <w:szCs w:val="28"/>
        </w:rPr>
        <w:lastRenderedPageBreak/>
        <w:t>7.4 Unilateral Inspection Exclusion</w:t>
      </w:r>
      <w:bookmarkEnd w:id="89"/>
    </w:p>
    <w:p w14:paraId="258DBE02" w14:textId="77777777" w:rsidR="00FC09E2" w:rsidRDefault="00000000">
      <w:r>
        <w:rPr>
          <w:rFonts w:cs="Cambria"/>
          <w:szCs w:val="22"/>
        </w:rPr>
        <w:t>The framework architecture excludes unilateral inspection of signatory territory by Al-Tawazun personnel. All verification activities proceed on a reciprocal basis with the full knowledge and participation of the verified state.</w:t>
      </w:r>
    </w:p>
    <w:p w14:paraId="49BF08E6" w14:textId="77777777" w:rsidR="00FC09E2" w:rsidRDefault="00000000">
      <w:r>
        <w:rPr>
          <w:rFonts w:cs="Cambria"/>
          <w:szCs w:val="22"/>
        </w:rPr>
        <w:t>This exclusion applies to all Categories of deployment. Even under Category IV Emergency Intervention, Al-Tawazun is prohibited from conducting unilateral inspections. Its function is to stabilize, verify facts on the ground through joint observation, and facilitate communication.</w:t>
      </w:r>
    </w:p>
    <w:p w14:paraId="40C545E8" w14:textId="77777777" w:rsidR="00FC09E2" w:rsidRDefault="00000000">
      <w:pPr>
        <w:pStyle w:val="Heading2"/>
      </w:pPr>
      <w:bookmarkStart w:id="90" w:name="_Toc234334581"/>
      <w:r>
        <w:rPr>
          <w:rFonts w:cs="Cambria"/>
          <w:szCs w:val="28"/>
        </w:rPr>
        <w:t>7.5 Parallel Verification Channels</w:t>
      </w:r>
      <w:bookmarkEnd w:id="90"/>
    </w:p>
    <w:p w14:paraId="6B17B3C3" w14:textId="77777777" w:rsidR="00FC09E2" w:rsidRDefault="00000000">
      <w:r>
        <w:rPr>
          <w:rFonts w:cs="Cambria"/>
          <w:szCs w:val="22"/>
        </w:rPr>
        <w:t>Where a state challenges a technical finding under Article 7.2, Al-Tawazun automatically pursues simultaneous verification through independent channels. The host state's appeal does not pause the analytical clock. Parallel verification proceeds through: independent satellite imagery analysis from commercial providers; third-party data from open-source intelligence platforms; and telemetry from international monitoring networks not controlled by either party.</w:t>
      </w:r>
    </w:p>
    <w:p w14:paraId="075841EB" w14:textId="77777777" w:rsidR="00FC09E2" w:rsidRDefault="00000000">
      <w:r>
        <w:rPr>
          <w:rFonts w:cs="Cambria"/>
          <w:szCs w:val="22"/>
        </w:rPr>
        <w:t>The Deputy Director for Verification and Monitoring coordinates the parallel verification effort. The parallel findings feed into the Technical Arbitration Panel's assessment but do not replace the original verification protocol. Where parallel verification confirms the original finding, the Panel issues its determination on an accelerated timeline of seven days rather than fifteen. Where parallel verification contradicts the original finding, the Panel convenes an expanded session with all available data before issuing its determination.</w:t>
      </w:r>
    </w:p>
    <w:p w14:paraId="5FE5946F" w14:textId="77777777" w:rsidR="00FC09E2" w:rsidRDefault="00000000">
      <w:r>
        <w:rPr>
          <w:rFonts w:cs="Cambria"/>
          <w:szCs w:val="22"/>
        </w:rPr>
        <w:t>This provision ensures that verification disputes do not freeze the assessment timeline. Al-Tawazun continues its analytical work while the appeals process runs. The state retains its full right to appeal, but the appeal does not create an evidentiary vacuum that paralyzes the stabilization function.</w:t>
      </w:r>
    </w:p>
    <w:p w14:paraId="057C4BC8" w14:textId="77777777" w:rsidR="00FC09E2" w:rsidRDefault="00000000">
      <w:pPr>
        <w:pStyle w:val="Heading1"/>
      </w:pPr>
      <w:bookmarkStart w:id="91" w:name="_TocArt8"/>
      <w:bookmarkStart w:id="92" w:name="_Toc234334582"/>
      <w:r>
        <w:rPr>
          <w:rFonts w:cs="Cambria"/>
          <w:szCs w:val="36"/>
        </w:rPr>
        <w:t>Article 8: Operational Tools</w:t>
      </w:r>
      <w:bookmarkEnd w:id="91"/>
      <w:bookmarkEnd w:id="92"/>
    </w:p>
    <w:p w14:paraId="0C73E8E3" w14:textId="77777777" w:rsidR="00FC09E2" w:rsidRDefault="00000000">
      <w:pPr>
        <w:pStyle w:val="Heading2"/>
      </w:pPr>
      <w:bookmarkStart w:id="93" w:name="_Toc234334583"/>
      <w:r>
        <w:rPr>
          <w:rFonts w:cs="Cambria"/>
          <w:szCs w:val="28"/>
        </w:rPr>
        <w:t>8.1 Monitoring and Detection</w:t>
      </w:r>
      <w:bookmarkEnd w:id="93"/>
    </w:p>
    <w:p w14:paraId="55BA0CE7" w14:textId="77777777" w:rsidR="00FC09E2" w:rsidRDefault="00000000">
      <w:r>
        <w:rPr>
          <w:rFonts w:cs="Cambria"/>
          <w:szCs w:val="22"/>
        </w:rPr>
        <w:t>Al-Tawazun employs a multi-layered monitoring system drawing on diverse data sources:</w:t>
      </w:r>
    </w:p>
    <w:p w14:paraId="5D8DDBD9" w14:textId="77777777" w:rsidR="00FC09E2" w:rsidRDefault="00000000">
      <w:r>
        <w:rPr>
          <w:rFonts w:cs="Cambria"/>
          <w:szCs w:val="22"/>
        </w:rPr>
        <w:t>Satellite Imagery: Al-Tawazun maintains access to UNOSAT and commercial satellite imagery providers. Satellite analysis focuses on detecting changes in military posture, infrastructure construction, and territorial control.</w:t>
      </w:r>
    </w:p>
    <w:p w14:paraId="2637FD2F" w14:textId="77777777" w:rsidR="00FC09E2" w:rsidRDefault="00000000">
      <w:r>
        <w:rPr>
          <w:rFonts w:cs="Cambria"/>
          <w:szCs w:val="22"/>
        </w:rPr>
        <w:t>Open-Source Intelligence: Al-Tawazun monitors publicly available information including government statements, military communications, social media trends, financial transactions, and shipping movements. All open-source collection proceeds through publicly accessible channels.</w:t>
      </w:r>
    </w:p>
    <w:p w14:paraId="4CF8B663" w14:textId="77777777" w:rsidR="00FC09E2" w:rsidRDefault="00000000">
      <w:r>
        <w:rPr>
          <w:rFonts w:cs="Cambria"/>
          <w:szCs w:val="22"/>
        </w:rPr>
        <w:lastRenderedPageBreak/>
        <w:t>Treaty-Mandated Data Feeds: Signatories provide Al-Tawazun with real-time or near-real-time data feeds specified in the MENOC Charter and associated annexes. These feeds include nuclear facility telemetry under Annex ES, sanctions compliance data under Annex SRCA, and reconstruction progress data under Annex RDF.</w:t>
      </w:r>
    </w:p>
    <w:p w14:paraId="7C79C449" w14:textId="77777777" w:rsidR="00FC09E2" w:rsidRDefault="00000000">
      <w:r>
        <w:rPr>
          <w:rFonts w:cs="Cambria"/>
          <w:szCs w:val="22"/>
        </w:rPr>
        <w:t>Local Liaison Reporting: Each Regional Node maintains liaison relationships with local government officials, civil society organizations, and community leaders. These relationships provide ground-level situational awareness that complements technical monitoring.</w:t>
      </w:r>
    </w:p>
    <w:p w14:paraId="666C19EE" w14:textId="77777777" w:rsidR="00FC09E2" w:rsidRDefault="00000000">
      <w:r>
        <w:rPr>
          <w:rFonts w:cs="Cambria"/>
          <w:szCs w:val="22"/>
        </w:rPr>
        <w:t>Crisis Indicator Dashboards: Al-Tawazun maintains a centralized dashboard tracking all early-warning indicators in real time. The dashboard is accessible to all signatory states through a secure portal. Transparency of monitoring builds confidence in Al-Tawazun findings.</w:t>
      </w:r>
    </w:p>
    <w:p w14:paraId="5C2BB193" w14:textId="77777777" w:rsidR="00FC09E2" w:rsidRDefault="00000000">
      <w:pPr>
        <w:pStyle w:val="Heading2"/>
      </w:pPr>
      <w:bookmarkStart w:id="94" w:name="_Toc234334584"/>
      <w:r>
        <w:rPr>
          <w:rFonts w:cs="Cambria"/>
          <w:szCs w:val="28"/>
        </w:rPr>
        <w:t>8.2 Data Architecture</w:t>
      </w:r>
      <w:bookmarkEnd w:id="94"/>
    </w:p>
    <w:p w14:paraId="134846BF" w14:textId="77777777" w:rsidR="00FC09E2" w:rsidRDefault="00000000">
      <w:r>
        <w:rPr>
          <w:rFonts w:cs="Cambria"/>
          <w:szCs w:val="22"/>
        </w:rPr>
        <w:t>Al-Tawazun integrates its monitoring systems into the broader peace architecture data ecosystem. The data flows through the following hierarchy:</w:t>
      </w:r>
    </w:p>
    <w:p w14:paraId="56CEC7E8" w14:textId="77777777" w:rsidR="00FC09E2" w:rsidRDefault="00000000">
      <w:r>
        <w:rPr>
          <w:rFonts w:cs="Cambria"/>
          <w:szCs w:val="22"/>
        </w:rPr>
        <w:t>Political Layer: The Joint Commission and the Guarantor Matrix set strategic priorities and review Al-Tawazun assessments.</w:t>
      </w:r>
    </w:p>
    <w:p w14:paraId="55D7E3CD" w14:textId="77777777" w:rsidR="00FC09E2" w:rsidRDefault="00000000">
      <w:r>
        <w:rPr>
          <w:rFonts w:cs="Cambria"/>
          <w:szCs w:val="22"/>
        </w:rPr>
        <w:t>Stabilization Layer: Al-Tawazun processes raw data, applies analytical models, and issues Treaty Trigger Notices.</w:t>
      </w:r>
    </w:p>
    <w:p w14:paraId="564B051D" w14:textId="77777777" w:rsidR="00FC09E2" w:rsidRDefault="00000000">
      <w:r>
        <w:rPr>
          <w:rFonts w:cs="Cambria"/>
          <w:szCs w:val="22"/>
        </w:rPr>
        <w:t>Operational Layer: The annexes (ES, SRCA, RDF, LAES, MENOC Ops) provide treaty-mandated data feeds and receive Al-Tawazun alerts.</w:t>
      </w:r>
    </w:p>
    <w:p w14:paraId="17101AFB" w14:textId="77777777" w:rsidR="00FC09E2" w:rsidRDefault="00000000">
      <w:r>
        <w:rPr>
          <w:rFonts w:cs="Cambria"/>
          <w:szCs w:val="22"/>
        </w:rPr>
        <w:t>Monitoring Layer: Technical monitoring systems (satellite, open-source, telemetry, cyber) provide raw data inputs.</w:t>
      </w:r>
    </w:p>
    <w:p w14:paraId="5FE7C2CF" w14:textId="77777777" w:rsidR="00FC09E2" w:rsidRDefault="00000000">
      <w:r>
        <w:rPr>
          <w:rFonts w:cs="Cambria"/>
          <w:szCs w:val="22"/>
        </w:rPr>
        <w:t>Cryptographic Data Provenance: All treaty-mandated data feeds carry digital signatures and cryptographic time-stamps. The Joint Secretariat and the host state jointly hold the encryption keys. This dual-key architecture ensures that neither party unilaterally modifies, spoofs, or retroactively alters submitted data. Every data packet includes: a cryptographic hash of the payload; a time-stamp from the Joint Secretariat's certified time source; and a dual signature from both the submitting state and the Joint Secretariat. Where cryptographic provenance is absent or compromised, Al-Tawazun flags the data as unverified and does not include it in Treaty Trigger Notice assessments until independent corroboration is obtained.</w:t>
      </w:r>
    </w:p>
    <w:p w14:paraId="59295ECE" w14:textId="77777777" w:rsidR="00FC09E2" w:rsidRDefault="00000000">
      <w:pPr>
        <w:pStyle w:val="Heading2"/>
      </w:pPr>
      <w:bookmarkStart w:id="95" w:name="_Toc234334585"/>
      <w:r>
        <w:rPr>
          <w:rFonts w:cs="Cambria"/>
          <w:szCs w:val="28"/>
        </w:rPr>
        <w:t>8.3 Algorithm Transparency</w:t>
      </w:r>
      <w:bookmarkEnd w:id="95"/>
    </w:p>
    <w:p w14:paraId="2326FC59" w14:textId="77777777" w:rsidR="00FC09E2" w:rsidRDefault="00000000">
      <w:r>
        <w:rPr>
          <w:rFonts w:cs="Cambria"/>
          <w:szCs w:val="22"/>
        </w:rPr>
        <w:t>Where Al-Tawazun employs analytical models, automated scoring systems, or artificial intelligence for indicator assessment, the following transparency requirements apply:</w:t>
      </w:r>
    </w:p>
    <w:p w14:paraId="29ABB14F" w14:textId="77777777" w:rsidR="00FC09E2" w:rsidRDefault="00000000">
      <w:r>
        <w:rPr>
          <w:rFonts w:cs="Cambria"/>
          <w:szCs w:val="22"/>
        </w:rPr>
        <w:t>All models are auditable. The methodology, data inputs, weighting factors, and decision thresholds are documented and available for review by the Independent Scientific Advisory Board and the Joint Commission.</w:t>
      </w:r>
    </w:p>
    <w:p w14:paraId="3ABDE869" w14:textId="77777777" w:rsidR="00FC09E2" w:rsidRDefault="00000000">
      <w:r>
        <w:rPr>
          <w:rFonts w:cs="Cambria"/>
          <w:szCs w:val="22"/>
        </w:rPr>
        <w:lastRenderedPageBreak/>
        <w:t>No model produces a Treaty Trigger Notice without human review. Automated systems flag potential crossings for analyst evaluation. The Technical Assessment Panel confirms or rejects every flagged crossing before issuance.</w:t>
      </w:r>
    </w:p>
    <w:p w14:paraId="2289CD47" w14:textId="77777777" w:rsidR="00FC09E2" w:rsidRDefault="00000000">
      <w:r>
        <w:rPr>
          <w:rFonts w:cs="Cambria"/>
          <w:szCs w:val="22"/>
        </w:rPr>
        <w:t>The Independent Scientific Advisory Board reviews all models annually for bias, accuracy, and reliability. The Board publishes its findings in the Annual Technical Assessment.</w:t>
      </w:r>
    </w:p>
    <w:p w14:paraId="1B94DB10" w14:textId="77777777" w:rsidR="00FC09E2" w:rsidRDefault="00000000">
      <w:r>
        <w:rPr>
          <w:rFonts w:cs="Cambria"/>
          <w:szCs w:val="22"/>
        </w:rPr>
        <w:t>Where a signatory state requests an explanation of a model-based determination, Al-Tawazun provides a detailed technical explanation within ten days.</w:t>
      </w:r>
    </w:p>
    <w:p w14:paraId="38A4A61E" w14:textId="77777777" w:rsidR="00FC09E2" w:rsidRDefault="00000000">
      <w:pPr>
        <w:pStyle w:val="Heading2"/>
      </w:pPr>
      <w:bookmarkStart w:id="96" w:name="_Toc234334586"/>
      <w:r>
        <w:rPr>
          <w:rFonts w:cs="Cambria"/>
          <w:szCs w:val="28"/>
        </w:rPr>
        <w:t>8.4 Cyber Stability Monitoring</w:t>
      </w:r>
      <w:bookmarkEnd w:id="96"/>
    </w:p>
    <w:p w14:paraId="1F85944F" w14:textId="77777777" w:rsidR="00FC09E2" w:rsidRDefault="00000000">
      <w:r>
        <w:rPr>
          <w:rFonts w:cs="Cambria"/>
          <w:szCs w:val="22"/>
        </w:rPr>
        <w:t>Al-Tawazun monitors major cyber incidents affecting treaty-related infrastructure. This monitoring is carefully scoped to infrastructure directly relevant to the peace architecture:</w:t>
      </w:r>
    </w:p>
    <w:p w14:paraId="62975225" w14:textId="77777777" w:rsidR="00FC09E2" w:rsidRDefault="00000000">
      <w:r>
        <w:rPr>
          <w:rFonts w:cs="Cambria"/>
          <w:szCs w:val="22"/>
        </w:rPr>
        <w:t>Nuclear facility control systems and safeguards communications infrastructure.</w:t>
      </w:r>
    </w:p>
    <w:p w14:paraId="62373F2A" w14:textId="77777777" w:rsidR="00FC09E2" w:rsidRDefault="00000000">
      <w:r>
        <w:rPr>
          <w:rFonts w:cs="Cambria"/>
          <w:szCs w:val="22"/>
        </w:rPr>
        <w:t>Verification and monitoring data transmission systems.</w:t>
      </w:r>
    </w:p>
    <w:p w14:paraId="7C7F1368" w14:textId="77777777" w:rsidR="00FC09E2" w:rsidRDefault="00000000">
      <w:r>
        <w:rPr>
          <w:rFonts w:cs="Cambria"/>
          <w:szCs w:val="22"/>
        </w:rPr>
        <w:t>Joint Commission and Joint Secretariat secure communications.</w:t>
      </w:r>
    </w:p>
    <w:p w14:paraId="3218853A" w14:textId="77777777" w:rsidR="00FC09E2" w:rsidRDefault="00000000">
      <w:r>
        <w:rPr>
          <w:rFonts w:cs="Cambria"/>
          <w:szCs w:val="22"/>
        </w:rPr>
        <w:t>Sanctions compliance tracking and financial transparency systems.</w:t>
      </w:r>
    </w:p>
    <w:p w14:paraId="71BBD311" w14:textId="77777777" w:rsidR="00FC09E2" w:rsidRDefault="00000000">
      <w:r>
        <w:rPr>
          <w:rFonts w:cs="Cambria"/>
          <w:szCs w:val="22"/>
        </w:rPr>
        <w:t>Al-Tawazun cyber monitoring expands beyond treaty-related infrastructure through the Early-Warning Cyber Telemetry system. Each signatory state voluntarily provides anonymized, aggregated data on major network intrusions affecting its critical infrastructure. Shared data includes attack vectors and origin indicators, not content. This is a reciprocal opt-in system: states that share data receive the aggregated telemetry of all participants. States that refuse to share Early-Warning Cyber Telemetry and subsequently experience a major cyber incident trigger an automatic Material Omission classification. Material Omission activates an Amber Notice under the Trigger Matrix.</w:t>
      </w:r>
    </w:p>
    <w:p w14:paraId="4D9D1A94" w14:textId="77777777" w:rsidR="00FC09E2" w:rsidRDefault="00000000">
      <w:r>
        <w:rPr>
          <w:rFonts w:cs="Cambria"/>
          <w:szCs w:val="22"/>
        </w:rPr>
        <w:t>Cyber indicators feed into the Trigger Matrix as a distinct category. A significant cyber incident affecting treaty infrastructure triggers an Amber or Orange Notice depending on severity and confidence level.</w:t>
      </w:r>
    </w:p>
    <w:p w14:paraId="1F116CB8" w14:textId="77777777" w:rsidR="00FC09E2" w:rsidRDefault="00000000">
      <w:pPr>
        <w:pStyle w:val="Heading2"/>
      </w:pPr>
      <w:bookmarkStart w:id="97" w:name="_Toc234334587"/>
      <w:r>
        <w:rPr>
          <w:rFonts w:cs="Cambria"/>
          <w:szCs w:val="28"/>
        </w:rPr>
        <w:t>8.5 Community Risk Dashboard</w:t>
      </w:r>
      <w:bookmarkEnd w:id="97"/>
    </w:p>
    <w:p w14:paraId="7A849739" w14:textId="77777777" w:rsidR="00FC09E2" w:rsidRDefault="00000000">
      <w:r>
        <w:rPr>
          <w:rFonts w:cs="Cambria"/>
          <w:szCs w:val="22"/>
        </w:rPr>
        <w:t>Every quarter Al-Tawazun publishes a Community Risk Dashboard accessible to all signatory states through the secure portal. The Dashboard identifies: recurring flashpoints where tension has risen in successive quarters; military deconfliction concerns including exercise schedules, naval movements, and airspace incidents; cyber-risk trends affecting treaty-related infrastructure; humanitarian stress indicators including displacement, resource scarcity, and health emergencies; and diplomatic temperature readings based on public statements, diplomatic exchanges, and multilateral participation patterns.</w:t>
      </w:r>
    </w:p>
    <w:p w14:paraId="4BAA5161" w14:textId="77777777" w:rsidR="00FC09E2" w:rsidRDefault="00000000">
      <w:r>
        <w:rPr>
          <w:rFonts w:cs="Cambria"/>
          <w:szCs w:val="22"/>
        </w:rPr>
        <w:t xml:space="preserve">The Dashboard does not name and shame. It does not assign blame. It shows where elevated risk indicators are present. The Dashboard provides states with actionable risk information to </w:t>
      </w:r>
      <w:r>
        <w:rPr>
          <w:rFonts w:cs="Cambria"/>
          <w:szCs w:val="22"/>
        </w:rPr>
        <w:lastRenderedPageBreak/>
        <w:t>enable preventive action before conditions escalate into crises. The Dashboard uses color coding: Green for stable, Yellow for elevated attention, Orange for active concern. No Red appears on the Dashboard; Red triggers a Treaty Trigger Notice instead.</w:t>
      </w:r>
    </w:p>
    <w:p w14:paraId="6000D0D3" w14:textId="77777777" w:rsidR="00FC09E2" w:rsidRDefault="00000000">
      <w:pPr>
        <w:pStyle w:val="Heading2"/>
      </w:pPr>
      <w:bookmarkStart w:id="98" w:name="_Toc234334588"/>
      <w:r>
        <w:rPr>
          <w:rFonts w:cs="Cambria"/>
          <w:szCs w:val="28"/>
        </w:rPr>
        <w:t>8.6 Formal Risk Register</w:t>
      </w:r>
      <w:bookmarkEnd w:id="98"/>
    </w:p>
    <w:p w14:paraId="1A581FA6" w14:textId="77777777" w:rsidR="00FC09E2" w:rsidRDefault="00000000">
      <w:r>
        <w:rPr>
          <w:rFonts w:cs="Cambria"/>
          <w:szCs w:val="22"/>
        </w:rPr>
        <w:t>Al-Tawazun maintains a Formal Risk Register tracking the top twenty regional risks. Each risk entry includes: a description of the risk; the assessed probability (Low, Moderate, High); the assessed severity (Minor, Significant, Critical); the trend direction (Improving, Stable, Deteriorating); and the mitigating measures currently in effect.</w:t>
      </w:r>
    </w:p>
    <w:p w14:paraId="41C2D37C" w14:textId="77777777" w:rsidR="00FC09E2" w:rsidRDefault="00000000">
      <w:r>
        <w:rPr>
          <w:rFonts w:cs="Cambria"/>
          <w:szCs w:val="22"/>
        </w:rPr>
        <w:t>The Risk Register updates quarterly. The Director-General reviews the Register at each quarterly review and presents changes to the Joint Commission.</w:t>
      </w:r>
    </w:p>
    <w:p w14:paraId="6A380E04" w14:textId="77777777" w:rsidR="00FC09E2" w:rsidRDefault="00000000">
      <w:r>
        <w:rPr>
          <w:rFonts w:cs="Cambria"/>
          <w:szCs w:val="22"/>
        </w:rPr>
        <w:t>The Risk Register informs the Trigger Matrix. Where a risk shows deteriorating probability or severity, Al-Tawazun adjusts the relevant thresholds to ensure early detection.</w:t>
      </w:r>
    </w:p>
    <w:p w14:paraId="037EA4B8" w14:textId="77777777" w:rsidR="00FC09E2" w:rsidRDefault="00000000">
      <w:pPr>
        <w:pStyle w:val="Heading2"/>
      </w:pPr>
      <w:bookmarkStart w:id="99" w:name="_Toc234334589"/>
      <w:r>
        <w:rPr>
          <w:rFonts w:cs="Cambria"/>
          <w:szCs w:val="28"/>
        </w:rPr>
        <w:t>8.7 Success Metrics</w:t>
      </w:r>
      <w:bookmarkEnd w:id="99"/>
    </w:p>
    <w:p w14:paraId="2C81E496" w14:textId="77777777" w:rsidR="00FC09E2" w:rsidRDefault="00000000">
      <w:r>
        <w:rPr>
          <w:rFonts w:cs="Cambria"/>
          <w:szCs w:val="22"/>
        </w:rPr>
        <w:t>Al-Tawazun defines success through the following measurable indicators:</w:t>
      </w:r>
    </w:p>
    <w:p w14:paraId="0E2B1BBF" w14:textId="77777777" w:rsidR="00FC09E2" w:rsidRDefault="00000000">
      <w:r>
        <w:rPr>
          <w:rFonts w:cs="Cambria"/>
          <w:szCs w:val="22"/>
        </w:rPr>
        <w:t>Resolution Rate: The percentage of Treaty Trigger Notices resolved without escalation to higher trigger levels or Category IV deployment. Target: above seventy percent.</w:t>
      </w:r>
    </w:p>
    <w:p w14:paraId="26D42C48" w14:textId="77777777" w:rsidR="00FC09E2" w:rsidRDefault="00000000">
      <w:r>
        <w:rPr>
          <w:rFonts w:cs="Cambria"/>
          <w:szCs w:val="22"/>
        </w:rPr>
        <w:t>Deployment Speed: The average time from activation request to Preventer Team arrival on site. Target: under forty-eight hours for Categories I and II.</w:t>
      </w:r>
    </w:p>
    <w:p w14:paraId="34B37AFB" w14:textId="77777777" w:rsidR="00FC09E2" w:rsidRDefault="00000000">
      <w:r>
        <w:rPr>
          <w:rFonts w:cs="Cambria"/>
          <w:szCs w:val="22"/>
        </w:rPr>
        <w:t>Verification Facilitation: The number of reciprocal verification missions facilitated annually. Target: proportional to signatory state count.</w:t>
      </w:r>
    </w:p>
    <w:p w14:paraId="6481CB32" w14:textId="77777777" w:rsidR="00FC09E2" w:rsidRDefault="00000000">
      <w:r>
        <w:rPr>
          <w:rFonts w:cs="Cambria"/>
          <w:szCs w:val="22"/>
        </w:rPr>
        <w:t>Delay Reduction: The measured reduction in treaty implementation delays attributable to Al-Tawazun early warning and coordination.</w:t>
      </w:r>
    </w:p>
    <w:p w14:paraId="625D1919" w14:textId="77777777" w:rsidR="00FC09E2" w:rsidRDefault="00000000">
      <w:r>
        <w:rPr>
          <w:rFonts w:cs="Cambria"/>
          <w:szCs w:val="22"/>
        </w:rPr>
        <w:t>Stakeholder Satisfaction: Annual confidential surveys of signatory state representatives assessing the utility, neutrality, and responsiveness of Al-Tawazun.</w:t>
      </w:r>
    </w:p>
    <w:p w14:paraId="2898CF6A" w14:textId="77777777" w:rsidR="00FC09E2" w:rsidRDefault="00000000">
      <w:r>
        <w:rPr>
          <w:rFonts w:cs="Cambria"/>
          <w:szCs w:val="22"/>
        </w:rPr>
        <w:t>Lessons Implementation: The percentage of Lessons Learned Database recommendations implemented within twelve months of issuance. Target: above sixty percent.</w:t>
      </w:r>
    </w:p>
    <w:p w14:paraId="0959EE9A" w14:textId="77777777" w:rsidR="00FC09E2" w:rsidRDefault="00000000">
      <w:r>
        <w:rPr>
          <w:rFonts w:cs="Cambria"/>
          <w:szCs w:val="22"/>
        </w:rPr>
        <w:t>The Annual Stabilization Assessment reports all success metrics, compares current performance against targets, and identifies areas requiring improvement.</w:t>
      </w:r>
    </w:p>
    <w:p w14:paraId="5A233C4C" w14:textId="77777777" w:rsidR="00FC09E2" w:rsidRDefault="00000000">
      <w:pPr>
        <w:pStyle w:val="Heading2"/>
      </w:pPr>
      <w:bookmarkStart w:id="100" w:name="_Toc234334590"/>
      <w:r>
        <w:rPr>
          <w:rFonts w:cs="Cambria"/>
          <w:szCs w:val="28"/>
        </w:rPr>
        <w:t>8.8 False Data Registry</w:t>
      </w:r>
      <w:bookmarkEnd w:id="100"/>
    </w:p>
    <w:p w14:paraId="14CD0BD9" w14:textId="77777777" w:rsidR="00FC09E2" w:rsidRDefault="00000000">
      <w:r>
        <w:rPr>
          <w:rFonts w:cs="Cambria"/>
          <w:szCs w:val="22"/>
        </w:rPr>
        <w:t xml:space="preserve">Al-Tawazun maintains a confidential False Data Registry managed by the Director-General. The Registry tracks all data submissions from signatory states that are subsequently proven to be materially false. A submission enters the Registry only after the Independent Scientific Advisory </w:t>
      </w:r>
      <w:r>
        <w:rPr>
          <w:rFonts w:cs="Cambria"/>
          <w:szCs w:val="22"/>
        </w:rPr>
        <w:lastRenderedPageBreak/>
        <w:t>Board or the Technical Arbitration Panel issues a formal determination of material falsity based on documentary evidence.</w:t>
      </w:r>
    </w:p>
    <w:p w14:paraId="194C4E50" w14:textId="77777777" w:rsidR="00FC09E2" w:rsidRDefault="00000000">
      <w:r>
        <w:rPr>
          <w:rFonts w:cs="Cambria"/>
          <w:szCs w:val="22"/>
        </w:rPr>
        <w:t>Where a state accumulates three verified entries in the False Data Registry within any rolling twelve-month period, an automatic enhanced verification protocol activates against that state. The enhanced protocol includes: mandatory third-party corroboration for all data submissions from the state; increased monitoring frequency; and quarterly rather than annual review of the state's compliance data by the Joint Commission. The enhanced protocol remains active until twenty-four months have passed without a new Registry entry.</w:t>
      </w:r>
    </w:p>
    <w:p w14:paraId="1F651BAC" w14:textId="77777777" w:rsidR="00FC09E2" w:rsidRDefault="00000000">
      <w:r>
        <w:rPr>
          <w:rFonts w:cs="Cambria"/>
          <w:szCs w:val="22"/>
        </w:rPr>
        <w:t>The False Data Registry operates confidentially. It does not trigger public notices. The Director-General notifies the affected state of each Registry entry and provides the evidentiary basis for the determination. The state possesses the right to challenge the determination through the Formal Appeals Procedure under Article 7.2.</w:t>
      </w:r>
    </w:p>
    <w:p w14:paraId="04E34957" w14:textId="77777777" w:rsidR="00FC09E2" w:rsidRDefault="00000000">
      <w:pPr>
        <w:pStyle w:val="Heading2"/>
      </w:pPr>
      <w:bookmarkStart w:id="101" w:name="_Toc234334591"/>
      <w:r>
        <w:rPr>
          <w:rFonts w:cs="Cambria"/>
          <w:szCs w:val="28"/>
        </w:rPr>
        <w:t>8.9 Data Licensing and Independent Revenue</w:t>
      </w:r>
      <w:bookmarkEnd w:id="101"/>
    </w:p>
    <w:p w14:paraId="1E813665" w14:textId="77777777" w:rsidR="00FC09E2" w:rsidRDefault="00000000">
      <w:r>
        <w:rPr>
          <w:rFonts w:cs="Cambria"/>
          <w:szCs w:val="22"/>
        </w:rPr>
        <w:t>Al-Tawazun generates independent revenue through the licensing of anonymized, aggregated, non-sensitive monitoring data to commercial entities. Eligible licensees include shipping companies, agricultural insurers, commodity traders, and other entities that derive legitimate commercial value from regional stability data. All licensed data strips classified details, state identifiers, and operational specifics. Only aggregated trend data and anonymized movement patterns enter the licensing pool.</w:t>
      </w:r>
    </w:p>
    <w:p w14:paraId="5E108579" w14:textId="77777777" w:rsidR="00FC09E2" w:rsidRDefault="00000000">
      <w:r>
        <w:rPr>
          <w:rFonts w:cs="Cambria"/>
          <w:szCs w:val="22"/>
        </w:rPr>
        <w:t>Licensing fees enter the core operating budget. The Director-General approves all licensing agreements. The Independent Scientific Advisory Board reviews the anonymization protocols annually to ensure that licensed data cannot be reverse-engineered to identify specific states or operations. A strict firewall prevents commercialization from compromising neutrality. No licensee receives preferential access, advance notice of Treaty Trigger Notices, or classified assessments.</w:t>
      </w:r>
    </w:p>
    <w:p w14:paraId="3ADD696B" w14:textId="77777777" w:rsidR="00FC09E2" w:rsidRDefault="00000000">
      <w:r>
        <w:rPr>
          <w:rFonts w:cs="Cambria"/>
          <w:szCs w:val="22"/>
        </w:rPr>
        <w:t>Data Licensing reduces Al-Tawazun's dependence on state contributions. It creates a revenue stream that no single state controls or withholds. The licensing program operates transparently: Al-Tawazun publishes an annual Data Licensing Report listing the categories of data licensed, the aggregate revenue generated, and the anonymization standards applied.</w:t>
      </w:r>
    </w:p>
    <w:p w14:paraId="5B220E61" w14:textId="77777777" w:rsidR="00FC09E2" w:rsidRDefault="00000000">
      <w:pPr>
        <w:pStyle w:val="Heading2"/>
      </w:pPr>
      <w:bookmarkStart w:id="102" w:name="_Toc234334592"/>
      <w:r>
        <w:rPr>
          <w:rFonts w:cs="Cambria"/>
          <w:szCs w:val="28"/>
        </w:rPr>
        <w:t>8.10 Data Inadmissibility Shield</w:t>
      </w:r>
      <w:bookmarkEnd w:id="102"/>
    </w:p>
    <w:p w14:paraId="448E7747" w14:textId="77777777" w:rsidR="00FC09E2" w:rsidRDefault="00000000">
      <w:r>
        <w:rPr>
          <w:rFonts w:cs="Cambria"/>
          <w:szCs w:val="22"/>
        </w:rPr>
        <w:t>Data collected by Al-Tawazun is inadmissible in any criminal, administrative, or judicial proceeding before any international or national court, including the International Criminal Court, without the express written consent of the state from which the data was collected. This inadmissibility shield protects states from the risk that cooperation with Al-Tawazun exposes them to prosecution or sanctions. The shield applies to all data collected under all Monitoring Categories and all Deployment Categories. No exception exists for data collected during Category IV deployments.</w:t>
      </w:r>
    </w:p>
    <w:p w14:paraId="2882C90B" w14:textId="77777777" w:rsidR="00FC09E2" w:rsidRDefault="00000000">
      <w:r>
        <w:rPr>
          <w:rFonts w:cs="Cambria"/>
          <w:szCs w:val="22"/>
        </w:rPr>
        <w:lastRenderedPageBreak/>
        <w:t>The Data Inadmissibility Shield makes participation safe for states. A state that shares data with Al-Tawazun knows that the data serves stabilization only. The data cannot support a sanctions motion at the United Nations Security Council. It cannot justify an International Criminal Court indictment. It cannot form the basis of a domestic prosecution in any signatory state. This assurance is absolute and not subject to override by any political body.</w:t>
      </w:r>
    </w:p>
    <w:p w14:paraId="3C677434" w14:textId="77777777" w:rsidR="00FC09E2" w:rsidRDefault="00000000">
      <w:pPr>
        <w:pStyle w:val="Heading1"/>
      </w:pPr>
      <w:bookmarkStart w:id="103" w:name="_TocArt9"/>
      <w:bookmarkStart w:id="104" w:name="_Toc234334593"/>
      <w:r>
        <w:rPr>
          <w:rFonts w:cs="Cambria"/>
          <w:szCs w:val="36"/>
        </w:rPr>
        <w:t>Article 9: Rapid Response</w:t>
      </w:r>
      <w:bookmarkEnd w:id="103"/>
      <w:bookmarkEnd w:id="104"/>
    </w:p>
    <w:p w14:paraId="67E1B41F" w14:textId="77777777" w:rsidR="00FC09E2" w:rsidRDefault="00000000">
      <w:r>
        <w:rPr>
          <w:rFonts w:cs="Cambria"/>
          <w:szCs w:val="22"/>
        </w:rPr>
        <w:t>Preventer Teams respond to crises through four primary functions:</w:t>
      </w:r>
    </w:p>
    <w:p w14:paraId="58C8032B" w14:textId="77777777" w:rsidR="00FC09E2" w:rsidRDefault="00000000">
      <w:pPr>
        <w:pStyle w:val="Heading2"/>
      </w:pPr>
      <w:bookmarkStart w:id="105" w:name="_Toc234334594"/>
      <w:r>
        <w:rPr>
          <w:rFonts w:cs="Cambria"/>
          <w:szCs w:val="28"/>
        </w:rPr>
        <w:t>9.1 Mediation</w:t>
      </w:r>
      <w:bookmarkEnd w:id="105"/>
    </w:p>
    <w:p w14:paraId="0C2E76C5" w14:textId="77777777" w:rsidR="00FC09E2" w:rsidRDefault="00000000">
      <w:r>
        <w:rPr>
          <w:rFonts w:cs="Cambria"/>
          <w:szCs w:val="22"/>
        </w:rPr>
        <w:t>Preventer Teams mediate between conflicting parties at the operational level. They do not negotiate political settlements. They resolve misunderstandings, clarify intentions, and identify mutual interests in de-escalation. Their mediation is technical and confidential.</w:t>
      </w:r>
    </w:p>
    <w:p w14:paraId="6D8F177D" w14:textId="77777777" w:rsidR="00FC09E2" w:rsidRDefault="00000000">
      <w:pPr>
        <w:pStyle w:val="Heading2"/>
      </w:pPr>
      <w:bookmarkStart w:id="106" w:name="_Toc234334595"/>
      <w:r>
        <w:rPr>
          <w:rFonts w:cs="Cambria"/>
          <w:szCs w:val="28"/>
        </w:rPr>
        <w:t>9.2 Fact Verification</w:t>
      </w:r>
      <w:bookmarkEnd w:id="106"/>
    </w:p>
    <w:p w14:paraId="258511E5" w14:textId="77777777" w:rsidR="00FC09E2" w:rsidRDefault="00000000">
      <w:r>
        <w:rPr>
          <w:rFonts w:cs="Cambria"/>
          <w:szCs w:val="22"/>
        </w:rPr>
        <w:t>Preventer Teams verify facts on the ground through direct observation, joint inspection with host-state personnel, and technical measurement. Their findings are joint findings: signed by both Al-Tawazun and host-state representatives.</w:t>
      </w:r>
    </w:p>
    <w:p w14:paraId="7D0C3EDA" w14:textId="77777777" w:rsidR="00FC09E2" w:rsidRDefault="00000000">
      <w:pPr>
        <w:pStyle w:val="Heading2"/>
      </w:pPr>
      <w:bookmarkStart w:id="107" w:name="_Toc234334596"/>
      <w:r>
        <w:rPr>
          <w:rFonts w:cs="Cambria"/>
          <w:szCs w:val="28"/>
        </w:rPr>
        <w:t>9.3 Humanitarian Coordination</w:t>
      </w:r>
      <w:bookmarkEnd w:id="107"/>
    </w:p>
    <w:p w14:paraId="59D42808" w14:textId="77777777" w:rsidR="00FC09E2" w:rsidRDefault="00000000">
      <w:r>
        <w:rPr>
          <w:rFonts w:cs="Cambria"/>
          <w:szCs w:val="22"/>
        </w:rPr>
        <w:t>Preventer Teams coordinate humanitarian access during crises. They liaise between humanitarian organizations, military commanders, and government officials to establish safe corridors, de-conflict operations, and ensure that civilian protection remains a priority.</w:t>
      </w:r>
    </w:p>
    <w:p w14:paraId="3B10980B" w14:textId="77777777" w:rsidR="00FC09E2" w:rsidRDefault="00000000">
      <w:pPr>
        <w:pStyle w:val="Heading2"/>
      </w:pPr>
      <w:bookmarkStart w:id="108" w:name="_Toc234334597"/>
      <w:r>
        <w:rPr>
          <w:rFonts w:cs="Cambria"/>
          <w:szCs w:val="28"/>
        </w:rPr>
        <w:t>9.4 De-escalation Recommendation</w:t>
      </w:r>
      <w:bookmarkEnd w:id="108"/>
    </w:p>
    <w:p w14:paraId="06A5AF5F" w14:textId="77777777" w:rsidR="00FC09E2" w:rsidRDefault="00000000">
      <w:r>
        <w:rPr>
          <w:rFonts w:cs="Cambria"/>
          <w:szCs w:val="22"/>
        </w:rPr>
        <w:t>Preventer Teams recommend specific de-escalation steps to the parties and to the Joint Commission. These recommendations are technical, not political. They identify the specific actions that each party takes to reduce tension and restore stability.</w:t>
      </w:r>
    </w:p>
    <w:p w14:paraId="1D458D08" w14:textId="77777777" w:rsidR="00FC09E2" w:rsidRDefault="00000000">
      <w:pPr>
        <w:pStyle w:val="Heading2"/>
      </w:pPr>
      <w:bookmarkStart w:id="109" w:name="_Toc234334598"/>
      <w:r>
        <w:rPr>
          <w:rFonts w:cs="Cambria"/>
          <w:szCs w:val="28"/>
        </w:rPr>
        <w:t>9.5 Rapid Response Reserve</w:t>
      </w:r>
      <w:bookmarkEnd w:id="109"/>
    </w:p>
    <w:p w14:paraId="10402441" w14:textId="77777777" w:rsidR="00FC09E2" w:rsidRDefault="00000000">
      <w:r>
        <w:rPr>
          <w:rFonts w:cs="Cambria"/>
          <w:szCs w:val="22"/>
        </w:rPr>
        <w:t>Al-Tawazun maintains a Rapid Response Reserve: a pool of pre-cleared, pre-trained personnel on standby for immediate deployment. The Reserve comprises at least twenty-four personnel across all four Regional Nodes, with a minimum of six personnel per node on standby at all times.</w:t>
      </w:r>
    </w:p>
    <w:p w14:paraId="07BB9BDF" w14:textId="77777777" w:rsidR="00FC09E2" w:rsidRDefault="00000000">
      <w:pPr>
        <w:pStyle w:val="Heading2"/>
      </w:pPr>
      <w:bookmarkStart w:id="110" w:name="_Toc234334599"/>
      <w:r>
        <w:rPr>
          <w:rFonts w:cs="Cambria"/>
          <w:szCs w:val="28"/>
        </w:rPr>
        <w:lastRenderedPageBreak/>
        <w:t>9.6 Joint Training Exercises</w:t>
      </w:r>
      <w:bookmarkEnd w:id="110"/>
    </w:p>
    <w:p w14:paraId="43576DB6" w14:textId="77777777" w:rsidR="00FC09E2" w:rsidRDefault="00000000">
      <w:r>
        <w:rPr>
          <w:rFonts w:cs="Cambria"/>
          <w:szCs w:val="22"/>
        </w:rPr>
        <w:t>Once every year, Al-Tawazun conducts a Joint Training Exercise simulating a regional crisis. The Exercise tests: the speed and accuracy of Treaty Trigger Notice issuance; the coordination between Regional Nodes and the Central Directorate; the deployment procedures for all four Deployment Categories; the communications protocols between Al-Tawazun, the Joint Commission, and signatory states; and the effectiveness of Cooling-Off Protocols under simulated pressure.</w:t>
      </w:r>
    </w:p>
    <w:p w14:paraId="0C18C5B3" w14:textId="77777777" w:rsidR="00FC09E2" w:rsidRDefault="00000000">
      <w:r>
        <w:rPr>
          <w:rFonts w:cs="Cambria"/>
          <w:szCs w:val="22"/>
        </w:rPr>
        <w:t>All signatory states receive an invitation to participate in or observe the Exercise. Participation is voluntary. Observer status is available to all. The Exercise proceeds without real-world Treaty Trigger Notices; all triggers are simulated.</w:t>
      </w:r>
    </w:p>
    <w:p w14:paraId="2D650AB1" w14:textId="77777777" w:rsidR="00FC09E2" w:rsidRDefault="00000000">
      <w:r>
        <w:rPr>
          <w:rFonts w:cs="Cambria"/>
          <w:szCs w:val="22"/>
        </w:rPr>
        <w:t>Al-Tawazun publishes an After-Action Report within thirty days of each Exercise. The Report identifies strengths, weaknesses, and recommendations for procedural improvement. The Report feeds directly into the Lessons Learned Database.</w:t>
      </w:r>
    </w:p>
    <w:p w14:paraId="1857F7A7" w14:textId="77777777" w:rsidR="00FC09E2" w:rsidRDefault="00000000">
      <w:pPr>
        <w:pStyle w:val="Heading2"/>
      </w:pPr>
      <w:bookmarkStart w:id="111" w:name="_Toc234334600"/>
      <w:r>
        <w:rPr>
          <w:rFonts w:cs="Cambria"/>
          <w:szCs w:val="28"/>
        </w:rPr>
        <w:t>9.7 Graceful Surge: Standby Alert Authority</w:t>
      </w:r>
      <w:bookmarkEnd w:id="111"/>
    </w:p>
    <w:p w14:paraId="01C482DC" w14:textId="77777777" w:rsidR="00FC09E2" w:rsidRDefault="00000000">
      <w:r>
        <w:rPr>
          <w:rFonts w:cs="Cambria"/>
          <w:szCs w:val="22"/>
        </w:rPr>
        <w:t>The Deputy Director for Rapid Response possesses the authority to place Preventer Teams on Standby Alert during the seventy-two-hour Category III consent window. Under Standby Alert, teams pre-position at a Regional Node outside the host state, finalize deployment logistics, and maintain real-time coordination with the Central Directorate.</w:t>
      </w:r>
    </w:p>
    <w:p w14:paraId="6ADCE672" w14:textId="77777777" w:rsidR="00FC09E2" w:rsidRDefault="00000000">
      <w:pPr>
        <w:pStyle w:val="Heading2"/>
      </w:pPr>
      <w:bookmarkStart w:id="112" w:name="_Toc234334601"/>
      <w:r>
        <w:rPr>
          <w:rFonts w:cs="Cambria"/>
          <w:szCs w:val="28"/>
        </w:rPr>
        <w:t>9.8 Personal Liaison Networks</w:t>
      </w:r>
      <w:bookmarkEnd w:id="112"/>
    </w:p>
    <w:p w14:paraId="378189EB" w14:textId="77777777" w:rsidR="00FC09E2" w:rsidRDefault="00000000">
      <w:r>
        <w:rPr>
          <w:rFonts w:cs="Cambria"/>
          <w:szCs w:val="22"/>
        </w:rPr>
        <w:t>Each Senior Preventer maintains a personal liaison network across all participating states. The network includes military contacts, political contacts, technical contacts, and humanitarian contacts. During crises, Senior Preventers call people directly, not institutions. Crises are frequently de-escalated through trusted personal relationships and established communication channels rather than formal mechanisms alone. Al-Tawazun invests in these relationships during stable periods so they survive the first hour of crisis.</w:t>
      </w:r>
    </w:p>
    <w:p w14:paraId="7F94D981" w14:textId="77777777" w:rsidR="00FC09E2" w:rsidRDefault="00000000">
      <w:pPr>
        <w:pStyle w:val="Heading2"/>
      </w:pPr>
      <w:bookmarkStart w:id="113" w:name="_Toc234334602"/>
      <w:r>
        <w:rPr>
          <w:rFonts w:cs="Cambria"/>
          <w:szCs w:val="28"/>
        </w:rPr>
        <w:t>9.9 Permanent Crisis Liaison Officers</w:t>
      </w:r>
      <w:bookmarkEnd w:id="113"/>
    </w:p>
    <w:p w14:paraId="0C69219A" w14:textId="77777777" w:rsidR="00FC09E2" w:rsidRDefault="00000000">
      <w:r>
        <w:rPr>
          <w:rFonts w:cs="Cambria"/>
          <w:szCs w:val="22"/>
        </w:rPr>
        <w:t>Each signatory state appoints one Permanent Crisis Liaison Officer to Al-Tawazun. The Officer serves as the primary communication link between their government and the Stabilization Branch. Senior Preventers know these Officers personally. They have direct secure contact. When something starts going wrong, the Preventer does not send a memo. They call. Real crisis response depends on response time. The diplomatic equivalent is maintaining pre-established direct communication links that remain active during periods of tension.</w:t>
      </w:r>
    </w:p>
    <w:p w14:paraId="383ACE9D" w14:textId="77777777" w:rsidR="00FC09E2" w:rsidRDefault="00000000">
      <w:r>
        <w:rPr>
          <w:rFonts w:cs="Cambria"/>
          <w:szCs w:val="22"/>
        </w:rPr>
        <w:t xml:space="preserve">Liaison Officers participate in quarterly briefings at their Regional Node. They receive confidential trend assessments. They provide their government's perspective on emerging risks. They are not intelligence officers. They are communication specialists. Their value lies in speed: </w:t>
      </w:r>
      <w:r>
        <w:rPr>
          <w:rFonts w:cs="Cambria"/>
          <w:szCs w:val="22"/>
        </w:rPr>
        <w:lastRenderedPageBreak/>
        <w:t>when an incident occurs outside normal business hours, the Preventer contacts the Liaison Officer, who activates the designated government communication channel. This ensures that the relevant officials have context before the first news report.</w:t>
      </w:r>
    </w:p>
    <w:p w14:paraId="43152351" w14:textId="77777777" w:rsidR="00FC09E2" w:rsidRDefault="00000000">
      <w:pPr>
        <w:pStyle w:val="Heading2"/>
      </w:pPr>
      <w:bookmarkStart w:id="114" w:name="_Toc234334603"/>
      <w:r>
        <w:rPr>
          <w:rFonts w:cs="Cambria"/>
          <w:szCs w:val="28"/>
        </w:rPr>
        <w:t>9.10 Shuttle Mediation Teams</w:t>
      </w:r>
      <w:bookmarkEnd w:id="114"/>
    </w:p>
    <w:p w14:paraId="1CF8C2CE" w14:textId="77777777" w:rsidR="00FC09E2" w:rsidRDefault="00000000">
      <w:r>
        <w:rPr>
          <w:rFonts w:cs="Cambria"/>
          <w:szCs w:val="22"/>
        </w:rPr>
        <w:t>Where parties cannot or do not sit in the same room, Preventers travel between capitals carrying proposals, clarifications, and technical assessments. This is how many real negotiations actually happen. A Preventer meets the foreign minister in State A, records the position with precision, flies to State B, presents the position accurately, records the response, and returns. This shuttle process continues until both parties converge or until the divergence is clearly documented for the Joint Commission.</w:t>
      </w:r>
    </w:p>
    <w:p w14:paraId="0E560D4A" w14:textId="77777777" w:rsidR="00FC09E2" w:rsidRDefault="00000000">
      <w:pPr>
        <w:pStyle w:val="Heading2"/>
      </w:pPr>
      <w:bookmarkStart w:id="115" w:name="_Toc234334604"/>
      <w:r>
        <w:rPr>
          <w:rFonts w:cs="Cambria"/>
          <w:szCs w:val="28"/>
        </w:rPr>
        <w:t>9.11 Misunderstanding Resolution Missions</w:t>
      </w:r>
      <w:bookmarkEnd w:id="115"/>
    </w:p>
    <w:p w14:paraId="1648890E" w14:textId="77777777" w:rsidR="00FC09E2" w:rsidRDefault="00000000">
      <w:r>
        <w:rPr>
          <w:rFonts w:cs="Cambria"/>
          <w:szCs w:val="22"/>
        </w:rPr>
        <w:t>Al-Tawazun authorizes Misunderstanding Resolution Missions for disputed incidents before they harden into narratives. Examples include: radar anomalies that suggest hostile aircraft; military exercises misinterpreted as mobilization; cyber incidents of uncertain origin; and border clashes where each side claims provocation. The Mission deploys within twelve hours with a single objective: determine what actually happened before governments act on incomplete information.</w:t>
      </w:r>
    </w:p>
    <w:p w14:paraId="77BEA843" w14:textId="77777777" w:rsidR="00FC09E2" w:rsidRDefault="00000000">
      <w:r>
        <w:rPr>
          <w:rFonts w:cs="Cambria"/>
          <w:szCs w:val="22"/>
        </w:rPr>
        <w:t>The Mission produces a factual assessment, not a political judgment. The assessment states: what occurred; what did not occur; and what remains unknown. Both parties receive the assessment simultaneously. Where the facts support one party's narrative, that finding is documented without accusation. Where facts remain ambiguous, the assessment says so explicitly. Unchecked assumptions regarding incidents of uncertain origin frequently contribute to escalation. Misunderstanding Resolution Missions establish authoritative factual records that inform decision-making.</w:t>
      </w:r>
    </w:p>
    <w:p w14:paraId="684A0BCC" w14:textId="77777777" w:rsidR="00FC09E2" w:rsidRDefault="00000000">
      <w:pPr>
        <w:pStyle w:val="Heading2"/>
      </w:pPr>
      <w:bookmarkStart w:id="116" w:name="_Toc234334605"/>
      <w:r>
        <w:rPr>
          <w:rFonts w:cs="Cambria"/>
          <w:szCs w:val="28"/>
        </w:rPr>
        <w:t>9.12 Preventer Reputation System</w:t>
      </w:r>
      <w:bookmarkEnd w:id="116"/>
    </w:p>
    <w:p w14:paraId="7BB37BE1" w14:textId="77777777" w:rsidR="00FC09E2" w:rsidRDefault="00000000">
      <w:r>
        <w:rPr>
          <w:rFonts w:cs="Cambria"/>
          <w:szCs w:val="22"/>
        </w:rPr>
        <w:t>Al-Tawazun maintains an internal Reputation System tracking each Preventer's record for neutrality, accuracy, and successful de-escalations. The System is confidential. It is not published. It serves two purposes: identifying which Preventers excel in specific regional or technical contexts; and enabling states to request specific Preventers when trust matters.</w:t>
      </w:r>
    </w:p>
    <w:p w14:paraId="2FA460B9" w14:textId="77777777" w:rsidR="00FC09E2" w:rsidRDefault="00000000">
      <w:r>
        <w:rPr>
          <w:rFonts w:cs="Cambria"/>
          <w:szCs w:val="22"/>
        </w:rPr>
        <w:t>When a crisis occurs, states request specific Preventers by name. Al-Tawazun honors these requests where operational constraints permit. People trust individuals before they trust institutions. A Preventer who has successfully de-escalated three previous crises in a region brings credibility that no organizational chart conveys. The Reputation System ensures that the best Preventers are deployed where they matter most.</w:t>
      </w:r>
    </w:p>
    <w:p w14:paraId="501F67F5" w14:textId="77777777" w:rsidR="00FC09E2" w:rsidRDefault="00000000">
      <w:pPr>
        <w:pStyle w:val="Heading2"/>
      </w:pPr>
      <w:bookmarkStart w:id="117" w:name="_Toc234334606"/>
      <w:r>
        <w:rPr>
          <w:rFonts w:cs="Cambria"/>
          <w:szCs w:val="28"/>
        </w:rPr>
        <w:lastRenderedPageBreak/>
        <w:t>9.13 Civil Society Channel</w:t>
      </w:r>
      <w:bookmarkEnd w:id="117"/>
    </w:p>
    <w:p w14:paraId="5FE3F82B" w14:textId="77777777" w:rsidR="00FC09E2" w:rsidRDefault="00000000">
      <w:r>
        <w:rPr>
          <w:rFonts w:cs="Cambria"/>
          <w:szCs w:val="22"/>
        </w:rPr>
        <w:t>Al-Tawazun maintains structured contact with civil society actors including universities, local NGOs, business communities, and humanitarian groups. This is not intelligence gathering. It is situational awareness. Civil society actors often perceive emerging risks before governments acknowledge them. A university research center tracking water scarcity, a business association monitoring supply chain disruptions, or a humanitarian organization observing population movements provides data that no satellite captures.</w:t>
      </w:r>
    </w:p>
    <w:p w14:paraId="47B4857A" w14:textId="77777777" w:rsidR="00FC09E2" w:rsidRDefault="00000000">
      <w:r>
        <w:rPr>
          <w:rFonts w:cs="Cambria"/>
          <w:szCs w:val="22"/>
        </w:rPr>
        <w:t>The Civil Society Channel operates through formal partnerships with regional academic and humanitarian networks. Senior Preventers meet with partner organizations quarterly. The meetings produce anonymized trend reports that feed into the Trigger Matrix as secondary indicators. No civil society organization has access to confidential state data. No state has access to civil society source identities. This firewall protects both sides.</w:t>
      </w:r>
    </w:p>
    <w:p w14:paraId="73717CD3" w14:textId="77777777" w:rsidR="00FC09E2" w:rsidRDefault="00000000">
      <w:pPr>
        <w:pStyle w:val="Heading2"/>
      </w:pPr>
      <w:bookmarkStart w:id="118" w:name="_Toc234334607"/>
      <w:r>
        <w:rPr>
          <w:rFonts w:cs="Cambria"/>
          <w:szCs w:val="28"/>
        </w:rPr>
        <w:t>9.14 Rapid Clarification Missions</w:t>
      </w:r>
      <w:bookmarkEnd w:id="118"/>
    </w:p>
    <w:p w14:paraId="63CE8CE2" w14:textId="77777777" w:rsidR="00FC09E2" w:rsidRDefault="00000000">
      <w:r>
        <w:rPr>
          <w:rFonts w:cs="Cambria"/>
          <w:szCs w:val="22"/>
        </w:rPr>
        <w:t>Where a potentially destabilizing event occurs, Al-Tawazun deploys a Rapid Clarification Mission within twelve hours. The Mission contacts both sides simultaneously through pre-established secure channels and asks three questions: Was this intentional? Was this a test or exercise? Was this an accident or technical malfunction? The answers, or the absence of answers, inform the initial assessment.</w:t>
      </w:r>
    </w:p>
    <w:p w14:paraId="05FF990A" w14:textId="77777777" w:rsidR="00FC09E2" w:rsidRDefault="00000000">
      <w:r>
        <w:rPr>
          <w:rFonts w:cs="Cambria"/>
          <w:szCs w:val="22"/>
        </w:rPr>
        <w:t>Many crises die at the clarification stage. A missile launch detected by radar becomes less alarming when the launching state confirms it was a scheduled test with coordinates filed six months ago. A cyber incident loses urgency when both sides agree it originated from a criminal group, not a government. Rapid Clarification Missions replace panic with facts before governments commit to responses they cannot reverse.</w:t>
      </w:r>
    </w:p>
    <w:p w14:paraId="399ECD6E" w14:textId="77777777" w:rsidR="00FC09E2" w:rsidRDefault="00000000">
      <w:pPr>
        <w:pStyle w:val="Heading2"/>
      </w:pPr>
      <w:bookmarkStart w:id="119" w:name="_Toc234334608"/>
      <w:r>
        <w:rPr>
          <w:rFonts w:cs="Cambria"/>
          <w:szCs w:val="28"/>
        </w:rPr>
        <w:t>9.15 Incident Clarification Mechanism</w:t>
      </w:r>
      <w:bookmarkEnd w:id="119"/>
    </w:p>
    <w:p w14:paraId="1C3BC2AA" w14:textId="77777777" w:rsidR="00FC09E2" w:rsidRDefault="00000000">
      <w:r>
        <w:rPr>
          <w:rFonts w:cs="Cambria"/>
          <w:szCs w:val="22"/>
        </w:rPr>
        <w:t>Al-Tawazun maintains standing authority to issue Clarification Requests for incidents that could escalate but have not yet crossed any Trigger Matrix threshold. A Clarification Request is a formal communication to the states involved asking three questions within twenty-four hours: What happened? What did not happen? What remains unknown? The Request goes through Permanent Crisis Liaison Officers under Article 9.8 who have pre-established direct contact with each signatory.</w:t>
      </w:r>
    </w:p>
    <w:p w14:paraId="3BA7B519" w14:textId="77777777" w:rsidR="00FC09E2" w:rsidRDefault="00000000">
      <w:r>
        <w:rPr>
          <w:rFonts w:cs="Cambria"/>
          <w:szCs w:val="22"/>
        </w:rPr>
        <w:t>The objective is to establish facts before governments commit to responses based on unverified information. A radar contact that looks like hostile aircraft is possibly a commercial flight with a transponder failure. A cyber incident that appears state-sponsored is possibly criminal ransomware. A border clash that seems like provocation is possibly a local commander acting without authorization. Clarification Requests establish facts before narratives harden and before either side commits to a response it cannot reverse.</w:t>
      </w:r>
    </w:p>
    <w:p w14:paraId="2BDB428C" w14:textId="77777777" w:rsidR="00FC09E2" w:rsidRDefault="00000000">
      <w:pPr>
        <w:pStyle w:val="Heading2"/>
      </w:pPr>
      <w:bookmarkStart w:id="120" w:name="_Toc234334609"/>
      <w:r>
        <w:rPr>
          <w:rFonts w:cs="Cambria"/>
          <w:szCs w:val="28"/>
        </w:rPr>
        <w:lastRenderedPageBreak/>
        <w:t>9.16 Preventer Posture and Credentials</w:t>
      </w:r>
      <w:bookmarkEnd w:id="120"/>
    </w:p>
    <w:p w14:paraId="1594ACC2" w14:textId="77777777" w:rsidR="00FC09E2" w:rsidRDefault="00000000">
      <w:r>
        <w:rPr>
          <w:rFonts w:cs="Cambria"/>
          <w:szCs w:val="22"/>
        </w:rPr>
        <w:t>Preventers deploy without military uniforms, without weapons, and without enforcement authority. They carry civilian credentials identifying them as technical specialists and mediators under United Nations auspices. Their backgrounds emphasize engineering, diplomacy, humanitarian operations, and regional expertise rather than security or intelligence. The more they resemble technical consultants and the less they resemble inspectors, the more states tolerate their presence.</w:t>
      </w:r>
    </w:p>
    <w:p w14:paraId="03B4554A" w14:textId="77777777" w:rsidR="00FC09E2" w:rsidRDefault="00000000">
      <w:r>
        <w:rPr>
          <w:rFonts w:cs="Cambria"/>
          <w:szCs w:val="22"/>
        </w:rPr>
        <w:t>Preventers travel in small teams of two to five personnel. They drive unmarked vehicles, stay in civilian accommodations, and conduct themselves as guests of the host state rather than as authorities. This low-visibility posture reduces political friction and preserves the perception that Preventers are facilitators, not enforcers. The goal is being visible enough to deter miscalculation and quiet enough to avoid becoming the story.</w:t>
      </w:r>
    </w:p>
    <w:p w14:paraId="38389DF2" w14:textId="77777777" w:rsidR="00FC09E2" w:rsidRDefault="00000000">
      <w:pPr>
        <w:pStyle w:val="Heading2"/>
      </w:pPr>
      <w:bookmarkStart w:id="121" w:name="_Toc234334610"/>
      <w:r>
        <w:rPr>
          <w:rFonts w:cs="Cambria"/>
          <w:szCs w:val="28"/>
        </w:rPr>
        <w:t>9.17 Cooling Measure Recommendations</w:t>
      </w:r>
      <w:bookmarkEnd w:id="121"/>
    </w:p>
    <w:p w14:paraId="6F10313E" w14:textId="77777777" w:rsidR="00FC09E2" w:rsidRDefault="00000000">
      <w:r>
        <w:rPr>
          <w:rFonts w:cs="Cambria"/>
          <w:szCs w:val="22"/>
        </w:rPr>
        <w:t>Preventers recommend temporary Cooling Measures to parties during periods of rising tension. These recommendations are not orders. They are not binding. They are suggestions based on historical evidence of de-escalation. Examples include: postpone a scheduled military exercise; delay a missile test; move naval vessels further apart; activate dormant hotlines; and issue clarifying public statements to counter inflammatory media coverage.</w:t>
      </w:r>
    </w:p>
    <w:p w14:paraId="5B3DF9AE" w14:textId="77777777" w:rsidR="00FC09E2" w:rsidRDefault="00000000">
      <w:r>
        <w:rPr>
          <w:rFonts w:cs="Cambria"/>
          <w:szCs w:val="22"/>
        </w:rPr>
        <w:t>Many governments accept a recommendation they would reject as a demand. The Cooling Measure is presented as a technical suggestion, not a political requirement. The Preventer explains: this action reduces the risk of miscalculation. The state decides whether to accept. Where a state accepts, Al-Tawazun notes the acceptance in its internal record. Where a state declines, the Preventer documents the declination without judgment. The purpose is to expand the menu of available de-escalation options, not to compel specific choices.</w:t>
      </w:r>
    </w:p>
    <w:p w14:paraId="73A06040" w14:textId="77777777" w:rsidR="00FC09E2" w:rsidRDefault="00000000">
      <w:pPr>
        <w:pStyle w:val="Heading2"/>
      </w:pPr>
      <w:bookmarkStart w:id="122" w:name="_Toc234334611"/>
      <w:r>
        <w:rPr>
          <w:rFonts w:cs="Cambria"/>
          <w:szCs w:val="28"/>
        </w:rPr>
        <w:t>9.18 Relationship Maintenance Mandate</w:t>
      </w:r>
      <w:bookmarkEnd w:id="122"/>
    </w:p>
    <w:p w14:paraId="6A99617F" w14:textId="77777777" w:rsidR="00FC09E2" w:rsidRDefault="00000000">
      <w:r>
        <w:rPr>
          <w:rFonts w:cs="Cambria"/>
          <w:szCs w:val="22"/>
        </w:rPr>
        <w:t>Preventers spend a substantial portion of their time on relationship maintenance rather than crisis response. This mandate includes: hosting workshops on technical subjects that bring together specialists from rival states; maintaining military hotlines and testing them monthly; conducting informal dialogues where participants speak personally rather than officially; facilitating professional exchanges between military officers, diplomats, and technical specialists; and preserving personal relationships between individuals on opposite sides of regional rivalries.</w:t>
      </w:r>
    </w:p>
    <w:p w14:paraId="193E34DC" w14:textId="77777777" w:rsidR="00FC09E2" w:rsidRDefault="00000000">
      <w:r>
        <w:rPr>
          <w:rFonts w:cs="Cambria"/>
          <w:szCs w:val="22"/>
        </w:rPr>
        <w:t xml:space="preserve">Pre-established communication channels remain functional during crises because trust and relationships were systematically cultivated during stable periods. A general who has shared a conference table with his counterpart three times treats that counterpart differently during a border incident. A diplomat who has hosted his rival for dinner responds to a midnight phone call with less suspicion. Al-Tawazun invests in these relationships deliberately, knowing that the </w:t>
      </w:r>
      <w:r>
        <w:rPr>
          <w:rFonts w:cs="Cambria"/>
          <w:szCs w:val="22"/>
        </w:rPr>
        <w:lastRenderedPageBreak/>
        <w:t>personal connections formed during workshops and exchanges are the infrastructure of de-escalation.</w:t>
      </w:r>
    </w:p>
    <w:p w14:paraId="027E88BC" w14:textId="77777777" w:rsidR="00FC09E2" w:rsidRDefault="00000000">
      <w:r>
        <w:rPr>
          <w:rFonts w:cs="Cambria"/>
          <w:szCs w:val="22"/>
        </w:rPr>
        <w:t>If the host state denies Category III concurrence, the Standby Alert team transitions to Humanitarian Coordination status under Article 9.3 and deploys to the border region. This deployment operates under the humanitarian access provisions and does not constitute Category III entry. The team coordinates with humanitarian organizations, establishes observation positions, and maintains readiness for immediate transition to full deployment if conditions change.</w:t>
      </w:r>
    </w:p>
    <w:p w14:paraId="4B50393C" w14:textId="77777777" w:rsidR="00FC09E2" w:rsidRDefault="00000000">
      <w:r>
        <w:rPr>
          <w:rFonts w:cs="Cambria"/>
          <w:szCs w:val="22"/>
        </w:rPr>
        <w:t>The Standby Alert mechanism ensures that Al-Tawazun maintains physical proximity to emerging crises without technically violating a host state's denial of Category III entry. If the situation devolves and the Joint Commission authorizes Category IV, the pre-positioned team reduces deployment time from ninety-six hours to under twenty-four hours. The Deputy Director documents the Standby Alert activation, the basis for the alert, and the team\s pre-positioning location in the Central Directorate's operational log.</w:t>
      </w:r>
    </w:p>
    <w:p w14:paraId="5FB0A1B1" w14:textId="77777777" w:rsidR="00FC09E2" w:rsidRDefault="00000000">
      <w:pPr>
        <w:pStyle w:val="Heading1"/>
      </w:pPr>
      <w:bookmarkStart w:id="123" w:name="_TocArt10"/>
      <w:bookmarkStart w:id="124" w:name="_Toc234334612"/>
      <w:r>
        <w:rPr>
          <w:rFonts w:cs="Cambria"/>
          <w:szCs w:val="36"/>
        </w:rPr>
        <w:t>Article 10: Sovereignty Safeguards</w:t>
      </w:r>
      <w:bookmarkEnd w:id="123"/>
      <w:bookmarkEnd w:id="124"/>
    </w:p>
    <w:p w14:paraId="1637ED8D" w14:textId="77777777" w:rsidR="00FC09E2" w:rsidRDefault="00000000">
      <w:r>
        <w:rPr>
          <w:rFonts w:cs="Cambria"/>
          <w:szCs w:val="22"/>
        </w:rPr>
        <w:t>The following provisions ensure that Al-Tawazun respects and enhances the sovereignty of all signatory states. Al-Tawazun functions as a Sovereignty Enhancer, not merely a restraint mechanism. These provisions are structural features of the framework, not concessions by any individual state. Sovereignty Enhancement includes: independent verification that allows a state to credibly rebut accusations from adversaries; certification that unlocks development assistance, trade preferences, and investment; and de-confliction of military movements that prevents accidental escalations neither side wants.</w:t>
      </w:r>
    </w:p>
    <w:p w14:paraId="7AA1036D" w14:textId="77777777" w:rsidR="00FC09E2" w:rsidRDefault="00000000">
      <w:r>
        <w:rPr>
          <w:rFonts w:cs="Cambria"/>
          <w:szCs w:val="22"/>
        </w:rPr>
        <w:t>No Unilateral Access to Sensitive Sites: The framework architecture excludes unilateral Al-Tawazun access to military installations, government facilities, and other sensitive sites. All access proceeds through joint arrangements with host-state personnel present at all times.</w:t>
      </w:r>
    </w:p>
    <w:p w14:paraId="0E0D5833" w14:textId="77777777" w:rsidR="00FC09E2" w:rsidRDefault="00000000">
      <w:r>
        <w:rPr>
          <w:rFonts w:cs="Cambria"/>
          <w:szCs w:val="22"/>
        </w:rPr>
        <w:t>Host-State Concurrence for Deployments: Categories III and IV deployments require host-state concurrence. Category II deployments operate on a presumption of consent that the host state actively overrides if it objects. Only Categories I and II proceed without explicit concurrence.</w:t>
      </w:r>
    </w:p>
    <w:p w14:paraId="30FD49B6" w14:textId="77777777" w:rsidR="00FC09E2" w:rsidRDefault="00000000">
      <w:r>
        <w:rPr>
          <w:rFonts w:cs="Cambria"/>
          <w:szCs w:val="22"/>
        </w:rPr>
        <w:t>Opt-In Monitoring Categories: Each signatory state selects which Monitoring Categories it participates in upon ratification. Category A covers nuclear facilities. Category B covers conventional military mobilization. Category C covers cyber infrastructure. Category D covers sanctions compliance. Category E covers humanitarian coordination. A state opts out of any category by notifying the Director-General in writing. By opting out, the state forfeits its right to object to Al-Tawazun monitoring that category on its territory. Opt-out is permanent until the state provides written notice of re-entry.</w:t>
      </w:r>
    </w:p>
    <w:p w14:paraId="000192E7" w14:textId="77777777" w:rsidR="00FC09E2" w:rsidRDefault="00000000">
      <w:r>
        <w:rPr>
          <w:rFonts w:cs="Cambria"/>
          <w:szCs w:val="22"/>
        </w:rPr>
        <w:t>Intelligence Collection Exclusion: The framework architecture excludes intelligence collection beyond the agreed monitoring channels. Al-Tawazun does not operate human intelligence networks, electronic surveillance systems, or signals intelligence capabilities.</w:t>
      </w:r>
    </w:p>
    <w:p w14:paraId="576D5BD8" w14:textId="77777777" w:rsidR="00FC09E2" w:rsidRDefault="00000000">
      <w:r>
        <w:rPr>
          <w:rFonts w:cs="Cambria"/>
          <w:szCs w:val="22"/>
        </w:rPr>
        <w:lastRenderedPageBreak/>
        <w:t>Annual Review by Signatory States: The Joint Commission reviews Al-Tawazun operations annually. Signatory states propose modifications to the mandate, the Trigger Matrix, the Deployment Categories, and the operational procedures.</w:t>
      </w:r>
    </w:p>
    <w:p w14:paraId="19694297" w14:textId="77777777" w:rsidR="00FC09E2" w:rsidRDefault="00000000">
      <w:r>
        <w:rPr>
          <w:rFonts w:cs="Cambria"/>
          <w:szCs w:val="22"/>
        </w:rPr>
        <w:t>Sanctions Relief Linkage: Al-Tawazun participation automatically links to tangible, verifiable benefits under Annex SRCA (Sanctions Relief). A state that accepts Category I monitoring receives a five percent acceleration in sanctions relief disbursements. A state that accepts Category II monitoring receives a ten percent acceleration. A state that accepts Category III monitoring receives a twenty percent acceleration. These benefits are automatic, not discretionary. No Joint Commission vote or Troika vote is required. The Independent Scientific Advisory Board certifies eligibility based on the state's actual Monitoring Category participation. This linkage gives the host state a powerful domestic argument: participation delivers sanctions relief, not surrender.</w:t>
      </w:r>
    </w:p>
    <w:p w14:paraId="762C6961" w14:textId="77777777" w:rsidR="00FC09E2" w:rsidRDefault="00000000">
      <w:pPr>
        <w:pStyle w:val="Heading2"/>
      </w:pPr>
      <w:bookmarkStart w:id="125" w:name="_Toc234334613"/>
      <w:r>
        <w:rPr>
          <w:rFonts w:cs="Cambria"/>
          <w:szCs w:val="28"/>
        </w:rPr>
        <w:t>10.1 Institutional Independence</w:t>
      </w:r>
      <w:bookmarkEnd w:id="125"/>
    </w:p>
    <w:p w14:paraId="20D395DE" w14:textId="77777777" w:rsidR="00FC09E2" w:rsidRDefault="00000000">
      <w:r>
        <w:rPr>
          <w:rFonts w:cs="Cambria"/>
          <w:szCs w:val="22"/>
        </w:rPr>
        <w:t>The framework architecture explicitly prohibits Al-Tawazun from accepting operational direction from any individual government. The Director-General reports exclusively to the Joint Commission. No single signatory state, group of states, or external entity directs Al-Tawazun operations.</w:t>
      </w:r>
    </w:p>
    <w:p w14:paraId="70292137" w14:textId="77777777" w:rsidR="00FC09E2" w:rsidRDefault="00000000">
      <w:r>
        <w:rPr>
          <w:rFonts w:cs="Cambria"/>
          <w:szCs w:val="22"/>
        </w:rPr>
        <w:t>Al-Tawazun is prohibited from accepting political instructions outside the agreed governance structure. The Joint Commission provides political guidance through formal resolutions. Individual states, organizations, or officials do not provide informal political instructions.</w:t>
      </w:r>
    </w:p>
    <w:p w14:paraId="74EC2454" w14:textId="77777777" w:rsidR="00FC09E2" w:rsidRDefault="00000000">
      <w:r>
        <w:rPr>
          <w:rFonts w:cs="Cambria"/>
          <w:szCs w:val="22"/>
        </w:rPr>
        <w:t>The Director-General reports any attempt by any party to provide unauthorized operational direction or political instruction. The report goes to the Joint Commission Chair and the Guarantor Matrix. The Joint Commission reviews the report at its next session and takes appropriate action.</w:t>
      </w:r>
    </w:p>
    <w:p w14:paraId="223A9358" w14:textId="77777777" w:rsidR="00FC09E2" w:rsidRDefault="00000000">
      <w:r>
        <w:rPr>
          <w:rFonts w:cs="Cambria"/>
          <w:szCs w:val="22"/>
        </w:rPr>
        <w:t>The institutional independence of Al-Tawazun is a structural feature, not a courtesy. It exists to protect the neutrality of the Stabilization Branch and to ensure that all signatory states trust its assessments regardless of which state currently holds political influence.</w:t>
      </w:r>
    </w:p>
    <w:p w14:paraId="3C334EF1" w14:textId="77777777" w:rsidR="00FC09E2" w:rsidRDefault="00000000">
      <w:pPr>
        <w:pStyle w:val="Heading2"/>
      </w:pPr>
      <w:bookmarkStart w:id="126" w:name="_Toc234334614"/>
      <w:r>
        <w:rPr>
          <w:rFonts w:cs="Cambria"/>
          <w:szCs w:val="28"/>
        </w:rPr>
        <w:t>10.2 Rolling Horizon Mandate</w:t>
      </w:r>
      <w:bookmarkEnd w:id="126"/>
    </w:p>
    <w:p w14:paraId="17684154" w14:textId="77777777" w:rsidR="00FC09E2" w:rsidRDefault="00000000">
      <w:r>
        <w:rPr>
          <w:rFonts w:cs="Cambria"/>
          <w:szCs w:val="22"/>
        </w:rPr>
        <w:t>Al-Tawazun operates under a rolling five-year horizon with annual performance review. The mandate does not sunset; it renews automatically unless the Joint Commission votes to modify or dissolve. This rolling horizon provides institutional stability while preserving the authority of signatory states to reform or terminate the institution.</w:t>
      </w:r>
    </w:p>
    <w:p w14:paraId="159EFBD3" w14:textId="77777777" w:rsidR="00FC09E2" w:rsidRDefault="00000000">
      <w:r>
        <w:rPr>
          <w:rFonts w:cs="Cambria"/>
          <w:szCs w:val="22"/>
        </w:rPr>
        <w:t>The rolling horizon replaces a fixed-term sunset with a continuous evaluation cycle. Each annual review considers whether the institution continues to serve the peace architecture effectively. Where the review identifies serious concerns, the Joint Commission initiates a reform process rather than automatic dissolution.</w:t>
      </w:r>
    </w:p>
    <w:p w14:paraId="0F2F8BFF" w14:textId="77777777" w:rsidR="00FC09E2" w:rsidRDefault="00000000">
      <w:pPr>
        <w:pStyle w:val="Heading2"/>
      </w:pPr>
      <w:bookmarkStart w:id="127" w:name="_Toc234334615"/>
      <w:r>
        <w:rPr>
          <w:rFonts w:cs="Cambria"/>
          <w:szCs w:val="28"/>
        </w:rPr>
        <w:lastRenderedPageBreak/>
        <w:t>10.3 Technical Assistance First</w:t>
      </w:r>
      <w:bookmarkEnd w:id="127"/>
    </w:p>
    <w:p w14:paraId="2E1A6DE9" w14:textId="77777777" w:rsidR="00FC09E2" w:rsidRDefault="00000000">
      <w:r>
        <w:rPr>
          <w:rFonts w:cs="Cambria"/>
          <w:szCs w:val="22"/>
        </w:rPr>
        <w:t>Al-Tawazun's primary function is technical assistance, not monitoring. Every Regional Node offers free, on-demand technical expertise to any signatory state: satellite imagery analysis, customs modernization, radiation detection equipment, cyber defense training, and humanitarian logistics coordination. Monitoring is a secondary function that activates only where a state requests it or where indicators cross high thresholds.</w:t>
      </w:r>
    </w:p>
    <w:p w14:paraId="46F746EE" w14:textId="77777777" w:rsidR="00FC09E2" w:rsidRDefault="00000000">
      <w:r>
        <w:rPr>
          <w:rFonts w:cs="Cambria"/>
          <w:szCs w:val="22"/>
        </w:rPr>
        <w:t>This inversion of the default posture transforms the political psychology of cooperation. Al-Tawazun is a benefit, not a threat. States seek cooperation because it delivers tangible technical advantages. Monitoring becomes something states want, not something they endure. The Technical Assistance First principle ensures that the first interaction between Al-Tawazun and a signatory state is helpful, not intrusive.</w:t>
      </w:r>
    </w:p>
    <w:p w14:paraId="1768F6A6" w14:textId="77777777" w:rsidR="00FC09E2" w:rsidRDefault="00000000">
      <w:pPr>
        <w:pStyle w:val="Heading1"/>
      </w:pPr>
      <w:bookmarkStart w:id="128" w:name="_TocArt11"/>
      <w:bookmarkStart w:id="129" w:name="_Toc234334616"/>
      <w:r>
        <w:rPr>
          <w:rFonts w:cs="Cambria"/>
          <w:szCs w:val="36"/>
        </w:rPr>
        <w:t>Article 11: Integration with the Peace Architecture</w:t>
      </w:r>
      <w:bookmarkEnd w:id="128"/>
      <w:bookmarkEnd w:id="129"/>
    </w:p>
    <w:p w14:paraId="30CAFE25" w14:textId="77777777" w:rsidR="00FC09E2" w:rsidRDefault="00000000">
      <w:r>
        <w:rPr>
          <w:rFonts w:cs="Cambria"/>
          <w:szCs w:val="22"/>
        </w:rPr>
        <w:t>Al-Tawazun functions as the operating system of the broader peace architecture. It operates as a standalone United Nations office under the Department of Political and Peacebuilding Affairs. It does not replace existing institutions. It monitors them, coordinates between them, and activates stabilizers when the system drifts toward crisis. Al-Tawazun coordinates with the MENOC Framework and all associated annexes but derives its authority from the United Nations Charter. States participate in Al-Tawazun without endorsing the entire MENOC architecture.</w:t>
      </w:r>
    </w:p>
    <w:p w14:paraId="7684A1FC" w14:textId="77777777" w:rsidR="00FC09E2" w:rsidRDefault="00000000">
      <w:pPr>
        <w:pStyle w:val="Heading2"/>
      </w:pPr>
      <w:bookmarkStart w:id="130" w:name="_Toc234334617"/>
      <w:r>
        <w:rPr>
          <w:rFonts w:cs="Cambria"/>
          <w:szCs w:val="28"/>
        </w:rPr>
        <w:t>11.1 Integration with Annex ES (Escrow and Triggers)</w:t>
      </w:r>
      <w:bookmarkEnd w:id="130"/>
    </w:p>
    <w:p w14:paraId="59474ADD" w14:textId="77777777" w:rsidR="00FC09E2" w:rsidRDefault="00000000">
      <w:r>
        <w:rPr>
          <w:rFonts w:cs="Cambria"/>
          <w:szCs w:val="22"/>
        </w:rPr>
        <w:t>Al-Tawazun monitors the Step-Back and Earn-Back triggers under Annex ES before those triggers activate. It provides early warning of potential compliance failures and activates Cooling-Off Protocols before Step-Back becomes automatic.</w:t>
      </w:r>
    </w:p>
    <w:p w14:paraId="1F0FE61D" w14:textId="77777777" w:rsidR="00FC09E2" w:rsidRDefault="00000000">
      <w:r>
        <w:rPr>
          <w:rFonts w:cs="Cambria"/>
          <w:szCs w:val="22"/>
        </w:rPr>
        <w:t>Where Al-Tawazun issues a Treaty Trigger Notice, the PCC considers that notice in its assessment of whether a Step-Back event has occurred. The notice does not constitute a Step-Back trigger, but it informs the PCC determination of good-faith compliance.</w:t>
      </w:r>
    </w:p>
    <w:p w14:paraId="3FFBBA9B" w14:textId="77777777" w:rsidR="00FC09E2" w:rsidRDefault="00000000">
      <w:pPr>
        <w:pStyle w:val="Heading2"/>
      </w:pPr>
      <w:bookmarkStart w:id="131" w:name="_Toc234334618"/>
      <w:r>
        <w:rPr>
          <w:rFonts w:cs="Cambria"/>
          <w:szCs w:val="28"/>
        </w:rPr>
        <w:t>11.2 Integration with Annex LAES (Damaged Sites)</w:t>
      </w:r>
      <w:bookmarkEnd w:id="131"/>
    </w:p>
    <w:p w14:paraId="37329E81" w14:textId="77777777" w:rsidR="00FC09E2" w:rsidRDefault="00000000">
      <w:r>
        <w:rPr>
          <w:rFonts w:cs="Cambria"/>
          <w:szCs w:val="22"/>
        </w:rPr>
        <w:t>Al-Tawazun observes Safety Hold invocations under Annex LAES and provides technical assessments to the Joint Commission regarding the credibility of safety justifications. These observations do not override the Independent Technical Review Panel determinations, but they inform the Joint Commission review of cumulative Safety Hold patterns.</w:t>
      </w:r>
    </w:p>
    <w:p w14:paraId="2BF79EAB" w14:textId="77777777" w:rsidR="00FC09E2" w:rsidRDefault="00000000">
      <w:pPr>
        <w:pStyle w:val="Heading2"/>
      </w:pPr>
      <w:bookmarkStart w:id="132" w:name="_Toc234334619"/>
      <w:r>
        <w:rPr>
          <w:rFonts w:cs="Cambria"/>
          <w:szCs w:val="28"/>
        </w:rPr>
        <w:lastRenderedPageBreak/>
        <w:t>11.3 Integration with Annex RDF (Reconstruction)</w:t>
      </w:r>
      <w:bookmarkEnd w:id="132"/>
    </w:p>
    <w:p w14:paraId="558EDDDC" w14:textId="77777777" w:rsidR="00FC09E2" w:rsidRDefault="00000000">
      <w:r>
        <w:rPr>
          <w:rFonts w:cs="Cambria"/>
          <w:szCs w:val="22"/>
        </w:rPr>
        <w:t>Al-Tawazun monitors reconstruction project implementation for early signs of delay or diversion. It verifies that reconstruction milestones align with nuclear milestones and issues project health alerts before disbursement issues escalate.</w:t>
      </w:r>
    </w:p>
    <w:p w14:paraId="64E235A9" w14:textId="77777777" w:rsidR="00FC09E2" w:rsidRDefault="00000000">
      <w:pPr>
        <w:pStyle w:val="Heading2"/>
      </w:pPr>
      <w:bookmarkStart w:id="133" w:name="_Toc234334620"/>
      <w:r>
        <w:rPr>
          <w:rFonts w:cs="Cambria"/>
          <w:szCs w:val="28"/>
        </w:rPr>
        <w:t>11.4 Integration with Annex SRCA (Sanctions Relief)</w:t>
      </w:r>
      <w:bookmarkEnd w:id="133"/>
    </w:p>
    <w:p w14:paraId="55316E15" w14:textId="77777777" w:rsidR="00FC09E2" w:rsidRDefault="00000000">
      <w:r>
        <w:rPr>
          <w:rFonts w:cs="Cambria"/>
          <w:szCs w:val="22"/>
        </w:rPr>
        <w:t>Al-Tawazun monitors the implementation of sanctions relief and provides quarterly reports to the Joint Commission. The reports identify delays, regulatory obstacles, or compliance issues that affect the synchronized relief schedule.</w:t>
      </w:r>
    </w:p>
    <w:p w14:paraId="645905BA" w14:textId="77777777" w:rsidR="00FC09E2" w:rsidRDefault="00000000">
      <w:pPr>
        <w:pStyle w:val="Heading2"/>
      </w:pPr>
      <w:bookmarkStart w:id="134" w:name="_Toc234334621"/>
      <w:r>
        <w:rPr>
          <w:rFonts w:cs="Cambria"/>
          <w:szCs w:val="28"/>
        </w:rPr>
        <w:t>11.5 Integration with the MENOC Charter</w:t>
      </w:r>
      <w:bookmarkEnd w:id="134"/>
    </w:p>
    <w:p w14:paraId="463D9234" w14:textId="77777777" w:rsidR="00FC09E2" w:rsidRDefault="00000000">
      <w:r>
        <w:rPr>
          <w:rFonts w:cs="Cambria"/>
          <w:szCs w:val="22"/>
        </w:rPr>
        <w:t>Al-Tawazun monitors enrichment activities for early signs of deviation from the CEL standard. It verifies the Staged Deterrent activation thresholds and provides independent assessment of Material Breach allegations. It maintains the operational health of the entire Staged Deterrent Architecture, including monitoring the Penalty Escrow balance and verifying compliance with Earn-Back conditions.</w:t>
      </w:r>
    </w:p>
    <w:p w14:paraId="431EA25E" w14:textId="77777777" w:rsidR="00FC09E2" w:rsidRDefault="00000000">
      <w:pPr>
        <w:pStyle w:val="Heading2"/>
      </w:pPr>
      <w:bookmarkStart w:id="135" w:name="_Toc234334622"/>
      <w:r>
        <w:rPr>
          <w:rFonts w:cs="Cambria"/>
          <w:szCs w:val="28"/>
        </w:rPr>
        <w:t>11.6 System Architecture</w:t>
      </w:r>
      <w:bookmarkEnd w:id="135"/>
    </w:p>
    <w:p w14:paraId="0947C2F3" w14:textId="77777777" w:rsidR="00FC09E2" w:rsidRDefault="00000000">
      <w:r>
        <w:rPr>
          <w:rFonts w:cs="Cambria"/>
          <w:szCs w:val="22"/>
        </w:rPr>
        <w:t>The Al-Tawazun integration architecture follows this hierarchy:</w:t>
      </w:r>
    </w:p>
    <w:p w14:paraId="210E8CBE" w14:textId="77777777" w:rsidR="00FC09E2" w:rsidRDefault="00000000">
      <w:r>
        <w:rPr>
          <w:rFonts w:cs="Cambria"/>
          <w:szCs w:val="22"/>
        </w:rPr>
        <w:t>Political Layer: The MENOC Charter, the Joint Commission, and the Guarantor Matrix establish strategic priorities and review Al-Tawazun assessments.</w:t>
      </w:r>
    </w:p>
    <w:p w14:paraId="463A0BCC" w14:textId="77777777" w:rsidR="00FC09E2" w:rsidRDefault="00000000">
      <w:r>
        <w:rPr>
          <w:rFonts w:cs="Cambria"/>
          <w:szCs w:val="22"/>
        </w:rPr>
        <w:t>Stabilization Layer: Al-Tawazun processes data, issues Treaty Trigger Notices, and coordinates all stabilization functions.</w:t>
      </w:r>
    </w:p>
    <w:p w14:paraId="3BE3627B" w14:textId="77777777" w:rsidR="00FC09E2" w:rsidRDefault="00000000">
      <w:r>
        <w:rPr>
          <w:rFonts w:cs="Cambria"/>
          <w:szCs w:val="22"/>
        </w:rPr>
        <w:t>Operational Layer: The technical annexes (ES, SRCA, RDF, LAES) implement the substantive provisions of the peace architecture and provide treaty-mandated data feeds to Al-Tawazun.</w:t>
      </w:r>
    </w:p>
    <w:p w14:paraId="1D45EC91" w14:textId="77777777" w:rsidR="00FC09E2" w:rsidRDefault="00000000">
      <w:r>
        <w:rPr>
          <w:rFonts w:cs="Cambria"/>
          <w:szCs w:val="22"/>
        </w:rPr>
        <w:t>Monitoring Layer: Satellite, open-source, telemetry, cyber, and human reporting systems provide raw data inputs.</w:t>
      </w:r>
    </w:p>
    <w:p w14:paraId="1E912F06" w14:textId="77777777" w:rsidR="00FC09E2" w:rsidRDefault="00000000">
      <w:pPr>
        <w:pStyle w:val="Heading1"/>
      </w:pPr>
      <w:bookmarkStart w:id="136" w:name="_TocArt12"/>
      <w:bookmarkStart w:id="137" w:name="_Toc234334623"/>
      <w:r>
        <w:rPr>
          <w:rFonts w:cs="Cambria"/>
          <w:szCs w:val="36"/>
        </w:rPr>
        <w:t>Article 12: Funding</w:t>
      </w:r>
      <w:bookmarkEnd w:id="136"/>
      <w:bookmarkEnd w:id="137"/>
    </w:p>
    <w:p w14:paraId="42C5C36F" w14:textId="77777777" w:rsidR="00FC09E2" w:rsidRDefault="00000000">
      <w:r>
        <w:rPr>
          <w:rFonts w:cs="Cambria"/>
          <w:szCs w:val="22"/>
        </w:rPr>
        <w:t>Al-Tawazun operates under a multi-layered funding architecture that combines Fixed Guarantor Pledges, Stability Bond interest, Rapid Response Revolving Fund reserves, Data Licensing revenue, and Catastrophic Risk Insurance. This architecture eliminates annual contribution battles, removes funding from political hostage-taking, and creates automatic, predictable revenue streams that no single state controls.</w:t>
      </w:r>
    </w:p>
    <w:p w14:paraId="37E75364" w14:textId="77777777" w:rsidR="00FC09E2" w:rsidRDefault="00000000">
      <w:pPr>
        <w:pStyle w:val="Heading2"/>
      </w:pPr>
      <w:bookmarkStart w:id="138" w:name="_Toc234334624"/>
      <w:r>
        <w:rPr>
          <w:rFonts w:cs="Cambria"/>
          <w:szCs w:val="28"/>
        </w:rPr>
        <w:lastRenderedPageBreak/>
        <w:t>12.1 Fixed Guarantor Pledge</w:t>
      </w:r>
      <w:bookmarkEnd w:id="138"/>
    </w:p>
    <w:p w14:paraId="4076E38B" w14:textId="77777777" w:rsidR="00FC09E2" w:rsidRDefault="00000000">
      <w:r>
        <w:rPr>
          <w:rFonts w:cs="Cambria"/>
          <w:szCs w:val="22"/>
        </w:rPr>
        <w:t>The Guarantor Matrix (P5+1) provides the primary funding for Al-Tawazun through Fixed Guarantor Pledges. Each guarantor state commits to a fixed, non-negotiable annual sum of ten million dollars for a five-year period. This sum automatically deducts from the guarantor's UN assessed contributions and transfers to Al-Tawazun. No annual votes, no negotiations, no hostage-taking.</w:t>
      </w:r>
    </w:p>
    <w:p w14:paraId="2C041886" w14:textId="77777777" w:rsidR="00FC09E2" w:rsidRDefault="00000000">
      <w:r>
        <w:rPr>
          <w:rFonts w:cs="Cambria"/>
          <w:szCs w:val="22"/>
        </w:rPr>
        <w:t>A guarantor that refuses to pay loses its seat on the Guarantor Matrix. The remaining guarantors invite a replacement. This removes funding from the UN General Assembly circus and places it on the states with the greatest strategic interest in regional stability. The Fixed Guarantor Pledge provides sixty million dollars annually in predictable base funding.</w:t>
      </w:r>
    </w:p>
    <w:p w14:paraId="342D9C08" w14:textId="77777777" w:rsidR="00FC09E2" w:rsidRDefault="00000000">
      <w:r>
        <w:rPr>
          <w:rFonts w:cs="Cambria"/>
          <w:szCs w:val="22"/>
        </w:rPr>
        <w:t>The Fixed Guarantor Pledge signals that Al-Tawazun is a permanent UN institution backed by the states most invested in its success. It is not a voluntary coalition that individual states fund or defund on a whim.</w:t>
      </w:r>
    </w:p>
    <w:p w14:paraId="54C7A018" w14:textId="77777777" w:rsidR="00FC09E2" w:rsidRDefault="00000000">
      <w:pPr>
        <w:pStyle w:val="Heading2"/>
      </w:pPr>
      <w:bookmarkStart w:id="139" w:name="_Toc234334625"/>
      <w:r>
        <w:rPr>
          <w:rFonts w:cs="Cambria"/>
          <w:szCs w:val="28"/>
        </w:rPr>
        <w:t>12.2 Stability Bond</w:t>
      </w:r>
      <w:bookmarkEnd w:id="139"/>
    </w:p>
    <w:p w14:paraId="0955939C" w14:textId="77777777" w:rsidR="00FC09E2" w:rsidRDefault="00000000">
      <w:r>
        <w:rPr>
          <w:rFonts w:cs="Cambria"/>
          <w:szCs w:val="22"/>
        </w:rPr>
        <w:t>Each signatory state pays a one-time Stability Bond upon ratification. The Bond equals 0.01 percent of GDP, capped at fifty million dollars for large states and two million dollars for small states. The Bond principal resides in a perpetually funded escrow account at the United Nations. Interest generated by the Bond funds Al-Tawazun's core operations. A state cannot withhold its contribution because the payment was made upfront.</w:t>
      </w:r>
    </w:p>
    <w:p w14:paraId="330C87D0" w14:textId="77777777" w:rsidR="00FC09E2" w:rsidRDefault="00000000">
      <w:r>
        <w:rPr>
          <w:rFonts w:cs="Cambria"/>
          <w:szCs w:val="22"/>
        </w:rPr>
        <w:t>The Stability Bond creates a war chest immune to annual political squabbling. The principal remains untouched. Only the interest funds operations. This creates a predictable, long-term revenue stream that no annual budget cycle disrupts.</w:t>
      </w:r>
    </w:p>
    <w:p w14:paraId="02C2FCA0" w14:textId="77777777" w:rsidR="00FC09E2" w:rsidRDefault="00000000">
      <w:pPr>
        <w:pStyle w:val="Heading2"/>
      </w:pPr>
      <w:bookmarkStart w:id="140" w:name="_Toc234334626"/>
      <w:r>
        <w:rPr>
          <w:rFonts w:cs="Cambria"/>
          <w:szCs w:val="28"/>
        </w:rPr>
        <w:t>12.3 Spoiler Tax</w:t>
      </w:r>
      <w:bookmarkEnd w:id="140"/>
    </w:p>
    <w:p w14:paraId="0D62333C" w14:textId="77777777" w:rsidR="00FC09E2" w:rsidRDefault="00000000">
      <w:r>
        <w:rPr>
          <w:rFonts w:cs="Cambria"/>
          <w:szCs w:val="22"/>
        </w:rPr>
        <w:t>Where a Category IV deployment occurs, the Spoiler Tax falls on the state or states whose actions directly and materially caused the conditions that necessitated the deployment. The Tax equals one hundred percent of the deployment's actual cost plus a twenty-five percent administrative penalty. The Tax deducts automatically from the liable state's Stability Bond. If the Bond exhausts, the state loses all procedural rights, including its right to object to further monitoring, until it settles the debt.</w:t>
      </w:r>
    </w:p>
    <w:p w14:paraId="0B54459E" w14:textId="77777777" w:rsidR="00FC09E2" w:rsidRDefault="00000000">
      <w:r>
        <w:rPr>
          <w:rFonts w:cs="Cambria"/>
          <w:szCs w:val="22"/>
        </w:rPr>
        <w:t>Determination of Liability: The Independent Scientific Advisory Board issues a technical determination on liability within seventy-two hours of the Category IV deployment's authorization. The Board reviews: all available Treaty Trigger Notices and underlying indicator data; the timeline of events leading to the crisis; the actions of all relevant signatory states; any available intelligence, satellite imagery, and open-source information; and any claims of third-party or non-state actor involvement.</w:t>
      </w:r>
    </w:p>
    <w:p w14:paraId="3AFF6716" w14:textId="77777777" w:rsidR="00FC09E2" w:rsidRDefault="00000000">
      <w:r>
        <w:rPr>
          <w:rFonts w:cs="Cambria"/>
          <w:szCs w:val="22"/>
        </w:rPr>
        <w:lastRenderedPageBreak/>
        <w:t>The Board's determination identifies which state or states bear material responsibility for the crisis. The Board's determination is presumptively authoritative for the purpose of Spoiler Tax assessment. Where the Board determines that a non-state actor or unknown party bears primary responsibility, no Spoiler Tax falls on any signatory state. The costs of the deployment are covered by the Catastrophic Risk Insurance Surcharge under Article 12.9. Where the Board determines that multiple states bear shared responsibility, the Tax apportions proportionally based on each state's contribution to the crisis.</w:t>
      </w:r>
    </w:p>
    <w:p w14:paraId="732282AB" w14:textId="77777777" w:rsidR="00FC09E2" w:rsidRDefault="00000000">
      <w:r>
        <w:rPr>
          <w:rFonts w:cs="Cambria"/>
          <w:szCs w:val="22"/>
        </w:rPr>
        <w:t>Appeal: A state subject to a Spoiler Tax assessment appeals the Board's liability determination to the Troika under Constructive Abstention. The Troika overturns or modifies the Board's determination only upon a finding of manifest error. The Troika's decision is final. No Spoiler Tax falls on any state solely on the basis that a Category IV deployment occurred on its territory. The Tax attaches to responsibility for the crisis, not to geography.</w:t>
      </w:r>
    </w:p>
    <w:p w14:paraId="0DFBC57F" w14:textId="77777777" w:rsidR="00FC09E2" w:rsidRDefault="00000000">
      <w:r>
        <w:rPr>
          <w:rFonts w:cs="Cambria"/>
          <w:szCs w:val="22"/>
        </w:rPr>
        <w:t>The Spoiler Tax aligns the cost of instability with the state that causes it. States whose actions trigger emergency interventions bear the financial burden. States on whose territory a deployment occurs but who did not cause the crisis pay nothing. States that cooperate with Al-Tawazun and avoid Category IV deployments pay nothing. This creates a direct financial incentive for responsible behavior.</w:t>
      </w:r>
    </w:p>
    <w:p w14:paraId="0ED457DB" w14:textId="77777777" w:rsidR="00FC09E2" w:rsidRDefault="00000000">
      <w:pPr>
        <w:pStyle w:val="Heading2"/>
      </w:pPr>
      <w:bookmarkStart w:id="141" w:name="_Toc234334627"/>
      <w:r>
        <w:rPr>
          <w:rFonts w:cs="Cambria"/>
          <w:szCs w:val="28"/>
        </w:rPr>
        <w:t>12.4 Peacebuilding Fund Pre-Crisis Allocation</w:t>
      </w:r>
      <w:bookmarkEnd w:id="141"/>
    </w:p>
    <w:p w14:paraId="033B2150" w14:textId="77777777" w:rsidR="00FC09E2" w:rsidRDefault="00000000">
      <w:r>
        <w:rPr>
          <w:rFonts w:cs="Cambria"/>
          <w:szCs w:val="22"/>
        </w:rPr>
        <w:t>The UN General Assembly allocates twenty-five million dollars annually from the Peacebuilding Fund to Al-Tawazun for Pre-Crisis Stabilization. The Parties seek a UN General Assembly resolution committing twenty-five million dollars annually from the Peacebuilding Fund to Al-Tawazun for Pre-Crisis Stabilization. The Peacebuilding Fund Secretariat processes the transfer. This creates a predictable funding stream. Where the General Assembly does not approve the full allocation, Al-Tawazun supplements from the Rapid Response Revolving Fund.</w:t>
      </w:r>
    </w:p>
    <w:p w14:paraId="0E79A8BF" w14:textId="77777777" w:rsidR="00FC09E2" w:rsidRDefault="00000000">
      <w:r>
        <w:rPr>
          <w:rFonts w:cs="Cambria"/>
          <w:szCs w:val="22"/>
        </w:rPr>
        <w:t>Pre-Crisis Stabilization funds cover: rapid response deployments beyond the core budget; technology upgrades for monitoring systems; training programs for local partners; crisis mediation and de-escalation team surge capacity; and Technical Assistance First programs under Article 10.3.</w:t>
      </w:r>
    </w:p>
    <w:p w14:paraId="6C4B6115" w14:textId="77777777" w:rsidR="00FC09E2" w:rsidRDefault="00000000">
      <w:pPr>
        <w:pStyle w:val="Heading2"/>
      </w:pPr>
      <w:bookmarkStart w:id="142" w:name="_Toc234334628"/>
      <w:r>
        <w:rPr>
          <w:rFonts w:cs="Cambria"/>
          <w:szCs w:val="28"/>
        </w:rPr>
        <w:t>12.5 Ban on Earmarked Contributions</w:t>
      </w:r>
      <w:bookmarkEnd w:id="142"/>
    </w:p>
    <w:p w14:paraId="22D84E3A" w14:textId="77777777" w:rsidR="00FC09E2" w:rsidRDefault="00000000">
      <w:r>
        <w:rPr>
          <w:rFonts w:cs="Cambria"/>
          <w:szCs w:val="22"/>
        </w:rPr>
        <w:t>Al-Tawazun accepts no earmarked contributions. All voluntary contributions enter a single consolidated fund. The Director-General exercises full discretion over allocation. A donor that insists on earmarking faces declination of its contribution. This forces donors to trust the institution or not give at all.</w:t>
      </w:r>
    </w:p>
    <w:p w14:paraId="5F3DDA9D" w14:textId="77777777" w:rsidR="00FC09E2" w:rsidRDefault="00000000">
      <w:r>
        <w:rPr>
          <w:rFonts w:cs="Cambria"/>
          <w:szCs w:val="22"/>
        </w:rPr>
        <w:t>The ban on earmarking preserves institutional integrity. Without it, the United States earmarks for nuclear monitoring, the EU earmarks for humanitarian coordination, and the GCC earmarks for counter-Iran activities. Al-Tawazun becomes a collection of siloed, donor-driven projects. The loss of some voluntary money is worth the preservation of technical neutrality.</w:t>
      </w:r>
    </w:p>
    <w:p w14:paraId="62F8A72E" w14:textId="77777777" w:rsidR="00FC09E2" w:rsidRDefault="00000000">
      <w:pPr>
        <w:pStyle w:val="Heading2"/>
      </w:pPr>
      <w:bookmarkStart w:id="143" w:name="_Toc234334629"/>
      <w:r>
        <w:rPr>
          <w:rFonts w:cs="Cambria"/>
          <w:szCs w:val="28"/>
        </w:rPr>
        <w:lastRenderedPageBreak/>
        <w:t>12.6 Rapid Response Revolving Fund</w:t>
      </w:r>
      <w:bookmarkEnd w:id="143"/>
    </w:p>
    <w:p w14:paraId="783269FF" w14:textId="77777777" w:rsidR="00FC09E2" w:rsidRDefault="00000000">
      <w:r>
        <w:rPr>
          <w:rFonts w:cs="Cambria"/>
          <w:szCs w:val="22"/>
        </w:rPr>
        <w:t>Al-Tawazun maintains a twenty-million-dollar Rapid Response Revolving Fund pre-positioned in United Nations accounts. The Director-General draws from this Fund for any deployment up to Category III with no prior approval required. The Fund replenishes annually from Stability Bond interest. No political body reviews or vetoes withdrawals.</w:t>
      </w:r>
    </w:p>
    <w:p w14:paraId="4119571E" w14:textId="77777777" w:rsidR="00FC09E2" w:rsidRDefault="00000000">
      <w:r>
        <w:rPr>
          <w:rFonts w:cs="Cambria"/>
          <w:szCs w:val="22"/>
        </w:rPr>
        <w:t>The Revolving Fund removes financial delays from the operational timeline. In a fast-moving crisis, waiting for budget approval equals waiting for failure. The Director-General withdraws, deploys, and reports after the fact. This is the financial equivalent of an emergency response mechanism that does not require prior authorization before deploying resources.</w:t>
      </w:r>
    </w:p>
    <w:p w14:paraId="043000EE" w14:textId="77777777" w:rsidR="00FC09E2" w:rsidRDefault="00000000">
      <w:pPr>
        <w:pStyle w:val="Heading2"/>
      </w:pPr>
      <w:bookmarkStart w:id="144" w:name="_Toc234334630"/>
      <w:r>
        <w:rPr>
          <w:rFonts w:cs="Cambria"/>
          <w:szCs w:val="28"/>
        </w:rPr>
        <w:t>12.7 Host-State Agreement with Performance Penalties</w:t>
      </w:r>
      <w:bookmarkEnd w:id="144"/>
    </w:p>
    <w:p w14:paraId="40A05492" w14:textId="77777777" w:rsidR="00FC09E2" w:rsidRDefault="00000000">
      <w:r>
        <w:rPr>
          <w:rFonts w:cs="Cambria"/>
          <w:szCs w:val="22"/>
        </w:rPr>
        <w:t>Host-state contributions are not optional. They are a condition of maintaining a Regional Node. The host state signs a binding Host-State Agreement that includes performance penalties for delays. Failure to process a Preventer Team visa within forty-eight hours incurs a ten-thousand-dollar fine per day, deducted from the state's Stability Bond. Failure to provide agreed office space within thirty days incurs a fifty-thousand-dollar fine, deducted from the Bond. These penalties create a financial disincentive for bureaucratic sabotage.</w:t>
      </w:r>
    </w:p>
    <w:p w14:paraId="61D94206" w14:textId="77777777" w:rsidR="00FC09E2" w:rsidRDefault="00000000">
      <w:pPr>
        <w:pStyle w:val="Heading2"/>
      </w:pPr>
      <w:bookmarkStart w:id="145" w:name="_Toc234334631"/>
      <w:r>
        <w:rPr>
          <w:rFonts w:cs="Cambria"/>
          <w:szCs w:val="28"/>
        </w:rPr>
        <w:t>12.8 Automated Delinquency Consequences</w:t>
      </w:r>
      <w:bookmarkEnd w:id="145"/>
    </w:p>
    <w:p w14:paraId="66C6C9FA" w14:textId="77777777" w:rsidR="00FC09E2" w:rsidRDefault="00000000">
      <w:r>
        <w:rPr>
          <w:rFonts w:cs="Cambria"/>
          <w:szCs w:val="22"/>
        </w:rPr>
        <w:t>A signatory state that fails to pay its Stability Bond interest obligation for ninety consecutive days automatically loses the following procedural rights: the right to propose new triggers or amendments to the Trigger Matrix; the right to request emergency Joint Commission sessions; the right to object to Category III deployment timelines (the seventy-two-hour consent clock reduces to twenty-four hours for a delinquent state); and the right to receive classified Annual Reports.</w:t>
      </w:r>
    </w:p>
    <w:p w14:paraId="733F67F0" w14:textId="77777777" w:rsidR="00FC09E2" w:rsidRDefault="00000000">
      <w:r>
        <w:rPr>
          <w:rFonts w:cs="Cambria"/>
          <w:szCs w:val="22"/>
        </w:rPr>
        <w:t>The state retains its voting rights on all matters, including Step-Back determinations under Annex ES. Procedural rights restore automatically upon full payment of all outstanding obligations plus a ten percent late fee deposited into the Rapid Response Revolving Fund. This provision is self-executing. It requires no Joint Commission vote or notification.</w:t>
      </w:r>
    </w:p>
    <w:p w14:paraId="62836682" w14:textId="77777777" w:rsidR="00FC09E2" w:rsidRDefault="00000000">
      <w:r>
        <w:rPr>
          <w:rFonts w:cs="Cambria"/>
          <w:szCs w:val="22"/>
        </w:rPr>
        <w:t>The UN Controller certifies delinquency status monthly. The Controller notifies the Director-General, who announces the suspension of procedural rights within seventy-two hours. No political body overrides this determination. The delinquency clock is fully automated and non-discretionary. Allies cannot protect a delinquent state because no political discretion exists in the process.</w:t>
      </w:r>
    </w:p>
    <w:p w14:paraId="66008109" w14:textId="77777777" w:rsidR="00FC09E2" w:rsidRDefault="00000000">
      <w:r>
        <w:rPr>
          <w:rFonts w:cs="Cambria"/>
          <w:szCs w:val="22"/>
        </w:rPr>
        <w:t>Category IV deployments are authorized by the Troika under Constructive Abstention, as specified in Article 5.4.</w:t>
      </w:r>
    </w:p>
    <w:p w14:paraId="3C63211E" w14:textId="77777777" w:rsidR="00FC09E2" w:rsidRDefault="00000000">
      <w:pPr>
        <w:pStyle w:val="Heading2"/>
      </w:pPr>
      <w:bookmarkStart w:id="146" w:name="_Toc234334632"/>
      <w:r>
        <w:rPr>
          <w:rFonts w:cs="Cambria"/>
          <w:szCs w:val="28"/>
        </w:rPr>
        <w:lastRenderedPageBreak/>
        <w:t>12.9 Catastrophic Risk Insurance Surcharge</w:t>
      </w:r>
      <w:bookmarkEnd w:id="146"/>
    </w:p>
    <w:p w14:paraId="41FA567D" w14:textId="77777777" w:rsidR="00FC09E2" w:rsidRDefault="00000000">
      <w:r>
        <w:rPr>
          <w:rFonts w:cs="Cambria"/>
          <w:szCs w:val="22"/>
        </w:rPr>
        <w:t>Every signatory state pays an annual Catastrophic Risk Insurance Surcharge into a dedicated Crisis Reserve Fund targeting fifty million dollars. Large states pay five hundred thousand dollars annually. Small states pay fifty thousand dollars annually. The Director-General accesses this Fund only upon unanimous recommendation of the Guarantor Matrix. This prevents frivolous draws. The Surcharge is separate from the core budget. No state earmarks it.</w:t>
      </w:r>
    </w:p>
    <w:p w14:paraId="3BD4C40A" w14:textId="77777777" w:rsidR="00FC09E2" w:rsidRDefault="00000000">
      <w:r>
        <w:rPr>
          <w:rFonts w:cs="Cambria"/>
          <w:szCs w:val="22"/>
        </w:rPr>
        <w:t>The Crisis Reserve Fund provides a deep reserve for the worst-case scenario. If a Category IV deployment lasts longer than fourteen days, the Revolving Fund covers the first wave. The Crisis Reserve Fund covers the sustained operation. No new political negotiation occurs in the middle of a war. The Guarantor Matrix has already pre-authorized the draw mechanism.</w:t>
      </w:r>
    </w:p>
    <w:p w14:paraId="6C718A2C" w14:textId="77777777" w:rsidR="00FC09E2" w:rsidRDefault="00000000">
      <w:pPr>
        <w:pStyle w:val="Heading2"/>
      </w:pPr>
      <w:bookmarkStart w:id="147" w:name="_Toc234334633"/>
      <w:r>
        <w:rPr>
          <w:rFonts w:cs="Cambria"/>
          <w:szCs w:val="28"/>
        </w:rPr>
        <w:t>12.10 Data Licensing Revenue</w:t>
      </w:r>
      <w:bookmarkEnd w:id="147"/>
    </w:p>
    <w:p w14:paraId="5ACEB251" w14:textId="77777777" w:rsidR="00FC09E2" w:rsidRDefault="00000000">
      <w:r>
        <w:rPr>
          <w:rFonts w:cs="Cambria"/>
          <w:szCs w:val="22"/>
        </w:rPr>
        <w:t>Al-Tawazun generates independent revenue by licensing anonymized, aggregated, non-sensitive monitoring data to commercial entities. Eligible data includes shipping movement patterns, agricultural production trends, and infrastructure development metrics. All licensed data strips state identifiers and operational specifics. The Independent Scientific Advisory Board certifies that licensed data cannot be reverse-engineered.</w:t>
      </w:r>
    </w:p>
    <w:p w14:paraId="469BC2D7" w14:textId="77777777" w:rsidR="00FC09E2" w:rsidRDefault="00000000">
      <w:r>
        <w:rPr>
          <w:rFonts w:cs="Cambria"/>
          <w:szCs w:val="22"/>
        </w:rPr>
        <w:t>Licensing fees enter the core operating budget. The Director-General approves all agreements. A strict firewall prevents commercialization from compromising neutrality. The Data Licensing program creates a revenue stream that no single state controls or withholds.</w:t>
      </w:r>
    </w:p>
    <w:p w14:paraId="608E7DC8" w14:textId="77777777" w:rsidR="00FC09E2" w:rsidRDefault="00000000">
      <w:pPr>
        <w:pStyle w:val="Heading2"/>
      </w:pPr>
      <w:bookmarkStart w:id="148" w:name="_Toc234334634"/>
      <w:r>
        <w:rPr>
          <w:rFonts w:cs="Cambria"/>
          <w:szCs w:val="28"/>
        </w:rPr>
        <w:t>12.11 Financial Transparency</w:t>
      </w:r>
      <w:bookmarkEnd w:id="148"/>
    </w:p>
    <w:p w14:paraId="557C4D07" w14:textId="77777777" w:rsidR="00FC09E2" w:rsidRDefault="00000000">
      <w:r>
        <w:rPr>
          <w:rFonts w:cs="Cambria"/>
          <w:szCs w:val="22"/>
        </w:rPr>
        <w:t>Al-Tawazun publishes an annual budget and expenditure report. The report goes to the General Assembly, the Security Council, and the Joint Commission. The report identifies all sources of funding: Fixed Guarantor Pledges, Stability Bond interest, Spoiler Tax receipts, Peacebuilding Fund allocations, Data Licensing revenue, and Catastrophic Risk Insurance Surcharges. No funding source remains undisclosed.</w:t>
      </w:r>
    </w:p>
    <w:p w14:paraId="1CA3EA8C" w14:textId="77777777" w:rsidR="00FC09E2" w:rsidRDefault="00000000">
      <w:pPr>
        <w:pStyle w:val="Heading2"/>
      </w:pPr>
      <w:bookmarkStart w:id="149" w:name="_Toc234334635"/>
      <w:r>
        <w:rPr>
          <w:rFonts w:cs="Cambria"/>
          <w:szCs w:val="28"/>
        </w:rPr>
        <w:t>12.12 Estimated Annual Budget</w:t>
      </w:r>
      <w:bookmarkEnd w:id="149"/>
    </w:p>
    <w:tbl>
      <w:tblPr>
        <w:tblW w:w="5000" w:type="pct"/>
        <w:tblInd w:w="10" w:type="dxa"/>
        <w:tblBorders>
          <w:top w:val="single" w:sz="12" w:space="0" w:color="1A2744"/>
          <w:left w:val="nil"/>
          <w:bottom w:val="single" w:sz="12" w:space="0" w:color="1A2744"/>
          <w:right w:val="nil"/>
          <w:insideH w:val="single" w:sz="4" w:space="0" w:color="C8C4B8"/>
          <w:insideV w:val="nil"/>
        </w:tblBorders>
        <w:tblCellMar>
          <w:left w:w="10" w:type="dxa"/>
          <w:right w:w="10" w:type="dxa"/>
        </w:tblCellMar>
        <w:tblLook w:val="0000" w:firstRow="0" w:lastRow="0" w:firstColumn="0" w:lastColumn="0" w:noHBand="0" w:noVBand="0"/>
      </w:tblPr>
      <w:tblGrid>
        <w:gridCol w:w="4020"/>
        <w:gridCol w:w="2513"/>
        <w:gridCol w:w="2513"/>
      </w:tblGrid>
      <w:tr w:rsidR="00FC09E2" w14:paraId="19DB75B0" w14:textId="77777777">
        <w:trPr>
          <w:tblHeader/>
        </w:trPr>
        <w:tc>
          <w:tcPr>
            <w:tcW w:w="4000" w:type="dxa"/>
            <w:shd w:val="clear" w:color="auto" w:fill="E8E5DD"/>
          </w:tcPr>
          <w:p w14:paraId="5769D101" w14:textId="77777777" w:rsidR="00FC09E2" w:rsidRDefault="00000000">
            <w:pPr>
              <w:spacing w:before="60" w:after="60"/>
              <w:jc w:val="left"/>
            </w:pPr>
            <w:r>
              <w:rPr>
                <w:rFonts w:cs="Cambria"/>
                <w:b/>
                <w:sz w:val="20"/>
                <w:szCs w:val="20"/>
              </w:rPr>
              <w:t>Component</w:t>
            </w:r>
          </w:p>
        </w:tc>
        <w:tc>
          <w:tcPr>
            <w:tcW w:w="2500" w:type="dxa"/>
            <w:shd w:val="clear" w:color="auto" w:fill="E8E5DD"/>
          </w:tcPr>
          <w:p w14:paraId="1183EC88" w14:textId="77777777" w:rsidR="00FC09E2" w:rsidRDefault="00000000">
            <w:pPr>
              <w:spacing w:before="60" w:after="60"/>
              <w:jc w:val="left"/>
            </w:pPr>
            <w:r>
              <w:rPr>
                <w:rFonts w:cs="Cambria"/>
                <w:b/>
                <w:sz w:val="20"/>
                <w:szCs w:val="20"/>
              </w:rPr>
              <w:t>Annual Cost (USD)</w:t>
            </w:r>
          </w:p>
        </w:tc>
        <w:tc>
          <w:tcPr>
            <w:tcW w:w="2500" w:type="dxa"/>
            <w:shd w:val="clear" w:color="auto" w:fill="E8E5DD"/>
          </w:tcPr>
          <w:p w14:paraId="0D15D6BB" w14:textId="77777777" w:rsidR="00FC09E2" w:rsidRDefault="00000000">
            <w:pPr>
              <w:spacing w:before="60" w:after="60"/>
              <w:jc w:val="left"/>
            </w:pPr>
            <w:r>
              <w:rPr>
                <w:rFonts w:cs="Cambria"/>
                <w:b/>
                <w:sz w:val="20"/>
                <w:szCs w:val="20"/>
              </w:rPr>
              <w:t>Primary Source</w:t>
            </w:r>
          </w:p>
        </w:tc>
      </w:tr>
      <w:tr w:rsidR="00FC09E2" w14:paraId="6AB8B0EE" w14:textId="77777777">
        <w:tc>
          <w:tcPr>
            <w:tcW w:w="4000" w:type="dxa"/>
          </w:tcPr>
          <w:p w14:paraId="133EABCB" w14:textId="77777777" w:rsidR="00FC09E2" w:rsidRDefault="00000000">
            <w:pPr>
              <w:spacing w:before="60" w:after="60"/>
              <w:jc w:val="left"/>
            </w:pPr>
            <w:r>
              <w:rPr>
                <w:rFonts w:cs="Cambria"/>
                <w:sz w:val="20"/>
                <w:szCs w:val="20"/>
              </w:rPr>
              <w:t>Central Directorate</w:t>
            </w:r>
          </w:p>
        </w:tc>
        <w:tc>
          <w:tcPr>
            <w:tcW w:w="2500" w:type="dxa"/>
          </w:tcPr>
          <w:p w14:paraId="66514FD4" w14:textId="77777777" w:rsidR="00FC09E2" w:rsidRDefault="00000000">
            <w:pPr>
              <w:spacing w:before="60" w:after="60"/>
              <w:jc w:val="left"/>
            </w:pPr>
            <w:r>
              <w:rPr>
                <w:rFonts w:cs="Cambria"/>
                <w:sz w:val="20"/>
                <w:szCs w:val="20"/>
              </w:rPr>
              <w:t>$15-20 million</w:t>
            </w:r>
          </w:p>
        </w:tc>
        <w:tc>
          <w:tcPr>
            <w:tcW w:w="2500" w:type="dxa"/>
          </w:tcPr>
          <w:p w14:paraId="587063FC" w14:textId="77777777" w:rsidR="00FC09E2" w:rsidRDefault="00000000">
            <w:pPr>
              <w:spacing w:before="60" w:after="60"/>
              <w:jc w:val="left"/>
            </w:pPr>
            <w:r>
              <w:rPr>
                <w:rFonts w:cs="Cambria"/>
                <w:sz w:val="20"/>
                <w:szCs w:val="20"/>
              </w:rPr>
              <w:t>Guarantor Pledges</w:t>
            </w:r>
          </w:p>
        </w:tc>
      </w:tr>
      <w:tr w:rsidR="00FC09E2" w14:paraId="67F9D01B" w14:textId="77777777">
        <w:tc>
          <w:tcPr>
            <w:tcW w:w="4000" w:type="dxa"/>
          </w:tcPr>
          <w:p w14:paraId="4A689A5D" w14:textId="77777777" w:rsidR="00FC09E2" w:rsidRDefault="00000000">
            <w:pPr>
              <w:spacing w:before="60" w:after="60"/>
              <w:jc w:val="left"/>
            </w:pPr>
            <w:r>
              <w:rPr>
                <w:rFonts w:cs="Cambria"/>
                <w:sz w:val="20"/>
                <w:szCs w:val="20"/>
              </w:rPr>
              <w:t>Regional Nodes (4)</w:t>
            </w:r>
          </w:p>
        </w:tc>
        <w:tc>
          <w:tcPr>
            <w:tcW w:w="2500" w:type="dxa"/>
          </w:tcPr>
          <w:p w14:paraId="29F6BDF3" w14:textId="77777777" w:rsidR="00FC09E2" w:rsidRDefault="00000000">
            <w:pPr>
              <w:spacing w:before="60" w:after="60"/>
              <w:jc w:val="left"/>
            </w:pPr>
            <w:r>
              <w:rPr>
                <w:rFonts w:cs="Cambria"/>
                <w:sz w:val="20"/>
                <w:szCs w:val="20"/>
              </w:rPr>
              <w:t>$10-15 million</w:t>
            </w:r>
          </w:p>
        </w:tc>
        <w:tc>
          <w:tcPr>
            <w:tcW w:w="2500" w:type="dxa"/>
          </w:tcPr>
          <w:p w14:paraId="79E1D6C9" w14:textId="77777777" w:rsidR="00FC09E2" w:rsidRDefault="00000000">
            <w:pPr>
              <w:spacing w:before="60" w:after="60"/>
              <w:jc w:val="left"/>
            </w:pPr>
            <w:r>
              <w:rPr>
                <w:rFonts w:cs="Cambria"/>
                <w:sz w:val="20"/>
                <w:szCs w:val="20"/>
              </w:rPr>
              <w:t>Stability Bond interest</w:t>
            </w:r>
          </w:p>
        </w:tc>
      </w:tr>
      <w:tr w:rsidR="00FC09E2" w14:paraId="1F065F67" w14:textId="77777777">
        <w:tc>
          <w:tcPr>
            <w:tcW w:w="4000" w:type="dxa"/>
          </w:tcPr>
          <w:p w14:paraId="75B19C02" w14:textId="77777777" w:rsidR="00FC09E2" w:rsidRDefault="00000000">
            <w:pPr>
              <w:spacing w:before="60" w:after="60"/>
              <w:jc w:val="left"/>
            </w:pPr>
            <w:r>
              <w:rPr>
                <w:rFonts w:cs="Cambria"/>
                <w:sz w:val="20"/>
                <w:szCs w:val="20"/>
              </w:rPr>
              <w:t>Preventer Teams</w:t>
            </w:r>
          </w:p>
        </w:tc>
        <w:tc>
          <w:tcPr>
            <w:tcW w:w="2500" w:type="dxa"/>
          </w:tcPr>
          <w:p w14:paraId="39BAF0C3" w14:textId="77777777" w:rsidR="00FC09E2" w:rsidRDefault="00000000">
            <w:pPr>
              <w:spacing w:before="60" w:after="60"/>
              <w:jc w:val="left"/>
            </w:pPr>
            <w:r>
              <w:rPr>
                <w:rFonts w:cs="Cambria"/>
                <w:sz w:val="20"/>
                <w:szCs w:val="20"/>
              </w:rPr>
              <w:t>$15-25 million</w:t>
            </w:r>
          </w:p>
        </w:tc>
        <w:tc>
          <w:tcPr>
            <w:tcW w:w="2500" w:type="dxa"/>
          </w:tcPr>
          <w:p w14:paraId="53B34261" w14:textId="77777777" w:rsidR="00FC09E2" w:rsidRDefault="00000000">
            <w:pPr>
              <w:spacing w:before="60" w:after="60"/>
              <w:jc w:val="left"/>
            </w:pPr>
            <w:r>
              <w:rPr>
                <w:rFonts w:cs="Cambria"/>
                <w:sz w:val="20"/>
                <w:szCs w:val="20"/>
              </w:rPr>
              <w:t>Revolving Fund + Spoiler Tax</w:t>
            </w:r>
          </w:p>
        </w:tc>
      </w:tr>
      <w:tr w:rsidR="00FC09E2" w14:paraId="5DF36C77" w14:textId="77777777">
        <w:tc>
          <w:tcPr>
            <w:tcW w:w="4000" w:type="dxa"/>
          </w:tcPr>
          <w:p w14:paraId="5286B5ED" w14:textId="77777777" w:rsidR="00FC09E2" w:rsidRDefault="00000000">
            <w:pPr>
              <w:spacing w:before="60" w:after="60"/>
              <w:jc w:val="left"/>
            </w:pPr>
            <w:r>
              <w:rPr>
                <w:rFonts w:cs="Cambria"/>
                <w:sz w:val="20"/>
                <w:szCs w:val="20"/>
              </w:rPr>
              <w:t>Early Warning / Technology</w:t>
            </w:r>
          </w:p>
        </w:tc>
        <w:tc>
          <w:tcPr>
            <w:tcW w:w="2500" w:type="dxa"/>
          </w:tcPr>
          <w:p w14:paraId="14FE3831" w14:textId="77777777" w:rsidR="00FC09E2" w:rsidRDefault="00000000">
            <w:pPr>
              <w:spacing w:before="60" w:after="60"/>
              <w:jc w:val="left"/>
            </w:pPr>
            <w:r>
              <w:rPr>
                <w:rFonts w:cs="Cambria"/>
                <w:sz w:val="20"/>
                <w:szCs w:val="20"/>
              </w:rPr>
              <w:t>$5-10 million</w:t>
            </w:r>
          </w:p>
        </w:tc>
        <w:tc>
          <w:tcPr>
            <w:tcW w:w="2500" w:type="dxa"/>
          </w:tcPr>
          <w:p w14:paraId="77BE6346" w14:textId="77777777" w:rsidR="00FC09E2" w:rsidRDefault="00000000">
            <w:pPr>
              <w:spacing w:before="60" w:after="60"/>
              <w:jc w:val="left"/>
            </w:pPr>
            <w:r>
              <w:rPr>
                <w:rFonts w:cs="Cambria"/>
                <w:sz w:val="20"/>
                <w:szCs w:val="20"/>
              </w:rPr>
              <w:t>Data Licensing + PBF</w:t>
            </w:r>
          </w:p>
        </w:tc>
      </w:tr>
      <w:tr w:rsidR="00FC09E2" w14:paraId="1160A225" w14:textId="77777777">
        <w:tc>
          <w:tcPr>
            <w:tcW w:w="4000" w:type="dxa"/>
          </w:tcPr>
          <w:p w14:paraId="5E94EAC5" w14:textId="77777777" w:rsidR="00FC09E2" w:rsidRDefault="00000000">
            <w:pPr>
              <w:spacing w:before="60" w:after="60"/>
              <w:jc w:val="left"/>
            </w:pPr>
            <w:r>
              <w:rPr>
                <w:rFonts w:cs="Cambria"/>
                <w:sz w:val="20"/>
                <w:szCs w:val="20"/>
              </w:rPr>
              <w:t>Training / Capacity Building</w:t>
            </w:r>
          </w:p>
        </w:tc>
        <w:tc>
          <w:tcPr>
            <w:tcW w:w="2500" w:type="dxa"/>
          </w:tcPr>
          <w:p w14:paraId="11FF63BB" w14:textId="77777777" w:rsidR="00FC09E2" w:rsidRDefault="00000000">
            <w:pPr>
              <w:spacing w:before="60" w:after="60"/>
              <w:jc w:val="left"/>
            </w:pPr>
            <w:r>
              <w:rPr>
                <w:rFonts w:cs="Cambria"/>
                <w:sz w:val="20"/>
                <w:szCs w:val="20"/>
              </w:rPr>
              <w:t>$3-5 million</w:t>
            </w:r>
          </w:p>
        </w:tc>
        <w:tc>
          <w:tcPr>
            <w:tcW w:w="2500" w:type="dxa"/>
          </w:tcPr>
          <w:p w14:paraId="0DA1C073" w14:textId="77777777" w:rsidR="00FC09E2" w:rsidRDefault="00000000">
            <w:pPr>
              <w:spacing w:before="60" w:after="60"/>
              <w:jc w:val="left"/>
            </w:pPr>
            <w:r>
              <w:rPr>
                <w:rFonts w:cs="Cambria"/>
                <w:sz w:val="20"/>
                <w:szCs w:val="20"/>
              </w:rPr>
              <w:t>PBF Pre-Crisis</w:t>
            </w:r>
          </w:p>
        </w:tc>
      </w:tr>
      <w:tr w:rsidR="00FC09E2" w14:paraId="4F735031" w14:textId="77777777">
        <w:tc>
          <w:tcPr>
            <w:tcW w:w="4000" w:type="dxa"/>
          </w:tcPr>
          <w:p w14:paraId="433918EB" w14:textId="77777777" w:rsidR="00FC09E2" w:rsidRDefault="00000000">
            <w:pPr>
              <w:spacing w:before="60" w:after="60"/>
              <w:jc w:val="left"/>
            </w:pPr>
            <w:r>
              <w:rPr>
                <w:rFonts w:cs="Cambria"/>
                <w:sz w:val="20"/>
                <w:szCs w:val="20"/>
              </w:rPr>
              <w:t>Administrative / Support</w:t>
            </w:r>
          </w:p>
        </w:tc>
        <w:tc>
          <w:tcPr>
            <w:tcW w:w="2500" w:type="dxa"/>
          </w:tcPr>
          <w:p w14:paraId="007DC10C" w14:textId="77777777" w:rsidR="00FC09E2" w:rsidRDefault="00000000">
            <w:pPr>
              <w:spacing w:before="60" w:after="60"/>
              <w:jc w:val="left"/>
            </w:pPr>
            <w:r>
              <w:rPr>
                <w:rFonts w:cs="Cambria"/>
                <w:sz w:val="20"/>
                <w:szCs w:val="20"/>
              </w:rPr>
              <w:t>$5-8 million</w:t>
            </w:r>
          </w:p>
        </w:tc>
        <w:tc>
          <w:tcPr>
            <w:tcW w:w="2500" w:type="dxa"/>
          </w:tcPr>
          <w:p w14:paraId="73639C62" w14:textId="77777777" w:rsidR="00FC09E2" w:rsidRDefault="00000000">
            <w:pPr>
              <w:spacing w:before="60" w:after="60"/>
              <w:jc w:val="left"/>
            </w:pPr>
            <w:r>
              <w:rPr>
                <w:rFonts w:cs="Cambria"/>
                <w:sz w:val="20"/>
                <w:szCs w:val="20"/>
              </w:rPr>
              <w:t>Guarantor Pledges</w:t>
            </w:r>
          </w:p>
        </w:tc>
      </w:tr>
      <w:tr w:rsidR="00FC09E2" w14:paraId="10B7FCEA" w14:textId="77777777">
        <w:tc>
          <w:tcPr>
            <w:tcW w:w="4000" w:type="dxa"/>
          </w:tcPr>
          <w:p w14:paraId="15D83F18" w14:textId="77777777" w:rsidR="00FC09E2" w:rsidRDefault="00000000">
            <w:pPr>
              <w:spacing w:before="60" w:after="60"/>
              <w:jc w:val="left"/>
            </w:pPr>
            <w:r>
              <w:rPr>
                <w:rFonts w:cs="Cambria"/>
                <w:sz w:val="20"/>
                <w:szCs w:val="20"/>
              </w:rPr>
              <w:lastRenderedPageBreak/>
              <w:t>Crisis Reserve (max draw)</w:t>
            </w:r>
          </w:p>
        </w:tc>
        <w:tc>
          <w:tcPr>
            <w:tcW w:w="2500" w:type="dxa"/>
          </w:tcPr>
          <w:p w14:paraId="23F946A6" w14:textId="77777777" w:rsidR="00FC09E2" w:rsidRDefault="00000000">
            <w:pPr>
              <w:spacing w:before="60" w:after="60"/>
              <w:jc w:val="left"/>
            </w:pPr>
            <w:r>
              <w:rPr>
                <w:rFonts w:cs="Cambria"/>
                <w:sz w:val="20"/>
                <w:szCs w:val="20"/>
              </w:rPr>
              <w:t>Up to $50M</w:t>
            </w:r>
          </w:p>
        </w:tc>
        <w:tc>
          <w:tcPr>
            <w:tcW w:w="2500" w:type="dxa"/>
          </w:tcPr>
          <w:p w14:paraId="2D181A5C" w14:textId="77777777" w:rsidR="00FC09E2" w:rsidRDefault="00000000">
            <w:pPr>
              <w:spacing w:before="60" w:after="60"/>
              <w:jc w:val="left"/>
            </w:pPr>
            <w:r>
              <w:rPr>
                <w:rFonts w:cs="Cambria"/>
                <w:sz w:val="20"/>
                <w:szCs w:val="20"/>
              </w:rPr>
              <w:t>Insurance Surcharge</w:t>
            </w:r>
          </w:p>
        </w:tc>
      </w:tr>
      <w:tr w:rsidR="00FC09E2" w14:paraId="7EDA3478" w14:textId="77777777">
        <w:tc>
          <w:tcPr>
            <w:tcW w:w="4000" w:type="dxa"/>
          </w:tcPr>
          <w:p w14:paraId="7D6E470A" w14:textId="77777777" w:rsidR="00FC09E2" w:rsidRDefault="00000000">
            <w:pPr>
              <w:spacing w:before="60" w:after="60"/>
              <w:jc w:val="left"/>
            </w:pPr>
            <w:r>
              <w:rPr>
                <w:rFonts w:cs="Cambria"/>
                <w:b/>
                <w:sz w:val="20"/>
                <w:szCs w:val="20"/>
              </w:rPr>
              <w:t>Total Core Budget</w:t>
            </w:r>
          </w:p>
        </w:tc>
        <w:tc>
          <w:tcPr>
            <w:tcW w:w="2500" w:type="dxa"/>
          </w:tcPr>
          <w:p w14:paraId="0AA84704" w14:textId="77777777" w:rsidR="00FC09E2" w:rsidRDefault="00000000">
            <w:pPr>
              <w:spacing w:before="60" w:after="60"/>
              <w:jc w:val="left"/>
            </w:pPr>
            <w:r>
              <w:rPr>
                <w:rFonts w:cs="Cambria"/>
                <w:b/>
                <w:sz w:val="20"/>
                <w:szCs w:val="20"/>
              </w:rPr>
              <w:t>$55-85 million</w:t>
            </w:r>
          </w:p>
        </w:tc>
        <w:tc>
          <w:tcPr>
            <w:tcW w:w="2500" w:type="dxa"/>
          </w:tcPr>
          <w:p w14:paraId="74B92C02" w14:textId="77777777" w:rsidR="00FC09E2" w:rsidRDefault="00000000">
            <w:pPr>
              <w:spacing w:before="60" w:after="60"/>
              <w:jc w:val="left"/>
            </w:pPr>
            <w:r>
              <w:rPr>
                <w:rFonts w:cs="Cambria"/>
                <w:b/>
                <w:sz w:val="20"/>
                <w:szCs w:val="20"/>
              </w:rPr>
              <w:t>Multi-layered architecture</w:t>
            </w:r>
          </w:p>
        </w:tc>
      </w:tr>
    </w:tbl>
    <w:p w14:paraId="141BE797" w14:textId="77777777" w:rsidR="00FC09E2" w:rsidRDefault="00000000">
      <w:pPr>
        <w:pStyle w:val="Heading2"/>
      </w:pPr>
      <w:bookmarkStart w:id="150" w:name="_Toc234334636"/>
      <w:r>
        <w:rPr>
          <w:rFonts w:cs="Cambria"/>
          <w:szCs w:val="28"/>
        </w:rPr>
        <w:t>12.13 Budget Failure Procedures</w:t>
      </w:r>
      <w:bookmarkEnd w:id="150"/>
    </w:p>
    <w:p w14:paraId="0D905969" w14:textId="77777777" w:rsidR="00FC09E2" w:rsidRDefault="00000000">
      <w:r>
        <w:rPr>
          <w:rFonts w:cs="Cambria"/>
          <w:szCs w:val="22"/>
        </w:rPr>
        <w:t>Where Fixed Guarantor Pledges, Stability Bond interest, or other core revenue sources fall below eighty percent of projected requirements for two consecutive quarters, Al-Tawazun activates Budget Failure Protocols. The Director-General commissions an immediate independent financial review. The review identifies: the revenue shortfall cause; the minimum operational posture sustainable with available funds; and a prioritized list of functions to suspend or reduce.</w:t>
      </w:r>
    </w:p>
    <w:p w14:paraId="75C2C48B" w14:textId="77777777" w:rsidR="00FC09E2" w:rsidRDefault="00000000">
      <w:r>
        <w:rPr>
          <w:rFonts w:cs="Cambria"/>
          <w:szCs w:val="22"/>
        </w:rPr>
        <w:t>Under Budget Failure, Al-Tawazun prioritizes in this order: Treaty Trigger Notice issuance; Preventer Team deployment under Category I and II; Confidentiality Shield maintenance; and data archival. Functions suspended include: new technology acquisitions; expanded monitoring programs; non-essential travel; and new Preventer Team recruitment. The Director-General publishes the Budget Failure assessment within thirty days and presents a recovery plan to the Joint Commission.</w:t>
      </w:r>
    </w:p>
    <w:p w14:paraId="4BFAF990" w14:textId="77777777" w:rsidR="00FC09E2" w:rsidRDefault="00000000">
      <w:r>
        <w:rPr>
          <w:rFonts w:cs="Cambria"/>
          <w:szCs w:val="22"/>
        </w:rPr>
        <w:t>Where budget shortfalls persist for six consecutive months, Al-Tawazun enters Consolidation Posture: Regional Nodes reduce from four to two; Preventer Teams operate at minimum staffing; and all non-essential functions suspend. The Consolidation Posture preserves core stabilization capability while the Guarantor Matrix negotiates renewed funding commitments. Al-Tawazun exits Consolidation Posture upon certification by the UN Controller that sustainable funding has been restored.</w:t>
      </w:r>
    </w:p>
    <w:p w14:paraId="7644E6E5" w14:textId="77777777" w:rsidR="00FC09E2" w:rsidRDefault="00000000">
      <w:pPr>
        <w:pStyle w:val="Heading1"/>
      </w:pPr>
      <w:bookmarkStart w:id="151" w:name="_TocArt13"/>
      <w:bookmarkStart w:id="152" w:name="_Toc234334637"/>
      <w:r>
        <w:rPr>
          <w:rFonts w:cs="Cambria"/>
          <w:szCs w:val="36"/>
        </w:rPr>
        <w:t>Article 13: Operational Learning</w:t>
      </w:r>
      <w:bookmarkEnd w:id="151"/>
      <w:bookmarkEnd w:id="152"/>
    </w:p>
    <w:p w14:paraId="4C5ADA60" w14:textId="77777777" w:rsidR="00FC09E2" w:rsidRDefault="00000000">
      <w:r>
        <w:rPr>
          <w:rFonts w:cs="Cambria"/>
          <w:szCs w:val="22"/>
        </w:rPr>
        <w:t>A mature institution continuously improves its detection models, procedures, and treaty recommendations based on operational experience. Al-Tawazun embeds this learning function into every aspect of its operations.</w:t>
      </w:r>
    </w:p>
    <w:p w14:paraId="54786007" w14:textId="77777777" w:rsidR="00FC09E2" w:rsidRDefault="00000000">
      <w:pPr>
        <w:pStyle w:val="Heading2"/>
      </w:pPr>
      <w:bookmarkStart w:id="153" w:name="_Toc234334638"/>
      <w:r>
        <w:rPr>
          <w:rFonts w:cs="Cambria"/>
          <w:szCs w:val="28"/>
        </w:rPr>
        <w:t>13.1 Lessons Learned Database</w:t>
      </w:r>
      <w:bookmarkEnd w:id="153"/>
    </w:p>
    <w:p w14:paraId="2908CD80" w14:textId="77777777" w:rsidR="00FC09E2" w:rsidRDefault="00000000">
      <w:r>
        <w:rPr>
          <w:rFonts w:cs="Cambria"/>
          <w:szCs w:val="22"/>
        </w:rPr>
        <w:t>Al-Tawazun maintains a comprehensive Lessons Learned Database documenting the following for every intervention:</w:t>
      </w:r>
    </w:p>
    <w:p w14:paraId="51C082FD" w14:textId="77777777" w:rsidR="00FC09E2" w:rsidRDefault="00000000">
      <w:r>
        <w:rPr>
          <w:rFonts w:cs="Cambria"/>
          <w:szCs w:val="22"/>
        </w:rPr>
        <w:t>The indicators that preceded the intervention, ranked by order of appearance and confidence level.</w:t>
      </w:r>
    </w:p>
    <w:p w14:paraId="616DF56E" w14:textId="77777777" w:rsidR="00FC09E2" w:rsidRDefault="00000000">
      <w:r>
        <w:rPr>
          <w:rFonts w:cs="Cambria"/>
          <w:szCs w:val="22"/>
        </w:rPr>
        <w:t>The effectiveness of deployed measures, scored against predefined success criteria.</w:t>
      </w:r>
    </w:p>
    <w:p w14:paraId="526D6EC7" w14:textId="77777777" w:rsidR="00FC09E2" w:rsidRDefault="00000000">
      <w:r>
        <w:rPr>
          <w:rFonts w:cs="Cambria"/>
          <w:szCs w:val="22"/>
        </w:rPr>
        <w:t>The failure modes of early-warning systems, including false positives, false negatives, and latency issues.</w:t>
      </w:r>
    </w:p>
    <w:p w14:paraId="4B3F9EC3" w14:textId="77777777" w:rsidR="00FC09E2" w:rsidRDefault="00000000">
      <w:r>
        <w:rPr>
          <w:rFonts w:cs="Cambria"/>
          <w:szCs w:val="22"/>
        </w:rPr>
        <w:lastRenderedPageBreak/>
        <w:t>Recommendations for treaty updates, threshold revisions, and procedural improvements.</w:t>
      </w:r>
    </w:p>
    <w:p w14:paraId="62BA69D7" w14:textId="77777777" w:rsidR="00FC09E2" w:rsidRDefault="00000000">
      <w:pPr>
        <w:pStyle w:val="Heading2"/>
      </w:pPr>
      <w:bookmarkStart w:id="154" w:name="_Toc234334639"/>
      <w:r>
        <w:rPr>
          <w:rFonts w:cs="Cambria"/>
          <w:szCs w:val="28"/>
        </w:rPr>
        <w:t>13.2 False Alarm Metrics</w:t>
      </w:r>
      <w:bookmarkEnd w:id="154"/>
    </w:p>
    <w:p w14:paraId="247B567E" w14:textId="77777777" w:rsidR="00FC09E2" w:rsidRDefault="00000000">
      <w:r>
        <w:rPr>
          <w:rFonts w:cs="Cambria"/>
          <w:szCs w:val="22"/>
        </w:rPr>
        <w:t>Al-Tawazun tracks and publishes the following performance metrics annually:</w:t>
      </w:r>
    </w:p>
    <w:p w14:paraId="2AB1DD24" w14:textId="77777777" w:rsidR="00FC09E2" w:rsidRDefault="00000000">
      <w:r>
        <w:rPr>
          <w:rFonts w:cs="Cambria"/>
          <w:szCs w:val="22"/>
        </w:rPr>
        <w:t>False Positive Rate: The percentage of Treaty Trigger Notices issued where the underlying indicators subsequently returned below threshold without intervention. This measures the rate of unnecessary alerts.</w:t>
      </w:r>
    </w:p>
    <w:p w14:paraId="047D7EDB" w14:textId="77777777" w:rsidR="00FC09E2" w:rsidRDefault="00000000">
      <w:r>
        <w:rPr>
          <w:rFonts w:cs="Cambria"/>
          <w:szCs w:val="22"/>
        </w:rPr>
        <w:t>False Negative Rate: The number of significant destabilizing events that occurred without a preceding Treaty Trigger Notice. This measures the rate of missed detections.</w:t>
      </w:r>
    </w:p>
    <w:p w14:paraId="5D7843B1" w14:textId="77777777" w:rsidR="00FC09E2" w:rsidRDefault="00000000">
      <w:r>
        <w:rPr>
          <w:rFonts w:cs="Cambria"/>
          <w:szCs w:val="22"/>
        </w:rPr>
        <w:t>Average Response Time: The mean time from indicator threshold crossing to Treaty Trigger Notice issuance. This measures the speed of the detection-to-notification pipeline.</w:t>
      </w:r>
    </w:p>
    <w:p w14:paraId="69C9B69D" w14:textId="77777777" w:rsidR="00FC09E2" w:rsidRDefault="00000000">
      <w:r>
        <w:rPr>
          <w:rFonts w:cs="Cambria"/>
          <w:szCs w:val="22"/>
        </w:rPr>
        <w:t>Detection Accuracy: The percentage of Treaty Trigger Notices where joint verification or host-state admission subsequently confirmed the certified condition. This measures the overall reliability of the assessment process.</w:t>
      </w:r>
    </w:p>
    <w:p w14:paraId="7A6F92A7" w14:textId="77777777" w:rsidR="00FC09E2" w:rsidRDefault="00000000">
      <w:r>
        <w:rPr>
          <w:rFonts w:cs="Cambria"/>
          <w:szCs w:val="22"/>
        </w:rPr>
        <w:t>The False Alarm Metrics Report publishes these figures in aggregate form, without attribution to specific signatory states. Transparency of performance builds credibility and trust in Al-Tawazun assessments.</w:t>
      </w:r>
    </w:p>
    <w:p w14:paraId="255A06E8" w14:textId="77777777" w:rsidR="00FC09E2" w:rsidRDefault="00000000">
      <w:pPr>
        <w:pStyle w:val="Heading2"/>
      </w:pPr>
      <w:bookmarkStart w:id="155" w:name="_Toc234334640"/>
      <w:r>
        <w:rPr>
          <w:rFonts w:cs="Cambria"/>
          <w:szCs w:val="28"/>
        </w:rPr>
        <w:t>13.3 Annual Learning Review</w:t>
      </w:r>
      <w:bookmarkEnd w:id="155"/>
    </w:p>
    <w:p w14:paraId="09C7BE0A" w14:textId="77777777" w:rsidR="00FC09E2" w:rsidRDefault="00000000">
      <w:r>
        <w:rPr>
          <w:rFonts w:cs="Cambria"/>
          <w:szCs w:val="22"/>
        </w:rPr>
        <w:t>The Joint Commission reviews the Lessons Learned Database annually and considers recommendations for: revising treaty triggers and thresholds; updating deployment protocols; enhancing early-warning systems; and adjusting the Al-Tawazun mandate.</w:t>
      </w:r>
    </w:p>
    <w:p w14:paraId="4ED22B3F" w14:textId="77777777" w:rsidR="00FC09E2" w:rsidRDefault="00000000">
      <w:pPr>
        <w:pStyle w:val="Heading2"/>
      </w:pPr>
      <w:bookmarkStart w:id="156" w:name="_Toc234334641"/>
      <w:r>
        <w:rPr>
          <w:rFonts w:cs="Cambria"/>
          <w:szCs w:val="28"/>
        </w:rPr>
        <w:t>13.4 Sanitized Publication</w:t>
      </w:r>
      <w:bookmarkEnd w:id="156"/>
    </w:p>
    <w:p w14:paraId="6FD1F0C4" w14:textId="77777777" w:rsidR="00FC09E2" w:rsidRDefault="00000000">
      <w:r>
        <w:rPr>
          <w:rFonts w:cs="Cambria"/>
          <w:szCs w:val="22"/>
        </w:rPr>
        <w:t>The Lessons Learned Database is available to all signatories in a sanitized, non-attributed form. Sanitization removes state identifiers, individual names, and sensitive operational details while preserving the analytical value of the lessons.</w:t>
      </w:r>
    </w:p>
    <w:p w14:paraId="640E8A15" w14:textId="77777777" w:rsidR="00FC09E2" w:rsidRDefault="00000000">
      <w:r>
        <w:rPr>
          <w:rFonts w:cs="Cambria"/>
          <w:szCs w:val="22"/>
        </w:rPr>
        <w:t>Contextual Guardrails: The sanitization process preserves the temporal sequence and inter-relationship of events. Sanitized lessons retain: the chronological order in which indicators appeared; the causal relationships between events where multiple indicators interacted; and the time elapsed between related occurrences. This prevents adversaries from submitting technically accurate data that becomes misleading once stripped of critical context. The Deputy Director for Data and Analytics certifies that each sanitized lesson meets the contextual preservation standard before publication.</w:t>
      </w:r>
    </w:p>
    <w:p w14:paraId="1CD443A3" w14:textId="77777777" w:rsidR="00FC09E2" w:rsidRDefault="00000000">
      <w:pPr>
        <w:pStyle w:val="Heading2"/>
      </w:pPr>
      <w:bookmarkStart w:id="157" w:name="_Toc234334642"/>
      <w:r>
        <w:rPr>
          <w:rFonts w:cs="Cambria"/>
          <w:szCs w:val="28"/>
        </w:rPr>
        <w:lastRenderedPageBreak/>
        <w:t>13.5 Continuous Improvement Cycle</w:t>
      </w:r>
      <w:bookmarkEnd w:id="157"/>
    </w:p>
    <w:p w14:paraId="16338F4C" w14:textId="77777777" w:rsidR="00FC09E2" w:rsidRDefault="00000000">
      <w:r>
        <w:rPr>
          <w:rFonts w:cs="Cambria"/>
          <w:szCs w:val="22"/>
        </w:rPr>
        <w:t>Al-Tawazun operates on a continuous improvement cycle: detect, intervene, learn, adapt, redetect. Each iteration of the cycle refines the Trigger Matrix, improves the accuracy of indicator thresholds, and enhances the effectiveness of deployed Preventer Teams.</w:t>
      </w:r>
    </w:p>
    <w:p w14:paraId="530D0A3C" w14:textId="77777777" w:rsidR="00FC09E2" w:rsidRDefault="00000000">
      <w:pPr>
        <w:pStyle w:val="Heading2"/>
      </w:pPr>
      <w:bookmarkStart w:id="158" w:name="_Toc234334643"/>
      <w:r>
        <w:rPr>
          <w:rFonts w:cs="Cambria"/>
          <w:szCs w:val="28"/>
        </w:rPr>
        <w:t>13.6 Lessons Learned Oversight Committee</w:t>
      </w:r>
      <w:bookmarkEnd w:id="158"/>
    </w:p>
    <w:p w14:paraId="364E7F68" w14:textId="77777777" w:rsidR="00FC09E2" w:rsidRDefault="00000000">
      <w:r>
        <w:rPr>
          <w:rFonts w:cs="Cambria"/>
          <w:szCs w:val="22"/>
        </w:rPr>
        <w:t>Al-Tawazun maintains an independent Lessons Learned Oversight Committee comprising three to five members drawn from internationally recognized academics and former diplomats with no current affiliation to any signatory state government or to Al-Tawazun. The Joint Commission appoints Committee members for three-year renewable terms.</w:t>
      </w:r>
    </w:p>
    <w:p w14:paraId="7C7A89ED" w14:textId="77777777" w:rsidR="00FC09E2" w:rsidRDefault="00000000">
      <w:r>
        <w:rPr>
          <w:rFonts w:cs="Cambria"/>
          <w:szCs w:val="22"/>
        </w:rPr>
        <w:t>The Committee reviews all submissions to the Lessons Learned Database before formalization. The Committee assesses: whether the lesson is grounded in verifiable operational data; whether the lesson contains recommendations that serve institutional improvement rather than partisan advantage; and whether the lesson's analytical conclusions follow logically from the evidence presented. The Committee returns submissions that fail these criteria to the originating office with written guidance.</w:t>
      </w:r>
    </w:p>
    <w:p w14:paraId="040A3E70" w14:textId="77777777" w:rsidR="00FC09E2" w:rsidRDefault="00000000">
      <w:r>
        <w:rPr>
          <w:rFonts w:cs="Cambria"/>
          <w:szCs w:val="22"/>
        </w:rPr>
        <w:t>This peer-review mechanism filters out fabricated lessons designed to corrupt institutional memory. The Committee publishes an annual summary of its review activities, including the number of submissions reviewed, the number returned for revision, and thematic trends in the lessons submitted. The summary contains no state-attributed information.</w:t>
      </w:r>
    </w:p>
    <w:p w14:paraId="180A138D" w14:textId="77777777" w:rsidR="00FC09E2" w:rsidRDefault="00000000">
      <w:pPr>
        <w:pStyle w:val="Heading1"/>
      </w:pPr>
      <w:bookmarkStart w:id="159" w:name="_TocArt14"/>
      <w:bookmarkStart w:id="160" w:name="_Toc234334644"/>
      <w:r>
        <w:rPr>
          <w:rFonts w:cs="Cambria"/>
          <w:szCs w:val="36"/>
        </w:rPr>
        <w:t>Article 14: Public Narrative</w:t>
      </w:r>
      <w:bookmarkEnd w:id="159"/>
      <w:bookmarkEnd w:id="160"/>
    </w:p>
    <w:p w14:paraId="559CB8ED" w14:textId="77777777" w:rsidR="00FC09E2" w:rsidRDefault="00000000">
      <w:r>
        <w:rPr>
          <w:rFonts w:cs="Cambria"/>
          <w:szCs w:val="22"/>
        </w:rPr>
        <w:t>The public narrative surrounding Al-Tawazun is not a public relations exercise. It is a structural feature of the framework. How states perceive Al-Tawazun determines how willingly they cooperate with it. The narrative shapes the political space within which the Stabilization Branch operates.</w:t>
      </w:r>
    </w:p>
    <w:p w14:paraId="786F387B" w14:textId="626156AB" w:rsidR="00FC09E2" w:rsidRDefault="00000000">
      <w:r>
        <w:rPr>
          <w:rFonts w:cs="Cambria"/>
          <w:szCs w:val="22"/>
        </w:rPr>
        <w:t xml:space="preserve">Al-Tawazun presents itself as: </w:t>
      </w:r>
      <w:r w:rsidR="00753E37">
        <w:rPr>
          <w:rFonts w:cs="Cambria"/>
          <w:szCs w:val="22"/>
        </w:rPr>
        <w:t xml:space="preserve">an </w:t>
      </w:r>
      <w:r>
        <w:rPr>
          <w:rFonts w:cs="Cambria"/>
          <w:szCs w:val="22"/>
        </w:rPr>
        <w:t>early warning system, not enforcement mechanisms; certified transparency engines, not inspectors; neutral certifiers, not enforcers, not supranational authorities. An early warning system does not impose enforcement measures. It issues authoritative, independently verified certifications that inform the parties' decision-making. Al-Tawazun's true power lies not in mediation but in certified transparency: the aggregation of twelve independent encrypted data sources that makes denial politically and diplomatically impossible.</w:t>
      </w:r>
    </w:p>
    <w:p w14:paraId="1A58972C" w14:textId="77777777" w:rsidR="002B7F7C" w:rsidRDefault="00000000">
      <w:pPr>
        <w:rPr>
          <w:rFonts w:cs="Cambria"/>
          <w:szCs w:val="22"/>
        </w:rPr>
      </w:pPr>
      <w:r>
        <w:rPr>
          <w:rFonts w:cs="Cambria"/>
          <w:szCs w:val="22"/>
        </w:rPr>
        <w:t xml:space="preserve">This framing transforms the political psychology of cooperation. Instead of the perception that "the UN is coming to tell us what to do," the perception becomes "the UN is here because every member state benefits from a shared early warning system." Certified Transparency means that when Al-Tawazun certifies a condition, the data comes from multiple independent encrypted sources across at least three source categories. That is a power even a great power fears. </w:t>
      </w:r>
    </w:p>
    <w:p w14:paraId="5DD6C576" w14:textId="653AC306" w:rsidR="00FC09E2" w:rsidRDefault="00000000">
      <w:r>
        <w:rPr>
          <w:rFonts w:cs="Cambria"/>
          <w:szCs w:val="22"/>
        </w:rPr>
        <w:lastRenderedPageBreak/>
        <w:t>No state credibly dismisses convergent independent evidence as biased or fabricated. This is the strategic power of Al-Tawazun: it makes deception prohibitively expensive, not through enforcement but through exposure.</w:t>
      </w:r>
    </w:p>
    <w:p w14:paraId="13622699" w14:textId="77777777" w:rsidR="00FC09E2" w:rsidRDefault="00000000">
      <w:pPr>
        <w:pStyle w:val="Heading2"/>
      </w:pPr>
      <w:bookmarkStart w:id="161" w:name="_Toc234334645"/>
      <w:r>
        <w:rPr>
          <w:rFonts w:cs="Cambria"/>
          <w:szCs w:val="28"/>
        </w:rPr>
        <w:t>14.1 Public Annual Report</w:t>
      </w:r>
      <w:bookmarkEnd w:id="161"/>
    </w:p>
    <w:p w14:paraId="376F702F" w14:textId="77777777" w:rsidR="00FC09E2" w:rsidRDefault="00000000">
      <w:r>
        <w:rPr>
          <w:rFonts w:cs="Cambria"/>
          <w:szCs w:val="22"/>
        </w:rPr>
        <w:t>Al-Tawazun produces two annual reports:</w:t>
      </w:r>
    </w:p>
    <w:p w14:paraId="492F822E" w14:textId="77777777" w:rsidR="00FC09E2" w:rsidRDefault="00000000">
      <w:r>
        <w:rPr>
          <w:rFonts w:cs="Cambria"/>
          <w:szCs w:val="22"/>
        </w:rPr>
        <w:t>The Classified Annual Report circulates exclusively to the Joint Commission, the Guarantor Matrix, and signatory state governments. It contains detailed operational data, specific indicator assessments, and state-attributed findings.</w:t>
      </w:r>
    </w:p>
    <w:p w14:paraId="3EA20703" w14:textId="77777777" w:rsidR="00FC09E2" w:rsidRDefault="00000000">
      <w:r>
        <w:rPr>
          <w:rFonts w:cs="Cambria"/>
          <w:szCs w:val="22"/>
        </w:rPr>
        <w:t>The Public Annual Report demonstrates the value of Al-Tawazun without exposing sensitive details. It contains: aggregate statistics on Treaty Trigger Notices issued and resolved; summary data on verification missions facilitated; general trends in regional stability indicators; anonymized case studies of successful de-escalation; and the False Alarm Metrics Report.</w:t>
      </w:r>
    </w:p>
    <w:p w14:paraId="68F3D1EF" w14:textId="77777777" w:rsidR="00FC09E2" w:rsidRDefault="00000000">
      <w:r>
        <w:rPr>
          <w:rFonts w:cs="Cambria"/>
          <w:szCs w:val="22"/>
        </w:rPr>
        <w:t>The Public Annual Report demonstrates that Al-Tawazun operates transparently, delivers measurable results, and respects the confidentiality of sensitive operations.</w:t>
      </w:r>
    </w:p>
    <w:p w14:paraId="6CC9A17A" w14:textId="77777777" w:rsidR="00FC09E2" w:rsidRDefault="00000000">
      <w:pPr>
        <w:pStyle w:val="Heading2"/>
      </w:pPr>
      <w:bookmarkStart w:id="162" w:name="_Toc234334646"/>
      <w:r>
        <w:rPr>
          <w:rFonts w:cs="Cambria"/>
          <w:szCs w:val="28"/>
        </w:rPr>
        <w:t>14.2 Communications Authority</w:t>
      </w:r>
      <w:bookmarkEnd w:id="162"/>
    </w:p>
    <w:p w14:paraId="0E44B57E" w14:textId="77777777" w:rsidR="00FC09E2" w:rsidRDefault="00000000">
      <w:r>
        <w:rPr>
          <w:rFonts w:cs="Cambria"/>
          <w:szCs w:val="22"/>
        </w:rPr>
        <w:t>The Director-General of Al-Tawazun approves all external communications. The Joint Commission reviews the communications strategy annually.</w:t>
      </w:r>
    </w:p>
    <w:p w14:paraId="7CF35319" w14:textId="77777777" w:rsidR="00FC09E2" w:rsidRDefault="00000000">
      <w:pPr>
        <w:pStyle w:val="Heading1"/>
      </w:pPr>
      <w:bookmarkStart w:id="163" w:name="_TocArt15"/>
      <w:bookmarkStart w:id="164" w:name="_Toc234334647"/>
      <w:r>
        <w:rPr>
          <w:rFonts w:cs="Cambria"/>
          <w:szCs w:val="36"/>
        </w:rPr>
        <w:t>Article 15: Sunset and Review</w:t>
      </w:r>
      <w:bookmarkEnd w:id="163"/>
      <w:bookmarkEnd w:id="164"/>
    </w:p>
    <w:p w14:paraId="1DC7EC5B" w14:textId="77777777" w:rsidR="00FC09E2" w:rsidRDefault="00000000">
      <w:pPr>
        <w:pStyle w:val="Heading2"/>
      </w:pPr>
      <w:bookmarkStart w:id="165" w:name="_Toc234334648"/>
      <w:r>
        <w:rPr>
          <w:rFonts w:cs="Cambria"/>
          <w:szCs w:val="28"/>
        </w:rPr>
        <w:t>15.1 Rolling Horizon Mandate</w:t>
      </w:r>
      <w:bookmarkEnd w:id="165"/>
    </w:p>
    <w:p w14:paraId="19C325B8" w14:textId="77777777" w:rsidR="00FC09E2" w:rsidRDefault="00000000">
      <w:r>
        <w:rPr>
          <w:rFonts w:cs="Cambria"/>
          <w:szCs w:val="22"/>
        </w:rPr>
        <w:t>Al-Tawazun operates under a rolling five-year horizon with annual performance review. The mandate does not sunset on a fixed date; it renews continuously unless the Joint Commission votes to modify or dissolve. This rolling horizon provides institutional stability while preserving the authority of signatory states to reform or terminate the institution.</w:t>
      </w:r>
    </w:p>
    <w:p w14:paraId="6E8AC255" w14:textId="77777777" w:rsidR="00FC09E2" w:rsidRDefault="00000000">
      <w:r>
        <w:rPr>
          <w:rFonts w:cs="Cambria"/>
          <w:szCs w:val="22"/>
        </w:rPr>
        <w:t>The rolling horizon replaces a fixed-term sunset with a continuous evaluation cycle. Each annual review considers whether the institution continues to serve the peace architecture effectively. Where the review identifies serious concerns, the Joint Commission initiates a reform process rather than automatic dissolution.</w:t>
      </w:r>
    </w:p>
    <w:p w14:paraId="5C4E2373" w14:textId="77777777" w:rsidR="00FC09E2" w:rsidRDefault="00000000">
      <w:pPr>
        <w:pStyle w:val="Heading2"/>
      </w:pPr>
      <w:bookmarkStart w:id="166" w:name="_Toc234334649"/>
      <w:r>
        <w:rPr>
          <w:rFonts w:cs="Cambria"/>
          <w:szCs w:val="28"/>
        </w:rPr>
        <w:t>15.2 Annual Performance Review</w:t>
      </w:r>
      <w:bookmarkEnd w:id="166"/>
    </w:p>
    <w:p w14:paraId="3CB2D442" w14:textId="77777777" w:rsidR="00FC09E2" w:rsidRDefault="00000000">
      <w:r>
        <w:rPr>
          <w:rFonts w:cs="Cambria"/>
          <w:szCs w:val="22"/>
        </w:rPr>
        <w:t>The Joint Commission conducts an annual performance review assessing: the accuracy of Treaty Trigger Notices; the effectiveness of Preventer Team deployments; the operational health of the monitoring systems; the state of the Lessons Learned Database; compliance with sovereignty safeguards; and the success metrics defined in Article 8.6.</w:t>
      </w:r>
    </w:p>
    <w:p w14:paraId="3385CDE1" w14:textId="77777777" w:rsidR="00FC09E2" w:rsidRDefault="00000000">
      <w:pPr>
        <w:pStyle w:val="Heading2"/>
      </w:pPr>
      <w:bookmarkStart w:id="167" w:name="_Toc234334650"/>
      <w:r>
        <w:rPr>
          <w:rFonts w:cs="Cambria"/>
          <w:szCs w:val="28"/>
        </w:rPr>
        <w:lastRenderedPageBreak/>
        <w:t>15.3 Graceful Degradation</w:t>
      </w:r>
      <w:bookmarkEnd w:id="167"/>
    </w:p>
    <w:p w14:paraId="2F380BC7" w14:textId="77777777" w:rsidR="00FC09E2" w:rsidRDefault="00000000">
      <w:r>
        <w:rPr>
          <w:rFonts w:cs="Cambria"/>
          <w:szCs w:val="22"/>
        </w:rPr>
        <w:t>Where the Joint Commission determines that Al-Tawazun is no longer fully effective but still provides value, the Commission initiates a Graceful Degradation process rather than immediate dissolution. Graceful Degradation reduces the scope of Al-Tawazun operations incrementally while preserving core functions:</w:t>
      </w:r>
    </w:p>
    <w:p w14:paraId="14289F5F" w14:textId="77777777" w:rsidR="00FC09E2" w:rsidRDefault="00000000">
      <w:r>
        <w:rPr>
          <w:rFonts w:cs="Cambria"/>
          <w:szCs w:val="22"/>
        </w:rPr>
        <w:t>Phase One: Reduction of Category IV authorization and limitation of new Preventer Team deployments to Categories I through III.</w:t>
      </w:r>
    </w:p>
    <w:p w14:paraId="7576BD53" w14:textId="77777777" w:rsidR="00FC09E2" w:rsidRDefault="00000000">
      <w:r>
        <w:rPr>
          <w:rFonts w:cs="Cambria"/>
          <w:szCs w:val="22"/>
        </w:rPr>
        <w:t>Phase Two: Consolidation of Regional Nodes from four to two, with maintained coverage through enhanced remote monitoring.</w:t>
      </w:r>
    </w:p>
    <w:p w14:paraId="674A13BC" w14:textId="77777777" w:rsidR="00FC09E2" w:rsidRDefault="00000000">
      <w:r>
        <w:rPr>
          <w:rFonts w:cs="Cambria"/>
          <w:szCs w:val="22"/>
        </w:rPr>
        <w:t>Phase Three: Transition to a lean monitoring and certification-only posture, with Preventer Team functions transferred to bilateral arrangements or UN agencies.</w:t>
      </w:r>
    </w:p>
    <w:p w14:paraId="1FE3F36F" w14:textId="77777777" w:rsidR="00FC09E2" w:rsidRDefault="00000000">
      <w:r>
        <w:rPr>
          <w:rFonts w:cs="Cambria"/>
          <w:szCs w:val="22"/>
        </w:rPr>
        <w:t>Phase Four: Orderly dissolution with full data transfer to the Joint Secretariat and publication of the complete Lessons Learned Database.</w:t>
      </w:r>
    </w:p>
    <w:p w14:paraId="06FE9E87" w14:textId="77777777" w:rsidR="00FC09E2" w:rsidRDefault="00000000">
      <w:r>
        <w:rPr>
          <w:rFonts w:cs="Cambria"/>
          <w:szCs w:val="22"/>
        </w:rPr>
        <w:t>Each phase lasts a minimum of six months. The Joint Commission votes on progression between phases. At any phase, the Commission votes to restore full operations if conditions improve.</w:t>
      </w:r>
    </w:p>
    <w:p w14:paraId="7114532B" w14:textId="77777777" w:rsidR="00FC09E2" w:rsidRDefault="00000000">
      <w:pPr>
        <w:pStyle w:val="Heading2"/>
      </w:pPr>
      <w:bookmarkStart w:id="168" w:name="_Toc234334651"/>
      <w:r>
        <w:rPr>
          <w:rFonts w:cs="Cambria"/>
          <w:szCs w:val="28"/>
        </w:rPr>
        <w:t>15.4 Mandate Renewal Vote</w:t>
      </w:r>
      <w:bookmarkEnd w:id="168"/>
    </w:p>
    <w:p w14:paraId="33C78651" w14:textId="77777777" w:rsidR="00FC09E2" w:rsidRDefault="00000000">
      <w:r>
        <w:rPr>
          <w:rFonts w:cs="Cambria"/>
          <w:szCs w:val="22"/>
        </w:rPr>
        <w:t>The Joint Commission votes on mandate continuation in the final year of each five-year horizon. Continuation requires consensus. Where consensus is not achievable, the Commission considers whether to initiate Graceful Degradation.</w:t>
      </w:r>
    </w:p>
    <w:p w14:paraId="0878A845" w14:textId="77777777" w:rsidR="00FC09E2" w:rsidRDefault="00000000">
      <w:pPr>
        <w:pStyle w:val="Heading2"/>
      </w:pPr>
      <w:bookmarkStart w:id="169" w:name="_Toc234334652"/>
      <w:r>
        <w:rPr>
          <w:rFonts w:cs="Cambria"/>
          <w:szCs w:val="28"/>
        </w:rPr>
        <w:t>15.5 Reform Proposals</w:t>
      </w:r>
      <w:bookmarkEnd w:id="169"/>
    </w:p>
    <w:p w14:paraId="17DC268D" w14:textId="77777777" w:rsidR="00FC09E2" w:rsidRDefault="00000000">
      <w:r>
        <w:rPr>
          <w:rFonts w:cs="Cambria"/>
          <w:szCs w:val="22"/>
        </w:rPr>
        <w:t>Any signatory state proposes reforms to the Al-Tawazun mandate, structure, or procedures at any time. The Joint Commission considers all reform proposals within ninety days of submission.</w:t>
      </w:r>
    </w:p>
    <w:p w14:paraId="73BFADA3" w14:textId="77777777" w:rsidR="00FC09E2" w:rsidRDefault="00000000">
      <w:pPr>
        <w:pStyle w:val="Heading2"/>
      </w:pPr>
      <w:bookmarkStart w:id="170" w:name="_Toc234334653"/>
      <w:r>
        <w:rPr>
          <w:rFonts w:cs="Cambria"/>
          <w:szCs w:val="28"/>
        </w:rPr>
        <w:t>15.6 Independent External Review</w:t>
      </w:r>
      <w:bookmarkEnd w:id="170"/>
    </w:p>
    <w:p w14:paraId="1B752BD2" w14:textId="77777777" w:rsidR="00FC09E2" w:rsidRDefault="00000000">
      <w:r>
        <w:rPr>
          <w:rFonts w:cs="Cambria"/>
          <w:szCs w:val="22"/>
        </w:rPr>
        <w:t>Every five years, Al-Tawazun invites outside experts to review its procedures, governance, and effectiveness. The Independent External Review panel comprises experts who have no current or prior affiliation with Al-Tawazun, the Joint Commission, or any signatory state government.</w:t>
      </w:r>
    </w:p>
    <w:p w14:paraId="791ED673" w14:textId="77777777" w:rsidR="00FC09E2" w:rsidRDefault="00000000">
      <w:r>
        <w:rPr>
          <w:rFonts w:cs="Cambria"/>
          <w:szCs w:val="22"/>
        </w:rPr>
        <w:t>The Review panel evaluates: the accuracy and timeliness of Treaty Trigger Notices; the effectiveness of Preventer Team deployments; the adequacy of sovereignty safeguards; the independence of the Stabilization Branch from political influence; the transparency of funding and operations; and the overall contribution of Al-Tawazun to regional stability.</w:t>
      </w:r>
    </w:p>
    <w:p w14:paraId="2F15FEB4" w14:textId="77777777" w:rsidR="00FC09E2" w:rsidRDefault="00000000">
      <w:r>
        <w:rPr>
          <w:rFonts w:cs="Cambria"/>
          <w:szCs w:val="22"/>
        </w:rPr>
        <w:lastRenderedPageBreak/>
        <w:t>The Review panel publishes its findings and recommendations. The Joint Commission considers the recommendations within ninety days and publishes its response, including which recommendations it accepts, modifies, or declines.</w:t>
      </w:r>
    </w:p>
    <w:p w14:paraId="79D8FBDB" w14:textId="77777777" w:rsidR="00FC09E2" w:rsidRDefault="00000000">
      <w:pPr>
        <w:pStyle w:val="Heading2"/>
      </w:pPr>
      <w:bookmarkStart w:id="171" w:name="_Toc234334654"/>
      <w:r>
        <w:rPr>
          <w:rFonts w:cs="Cambria"/>
          <w:szCs w:val="28"/>
        </w:rPr>
        <w:t>15.7 Objective Auto-Downsizing Trigger</w:t>
      </w:r>
      <w:bookmarkEnd w:id="171"/>
    </w:p>
    <w:p w14:paraId="1442F0CE" w14:textId="77777777" w:rsidR="00FC09E2" w:rsidRDefault="00000000">
      <w:r>
        <w:rPr>
          <w:rFonts w:cs="Cambria"/>
          <w:szCs w:val="22"/>
        </w:rPr>
        <w:t>Al-Tawazun's existence ties to objective regional metrics, not political votes. Where the following three conditions persist for five consecutive years, Al-Tawazun automatically enters Phase Two of Graceful Degradation (consolidation): zero Red Triggers issued; zero Category III or IV deployments; and an average Regional Stability Score above the pre-agreed threshold calculated by the Independent Scientific Advisory Board.</w:t>
      </w:r>
    </w:p>
    <w:p w14:paraId="671CC635" w14:textId="77777777" w:rsidR="00FC09E2" w:rsidRDefault="00000000">
      <w:r>
        <w:rPr>
          <w:rFonts w:cs="Cambria"/>
          <w:szCs w:val="22"/>
        </w:rPr>
        <w:t>Where the region is demonstrating sustained peaceful conditions, the mechanism automatically downsizes. It frees resources for other United Nations priorities. Where stability deteriorates, Al-Tawazun automatically re-surges to full operational posture. This removes the political toxicity of killing the institution. Al-Tawazun's size becomes a function of objective reality, not political whim. No state bears the blame for downsizing because the metrics, not a vote, trigger the transition.</w:t>
      </w:r>
    </w:p>
    <w:p w14:paraId="55ECC202" w14:textId="77777777" w:rsidR="00FC09E2" w:rsidRDefault="00000000">
      <w:r>
        <w:rPr>
          <w:rFonts w:cs="Cambria"/>
          <w:szCs w:val="22"/>
        </w:rPr>
        <w:t>The Independent Scientific Advisory Board publishes the Regional Stability Score quarterly. The Board calculates the pre-agreed downsize threshold during the Protocol's first year of operation. The Board reviews the threshold annually and adjusts it based on evolving regional conditions. The threshold is public. All signatory states know the exact score that triggers downsizing.</w:t>
      </w:r>
    </w:p>
    <w:p w14:paraId="76DBAFFF" w14:textId="77777777" w:rsidR="00FC09E2" w:rsidRDefault="00000000">
      <w:pPr>
        <w:pStyle w:val="Heading2"/>
      </w:pPr>
      <w:bookmarkStart w:id="172" w:name="_Toc234334655"/>
      <w:r>
        <w:rPr>
          <w:rFonts w:cs="Cambria"/>
          <w:szCs w:val="28"/>
        </w:rPr>
        <w:t>15.8 Sustained Operations During Stable Periods</w:t>
      </w:r>
      <w:bookmarkEnd w:id="172"/>
    </w:p>
    <w:p w14:paraId="64FBD1B4" w14:textId="77777777" w:rsidR="00FC09E2" w:rsidRDefault="00000000">
      <w:r>
        <w:rPr>
          <w:rFonts w:cs="Cambria"/>
          <w:szCs w:val="22"/>
        </w:rPr>
        <w:t>Al-Tawazun exists not only for crises but also for the long periods between them. During stable periods, the Stabilization Branch focuses on: training and certification programs for regional personnel; standards development for monitoring, verification, and data sharing; technical cooperation workshops that build relationships between counterparts from rival states; facilitation of professional exchanges between military officers, diplomats, and technical specialists; maintenance and testing of military hotlines and crisis communication channels; and disaster response coordination that builds operational habits without political content.</w:t>
      </w:r>
    </w:p>
    <w:p w14:paraId="2BA8E133" w14:textId="77777777" w:rsidR="00FC09E2" w:rsidRDefault="00000000">
      <w:r>
        <w:rPr>
          <w:rFonts w:cs="Cambria"/>
          <w:szCs w:val="22"/>
        </w:rPr>
        <w:t>The institution needs a reason to exist when everything works. These sustained operations provide that reason. They build the personal relationships, communication habits, and technical standards that make crisis response possible. The best crisis mediation occurs between people who already know each other. Al-Tawazun invests in those relationships during quiet periods so they survive the first day of tension.</w:t>
      </w:r>
    </w:p>
    <w:p w14:paraId="08D43035" w14:textId="77777777" w:rsidR="00FC09E2" w:rsidRDefault="00000000">
      <w:pPr>
        <w:pStyle w:val="Heading2"/>
      </w:pPr>
      <w:bookmarkStart w:id="173" w:name="_Toc234334656"/>
      <w:r>
        <w:rPr>
          <w:rFonts w:cs="Cambria"/>
          <w:szCs w:val="28"/>
        </w:rPr>
        <w:t>15.9 State Withdrawal Valve</w:t>
      </w:r>
      <w:bookmarkEnd w:id="173"/>
    </w:p>
    <w:p w14:paraId="4F4A0A17" w14:textId="77777777" w:rsidR="00FC09E2" w:rsidRDefault="00000000">
      <w:r>
        <w:rPr>
          <w:rFonts w:cs="Cambria"/>
          <w:szCs w:val="22"/>
        </w:rPr>
        <w:t xml:space="preserve">Any signatory state provides twenty-four months written notice of its intent to withdraw from this Protocol. During the notice period, the state continues all cooperation obligations including data sharing, Preventer Team access, and Joint Commission participation. The notice period </w:t>
      </w:r>
      <w:r>
        <w:rPr>
          <w:rFonts w:cs="Cambria"/>
          <w:szCs w:val="22"/>
        </w:rPr>
        <w:lastRenderedPageBreak/>
        <w:t>allows orderly transition of responsibilities, completion of active assessments, and preservation of institutional memory related to the withdrawing state.</w:t>
      </w:r>
    </w:p>
    <w:p w14:paraId="6671EDF8" w14:textId="77777777" w:rsidR="00FC09E2" w:rsidRDefault="00000000">
      <w:r>
        <w:rPr>
          <w:rFonts w:cs="Cambria"/>
          <w:szCs w:val="22"/>
        </w:rPr>
        <w:t>Where a state withdraws, Al-Tawazun archives all data related to that state under the Confidentiality Shield. The withdrawing state requests return of proprietary data within twelve months of withdrawal. After twelve months, archival data enters standard retention procedures. A state that withdraws rejoins by providing written notification and paying a new Stability Bond at current rates.</w:t>
      </w:r>
    </w:p>
    <w:p w14:paraId="3BC32639" w14:textId="77777777" w:rsidR="00FC09E2" w:rsidRDefault="00000000">
      <w:pPr>
        <w:pStyle w:val="Heading1"/>
      </w:pPr>
      <w:bookmarkStart w:id="174" w:name="_TocArt16"/>
      <w:bookmarkStart w:id="175" w:name="_Toc234334657"/>
      <w:r>
        <w:rPr>
          <w:rFonts w:cs="Cambria"/>
          <w:szCs w:val="36"/>
        </w:rPr>
        <w:t>Article 16: Relationship to Other Instruments</w:t>
      </w:r>
      <w:bookmarkEnd w:id="174"/>
      <w:bookmarkEnd w:id="175"/>
    </w:p>
    <w:p w14:paraId="489E3E76" w14:textId="77777777" w:rsidR="00FC09E2" w:rsidRDefault="00000000">
      <w:r>
        <w:rPr>
          <w:rFonts w:cs="Cambria"/>
          <w:szCs w:val="22"/>
        </w:rPr>
        <w:t>This Protocol establishes Al-Tawazun as a standalone United Nations office under the Department of Political and Peacebuilding Affairs. It coordinates with the MENOC Charter and all associated annexes but derives its primary authority from the United Nations Charter. States participate in Al-Tawazun without ratifying the MENOC Charter.</w:t>
      </w:r>
    </w:p>
    <w:p w14:paraId="79CF01F7" w14:textId="77777777" w:rsidR="00FC09E2" w:rsidRDefault="00000000">
      <w:r>
        <w:rPr>
          <w:rFonts w:cs="Cambria"/>
          <w:szCs w:val="22"/>
        </w:rPr>
        <w:t>Where this Protocol conflicts with another instrument on a matter within this Protocol's scope, this Protocol governs.</w:t>
      </w:r>
    </w:p>
    <w:p w14:paraId="158B5D6A" w14:textId="77777777" w:rsidR="00FC09E2" w:rsidRDefault="00000000">
      <w:r>
        <w:rPr>
          <w:rFonts w:cs="Cambria"/>
          <w:szCs w:val="22"/>
        </w:rPr>
        <w:t>Al-Tawazun coordinates with the Joint Secretariat, the Joint Commission, and all relevant bodies to ensure consistency with the broader peace architecture. Data collected by Al-Tawazun is inadmissible in any criminal, administrative, or judicial proceeding before any international or national court, including the International Criminal Court, without the express written consent of the state from which the data was collected. This Data Inadmissibility Shield applies to all data collected under all Monitoring Categories and all Deployment Categories. No exception exists for data collected during Category IV deployments.</w:t>
      </w:r>
    </w:p>
    <w:p w14:paraId="1E8B6894" w14:textId="77777777" w:rsidR="00FC09E2" w:rsidRDefault="00000000">
      <w:r>
        <w:rPr>
          <w:rFonts w:cs="Cambria"/>
          <w:szCs w:val="22"/>
        </w:rPr>
        <w:t>Nothing in this Protocol derogates from the authority of the IAEA, the Joint Commission, or the Guarantor Matrix.</w:t>
      </w:r>
    </w:p>
    <w:p w14:paraId="6537AAAA" w14:textId="77777777" w:rsidR="00FC09E2" w:rsidRDefault="00000000">
      <w:r>
        <w:rPr>
          <w:rFonts w:cs="Cambria"/>
          <w:szCs w:val="22"/>
        </w:rPr>
        <w:t>This Protocol does not amend, supersede, or replace Iran's NPT Safeguards Agreement (INFCIRC/214), the Additional Protocol (INFCIRC/214/Add.1), or the Agency's Statute.</w:t>
      </w:r>
    </w:p>
    <w:p w14:paraId="239B1EBD" w14:textId="77777777" w:rsidR="00FC09E2" w:rsidRDefault="00000000">
      <w:pPr>
        <w:pStyle w:val="Heading2"/>
      </w:pPr>
      <w:bookmarkStart w:id="176" w:name="_Toc234334658"/>
      <w:r>
        <w:rPr>
          <w:rFonts w:cs="Cambria"/>
          <w:szCs w:val="28"/>
        </w:rPr>
        <w:t>16.1 Shared Technology Standards</w:t>
      </w:r>
      <w:bookmarkEnd w:id="176"/>
    </w:p>
    <w:p w14:paraId="10F7107B" w14:textId="77777777" w:rsidR="00FC09E2" w:rsidRDefault="00000000">
      <w:r>
        <w:rPr>
          <w:rFonts w:cs="Cambria"/>
          <w:szCs w:val="22"/>
        </w:rPr>
        <w:t>Al-Tawazun maintains a Technical Standards Annex specifying shared protocols for: satellite imagery formats and resolution standards; telemetry data formats and transmission protocols; encryption standards for secure communications; and interoperability requirements for monitoring equipment.</w:t>
      </w:r>
    </w:p>
    <w:p w14:paraId="713FEDA9" w14:textId="77777777" w:rsidR="00FC09E2" w:rsidRDefault="00000000">
      <w:r>
        <w:rPr>
          <w:rFonts w:cs="Cambria"/>
          <w:szCs w:val="22"/>
        </w:rPr>
        <w:t>The Technical Standards Annex ensures that all signatory states, Regional Nodes, and monitoring systems use compatible formats and protocols. This standardization reduces integration costs, accelerates data sharing, and prevents vendor lock-in.</w:t>
      </w:r>
    </w:p>
    <w:p w14:paraId="3C8D6854" w14:textId="77777777" w:rsidR="00FC09E2" w:rsidRDefault="00000000">
      <w:r>
        <w:rPr>
          <w:rFonts w:cs="Cambria"/>
          <w:szCs w:val="22"/>
        </w:rPr>
        <w:t>The Independent Scientific Advisory Board reviews the Technical Standards Annex annually and recommends updates to reflect technological advances.</w:t>
      </w:r>
    </w:p>
    <w:p w14:paraId="17E822C7" w14:textId="77777777" w:rsidR="00FC09E2" w:rsidRDefault="00000000">
      <w:pPr>
        <w:pStyle w:val="Heading1"/>
      </w:pPr>
      <w:bookmarkStart w:id="177" w:name="_TocSig"/>
      <w:bookmarkStart w:id="178" w:name="_Toc234334659"/>
      <w:r>
        <w:rPr>
          <w:rFonts w:cs="Cambria"/>
          <w:szCs w:val="36"/>
        </w:rPr>
        <w:lastRenderedPageBreak/>
        <w:t>Signature Block</w:t>
      </w:r>
      <w:bookmarkEnd w:id="177"/>
      <w:bookmarkEnd w:id="178"/>
    </w:p>
    <w:p w14:paraId="3F8AF1FA" w14:textId="77777777" w:rsidR="00FC09E2" w:rsidRDefault="00000000">
      <w:r>
        <w:rPr>
          <w:rFonts w:cs="Cambria"/>
          <w:szCs w:val="22"/>
        </w:rPr>
        <w:t>In witness whereof, the undersigned, being duly authorized by their respective governments, have signed this Protocol.</w:t>
      </w:r>
    </w:p>
    <w:p w14:paraId="5071DAD0" w14:textId="77777777" w:rsidR="00FC09E2" w:rsidRDefault="00000000">
      <w:r>
        <w:rPr>
          <w:rFonts w:cs="Cambria"/>
          <w:szCs w:val="22"/>
        </w:rPr>
        <w:t>Done at _______________________________, this ______ day of _________________________, 2026, in duplicate in the English language.</w:t>
      </w:r>
    </w:p>
    <w:p w14:paraId="3AE432FB" w14:textId="77777777" w:rsidR="00FC09E2" w:rsidRDefault="00000000">
      <w:r>
        <w:rPr>
          <w:rFonts w:cs="Cambria"/>
          <w:szCs w:val="22"/>
        </w:rPr>
        <w:t>For the Islamic Republic of Iran:</w:t>
      </w:r>
    </w:p>
    <w:p w14:paraId="5F84A3B8" w14:textId="77777777" w:rsidR="00FC09E2" w:rsidRDefault="00000000">
      <w:r>
        <w:rPr>
          <w:rFonts w:cs="Cambria"/>
          <w:szCs w:val="22"/>
        </w:rPr>
        <w:t>Name: _________________________________________________</w:t>
      </w:r>
    </w:p>
    <w:p w14:paraId="7E89B031" w14:textId="77777777" w:rsidR="00FC09E2" w:rsidRDefault="00000000">
      <w:r>
        <w:rPr>
          <w:rFonts w:cs="Cambria"/>
          <w:szCs w:val="22"/>
        </w:rPr>
        <w:t>Title: _________________________________________________</w:t>
      </w:r>
    </w:p>
    <w:p w14:paraId="03394CA7" w14:textId="77777777" w:rsidR="00FC09E2" w:rsidRDefault="00000000">
      <w:r>
        <w:rPr>
          <w:rFonts w:cs="Cambria"/>
          <w:szCs w:val="22"/>
        </w:rPr>
        <w:t>Date: _________________________________________________</w:t>
      </w:r>
    </w:p>
    <w:p w14:paraId="483E5817" w14:textId="77777777" w:rsidR="00FC09E2" w:rsidRDefault="00000000">
      <w:r>
        <w:rPr>
          <w:rFonts w:cs="Cambria"/>
          <w:szCs w:val="22"/>
        </w:rPr>
        <w:t>For the United States of America:</w:t>
      </w:r>
    </w:p>
    <w:p w14:paraId="1AC657C1" w14:textId="77777777" w:rsidR="00FC09E2" w:rsidRDefault="00000000">
      <w:r>
        <w:rPr>
          <w:rFonts w:cs="Cambria"/>
          <w:szCs w:val="22"/>
        </w:rPr>
        <w:t>Name: _________________________________________________</w:t>
      </w:r>
    </w:p>
    <w:p w14:paraId="46215916" w14:textId="77777777" w:rsidR="00FC09E2" w:rsidRDefault="00000000">
      <w:r>
        <w:rPr>
          <w:rFonts w:cs="Cambria"/>
          <w:szCs w:val="22"/>
        </w:rPr>
        <w:t>Title: _________________________________________________</w:t>
      </w:r>
    </w:p>
    <w:p w14:paraId="08636FE5" w14:textId="77777777" w:rsidR="00FC09E2" w:rsidRDefault="00000000">
      <w:r>
        <w:rPr>
          <w:rFonts w:cs="Cambria"/>
          <w:szCs w:val="22"/>
        </w:rPr>
        <w:t>Date: _________________________________________________</w:t>
      </w:r>
    </w:p>
    <w:p w14:paraId="69C861EE" w14:textId="77777777" w:rsidR="00FC09E2" w:rsidRDefault="00000000">
      <w:r>
        <w:rPr>
          <w:rFonts w:cs="Cambria"/>
          <w:szCs w:val="22"/>
        </w:rPr>
        <w:t>The United Nations acknowledges the establishment of Al-Tawazun under this Protocol and affirms its consistency with the purposes and principles of the United Nations Charter.</w:t>
      </w:r>
    </w:p>
    <w:p w14:paraId="4761DB13" w14:textId="77777777" w:rsidR="00FC09E2" w:rsidRDefault="00000000">
      <w:r>
        <w:rPr>
          <w:rFonts w:cs="Cambria"/>
          <w:szCs w:val="22"/>
        </w:rPr>
        <w:t>For the United Nations:</w:t>
      </w:r>
    </w:p>
    <w:p w14:paraId="101E4C29" w14:textId="77777777" w:rsidR="00FC09E2" w:rsidRDefault="00000000">
      <w:r>
        <w:rPr>
          <w:rFonts w:cs="Cambria"/>
          <w:szCs w:val="22"/>
        </w:rPr>
        <w:t>Name: _________________________________________________</w:t>
      </w:r>
    </w:p>
    <w:p w14:paraId="755C75B7" w14:textId="77777777" w:rsidR="00FC09E2" w:rsidRDefault="00000000">
      <w:r>
        <w:rPr>
          <w:rFonts w:cs="Cambria"/>
          <w:szCs w:val="22"/>
        </w:rPr>
        <w:t>Title: Secretary-General</w:t>
      </w:r>
    </w:p>
    <w:p w14:paraId="771CEFDA" w14:textId="77777777" w:rsidR="00FC09E2" w:rsidRDefault="00000000">
      <w:r>
        <w:rPr>
          <w:rFonts w:cs="Cambria"/>
          <w:szCs w:val="22"/>
        </w:rPr>
        <w:t>Date: _________________________________________________</w:t>
      </w:r>
    </w:p>
    <w:p w14:paraId="2C2A807F" w14:textId="77777777" w:rsidR="00FC09E2" w:rsidRDefault="00FC09E2">
      <w:pPr>
        <w:sectPr w:rsidR="00FC09E2">
          <w:headerReference w:type="default" r:id="rId7"/>
          <w:footerReference w:type="default" r:id="rId8"/>
          <w:pgSz w:w="11906" w:h="16838"/>
          <w:pgMar w:top="1800" w:right="1440" w:bottom="1440" w:left="1440" w:header="720" w:footer="720" w:gutter="0"/>
          <w:cols w:space="720"/>
        </w:sectPr>
      </w:pPr>
    </w:p>
    <w:p w14:paraId="75905D2D" w14:textId="77777777" w:rsidR="00FC09E2" w:rsidRDefault="00FC09E2"/>
    <w:p w14:paraId="3E538DC5" w14:textId="77777777" w:rsidR="00FC09E2" w:rsidRDefault="00000000">
      <w:pPr>
        <w:spacing w:before="6000"/>
        <w:jc w:val="center"/>
      </w:pPr>
      <w:r>
        <w:rPr>
          <w:rFonts w:eastAsia="Cambria" w:cs="Cambria"/>
          <w:color w:val="A6894A"/>
          <w:spacing w:val="60"/>
          <w:sz w:val="28"/>
          <w:szCs w:val="28"/>
        </w:rPr>
        <w:t>التوازن</w:t>
      </w:r>
    </w:p>
    <w:p w14:paraId="26729350" w14:textId="77777777" w:rsidR="00FC09E2" w:rsidRDefault="00000000">
      <w:pPr>
        <w:spacing w:before="400"/>
        <w:jc w:val="center"/>
      </w:pPr>
      <w:r>
        <w:rPr>
          <w:rFonts w:eastAsia="Cambria" w:cs="Cambria"/>
          <w:i/>
          <w:color w:val="1A2744"/>
          <w:szCs w:val="22"/>
        </w:rPr>
        <w:t>The Balancing</w:t>
      </w:r>
    </w:p>
    <w:p w14:paraId="148A2840" w14:textId="77777777" w:rsidR="00FC09E2" w:rsidRDefault="00000000">
      <w:pPr>
        <w:spacing w:before="600"/>
        <w:jc w:val="center"/>
      </w:pPr>
      <w:r>
        <w:rPr>
          <w:rFonts w:eastAsia="Cambria" w:cs="Cambria"/>
          <w:sz w:val="20"/>
          <w:szCs w:val="20"/>
        </w:rPr>
        <w:t>"They sound the alarm. They do not rule anyone."</w:t>
      </w:r>
    </w:p>
    <w:p w14:paraId="1336DDF8" w14:textId="77777777" w:rsidR="00FC09E2" w:rsidRDefault="00000000">
      <w:pPr>
        <w:spacing w:before="3000"/>
        <w:jc w:val="center"/>
      </w:pPr>
      <w:r>
        <w:rPr>
          <w:rFonts w:eastAsia="Cambria" w:cs="Cambria"/>
          <w:sz w:val="18"/>
          <w:szCs w:val="18"/>
        </w:rPr>
        <w:t>Authorized Negotiators Only -- Confidential -- Not for Public Distribution</w:t>
      </w:r>
    </w:p>
    <w:p w14:paraId="3AEE27D8" w14:textId="77777777" w:rsidR="00FC09E2" w:rsidRDefault="00000000">
      <w:pPr>
        <w:spacing w:before="200"/>
        <w:jc w:val="center"/>
      </w:pPr>
      <w:r>
        <w:rPr>
          <w:rFonts w:eastAsia="Cambria" w:cs="Cambria"/>
          <w:sz w:val="18"/>
          <w:szCs w:val="18"/>
        </w:rPr>
        <w:t>Version 3.0 -- July 2026</w:t>
      </w:r>
    </w:p>
    <w:sectPr w:rsidR="00FC09E2">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D1F5" w14:textId="77777777" w:rsidR="00B710C1" w:rsidRDefault="00B710C1">
      <w:pPr>
        <w:spacing w:after="0" w:line="240" w:lineRule="auto"/>
      </w:pPr>
      <w:r>
        <w:separator/>
      </w:r>
    </w:p>
  </w:endnote>
  <w:endnote w:type="continuationSeparator" w:id="0">
    <w:p w14:paraId="1A29E4D7" w14:textId="77777777" w:rsidR="00B710C1" w:rsidRDefault="00B71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9DD5" w14:textId="77777777" w:rsidR="00FC09E2" w:rsidRDefault="00000000">
    <w:pPr>
      <w:jc w:val="center"/>
    </w:pP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1</w:t>
    </w:r>
    <w:r>
      <w:fldChar w:fldCharType="end"/>
    </w:r>
    <w:r>
      <w:rPr>
        <w:color w:val="7A7A7A"/>
        <w:sz w:val="18"/>
      </w:rPr>
      <w:t xml:space="preserve"> / </w:t>
    </w:r>
    <w:r>
      <w:rPr>
        <w:color w:val="7A7A7A"/>
        <w:sz w:val="18"/>
      </w:rPr>
      <w:fldChar w:fldCharType="begin"/>
    </w:r>
    <w:r>
      <w:rPr>
        <w:color w:val="7A7A7A"/>
        <w:sz w:val="18"/>
      </w:rPr>
      <w:instrText xml:space="preserve"> NUMPAGES </w:instrText>
    </w:r>
    <w:r>
      <w:rPr>
        <w:color w:val="7A7A7A"/>
        <w:sz w:val="18"/>
      </w:rPr>
      <w:fldChar w:fldCharType="separate"/>
    </w:r>
    <w:r>
      <w:rPr>
        <w:color w:val="7A7A7A"/>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B56FF" w14:textId="77777777" w:rsidR="00B710C1" w:rsidRDefault="00B710C1">
      <w:pPr>
        <w:spacing w:after="0" w:line="240" w:lineRule="auto"/>
      </w:pPr>
      <w:r>
        <w:separator/>
      </w:r>
    </w:p>
  </w:footnote>
  <w:footnote w:type="continuationSeparator" w:id="0">
    <w:p w14:paraId="68496B06" w14:textId="77777777" w:rsidR="00B710C1" w:rsidRDefault="00B71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5B6" w14:textId="77777777" w:rsidR="00FC09E2" w:rsidRDefault="00000000">
    <w:pPr>
      <w:jc w:val="right"/>
    </w:pPr>
    <w:r>
      <w:rPr>
        <w:color w:val="7A7A7A"/>
        <w:sz w:val="18"/>
      </w:rPr>
      <w:t>Annex ST: Al-Tawazun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E3BA6"/>
    <w:multiLevelType w:val="multilevel"/>
    <w:tmpl w:val="8B5E0840"/>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791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09E2"/>
    <w:rsid w:val="000A4891"/>
    <w:rsid w:val="002B7F7C"/>
    <w:rsid w:val="0048564D"/>
    <w:rsid w:val="00566684"/>
    <w:rsid w:val="006459E9"/>
    <w:rsid w:val="00753E37"/>
    <w:rsid w:val="00B710C1"/>
    <w:rsid w:val="00DE77D0"/>
    <w:rsid w:val="00FC09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2E75"/>
  <w15:docId w15:val="{AB4B5C0B-CDC5-430B-9AC1-0E314E46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jc w:val="both"/>
    </w:pPr>
    <w:rPr>
      <w:rFonts w:ascii="Cambria" w:eastAsia="Microsoft YaHei" w:hAnsi="Cambria"/>
      <w:color w:val="1A1A1A"/>
      <w:sz w:val="22"/>
    </w:rPr>
  </w:style>
  <w:style w:type="paragraph" w:styleId="Heading1">
    <w:name w:val="heading 1"/>
    <w:basedOn w:val="Normal"/>
    <w:uiPriority w:val="9"/>
    <w:qFormat/>
    <w:pPr>
      <w:keepNext/>
      <w:keepLines/>
      <w:spacing w:before="480" w:after="240"/>
      <w:outlineLvl w:val="0"/>
    </w:pPr>
    <w:rPr>
      <w:b/>
      <w:color w:val="1A2744"/>
      <w:sz w:val="36"/>
    </w:rPr>
  </w:style>
  <w:style w:type="paragraph" w:styleId="Heading2">
    <w:name w:val="heading 2"/>
    <w:basedOn w:val="Normal"/>
    <w:uiPriority w:val="9"/>
    <w:unhideWhenUsed/>
    <w:qFormat/>
    <w:pPr>
      <w:keepNext/>
      <w:keepLines/>
      <w:spacing w:before="360"/>
      <w:outlineLvl w:val="1"/>
    </w:pPr>
    <w:rPr>
      <w:b/>
      <w:sz w:val="28"/>
    </w:rPr>
  </w:style>
  <w:style w:type="paragraph" w:styleId="Heading3">
    <w:name w:val="heading 3"/>
    <w:basedOn w:val="Normal"/>
    <w:uiPriority w:val="9"/>
    <w:semiHidden/>
    <w:unhideWhenUsed/>
    <w:qFormat/>
    <w:pPr>
      <w:keepNext/>
      <w:keepLines/>
      <w:spacing w:before="280" w:after="120"/>
      <w:outlineLvl w:val="2"/>
    </w:pPr>
    <w:rPr>
      <w:b/>
      <w:color w:val="4A4A4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A7A7A"/>
      <w:sz w:val="18"/>
    </w:rPr>
  </w:style>
  <w:style w:type="paragraph" w:styleId="TOC1">
    <w:name w:val="toc 1"/>
    <w:basedOn w:val="Normal"/>
    <w:uiPriority w:val="39"/>
    <w:pPr>
      <w:tabs>
        <w:tab w:val="right" w:leader="dot" w:pos="9350"/>
      </w:tabs>
      <w:spacing w:before="180" w:after="60"/>
    </w:pPr>
    <w:rPr>
      <w:b/>
    </w:rPr>
  </w:style>
  <w:style w:type="paragraph" w:styleId="TOC2">
    <w:name w:val="toc 2"/>
    <w:basedOn w:val="Normal"/>
    <w:uiPriority w:val="39"/>
    <w:pPr>
      <w:tabs>
        <w:tab w:val="right" w:leader="dot" w:pos="9350"/>
      </w:tabs>
      <w:spacing w:before="60" w:after="60"/>
      <w:ind w:left="360"/>
    </w:pPr>
    <w:rPr>
      <w:color w:val="4A4A4A"/>
    </w:rPr>
  </w:style>
  <w:style w:type="paragraph" w:styleId="TOC3">
    <w:name w:val="toc 3"/>
    <w:basedOn w:val="Normal"/>
    <w:uiPriority w:val="39"/>
    <w:pPr>
      <w:tabs>
        <w:tab w:val="right" w:leader="dot" w:pos="9350"/>
      </w:tabs>
      <w:spacing w:before="40" w:after="60"/>
      <w:ind w:left="720"/>
    </w:pPr>
    <w:rPr>
      <w:color w:val="4A4A4A"/>
    </w:rPr>
  </w:style>
  <w:style w:type="paragraph" w:styleId="TOC4">
    <w:name w:val="toc 4"/>
    <w:basedOn w:val="Normal"/>
    <w:next w:val="Normal"/>
    <w:autoRedefine/>
    <w:uiPriority w:val="39"/>
    <w:unhideWhenUsed/>
    <w:rsid w:val="002B7F7C"/>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2B7F7C"/>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2B7F7C"/>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2B7F7C"/>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2B7F7C"/>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2B7F7C"/>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2B7F7C"/>
    <w:rPr>
      <w:color w:val="467886" w:themeColor="hyperlink"/>
      <w:u w:val="single"/>
    </w:rPr>
  </w:style>
  <w:style w:type="character" w:styleId="UnresolvedMention">
    <w:name w:val="Unresolved Mention"/>
    <w:basedOn w:val="DefaultParagraphFont"/>
    <w:uiPriority w:val="99"/>
    <w:semiHidden/>
    <w:unhideWhenUsed/>
    <w:rsid w:val="002B7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58</Pages>
  <Words>22189</Words>
  <Characters>126479</Characters>
  <Application>Microsoft Office Word</Application>
  <DocSecurity>0</DocSecurity>
  <Lines>1053</Lines>
  <Paragraphs>296</Paragraphs>
  <ScaleCrop>false</ScaleCrop>
  <Company/>
  <LinksUpToDate>false</LinksUpToDate>
  <CharactersWithSpaces>148372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5</cp:revision>
  <dcterms:created xsi:type="dcterms:W3CDTF">2026-07-07T20:34:00Z</dcterms:created>
  <dcterms:modified xsi:type="dcterms:W3CDTF">2026-07-07T20:41:00Z</dcterms:modified>
</cp:coreProperties>
</file>