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6ca67f388ed046ea"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efd1482fb194854"/>
                    <a:stretch>
                      <a:fillRect/>
                    </a:stretch>
                  </pic:blipFill>
                  <pic:spPr>
                    <a:xfrm>
                      <a:off x="0" y="0"/>
                      <a:ext cx="7560000" cy="10692000"/>
                    </a:xfrm>
                    <a:prstGeom prst="rect"/>
                  </pic:spPr>
                </pic:pic>
              </a:graphicData>
            </a:graphic>
          </wp:anchor>
        </w:drawing>
      </w:r>
    </w:p>
    <w:p>
      <w:pPr>
        <w:pStyle w:val="Normal"/>
        <w:spacing w:before="2400"/>
      </w:pPr>
    </w:p>
    <w:p>
      <w:pPr>
        <w:pStyle w:val="Normal"/>
        <w:spacing w:after="600"/>
        <w:jc w:val="center"/>
      </w:pPr>
      <w:r>
        <w:rPr>
          <w:color w:val="8FA4B3"/>
          <w:sz w:val="20"/>
          <w:rFonts w:ascii="Times New Roman" w:hAnsi="Times New Roman" w:eastAsia="Times New Roman" w:cs="Times New Roman"/>
          <w:szCs w:val="20"/>
          <w:spacing w:val="60"/>
        </w:rPr>
        <w:t xml:space="preserve">AUTHORIZED NEGOTIATORS ONLY  -  CONFIDENTIAL  -  NOT FOR PUBLIC DISTRIBUTION</w:t>
      </w:r>
    </w:p>
    <w:p>
      <w:pPr>
        <w:pStyle w:val="Normal"/>
        <w:spacing w:after="200"/>
        <w:jc w:val="center"/>
      </w:pPr>
      <w:r>
        <w:rPr>
          <w:b/>
          <w:color w:val="C8D4DC"/>
          <w:sz w:val="72"/>
          <w:rFonts w:ascii="Times New Roman" w:hAnsi="Times New Roman" w:eastAsia="Times New Roman" w:cs="Times New Roman"/>
          <w:szCs w:val="72"/>
          <w:spacing w:val="30"/>
        </w:rPr>
        <w:t>ANNEX HITP</w:t>
      </w:r>
    </w:p>
    <w:p>
      <w:pPr>
        <w:pStyle w:val="Normal"/>
        <w:spacing w:after="400"/>
        <w:jc w:val="center"/>
      </w:pPr>
      <w:r>
        <w:rPr>
          <w:color w:val="8FA4B3"/>
          <w:sz w:val="32"/>
          <w:rFonts w:ascii="Times New Roman" w:hAnsi="Times New Roman" w:eastAsia="Times New Roman" w:cs="Times New Roman"/>
          <w:szCs w:val="32"/>
        </w:rPr>
        <w:t>Hormuz Implementation and Testing Protocol</w:t>
      </w:r>
    </w:p>
    <w:p>
      <w:pPr>
        <w:pStyle w:val="Normal"/>
        <w:spacing w:after="1200"/>
        <w:jc w:val="center"/>
      </w:pPr>
      <w:r>
        <w:rPr>
          <w:i/>
          <w:color w:val="8FA4B3"/>
          <w:sz w:val="22"/>
          <w:rFonts w:ascii="Times New Roman" w:hAnsi="Times New Roman" w:eastAsia="Times New Roman" w:cs="Times New Roman"/>
          <w:szCs w:val="22"/>
        </w:rPr>
        <w:t>Operational Pathway for Immediate Technical Implementation During Political Deadlock</w:t>
      </w:r>
    </w:p>
    <w:p>
      <w:pPr>
        <w:pStyle w:val="Normal"/>
        <w:spacing w:after="2000"/>
        <w:jc w:val="center"/>
      </w:pPr>
      <w:r>
        <w:rPr>
          <w:color w:val="8FA4B3"/>
          <w:sz w:val="20"/>
          <w:rFonts w:ascii="Times New Roman" w:hAnsi="Times New Roman" w:eastAsia="Times New Roman" w:cs="Times New Roman"/>
          <w:szCs w:val="20"/>
          <w:spacing w:val="40"/>
        </w:rPr>
        <w:t xml:space="preserve">Modular  .  Self-Contained  .  Incorporable by Reference</w:t>
      </w:r>
    </w:p>
    <w:p>
      <w:pPr>
        <w:pStyle w:val="Normal"/>
        <w:spacing w:after="600"/>
        <w:jc w:val="center"/>
      </w:pPr>
      <w:r>
        <w:rPr>
          <w:color w:val="C8D4DC"/>
          <w:sz w:val="22"/>
          <w:rFonts w:ascii="Times New Roman" w:hAnsi="Times New Roman" w:eastAsia="Times New Roman" w:cs="Times New Roman"/>
          <w:szCs w:val="22"/>
        </w:rPr>
        <w:t xml:space="preserve">MOU Pertaining to PEACE (v7.0)  .  Annex HITP v1.5  .  July 2026</w:t>
      </w:r>
    </w:p>
    <w:p>
      <w:pPr>
        <w:pStyle w:val="Normal"/>
        <w:spacing w:after="200"/>
        <w:jc w:val="center"/>
        <w:sectPr>
          <w:type w:val="nextPage"/>
          <w:pgSz w:w="11906" w:h="16838"/>
          <w:pgMar w:top="0" w:right="0" w:bottom="0" w:left="0" w:header="0" w:footer="0"/>
          <w:titlePg/>
        </w:sectPr>
      </w:pPr>
      <w:r>
        <w:rPr>
          <w:b/>
          <w:color w:val="C9A227"/>
          <w:sz w:val="26"/>
          <w:rFonts w:ascii="Times New Roman" w:hAnsi="Times New Roman" w:eastAsia="Times New Roman" w:cs="Times New Roman"/>
          <w:szCs w:val="26"/>
        </w:rPr>
        <w:t xml:space="preserve">REVISED  -  v1.5  -  ENHANCED PROTOCOL</w:t>
      </w:r>
    </w:p>
    <w:p>
      <w:pPr>
        <w:pStyle w:val="Normal"/>
        <w:spacing w:before="400" w:after="200"/>
        <w:jc w:val="center"/>
      </w:pPr>
      <w:r>
        <w:rPr>
          <w:b/>
          <w:color w:val="4A5D6E"/>
          <w:sz w:val="28"/>
          <w:rFonts w:ascii="Times New Roman" w:hAnsi="Times New Roman" w:eastAsia="Times New Roman" w:cs="Times New Roman"/>
          <w:szCs w:val="28"/>
          <w:caps/>
        </w:rPr>
        <w:t>Contents</w:t>
      </w:r>
    </w:p>
    <w:p>
      <w:pPr>
        <w:pStyle w:val="Normal"/>
        <w:spacing w:after="300"/>
      </w:pPr>
      <w:r>
        <w:rPr>
          <w:i/>
          <w:color w:val="7A8D9E"/>
          <w:sz w:val="18"/>
          <w:rFonts w:ascii="Times New Roman" w:hAnsi="Times New Roman" w:eastAsia="Times New Roman" w:cs="Times New Roman"/>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2"/>
      </w:pPr>
      <w:r>
        <w:rPr>
          <w:rFonts w:ascii="Times New Roman" w:hAnsi="Times New Roman" w:eastAsia="Times New Roman" w:cs="Times New Roman"/>
          <w:sz w:val="22"/>
          <w:color w:val="3D4F5F"/>
          <w:szCs w:val="22"/>
        </w:rPr>
        <w:t>3.7 Notification Protocol</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7</w:t>
      </w:r>
    </w:p>
    <w:p>
      <w:pPr>
        <w:pStyle w:val="TOC1"/>
      </w:pPr>
      <w:r>
        <w:rPr>
          <w:rFonts w:ascii="Times New Roman" w:hAnsi="Times New Roman" w:eastAsia="Times New Roman" w:cs="Times New Roman"/>
          <w:sz w:val="22"/>
          <w:b/>
          <w:color w:val="1E2A36"/>
          <w:szCs w:val="22"/>
        </w:rPr>
        <w:t>Article 15 - Technical Corrections Protocol</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22</w:t>
      </w:r>
    </w:p>
    <w:p>
      <w:pPr>
        <w:pStyle w:val="TOC1"/>
      </w:pPr>
      <w:r>
        <w:rPr>
          <w:rFonts w:ascii="Times New Roman" w:hAnsi="Times New Roman" w:eastAsia="Times New Roman" w:cs="Times New Roman"/>
          <w:sz w:val="22"/>
          <w:b/>
          <w:color w:val="1E2A36"/>
          <w:szCs w:val="22"/>
        </w:rPr>
        <w:t>Article 16 - Declassification Schedule</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22</w:t>
      </w:r>
    </w:p>
    <w:p>
      <w:pPr>
        <w:pStyle w:val="TOC1"/>
      </w:pPr>
      <w:r>
        <w:rPr>
          <w:rFonts w:ascii="Times New Roman" w:hAnsi="Times New Roman" w:eastAsia="Times New Roman" w:cs="Times New Roman"/>
          <w:sz w:val="22"/>
          <w:b/>
          <w:color w:val="1E2A36"/>
          <w:szCs w:val="22"/>
        </w:rPr>
        <w:t>Article 14 - Cothrom Verification Architecture</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22</w:t>
      </w:r>
    </w:p>
    <w:p>
      <w:pPr>
        <w:pStyle w:val="TOC1"/>
      </w:pPr>
      <w:r>
        <w:rPr>
          <w:rFonts w:ascii="Times New Roman" w:hAnsi="Times New Roman" w:eastAsia="Times New Roman" w:cs="Times New Roman"/>
          <w:sz w:val="22"/>
          <w:b/>
          <w:color w:val="1E2A36"/>
          <w:szCs w:val="22"/>
        </w:rPr>
        <w:t>Preamble</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1</w:t>
      </w:r>
    </w:p>
    <w:p>
      <w:pPr>
        <w:pStyle w:val="TOC1"/>
      </w:pPr>
      <w:r>
        <w:rPr>
          <w:rFonts w:ascii="Times New Roman" w:hAnsi="Times New Roman" w:eastAsia="Times New Roman" w:cs="Times New Roman"/>
          <w:sz w:val="22"/>
          <w:b/>
          <w:color w:val="1E2A36"/>
          <w:szCs w:val="22"/>
        </w:rPr>
        <w:t>Article 1 - Purpose</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3</w:t>
      </w:r>
    </w:p>
    <w:p>
      <w:pPr>
        <w:pStyle w:val="TOC1"/>
      </w:pPr>
      <w:r>
        <w:rPr>
          <w:rFonts w:ascii="Times New Roman" w:hAnsi="Times New Roman" w:eastAsia="Times New Roman" w:cs="Times New Roman"/>
          <w:sz w:val="22"/>
          <w:b/>
          <w:color w:val="1E2A36"/>
          <w:szCs w:val="22"/>
        </w:rPr>
        <w:t>Article 2 - Definitions</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4</w:t>
      </w:r>
    </w:p>
    <w:p>
      <w:pPr>
        <w:pStyle w:val="TOC1"/>
      </w:pPr>
      <w:r>
        <w:rPr>
          <w:rFonts w:ascii="Times New Roman" w:hAnsi="Times New Roman" w:eastAsia="Times New Roman" w:cs="Times New Roman"/>
          <w:sz w:val="22"/>
          <w:b/>
          <w:color w:val="1E2A36"/>
          <w:szCs w:val="22"/>
        </w:rPr>
        <w:t>Article 3 - Immediate Technical Implementation</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5</w:t>
      </w:r>
    </w:p>
    <w:p>
      <w:pPr>
        <w:pStyle w:val="TOC2"/>
      </w:pPr>
      <w:r>
        <w:rPr>
          <w:rFonts w:ascii="Times New Roman" w:hAnsi="Times New Roman" w:eastAsia="Times New Roman" w:cs="Times New Roman"/>
          <w:sz w:val="22"/>
          <w:color w:val="3D4F5F"/>
          <w:szCs w:val="22"/>
        </w:rPr>
        <w:t>3.1 Activation of Monitoring Infrastructure</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5</w:t>
      </w:r>
    </w:p>
    <w:p>
      <w:pPr>
        <w:pStyle w:val="TOC2"/>
      </w:pPr>
      <w:r>
        <w:rPr>
          <w:rFonts w:ascii="Times New Roman" w:hAnsi="Times New Roman" w:eastAsia="Times New Roman" w:cs="Times New Roman"/>
          <w:sz w:val="22"/>
          <w:color w:val="3D4F5F"/>
          <w:szCs w:val="22"/>
        </w:rPr>
        <w:t>3.2 Data Collection and Sharing</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6</w:t>
      </w:r>
    </w:p>
    <w:p>
      <w:pPr>
        <w:pStyle w:val="TOC2"/>
      </w:pPr>
      <w:r>
        <w:rPr>
          <w:rFonts w:ascii="Times New Roman" w:hAnsi="Times New Roman" w:eastAsia="Times New Roman" w:cs="Times New Roman"/>
          <w:sz w:val="22"/>
          <w:color w:val="3D4F5F"/>
          <w:szCs w:val="22"/>
        </w:rPr>
        <w:t>3.3 Verification of Transit Metrics</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7</w:t>
      </w:r>
    </w:p>
    <w:p>
      <w:pPr>
        <w:pStyle w:val="TOC1"/>
      </w:pPr>
      <w:r>
        <w:rPr>
          <w:rFonts w:ascii="Times New Roman" w:hAnsi="Times New Roman" w:eastAsia="Times New Roman" w:cs="Times New Roman"/>
          <w:sz w:val="22"/>
          <w:b/>
          <w:color w:val="1E2A36"/>
          <w:szCs w:val="22"/>
        </w:rPr>
        <w:t>Article 4 - Compressed Cooling-Off Period</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8</w:t>
      </w:r>
    </w:p>
    <w:p>
      <w:pPr>
        <w:pStyle w:val="TOC2"/>
      </w:pPr>
      <w:r>
        <w:rPr>
          <w:rFonts w:ascii="Times New Roman" w:hAnsi="Times New Roman" w:eastAsia="Times New Roman" w:cs="Times New Roman"/>
          <w:sz w:val="22"/>
          <w:color w:val="3D4F5F"/>
          <w:szCs w:val="22"/>
        </w:rPr>
        <w:t>4.1 Automatic Activation</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8</w:t>
      </w:r>
    </w:p>
    <w:p>
      <w:pPr>
        <w:pStyle w:val="TOC2"/>
      </w:pPr>
      <w:r>
        <w:rPr>
          <w:rFonts w:ascii="Times New Roman" w:hAnsi="Times New Roman" w:eastAsia="Times New Roman" w:cs="Times New Roman"/>
          <w:sz w:val="22"/>
          <w:color w:val="3D4F5F"/>
          <w:szCs w:val="22"/>
        </w:rPr>
        <w:t>4.2 Phase I Continuation During Cooling-Off</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9</w:t>
      </w:r>
    </w:p>
    <w:p>
      <w:pPr>
        <w:pStyle w:val="TOC2"/>
      </w:pPr>
      <w:r>
        <w:rPr>
          <w:rFonts w:ascii="Times New Roman" w:hAnsi="Times New Roman" w:eastAsia="Times New Roman" w:cs="Times New Roman"/>
          <w:sz w:val="22"/>
          <w:color w:val="3D4F5F"/>
          <w:szCs w:val="22"/>
        </w:rPr>
        <w:t>4.3 Timeline Integration</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9</w:t>
      </w:r>
    </w:p>
    <w:p>
      <w:pPr>
        <w:pStyle w:val="TOC1"/>
      </w:pPr>
      <w:r>
        <w:rPr>
          <w:rFonts w:ascii="Times New Roman" w:hAnsi="Times New Roman" w:eastAsia="Times New Roman" w:cs="Times New Roman"/>
          <w:sz w:val="22"/>
          <w:b/>
          <w:color w:val="1E2A36"/>
          <w:szCs w:val="22"/>
        </w:rPr>
        <w:t>Article 5 - Service Reimbursement Pilot</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11</w:t>
      </w:r>
    </w:p>
    <w:p>
      <w:pPr>
        <w:pStyle w:val="TOC2"/>
      </w:pPr>
      <w:r>
        <w:rPr>
          <w:rFonts w:ascii="Times New Roman" w:hAnsi="Times New Roman" w:eastAsia="Times New Roman" w:cs="Times New Roman"/>
          <w:sz w:val="22"/>
          <w:color w:val="3D4F5F"/>
          <w:szCs w:val="22"/>
        </w:rPr>
        <w:t>5.1 Voluntary Participation</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11</w:t>
      </w:r>
    </w:p>
    <w:p>
      <w:pPr>
        <w:pStyle w:val="TOC2"/>
      </w:pPr>
      <w:r>
        <w:rPr>
          <w:rFonts w:ascii="Times New Roman" w:hAnsi="Times New Roman" w:eastAsia="Times New Roman" w:cs="Times New Roman"/>
          <w:sz w:val="22"/>
          <w:color w:val="3D4F5F"/>
          <w:szCs w:val="22"/>
        </w:rPr>
        <w:t>5.2 Verification and Payment</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12</w:t>
      </w:r>
    </w:p>
    <w:p>
      <w:pPr>
        <w:pStyle w:val="TOC2"/>
      </w:pPr>
      <w:r>
        <w:rPr>
          <w:rFonts w:ascii="Times New Roman" w:hAnsi="Times New Roman" w:eastAsia="Times New Roman" w:cs="Times New Roman"/>
          <w:sz w:val="22"/>
          <w:color w:val="3D4F5F"/>
          <w:szCs w:val="22"/>
        </w:rPr>
        <w:t>5.3 No Precedent</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12</w:t>
      </w:r>
    </w:p>
    <w:p>
      <w:pPr>
        <w:pStyle w:val="TOC1"/>
      </w:pPr>
      <w:r>
        <w:rPr>
          <w:rFonts w:ascii="Times New Roman" w:hAnsi="Times New Roman" w:eastAsia="Times New Roman" w:cs="Times New Roman"/>
          <w:sz w:val="22"/>
          <w:b/>
          <w:color w:val="1E2A36"/>
          <w:szCs w:val="22"/>
        </w:rPr>
        <w:t>Article 6 - Testing and Confidence-Building</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13</w:t>
      </w:r>
    </w:p>
    <w:p>
      <w:pPr>
        <w:pStyle w:val="TOC2"/>
      </w:pPr>
      <w:r>
        <w:rPr>
          <w:rFonts w:ascii="Times New Roman" w:hAnsi="Times New Roman" w:eastAsia="Times New Roman" w:cs="Times New Roman"/>
          <w:sz w:val="22"/>
          <w:color w:val="3D4F5F"/>
          <w:szCs w:val="22"/>
        </w:rPr>
        <w:t>6.1 14-Day Testing Phase</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13</w:t>
      </w:r>
    </w:p>
    <w:p>
      <w:pPr>
        <w:pStyle w:val="TOC2"/>
      </w:pPr>
      <w:r>
        <w:rPr>
          <w:rFonts w:ascii="Times New Roman" w:hAnsi="Times New Roman" w:eastAsia="Times New Roman" w:cs="Times New Roman"/>
          <w:sz w:val="22"/>
          <w:color w:val="3D4F5F"/>
          <w:szCs w:val="22"/>
        </w:rPr>
        <w:t>6.2 Performance Benchmarks</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14</w:t>
      </w:r>
    </w:p>
    <w:p>
      <w:pPr>
        <w:pStyle w:val="TOC2"/>
      </w:pPr>
      <w:r>
        <w:rPr>
          <w:rFonts w:ascii="Times New Roman" w:hAnsi="Times New Roman" w:eastAsia="Times New Roman" w:cs="Times New Roman"/>
          <w:sz w:val="22"/>
          <w:color w:val="3D4F5F"/>
          <w:szCs w:val="22"/>
        </w:rPr>
        <w:t>6.3 Early Termination of Testing Phase</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15</w:t>
      </w:r>
    </w:p>
    <w:p>
      <w:pPr>
        <w:pStyle w:val="TOC1"/>
      </w:pPr>
      <w:r>
        <w:rPr>
          <w:rFonts w:ascii="Times New Roman" w:hAnsi="Times New Roman" w:eastAsia="Times New Roman" w:cs="Times New Roman"/>
          <w:sz w:val="22"/>
          <w:b/>
          <w:color w:val="1E2A36"/>
          <w:szCs w:val="22"/>
        </w:rPr>
        <w:t>Article 7 - Path Forward</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16</w:t>
      </w:r>
    </w:p>
    <w:p>
      <w:pPr>
        <w:pStyle w:val="TOC2"/>
      </w:pPr>
      <w:r>
        <w:rPr>
          <w:rFonts w:ascii="Times New Roman" w:hAnsi="Times New Roman" w:eastAsia="Times New Roman" w:cs="Times New Roman"/>
          <w:sz w:val="22"/>
          <w:color w:val="3D4F5F"/>
          <w:szCs w:val="22"/>
        </w:rPr>
        <w:t>7.1 Final Deal (Preferred Outcome)</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16</w:t>
      </w:r>
    </w:p>
    <w:p>
      <w:pPr>
        <w:pStyle w:val="TOC2"/>
      </w:pPr>
      <w:r>
        <w:rPr>
          <w:rFonts w:ascii="Times New Roman" w:hAnsi="Times New Roman" w:eastAsia="Times New Roman" w:cs="Times New Roman"/>
          <w:sz w:val="22"/>
          <w:color w:val="3D4F5F"/>
          <w:szCs w:val="22"/>
        </w:rPr>
        <w:t>7.2 Extension of Cooling-Off Period</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17</w:t>
      </w:r>
    </w:p>
    <w:p>
      <w:pPr>
        <w:pStyle w:val="TOC2"/>
      </w:pPr>
      <w:r>
        <w:rPr>
          <w:rFonts w:ascii="Times New Roman" w:hAnsi="Times New Roman" w:eastAsia="Times New Roman" w:cs="Times New Roman"/>
          <w:sz w:val="22"/>
          <w:color w:val="3D4F5F"/>
          <w:szCs w:val="22"/>
        </w:rPr>
        <w:t>7.3 Fallback to Extended Phase I</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18</w:t>
      </w:r>
    </w:p>
    <w:p>
      <w:pPr>
        <w:pStyle w:val="TOC2"/>
      </w:pPr>
      <w:r>
        <w:rPr>
          <w:rFonts w:ascii="Times New Roman" w:hAnsi="Times New Roman" w:eastAsia="Times New Roman" w:cs="Times New Roman"/>
          <w:sz w:val="22"/>
          <w:color w:val="3D4F5F"/>
          <w:szCs w:val="22"/>
        </w:rPr>
        <w:t>7.4 Decision Point (Days 45-51)</w:t>
      </w:r>
      <w:r>
        <w:rPr>
          <w:rFonts w:ascii="Times New Roman" w:hAnsi="Times New Roman" w:eastAsia="Times New Roman"/>
          <w:sz w:val="22"/>
          <w:color w:val="3d4f5f"/>
        </w:rPr>
        <w:tab/>
      </w:r>
      <w:r>
        <w:rPr>
          <w:rFonts w:ascii="Times New Roman" w:hAnsi="Times New Roman" w:eastAsia="Times New Roman" w:cs="Times New Roman"/>
          <w:sz w:val="22"/>
          <w:color w:val="3D4F5F"/>
          <w:szCs w:val="22"/>
        </w:rPr>
        <w:t>19</w:t>
      </w:r>
    </w:p>
    <w:p>
      <w:pPr>
        <w:pStyle w:val="TOC1"/>
      </w:pPr>
      <w:r>
        <w:rPr>
          <w:rFonts w:ascii="Times New Roman" w:hAnsi="Times New Roman" w:eastAsia="Times New Roman" w:cs="Times New Roman"/>
          <w:sz w:val="22"/>
          <w:b/>
          <w:color w:val="1E2A36"/>
          <w:szCs w:val="22"/>
        </w:rPr>
        <w:t>Article 8 - Relationship to Other Annexes</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20</w:t>
      </w:r>
    </w:p>
    <w:p>
      <w:pPr>
        <w:pStyle w:val="TOC1"/>
      </w:pPr>
      <w:r>
        <w:rPr>
          <w:rFonts w:ascii="Times New Roman" w:hAnsi="Times New Roman" w:eastAsia="Times New Roman" w:cs="Times New Roman"/>
          <w:sz w:val="22"/>
          <w:b/>
          <w:color w:val="1E2A36"/>
          <w:szCs w:val="22"/>
        </w:rPr>
        <w:t>Article 9 - Incorporation by Reference</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21</w:t>
      </w:r>
    </w:p>
    <w:p>
      <w:pPr>
        <w:pStyle w:val="TOC1"/>
      </w:pPr>
      <w:r>
        <w:rPr>
          <w:rFonts w:ascii="Times New Roman" w:hAnsi="Times New Roman" w:eastAsia="Times New Roman" w:cs="Times New Roman"/>
          <w:sz w:val="22"/>
          <w:b/>
          <w:color w:val="1E2A36"/>
          <w:szCs w:val="22"/>
        </w:rPr>
        <w:t>Signature Block</w:t>
      </w:r>
      <w:r>
        <w:rPr>
          <w:rFonts w:ascii="Times New Roman" w:hAnsi="Times New Roman" w:eastAsia="Times New Roman"/>
          <w:sz w:val="22"/>
          <w:b/>
          <w:color w:val="1e2a36"/>
        </w:rPr>
        <w:tab/>
      </w:r>
      <w:r>
        <w:rPr>
          <w:rFonts w:ascii="Times New Roman" w:hAnsi="Times New Roman" w:eastAsia="Times New Roman" w:cs="Times New Roman"/>
          <w:sz w:val="22"/>
          <w:b/>
          <w:color w:val="1E2A36"/>
          <w:szCs w:val="22"/>
        </w:rPr>
        <w:t>22</w:t>
      </w:r>
    </w:p>
    <w:p>
      <w:pPr>
        <w:pStyle w:val="Normal"/>
        <w:sectPr>
          <w:type w:val="nextPage"/>
          <w:pgSz w:w="11906" w:h="16838"/>
          <w:pgMar w:top="1800" w:right="1440" w:bottom="1440" w:left="1440" w:header="720" w:footer="720"/>
        </w:sectPr>
      </w:pPr>
      <w:r>
        <w:fldChar w:fldCharType="end"/>
      </w:r>
    </w:p>
    <w:p>
      <w:pPr>
        <w:pStyle w:val="Normal"/>
        <w:spacing w:after="180" w:line="288" w:lineRule="auto"/>
        <w:jc w:val="both"/>
      </w:pPr>
      <w:r>
        <w:rPr>
          <w:rFonts w:ascii="Times New Roman" w:hAnsi="Times New Roman" w:eastAsia="Times New Roman" w:cs="Times New Roman"/>
          <w:color w:val="1E2A36"/>
          <w:sz w:val="22"/>
          <w:szCs w:val="22"/>
        </w:rPr>
        <w:t>The Parties recognize that the maritime monitoring and verification frameworks established under Annexes A, B, N, N.a, Pa, U, W, and Mi are technically complete but have not been operationally implemented due to unresolved political disagreements regarding the status, control, and fee structure of the Strait of Hormuz.</w:t>
      </w:r>
    </w:p>
    <w:p>
      <w:pPr>
        <w:pStyle w:val="Normal"/>
        <w:spacing w:after="180" w:line="288" w:lineRule="auto"/>
        <w:jc w:val="both"/>
      </w:pPr>
      <w:r>
        <w:rPr>
          <w:rFonts w:ascii="Times New Roman" w:hAnsi="Times New Roman" w:eastAsia="Times New Roman" w:cs="Times New Roman"/>
          <w:color w:val="1E2A36"/>
          <w:sz w:val="22"/>
          <w:szCs w:val="22"/>
        </w:rPr>
        <w:t>The Parties further recognize that continued non-implementation creates unnecessary risk of miscalculation, escalation, and economic disruption, and that a technical testing phase builds confidence, generates data, and creates a foundation for resolving political disagreements without requiring prior political consensus.</w:t>
      </w:r>
    </w:p>
    <w:p>
      <w:pPr>
        <w:pStyle w:val="Normal"/>
        <w:spacing w:after="180" w:line="288" w:lineRule="auto"/>
        <w:jc w:val="both"/>
      </w:pPr>
      <w:r>
        <w:rPr>
          <w:rFonts w:ascii="Times New Roman" w:hAnsi="Times New Roman" w:eastAsia="Times New Roman" w:cs="Times New Roman"/>
          <w:color w:val="1E2A36"/>
          <w:sz w:val="22"/>
          <w:szCs w:val="22"/>
        </w:rPr>
        <w:t>This Annex establishes an immediate operational pathway for implementing the technical maritime frameworks on a voluntary, testing basis, while deferring unresolved political issues to a structured cooling-off and resolution process. The compressed timeline aligns with the 60-day final deal deadline established under the Islamabad MoU.</w:t>
      </w:r>
    </w:p>
    <w:p>
      <w:pPr>
        <w:pStyle w:val="Normal"/>
        <w:spacing w:before="240" w:after="120" w:line="288" w:lineRule="auto"/>
        <w:jc w:val="both"/>
      </w:pPr>
      <w:r>
        <w:rPr>
          <w:b/>
          <w:rFonts w:ascii="Times New Roman" w:hAnsi="Times New Roman" w:eastAsia="Times New Roman" w:cs="Times New Roman"/>
          <w:color w:val="1E2A36"/>
          <w:sz w:val="22"/>
          <w:szCs w:val="22"/>
        </w:rPr>
        <w:t>The following principles govern the interpretation of this Annex:</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Implementation precedes resolution: Technical systems operate without resolving political disagreements. Data generation builds trust; trust enables resolution.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Voluntary participation: Either Party participates in the testing phase without conceding its political position. Participation is not recognition of the other Party's claims.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No precedent: Actions taken during the testing phase do not establish precedent for permanent arrangements. All political issues remain fully reserved for future negotiation.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Confidence through transparency: Real-time data sharing and independent verification reduce the risk of miscalculation and false accusations.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Progressive escalation: If the testing phase succeeds, the Parties move toward a final deal by Day 60. If it stalls, the Parties fall back to Extended Phase I without losing verified gains.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Deadline discipline: Every phase of this Annex completes within the 60-day window. The Decision Point at Days 45-51 ensures sufficient time remains for either a final deal or an orderly fallback.</w:t>
      </w:r>
    </w:p>
    <w:p>
      <w:pPr>
        <w:pStyle w:val="Normal"/>
        <w:spacing w:after="180" w:line="288" w:lineRule="auto"/>
        <w:jc w:val="both"/>
      </w:pPr>
      <w:r>
        <w:rPr>
          <w:rFonts w:ascii="Times New Roman" w:hAnsi="Times New Roman" w:eastAsia="Times New Roman" w:cs="Times New Roman"/>
          <w:color w:val="1E2A36"/>
          <w:sz w:val="22"/>
          <w:szCs w:val="22"/>
        </w:rPr>
        <w:t>This Annex addresses the implementation gap that has prevented the Hormuz frameworks from becoming operational. It establishes that the Parties do not need to agree on who controls the Strait to start monitoring it. The Parties do not need to agree on tolls to start tracking transits. The Parties test the system, build trust through data, and resolve the politics later -- from a position of verified facts, not from a position of confrontation.</w:t>
      </w:r>
    </w:p>
    <w:p>
      <w:pPr>
        <w:pStyle w:val="Normal"/>
        <w:spacing w:before="120" w:after="240" w:line="288" w:lineRule="auto"/>
        <w:ind w:left="720" w:right="720"/>
        <w:jc w:val="both"/>
      </w:pPr>
      <w:r>
        <w:rPr>
          <w:i/>
          <w:color w:val="3D4F5F"/>
          <w:sz w:val="21"/>
          <w:rFonts w:ascii="Times New Roman" w:hAnsi="Times New Roman" w:eastAsia="Times New Roman" w:cs="Times New Roman"/>
          <w:szCs w:val="21"/>
        </w:rPr>
        <w:t>This Annex operates under the present-tense mutual architecture principle. Each provision functions as a feature of the shared framework, binding both Parties equally, rather than a unilateral restraint by one Party for the benefit of the other.</w:t>
      </w:r>
    </w:p>
    <w:p>
      <w:pPr>
        <w:pStyle w:val="Heading1"/>
      </w:pPr>
      <w:bookmarkStart w:name="_TocArt1" w:id="102"/>
      <w:r>
        <w:rPr>
          <w:rFonts w:ascii="Times New Roman" w:hAnsi="Times New Roman" w:eastAsia="Times New Roman" w:cs="Times New Roman"/>
          <w:b/>
          <w:color w:val="4A5D6E"/>
          <w:sz w:val="28"/>
          <w:szCs w:val="28"/>
        </w:rPr>
        <w:t>Article 1 - Purpose</w:t>
      </w:r>
      <w:bookmarkEnd w:id="102"/>
    </w:p>
    <w:p>
      <w:pPr>
        <w:pStyle w:val="Normal"/>
        <w:spacing w:after="180" w:line="288" w:lineRule="auto"/>
        <w:jc w:val="both"/>
      </w:pPr>
      <w:r>
        <w:rPr>
          <w:rFonts w:ascii="Times New Roman" w:hAnsi="Times New Roman" w:eastAsia="Times New Roman" w:cs="Times New Roman"/>
          <w:color w:val="1E2A36"/>
          <w:sz w:val="22"/>
          <w:szCs w:val="22"/>
        </w:rPr>
        <w:t>This Annex establishes a procedural pathway for immediate technical implementation of the Hormuz maritime monitoring frameworks, during a compressed cooling-off period, with a testing phase, service reimbursement pilot, and structured path forward -- all designed to fit within the 60-day final deal timeline.</w:t>
      </w:r>
    </w:p>
    <w:p>
      <w:pPr>
        <w:pStyle w:val="Normal"/>
        <w:spacing w:before="240" w:after="120" w:line="288" w:lineRule="auto"/>
        <w:jc w:val="both"/>
      </w:pPr>
      <w:r>
        <w:rPr>
          <w:b/>
          <w:rFonts w:ascii="Times New Roman" w:hAnsi="Times New Roman" w:eastAsia="Times New Roman" w:cs="Times New Roman"/>
          <w:color w:val="1E2A36"/>
          <w:sz w:val="22"/>
          <w:szCs w:val="22"/>
        </w:rPr>
        <w:t>The framework architecture achieves the following purposes through this Annex:</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Technical activation: The monitoring infrastructure defined in Annexes B and W activates immediately upon signature, regardless of political deadlock. Sensors begin collecting data. The Joint Monitoring Cell begins operating. The Shared Digital Registry begins logging transits.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Political deferral: All unresolved political issues -- including the status of the Persian Gulf Strait Authority (PGSA), the legitimacy of tolls or fees, and the permanent governance structure of the Strait -- are deferred to a structured cooling-off and resolution process.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Confidence-building through data: Real-time telemetry data provides objective verification of transit activity, enabling both Parties to assess compliance and build trust through facts rather than accusations.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Service reimbursement pilot: Iran receives reimbursement for verified maritime services (traffic monitoring, mine-sweeping, search-and-rescue) on a voluntary, no-precedent basis, creating an economic incentive for continued cooperation.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Structured path forward: If the testing phase succeeds, the Parties sign a final deal by Day 60. If it stalls, the Parties fall back to Extended Phase I under Annex D, preserving all verified gains.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Deadline compliance: The entire sequence from signature through Decision Point to final deal or fallback executes within the 60-day Islamabad MoU timeline. No phase exceeds its allocated window.</w:t>
      </w:r>
    </w:p>
    <w:p>
      <w:pPr>
        <w:pStyle w:val="Heading1"/>
      </w:pPr>
      <w:bookmarkStart w:name="_TocArt2" w:id="103"/>
      <w:r>
        <w:rPr>
          <w:rFonts w:ascii="Times New Roman" w:hAnsi="Times New Roman" w:eastAsia="Times New Roman" w:cs="Times New Roman"/>
          <w:b/>
          <w:color w:val="4A5D6E"/>
          <w:sz w:val="28"/>
          <w:szCs w:val="28"/>
        </w:rPr>
        <w:t>Article 2 - Definitions</w:t>
      </w:r>
      <w:bookmarkEnd w:id="103"/>
    </w:p>
    <w:p>
      <w:pPr>
        <w:pStyle w:val="Normal"/>
        <w:spacing w:after="180" w:line="288" w:lineRule="auto"/>
        <w:jc w:val="both"/>
      </w:pPr>
      <w:r>
        <w:rPr>
          <w:rFonts w:ascii="Times New Roman" w:hAnsi="Times New Roman" w:eastAsia="Times New Roman" w:cs="Times New Roman"/>
          <w:color w:val="1E2A36"/>
          <w:sz w:val="22"/>
          <w:szCs w:val="22"/>
        </w:rPr>
        <w:t>For the purposes of this Annex, the following terms have the meanings set out below. Terms not defined here have the meanings given in MOU Article 1.6 or the relevant annexes.</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Term</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Definition</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PCC</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Permanent Coordination Council established under the MOU. The PCC provides political oversight, mediation, and dispute resolution for all framework operations.</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Testing Phase</w:t>
            </w:r>
          </w:p>
        </w:tc>
        <w:tc>
          <w:tcPr>
            <w:tcW w:w="7600" w:type="dxa"/>
          </w:tcPr>
          <w:p>
            <w:pPr>
              <w:pStyle w:val="Normal"/>
              <w:spacing w:before="60" w:after="60"/>
              <w:jc w:val="left"/>
            </w:pPr>
            <w:r>
              <w:rPr>
                <w:color w:val="3D4F5F"/>
                <w:sz w:val="20"/>
                <w:rFonts w:ascii="Times New Roman" w:hAnsi="Times New Roman" w:eastAsia="Times New Roman" w:cs="Times New Roman"/>
                <w:szCs w:val="20"/>
              </w:rPr>
              <w:t>The initial 14-day period during which the technical monitoring frameworks are activated and operated on a voluntary, testing basis. The Testing Phase commences on Day 1 and concludes on Day 14.</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Cooling-Off Period</w:t>
            </w:r>
          </w:p>
        </w:tc>
        <w:tc>
          <w:tcPr>
            <w:tcW w:w="7600" w:type="dxa"/>
          </w:tcPr>
          <w:p>
            <w:pPr>
              <w:pStyle w:val="Normal"/>
              <w:spacing w:before="60" w:after="60"/>
              <w:jc w:val="left"/>
            </w:pPr>
            <w:r>
              <w:rPr>
                <w:color w:val="3D4F5F"/>
                <w:sz w:val="20"/>
                <w:rFonts w:ascii="Times New Roman" w:hAnsi="Times New Roman" w:eastAsia="Times New Roman" w:cs="Times New Roman"/>
                <w:szCs w:val="20"/>
              </w:rPr>
              <w:t>The 30-day period following the Testing Phase (Days 15 through 44), during which political issues are deferred and technical implementation continues. The Cooling-Off Period activates automatically upon conclusion of the Testing Phase.</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Decision Point</w:t>
            </w:r>
          </w:p>
        </w:tc>
        <w:tc>
          <w:tcPr>
            <w:tcW w:w="7600" w:type="dxa"/>
          </w:tcPr>
          <w:p>
            <w:pPr>
              <w:pStyle w:val="Normal"/>
              <w:spacing w:before="60" w:after="60"/>
              <w:jc w:val="left"/>
            </w:pPr>
            <w:r>
              <w:rPr>
                <w:color w:val="3D4F5F"/>
                <w:sz w:val="20"/>
                <w:rFonts w:ascii="Times New Roman" w:hAnsi="Times New Roman" w:eastAsia="Times New Roman" w:cs="Times New Roman"/>
                <w:szCs w:val="20"/>
              </w:rPr>
              <w:t>The 7-day period at the conclusion of the Cooling-Off Period (Days 45 through 51), during which the Parties decide whether to proceed to a final deal or fall back to Extended Phase I.</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Final Deal Deadline</w:t>
            </w:r>
          </w:p>
        </w:tc>
        <w:tc>
          <w:tcPr>
            <w:tcW w:w="7600" w:type="dxa"/>
          </w:tcPr>
          <w:p>
            <w:pPr>
              <w:pStyle w:val="Normal"/>
              <w:spacing w:before="60" w:after="60"/>
              <w:jc w:val="left"/>
            </w:pPr>
            <w:r>
              <w:rPr>
                <w:color w:val="3D4F5F"/>
                <w:sz w:val="20"/>
                <w:rFonts w:ascii="Times New Roman" w:hAnsi="Times New Roman" w:eastAsia="Times New Roman" w:cs="Times New Roman"/>
                <w:szCs w:val="20"/>
              </w:rPr>
              <w:t>Day 60 from the date of this Annex's signature, consistent with the Islamabad MoU timeline. All phases of this Annex complete by this date.</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Service Reimbursement</w:t>
            </w:r>
          </w:p>
        </w:tc>
        <w:tc>
          <w:tcPr>
            <w:tcW w:w="7600" w:type="dxa"/>
          </w:tcPr>
          <w:p>
            <w:pPr>
              <w:pStyle w:val="Normal"/>
              <w:spacing w:before="60" w:after="60"/>
              <w:jc w:val="left"/>
            </w:pPr>
            <w:r>
              <w:rPr>
                <w:color w:val="3D4F5F"/>
                <w:sz w:val="20"/>
                <w:rFonts w:ascii="Times New Roman" w:hAnsi="Times New Roman" w:eastAsia="Times New Roman" w:cs="Times New Roman"/>
                <w:szCs w:val="20"/>
              </w:rPr>
              <w:t>Payment to Iran for verified maritime services (traffic monitoring, mine-sweeping, search-and-rescue) at pre-approved unit rates, as distinct from tolls or transit fees.</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Qualifying Transit</w:t>
            </w:r>
          </w:p>
        </w:tc>
        <w:tc>
          <w:tcPr>
            <w:tcW w:w="7600" w:type="dxa"/>
          </w:tcPr>
          <w:p>
            <w:pPr>
              <w:pStyle w:val="Normal"/>
              <w:spacing w:before="60" w:after="60"/>
              <w:jc w:val="left"/>
            </w:pPr>
            <w:r>
              <w:rPr>
                <w:color w:val="3D4F5F"/>
                <w:sz w:val="20"/>
                <w:rFonts w:ascii="Times New Roman" w:hAnsi="Times New Roman" w:eastAsia="Times New Roman" w:cs="Times New Roman"/>
                <w:szCs w:val="20"/>
              </w:rPr>
              <w:t>A commercial vessel transit through the Commercial Transit Corridor (CTC) that meets the metrics defined in Annex A, Section 3 (transit speed, lane adherence, non-interference, continuous AIS).</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Verified Service</w:t>
            </w:r>
          </w:p>
        </w:tc>
        <w:tc>
          <w:tcPr>
            <w:tcW w:w="7600" w:type="dxa"/>
          </w:tcPr>
          <w:p>
            <w:pPr>
              <w:pStyle w:val="Normal"/>
              <w:spacing w:before="60" w:after="60"/>
              <w:jc w:val="left"/>
            </w:pPr>
            <w:r>
              <w:rPr>
                <w:color w:val="3D4F5F"/>
                <w:sz w:val="20"/>
                <w:rFonts w:ascii="Times New Roman" w:hAnsi="Times New Roman" w:eastAsia="Times New Roman" w:cs="Times New Roman"/>
                <w:szCs w:val="20"/>
              </w:rPr>
              <w:t>A maritime service that is confirmed by Joint Monitoring Cell telemetry and logged in the Shared Digital Registry.</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Extended Phase I</w:t>
            </w:r>
          </w:p>
        </w:tc>
        <w:tc>
          <w:tcPr>
            <w:tcW w:w="7600" w:type="dxa"/>
          </w:tcPr>
          <w:p>
            <w:pPr>
              <w:pStyle w:val="Normal"/>
              <w:spacing w:before="60" w:after="60"/>
              <w:jc w:val="left"/>
            </w:pPr>
            <w:r>
              <w:rPr>
                <w:color w:val="3D4F5F"/>
                <w:sz w:val="20"/>
                <w:rFonts w:ascii="Times New Roman" w:hAnsi="Times New Roman" w:eastAsia="Times New Roman" w:cs="Times New Roman"/>
                <w:szCs w:val="20"/>
              </w:rPr>
              <w:t>The 365-day continuation of Phase I benefits following failure to reach a final deal by Day 60, as established under Annex D, Article 7. The Kernel is suspended but not cancelled.</w:t>
            </w:r>
          </w:p>
        </w:tc>
      </w:tr>
      <w:tr>
        <w:tc>
          <w:tcPr>
            <w:tcW w:w="2400" w:type="dxa"/>
          </w:tcPr>
          <w:p>
            <w:pPr>
              <w:pStyle w:val="Normal"/>
              <w:spacing w:before="60" w:after="60"/>
              <w:jc w:val="left"/>
            </w:pPr>
            <w:r>
              <w:rPr>
                <w:color w:val="3D4F5F"/>
                <w:sz w:val="20"/>
                <w:rFonts w:ascii="Times New Roman" w:hAnsi="Times New Roman" w:eastAsia="Times New Roman" w:cs="Times New Roman"/>
                <w:szCs w:val="20"/>
              </w:rPr>
              <w:t>Final Deal</w:t>
            </w:r>
          </w:p>
        </w:tc>
        <w:tc>
          <w:tcPr>
            <w:tcW w:w="7600" w:type="dxa"/>
          </w:tcPr>
          <w:p>
            <w:pPr>
              <w:pStyle w:val="Normal"/>
              <w:spacing w:before="60" w:after="60"/>
              <w:jc w:val="left"/>
            </w:pPr>
            <w:r>
              <w:rPr>
                <w:color w:val="3D4F5F"/>
                <w:sz w:val="20"/>
                <w:rFonts w:ascii="Times New Roman" w:hAnsi="Times New Roman" w:eastAsia="Times New Roman" w:cs="Times New Roman"/>
                <w:szCs w:val="20"/>
              </w:rPr>
              <w:t>A comprehensive agreement on all deferred political issues -- including PGSA status, toll legitimacy, and permanent governance -- signed by both Parties by Day 60.</w:t>
            </w:r>
          </w:p>
        </w:tc>
      </w:tr>
    </w:tbl>
    <w:p>
      <w:pPr>
        <w:pStyle w:val="Heading1"/>
      </w:pPr>
      <w:bookmarkStart w:name="_TocArt3" w:id="104"/>
      <w:r>
        <w:rPr>
          <w:rFonts w:ascii="Times New Roman" w:hAnsi="Times New Roman" w:eastAsia="Times New Roman" w:cs="Times New Roman"/>
          <w:b/>
          <w:color w:val="4A5D6E"/>
          <w:sz w:val="28"/>
          <w:szCs w:val="28"/>
        </w:rPr>
        <w:t>Article 3 - Immediate Technical Implementation</w:t>
      </w:r>
      <w:bookmarkEnd w:id="104"/>
    </w:p>
    <w:p>
      <w:pPr>
        <w:pStyle w:val="Heading2"/>
      </w:pPr>
      <w:r>
        <w:rPr>
          <w:rFonts w:ascii="Times New Roman" w:hAnsi="Times New Roman" w:eastAsia="Times New Roman" w:cs="Times New Roman"/>
          <w:b/>
          <w:color w:val="1E2A36"/>
          <w:sz w:val="24"/>
          <w:szCs w:val="24"/>
        </w:rPr>
        <w:t>3.1 Activation of Monitoring Infrastructure</w:t>
      </w:r>
    </w:p>
    <w:p>
      <w:pPr>
        <w:pStyle w:val="Normal"/>
        <w:spacing w:after="180" w:line="288" w:lineRule="auto"/>
        <w:jc w:val="both"/>
      </w:pPr>
      <w:r>
        <w:rPr>
          <w:rFonts w:ascii="Times New Roman" w:hAnsi="Times New Roman" w:eastAsia="Times New Roman" w:cs="Times New Roman"/>
          <w:color w:val="1E2A36"/>
          <w:sz w:val="22"/>
          <w:szCs w:val="22"/>
        </w:rPr>
        <w:t>Upon signature of this Annex, the following monitoring systems activate immediately and operate on a continuous basis:</w:t>
      </w:r>
    </w:p>
    <w:tbl>
      <w:tblPr>
        <w:tblW w:w="5000" w:type="pct"/>
        <w:tblBorders>
          <w:top w:val="single" w:color="4A5D6E" w:sz="12"/>
          <w:left w:val="nil"/>
          <w:bottom w:val="single" w:color="4A5D6E" w:sz="12"/>
          <w:right w:val="nil"/>
          <w:insideH w:val="single" w:color="c5cdd4" w:sz="4"/>
          <w:insideV w:val="nil"/>
        </w:tblBorders>
      </w:tblPr>
      <w:tblGrid>
        <w:gridCol w:w="2600"/>
        <w:gridCol w:w="3700"/>
        <w:gridCol w:w="3700"/>
      </w:tblGrid>
      <w:tr>
        <w:trPr>
          <w:tblHeader w:val="1"/>
        </w:trPr>
        <w:tc>
          <w:tcPr>
            <w:tcW w:w="2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System</w:t>
            </w:r>
          </w:p>
        </w:tc>
        <w:tc>
          <w:tcPr>
            <w:tcW w:w="37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Activation Requirement</w:t>
            </w:r>
          </w:p>
        </w:tc>
        <w:tc>
          <w:tcPr>
            <w:tcW w:w="37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Data Recipients</w:t>
            </w:r>
          </w:p>
        </w:tc>
      </w:tr>
      <w:tr>
        <w:tc>
          <w:tcPr>
            <w:tcW w:w="2600" w:type="dxa"/>
          </w:tcPr>
          <w:p>
            <w:pPr>
              <w:pStyle w:val="Normal"/>
              <w:spacing w:before="60" w:after="60"/>
              <w:jc w:val="left"/>
            </w:pPr>
            <w:r>
              <w:rPr>
                <w:color w:val="3D4F5F"/>
                <w:sz w:val="20"/>
                <w:rFonts w:ascii="Times New Roman" w:hAnsi="Times New Roman" w:eastAsia="Times New Roman" w:cs="Times New Roman"/>
                <w:szCs w:val="20"/>
              </w:rPr>
              <w:t>AIS Satellite Reception</w:t>
            </w:r>
          </w:p>
        </w:tc>
        <w:tc>
          <w:tcPr>
            <w:tcW w:w="3700" w:type="dxa"/>
          </w:tcPr>
          <w:p>
            <w:pPr>
              <w:pStyle w:val="Normal"/>
              <w:spacing w:before="60" w:after="60"/>
              <w:jc w:val="left"/>
            </w:pPr>
            <w:r>
              <w:rPr>
                <w:color w:val="3D4F5F"/>
                <w:sz w:val="20"/>
                <w:rFonts w:ascii="Times New Roman" w:hAnsi="Times New Roman" w:eastAsia="Times New Roman" w:cs="Times New Roman"/>
                <w:szCs w:val="20"/>
              </w:rPr>
              <w:t>Primary and secondary satellite feeds (Spire Global, ORBCOMM, exactEarth) begin continuous data collection.</w:t>
            </w:r>
          </w:p>
        </w:tc>
        <w:tc>
          <w:tcPr>
            <w:tcW w:w="3700" w:type="dxa"/>
          </w:tcPr>
          <w:p>
            <w:pPr>
              <w:pStyle w:val="Normal"/>
              <w:spacing w:before="60" w:after="60"/>
              <w:jc w:val="left"/>
            </w:pPr>
            <w:r>
              <w:rPr>
                <w:color w:val="3D4F5F"/>
                <w:sz w:val="20"/>
                <w:rFonts w:ascii="Times New Roman" w:hAnsi="Times New Roman" w:eastAsia="Times New Roman" w:cs="Times New Roman"/>
                <w:szCs w:val="20"/>
              </w:rPr>
              <w:t>JMC, both Parties, Shared Digital Registry</w:t>
            </w:r>
          </w:p>
        </w:tc>
      </w:tr>
      <w:tr>
        <w:tc>
          <w:tcPr>
            <w:tcW w:w="2600" w:type="dxa"/>
          </w:tcPr>
          <w:p>
            <w:pPr>
              <w:pStyle w:val="Normal"/>
              <w:spacing w:before="60" w:after="60"/>
              <w:jc w:val="left"/>
            </w:pPr>
            <w:r>
              <w:rPr>
                <w:color w:val="3D4F5F"/>
                <w:sz w:val="20"/>
                <w:rFonts w:ascii="Times New Roman" w:hAnsi="Times New Roman" w:eastAsia="Times New Roman" w:cs="Times New Roman"/>
                <w:szCs w:val="20"/>
              </w:rPr>
              <w:t>Coastal Radar Integration</w:t>
            </w:r>
          </w:p>
        </w:tc>
        <w:tc>
          <w:tcPr>
            <w:tcW w:w="3700" w:type="dxa"/>
          </w:tcPr>
          <w:p>
            <w:pPr>
              <w:pStyle w:val="Normal"/>
              <w:spacing w:before="60" w:after="60"/>
              <w:jc w:val="left"/>
            </w:pPr>
            <w:r>
              <w:rPr>
                <w:color w:val="3D4F5F"/>
                <w:sz w:val="20"/>
                <w:rFonts w:ascii="Times New Roman" w:hAnsi="Times New Roman" w:eastAsia="Times New Roman" w:cs="Times New Roman"/>
                <w:szCs w:val="20"/>
              </w:rPr>
              <w:t>Radar stations at Bandar Abbas, Fujairah, Muscat, Dammam, and Umm Qasr begin data transmission.</w:t>
            </w:r>
          </w:p>
        </w:tc>
        <w:tc>
          <w:tcPr>
            <w:tcW w:w="3700" w:type="dxa"/>
          </w:tcPr>
          <w:p>
            <w:pPr>
              <w:pStyle w:val="Normal"/>
              <w:spacing w:before="60" w:after="60"/>
              <w:jc w:val="left"/>
            </w:pPr>
            <w:r>
              <w:rPr>
                <w:color w:val="3D4F5F"/>
                <w:sz w:val="20"/>
                <w:rFonts w:ascii="Times New Roman" w:hAnsi="Times New Roman" w:eastAsia="Times New Roman" w:cs="Times New Roman"/>
                <w:szCs w:val="20"/>
              </w:rPr>
              <w:t>JMC, both Parties, Shared Digital Registry</w:t>
            </w:r>
          </w:p>
        </w:tc>
      </w:tr>
      <w:tr>
        <w:tc>
          <w:tcPr>
            <w:tcW w:w="2600" w:type="dxa"/>
          </w:tcPr>
          <w:p>
            <w:pPr>
              <w:pStyle w:val="Normal"/>
              <w:spacing w:before="60" w:after="60"/>
              <w:jc w:val="left"/>
            </w:pPr>
            <w:r>
              <w:rPr>
                <w:color w:val="3D4F5F"/>
                <w:sz w:val="20"/>
                <w:rFonts w:ascii="Times New Roman" w:hAnsi="Times New Roman" w:eastAsia="Times New Roman" w:cs="Times New Roman"/>
                <w:szCs w:val="20"/>
              </w:rPr>
              <w:t>Joint Monitoring Cell</w:t>
            </w:r>
          </w:p>
        </w:tc>
        <w:tc>
          <w:tcPr>
            <w:tcW w:w="3700" w:type="dxa"/>
          </w:tcPr>
          <w:p>
            <w:pPr>
              <w:pStyle w:val="Normal"/>
              <w:spacing w:before="60" w:after="60"/>
              <w:jc w:val="left"/>
            </w:pPr>
            <w:r>
              <w:rPr>
                <w:color w:val="3D4F5F"/>
                <w:sz w:val="20"/>
                <w:rFonts w:ascii="Times New Roman" w:hAnsi="Times New Roman" w:eastAsia="Times New Roman" w:cs="Times New Roman"/>
                <w:szCs w:val="20"/>
              </w:rPr>
              <w:t>Pre-accredited JMC personnel convene in Muscat within 72 hours of signature and begin 24/7 operations. The Sultanate of Oman holds credentials for all core JMC staff. The 72-hour period constitutes operational commencement and the Parties satisfy this requirement through a virtual video-teleconference convening of the core JMC staff. Physical co-location in Muscat completes within 10 days of signature. This virtual commencement protocol prevents minor logistical impediments from triggering procedural dispute.</w:t>
            </w:r>
          </w:p>
        </w:tc>
        <w:tc>
          <w:tcPr>
            <w:tcW w:w="3700" w:type="dxa"/>
          </w:tcPr>
          <w:p>
            <w:pPr>
              <w:pStyle w:val="Normal"/>
              <w:spacing w:before="60" w:after="60"/>
              <w:jc w:val="left"/>
            </w:pPr>
            <w:r>
              <w:rPr>
                <w:color w:val="3D4F5F"/>
                <w:sz w:val="20"/>
                <w:rFonts w:ascii="Times New Roman" w:hAnsi="Times New Roman" w:eastAsia="Times New Roman" w:cs="Times New Roman"/>
                <w:szCs w:val="20"/>
              </w:rPr>
              <w:t>JMC, both Parties, PCC</w:t>
            </w:r>
          </w:p>
        </w:tc>
      </w:tr>
      <w:tr>
        <w:tc>
          <w:tcPr>
            <w:tcW w:w="2600" w:type="dxa"/>
          </w:tcPr>
          <w:p>
            <w:pPr>
              <w:pStyle w:val="Normal"/>
              <w:spacing w:before="60" w:after="60"/>
              <w:jc w:val="left"/>
            </w:pPr>
            <w:r>
              <w:rPr>
                <w:color w:val="3D4F5F"/>
                <w:sz w:val="20"/>
                <w:rFonts w:ascii="Times New Roman" w:hAnsi="Times New Roman" w:eastAsia="Times New Roman" w:cs="Times New Roman"/>
                <w:szCs w:val="20"/>
              </w:rPr>
              <w:t>Shared Digital Registry</w:t>
            </w:r>
          </w:p>
        </w:tc>
        <w:tc>
          <w:tcPr>
            <w:tcW w:w="3700" w:type="dxa"/>
          </w:tcPr>
          <w:p>
            <w:pPr>
              <w:pStyle w:val="Normal"/>
              <w:spacing w:before="60" w:after="60"/>
              <w:jc w:val="left"/>
            </w:pPr>
            <w:r>
              <w:rPr>
                <w:color w:val="3D4F5F"/>
                <w:sz w:val="20"/>
                <w:rFonts w:ascii="Times New Roman" w:hAnsi="Times New Roman" w:eastAsia="Times New Roman" w:cs="Times New Roman"/>
                <w:szCs w:val="20"/>
              </w:rPr>
              <w:t>The Registry begins logging all vessel tracks, anomaly alerts, and verification packages.</w:t>
            </w:r>
          </w:p>
        </w:tc>
        <w:tc>
          <w:tcPr>
            <w:tcW w:w="3700" w:type="dxa"/>
          </w:tcPr>
          <w:p>
            <w:pPr>
              <w:pStyle w:val="Normal"/>
              <w:spacing w:before="60" w:after="60"/>
              <w:jc w:val="left"/>
            </w:pPr>
            <w:r>
              <w:rPr>
                <w:color w:val="3D4F5F"/>
                <w:sz w:val="20"/>
                <w:rFonts w:ascii="Times New Roman" w:hAnsi="Times New Roman" w:eastAsia="Times New Roman" w:cs="Times New Roman"/>
                <w:szCs w:val="20"/>
              </w:rPr>
              <w:t>All Parties, Guarantor Matrix</w:t>
            </w:r>
          </w:p>
        </w:tc>
      </w:tr>
      <w:tr>
        <w:tc>
          <w:tcPr>
            <w:tcW w:w="2600" w:type="dxa"/>
          </w:tcPr>
          <w:p>
            <w:pPr>
              <w:pStyle w:val="Normal"/>
              <w:spacing w:before="60" w:after="60"/>
              <w:jc w:val="left"/>
            </w:pPr>
            <w:r>
              <w:rPr>
                <w:color w:val="3D4F5F"/>
                <w:sz w:val="20"/>
                <w:rFonts w:ascii="Times New Roman" w:hAnsi="Times New Roman" w:eastAsia="Times New Roman" w:cs="Times New Roman"/>
                <w:szCs w:val="20"/>
              </w:rPr>
              <w:t>Compliance Dashboard</w:t>
            </w:r>
          </w:p>
        </w:tc>
        <w:tc>
          <w:tcPr>
            <w:tcW w:w="3700" w:type="dxa"/>
          </w:tcPr>
          <w:p>
            <w:pPr>
              <w:pStyle w:val="Normal"/>
              <w:spacing w:before="60" w:after="60"/>
              <w:jc w:val="left"/>
            </w:pPr>
            <w:r>
              <w:rPr>
                <w:color w:val="3D4F5F"/>
                <w:sz w:val="20"/>
                <w:rFonts w:ascii="Times New Roman" w:hAnsi="Times New Roman" w:eastAsia="Times New Roman" w:cs="Times New Roman"/>
                <w:szCs w:val="20"/>
              </w:rPr>
              <w:t>The dashboard is published and accessible to all Parties and accredited observers.</w:t>
            </w:r>
          </w:p>
        </w:tc>
        <w:tc>
          <w:tcPr>
            <w:tcW w:w="3700" w:type="dxa"/>
          </w:tcPr>
          <w:p>
            <w:pPr>
              <w:pStyle w:val="Normal"/>
              <w:spacing w:before="60" w:after="60"/>
              <w:jc w:val="left"/>
            </w:pPr>
            <w:r>
              <w:rPr>
                <w:color w:val="3D4F5F"/>
                <w:sz w:val="20"/>
                <w:rFonts w:ascii="Times New Roman" w:hAnsi="Times New Roman" w:eastAsia="Times New Roman" w:cs="Times New Roman"/>
                <w:szCs w:val="20"/>
              </w:rPr>
              <w:t>Public (non-classified metrics)</w:t>
            </w:r>
          </w:p>
        </w:tc>
      </w:tr>
      <w:tr>
        <w:tc>
          <w:tcPr>
            <w:tcW w:w="2600" w:type="dxa"/>
          </w:tcPr>
          <w:p>
            <w:pPr>
              <w:pStyle w:val="Normal"/>
              <w:spacing w:before="60" w:after="60"/>
              <w:jc w:val="left"/>
            </w:pPr>
            <w:r>
              <w:rPr>
                <w:b/>
                <w:color w:val="3D4F5F"/>
                <w:sz w:val="20"/>
                <w:rFonts w:ascii="Times New Roman" w:hAnsi="Times New Roman" w:eastAsia="Times New Roman" w:cs="Times New Roman"/>
                <w:szCs w:val="20"/>
              </w:rPr>
              <w:t>Third-Party Telemetry Tie-Breaker</w:t>
            </w:r>
          </w:p>
        </w:tc>
        <w:tc>
          <w:tcPr>
            <w:tcW w:w="3700" w:type="dxa"/>
          </w:tcPr>
          <w:p>
            <w:pPr>
              <w:pStyle w:val="Normal"/>
              <w:spacing w:before="60" w:after="60"/>
              <w:jc w:val="left"/>
            </w:pPr>
            <w:r>
              <w:rPr>
                <w:b/>
                <w:color w:val="3D4F5F"/>
                <w:sz w:val="20"/>
                <w:rFonts w:ascii="Times New Roman" w:hAnsi="Times New Roman" w:eastAsia="Times New Roman" w:cs="Times New Roman"/>
                <w:szCs w:val="20"/>
              </w:rPr>
              <w:t>A commercial satellite provider, under contract to the Facilitator Troika, provides independent telemetry. This source activates automatically upon detection of a data conflict between the primary Party feeds. The Facilitator Troika consists of Switzerland, the Sultanate of Oman, and a mutually agreed non-permanent Diplomatic Facilitator selected from a standing list of three neutral states maintained by the PCC. The standing list comprises Singapore, Qatar, and a rotating regional state nominated by the PCC and confirmed by both Parties. Appointment of the tie-breaker expert and all critical telemetry actions require a 2-of-3 majority vote of the Troika.</w:t>
            </w:r>
          </w:p>
        </w:tc>
        <w:tc>
          <w:tcPr>
            <w:tcW w:w="3700" w:type="dxa"/>
          </w:tcPr>
          <w:p>
            <w:pPr>
              <w:pStyle w:val="Normal"/>
              <w:spacing w:before="60" w:after="60"/>
              <w:jc w:val="left"/>
            </w:pPr>
            <w:r>
              <w:rPr>
                <w:b/>
                <w:color w:val="3D4F5F"/>
                <w:sz w:val="20"/>
                <w:rFonts w:ascii="Times New Roman" w:hAnsi="Times New Roman" w:eastAsia="Times New Roman" w:cs="Times New Roman"/>
                <w:szCs w:val="20"/>
              </w:rPr>
              <w:t>JMC, Facilitator Troika, PCC</w:t>
            </w:r>
          </w:p>
        </w:tc>
      </w:tr>
    </w:tbl>
    <w:p>
      <w:pPr>
        <w:pStyle w:val="Heading2"/>
      </w:pPr>
      <w:r>
        <w:rPr>
          <w:rFonts w:ascii="Times New Roman" w:hAnsi="Times New Roman" w:eastAsia="Times New Roman" w:cs="Times New Roman"/>
          <w:b/>
          <w:color w:val="1E2A36"/>
          <w:sz w:val="24"/>
          <w:szCs w:val="24"/>
        </w:rPr>
        <w:t>3.2 Data Collection and Sharing</w:t>
      </w:r>
    </w:p>
    <w:p>
      <w:pPr>
        <w:pStyle w:val="Normal"/>
        <w:spacing w:after="180" w:line="288" w:lineRule="auto"/>
        <w:jc w:val="both"/>
      </w:pPr>
      <w:r>
        <w:rPr>
          <w:rFonts w:ascii="Times New Roman" w:hAnsi="Times New Roman" w:eastAsia="Times New Roman" w:cs="Times New Roman"/>
          <w:color w:val="1E2A36"/>
          <w:sz w:val="22"/>
          <w:szCs w:val="22"/>
        </w:rPr>
        <w:t>All data collected under this Article conforms to the following standards: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Simultaneous: The framework architecture transmits all data to both Parties with identical latency. Neither Party receives preferential access, earlier notification, or exclusive data feeds.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Unalterable: The Shared Digital Registry logs all data with cryptographic chain-of-custody. No Party modifies, deletes, or redacts logged data.</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Transparent: All data is accessible to both Parties, the Guarantor Matrix, and the Joint Monitoring Cell through the secure data portal established under Annex U.</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Non-attributable for political purposes: Data is collected and shared for technical verification only. It does not constitute recognition of any Party's legal position.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Non-imputability: Neither Party's participation in data collection, transmission, or receipt constitutes endorsement of the political character, legal status, or governance implications of any monitoring system or data product. Data serves technical verification exclusively. No political meaning attaches to its collection or sharing.</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Retention and audit: The Shared Digital Registry retains all logged data for a minimum of five years from the date of logging. Either Party requests an independent forensic audit of any data segment. The Facilitator Troika selects the auditor from the Third-Party Expert Pool maintained by the Facilitator Troika. The auditor completes the review within 30 days of request. The requesting Party bears the audit cost. If the audit reveals material data manipulation, the manipulating Party bears all costs including the requesting Party's costs. Upon the conclusion of the five-year retention period, the Shared Digital Registry executes a rolling data purge: all raw unprocessed telemetry data deletes automatically; only aggregated anonymized statistical reports (monthly transit volumes, anomaly counts, and verification scores) remain for historical reference. This purge repeats on a rolling five-year horizon. The Facilitator Troika certifies each purge cycle in the Shared Digital Registry. The aggregated statistics contain no vessel-identifying information and no raw positional data.</w:t>
      </w:r>
    </w:p>
    <w:p>
      <w:pPr>
        <w:pStyle w:val="Heading2"/>
      </w:pPr>
      <w:r>
        <w:rPr>
          <w:rFonts w:ascii="Times New Roman" w:hAnsi="Times New Roman" w:eastAsia="Times New Roman" w:cs="Times New Roman"/>
          <w:b/>
          <w:color w:val="1E2A36"/>
          <w:sz w:val="24"/>
          <w:szCs w:val="24"/>
        </w:rPr>
        <w:t>3.3 Verification of Transit Metrics</w:t>
      </w:r>
    </w:p>
    <w:p>
      <w:pPr>
        <w:pStyle w:val="Normal"/>
        <w:spacing w:after="180" w:line="288" w:lineRule="auto"/>
        <w:jc w:val="both"/>
      </w:pPr>
      <w:r>
        <w:rPr>
          <w:rFonts w:ascii="Times New Roman" w:hAnsi="Times New Roman" w:eastAsia="Times New Roman" w:cs="Times New Roman"/>
          <w:color w:val="1E2A36"/>
          <w:sz w:val="22"/>
          <w:szCs w:val="22"/>
        </w:rPr>
        <w:t>The Technical Working Group (TWG), operating through the Joint Secretariat, applies the verification methodology defined in Annex A, Section 4 to all vessel tracks collected under this Article.</w:t>
      </w:r>
    </w:p>
    <w:p>
      <w:pPr>
        <w:pStyle w:val="Normal"/>
        <w:spacing w:after="180" w:line="288" w:lineRule="auto"/>
        <w:jc w:val="both"/>
      </w:pPr>
      <w:r>
        <w:rPr>
          <w:rFonts w:ascii="Times New Roman" w:hAnsi="Times New Roman" w:eastAsia="Times New Roman" w:cs="Times New Roman"/>
          <w:color w:val="1E2A36"/>
          <w:sz w:val="22"/>
          <w:szCs w:val="22"/>
        </w:rPr>
        <w:t>Qualifying transits are logged in the Shared Digital Registry. Anomaly alerts issue automatically upon detection of any deviation from the metrics defined in Annex A, Section 3. Verification packages are produced and transmitted to the PCC within the timelines specified in Annex B, Article 7.</w:t>
      </w:r>
    </w:p>
    <w:p>
      <w:pPr>
        <w:pStyle w:val="Normal"/>
        <w:spacing w:before="120" w:after="240" w:line="288" w:lineRule="auto"/>
        <w:ind w:left="720" w:right="720"/>
        <w:jc w:val="both"/>
      </w:pPr>
      <w:r>
        <w:rPr>
          <w:i/>
          <w:color w:val="3D4F5F"/>
          <w:sz w:val="21"/>
          <w:rFonts w:ascii="Times New Roman" w:hAnsi="Times New Roman" w:eastAsia="Times New Roman" w:cs="Times New Roman"/>
          <w:szCs w:val="21"/>
        </w:rPr>
        <w:t>This Article operationalizes the technical frameworks immediately. No political agreement is needed to turn on the sensors, start the JMC, or begin logging data. The systems run on their own, generating objective facts that both Parties see.</w:t>
      </w:r>
    </w:p>
    <w:p>
      <w:pPr>
        <w:pStyle w:val="Heading2"/>
      </w:pPr>
      <w:r>
        <w:rPr>
          <w:rFonts w:ascii="Times New Roman" w:hAnsi="Times New Roman" w:eastAsia="Times New Roman" w:cs="Times New Roman"/>
          <w:b/>
          <w:color w:val="1E2A36"/>
          <w:sz w:val="24"/>
          <w:szCs w:val="24"/>
        </w:rPr>
        <w:t>3.4 Technical Truth Escalation Chain</w:t>
      </w:r>
    </w:p>
    <w:p>
      <w:pPr>
        <w:pStyle w:val="Normal"/>
        <w:spacing w:after="180" w:line="288" w:lineRule="auto"/>
        <w:jc w:val="both"/>
      </w:pPr>
      <w:r>
        <w:rPr>
          <w:rFonts w:ascii="Times New Roman" w:hAnsi="Times New Roman" w:eastAsia="Times New Roman" w:cs="Times New Roman"/>
          <w:color w:val="1E2A36"/>
          <w:sz w:val="22"/>
          <w:szCs w:val="22"/>
        </w:rPr>
        <w:t>The framework architecture includes a binding, time-bound escalation chain for all data fidelity disputes. The chain operates automatically upon registration of a discrepancy in the Shared Digital Registry.</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Day 1: The JMC Chief Technical Officer reviews the raw data feeds, source telemetry, and chain-of-custody records for the disputed data point. The Officer issues a preliminary technical finding within twenty-four hours of dispute registration.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Day 3: Either Party escalates the unresolved dispute to the Technical Working Group. The TWG convenes within forty-eight hours, reviews the full data package, and issues a corroboration report.</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Day 5: Either Party escalates the unresolved dispute to a pre-selected panel of three neutral technical experts. The Facilitator Troika maintains these experts under standing accreditation and appoints the tie-breaker expert by 2-of-3 majority vote. The panel reviews all evidence and issues a binding determination on data fidelity. This determination is final. Neither Party appeals it.</w:t>
      </w:r>
    </w:p>
    <w:p>
      <w:pPr>
        <w:pStyle w:val="Normal"/>
        <w:spacing w:after="180" w:line="288" w:lineRule="auto"/>
        <w:jc w:val="both"/>
      </w:pPr>
      <w:r>
        <w:rPr>
          <w:rFonts w:ascii="Times New Roman" w:hAnsi="Times New Roman" w:eastAsia="Times New Roman" w:cs="Times New Roman"/>
          <w:color w:val="1E2A36"/>
          <w:sz w:val="22"/>
          <w:szCs w:val="22"/>
        </w:rPr>
        <w:t>The Shared Digital Registry logs every escalation step automatically. The framework architecture freezes all operational responses to the disputed event for twenty-four hours upon registration of a technical dispute. This Technical Dispute Hold remains in effect pending TWG resolution or panel determination. The framework architecture lifts the hold automatically upon resolution.</w:t>
      </w:r>
    </w:p>
    <w:p>
      <w:pPr>
        <w:pStyle w:val="Heading2"/>
      </w:pPr>
      <w:r>
        <w:rPr>
          <w:rFonts w:ascii="Times New Roman" w:hAnsi="Times New Roman" w:eastAsia="Times New Roman" w:cs="Times New Roman"/>
          <w:b/>
          <w:color w:val="1E2A36"/>
          <w:sz w:val="24"/>
          <w:szCs w:val="24"/>
        </w:rPr>
        <w:t>3.5 Data Quality and Anti-Dumping Standards</w:t>
      </w:r>
    </w:p>
    <w:p>
      <w:pPr>
        <w:pStyle w:val="Normal"/>
        <w:spacing w:after="180" w:line="288" w:lineRule="auto"/>
        <w:jc w:val="both"/>
      </w:pPr>
      <w:r>
        <w:rPr>
          <w:rFonts w:ascii="Times New Roman" w:hAnsi="Times New Roman" w:eastAsia="Times New Roman" w:cs="Times New Roman"/>
          <w:color w:val="1E2A36"/>
          <w:sz w:val="22"/>
          <w:szCs w:val="22"/>
        </w:rPr>
        <w:t>The framework architecture enforces the following data quality standards for all telemetry transmitted by either Party:</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Signal-to-noise ratio: Each Party maintains a signal-to-noise ratio above the minimum threshold defined in Annex W, Article 2.3, across all data feeds. Consistent transmission below this threshold constitutes a technical failure.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Format compliance: Each Party transmits data in the format specified in Annex U, Section 3. Data in an incorrect format triggers an automatic formatting alert in the Shared Digital Registry.</w:t>
      </w:r>
    </w:p>
    <w:p>
      <w:pPr>
        <w:pStyle w:val="Normal"/>
        <w:spacing w:after="180" w:line="288" w:lineRule="auto"/>
        <w:jc w:val="both"/>
      </w:pPr>
      <w:r>
        <w:rPr>
          <w:rFonts w:ascii="Times New Roman" w:hAnsi="Times New Roman" w:eastAsia="Times New Roman" w:cs="Times New Roman"/>
          <w:color w:val="1E2A36"/>
          <w:sz w:val="22"/>
          <w:szCs w:val="22"/>
        </w:rPr>
        <w:t>The framework architecture treats persistent data quality failures as a breach of the Simultaneous and Transparent requirements. Persistent failure means three or more consecutive formatting alerts or signal-to-noise violations within any seventy-two-hour period. During the first 14 days of the Testing Phase, data quality failures are logged for training and calibration purposes only. They do not constitute a breach of the Simultaneous and Transparent requirements. The breach classification applies only from Day 15 onward. This grace period allows both Parties to resolve technical teething issues without triggering procedural penalties.</w:t>
      </w:r>
    </w:p>
    <w:p>
      <w:pPr>
        <w:pStyle w:val="Heading2"/>
      </w:pPr>
      <w:r>
        <w:rPr>
          <w:rFonts w:ascii="Times New Roman" w:hAnsi="Times New Roman" w:eastAsia="Times New Roman" w:cs="Times New Roman"/>
          <w:b/>
          <w:color w:val="1E2A36"/>
          <w:sz w:val="24"/>
          <w:szCs w:val="24"/>
        </w:rPr>
        <w:t>3.6 Anomaly Alert Response Protocol</w:t>
      </w:r>
    </w:p>
    <w:p>
      <w:pPr>
        <w:pStyle w:val="Normal"/>
        <w:spacing w:after="180" w:line="288" w:lineRule="auto"/>
        <w:jc w:val="both"/>
      </w:pPr>
      <w:r>
        <w:rPr>
          <w:rFonts w:ascii="Times New Roman" w:hAnsi="Times New Roman" w:eastAsia="Times New Roman" w:cs="Times New Roman"/>
          <w:color w:val="1E2A36"/>
          <w:sz w:val="22"/>
          <w:szCs w:val="22"/>
        </w:rPr>
        <w:t>Upon automatic generation of an anomaly alert, the following response protocol activates immediately:</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JMC Duty Officer transmits an automated communication to both Parties within five minutes of alert generation. The communication contains the anomaly classification, vessel identifier, and deviation type.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Both Parties implement a pre-vetted operational stand-down order for any forces in the vicinity of the alert location. The stand-down order remains active until the JMC Chief Technical Officer confirms resolution or upgrades the alert.</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JMC convenes an emergency video-conference between both Parties' designated technical representatives within thirty minutes of alert generation. The Shared Digital Registry logs all communications and stand-down confirmations.</w:t>
      </w:r>
    </w:p>
    <w:p>
      <w:pPr>
        <w:pStyle w:val="Normal"/>
        <w:spacing w:after="180" w:line="288" w:lineRule="auto"/>
        <w:jc w:val="both"/>
      </w:pPr>
      <w:r>
        <w:rPr>
          <w:rFonts w:ascii="Times New Roman" w:hAnsi="Times New Roman" w:eastAsia="Times New Roman" w:cs="Times New Roman"/>
          <w:color w:val="1E2A36"/>
          <w:sz w:val="22"/>
          <w:szCs w:val="22"/>
          <w:b/>
        </w:rPr>
        <w:t>3.6A Alert De-escalation and Anti-Dumping Authority.</w:t>
      </w:r>
      <w:r>
        <w:rPr>
          <w:rFonts w:ascii="Times New Roman" w:hAnsi="Times New Roman" w:eastAsia="Times New Roman" w:cs="Times New Roman"/>
          <w:color w:val="1E2A36"/>
          <w:sz w:val="22"/>
          <w:szCs w:val="22"/>
        </w:rPr>
        <w:t xml:space="preserve"> The JMC Duty Officer reserves the authority to de-escalate and batch-process alerts classified as low-risk routine deviations. A low-risk routine deviation means a vessel operating outside the Commercial Transit Corridor lane by less than 500 meters but no less than 100 meters with no hostile indicators. The JMC Chief Technical Officer establishes a de minimis threshold of 100 meters. Deviations below this threshold generate no alert and the Registry logs them for statistical purposes only. This threshold prevents the system from overwhelming with trivial deviations. The Duty Officer logs every de-escalation decision in the Shared Digital Registry with classification rationale. Persistent generation of low-risk alerts by vessels affiliated with one Party logs as a procedural concern in the Registry. The PCC reviews this concern at the Decision Point. The framework architecture prohibits either Party from using alert volume as a tactical impediment to JMC operations.</w:t>
      </w:r>
    </w:p>
    <w:p>
      <w:pPr>
        <w:pStyle w:val="Normal"/>
        <w:spacing w:after="180" w:line="288" w:lineRule="auto"/>
        <w:jc w:val="both"/>
      </w:pPr>
      <w:r>
        <w:rPr>
          <w:rFonts w:ascii="Times New Roman" w:hAnsi="Times New Roman" w:eastAsia="Times New Roman" w:cs="Times New Roman"/>
          <w:color w:val="1E2A36"/>
          <w:sz w:val="22"/>
          <w:szCs w:val="22"/>
        </w:rPr>
        <w:t>The framework architecture designates this response as the Anomaly Response Playbook. The Playbook binds both Parties from the moment of signature. Neither Party deviates from the Playbook without written mutual agreement.</w:t>
      </w:r>
    </w:p>
    <w:p>
      <w:pPr>
        <w:pStyle w:val="Heading2"/>
      </w:pPr>
      <w:r>
        <w:rPr>
          <w:rFonts w:ascii="Times New Roman" w:hAnsi="Times New Roman" w:eastAsia="Times New Roman" w:cs="Times New Roman"/>
          <w:b/>
          <w:color w:val="1E2A36"/>
          <w:sz w:val="24"/>
          <w:szCs w:val="24"/>
        </w:rPr>
        <w:t>3.7 Notification Protocol</w:t>
      </w:r>
    </w:p>
    <w:p>
      <w:pPr>
        <w:pStyle w:val="Normal"/>
        <w:spacing w:after="180" w:line="288" w:lineRule="auto"/>
        <w:jc w:val="both"/>
      </w:pPr>
      <w:r>
        <w:rPr>
          <w:rFonts w:ascii="Times New Roman" w:hAnsi="Times New Roman" w:eastAsia="Times New Roman" w:cs="Times New Roman"/>
          <w:color w:val="1E2A36"/>
          <w:sz w:val="22"/>
          <w:szCs w:val="22"/>
        </w:rPr>
        <w:t>All formal notifications required under this Annex transmit through the Shared Digital Registry. The Registry distributes notifications automatically to all relevant recipients according to the routing hierarchy defined in this Article.</w:t>
      </w:r>
    </w:p>
    <w:p>
      <w:pPr>
        <w:pStyle w:val="Normal"/>
        <w:spacing w:after="180" w:line="288" w:lineRule="auto"/>
        <w:jc w:val="both"/>
      </w:pPr>
      <w:r>
        <w:rPr>
          <w:rFonts w:ascii="Times New Roman" w:hAnsi="Times New Roman" w:eastAsia="Times New Roman" w:cs="Times New Roman"/>
          <w:color w:val="1E2A36"/>
          <w:sz w:val="22"/>
          <w:szCs w:val="22"/>
        </w:rPr>
        <w:t>Operational notifications covering anomalies, data disputes, and technical findings route to the JMC and both Parties. Political notifications covering extension requests, pilot exit notices, and consent to final deal route to the PCC, both Parties, and the Guarantor Matrix. Financial notifications covering payments, bond releases, and audit requests route to the Facilitator Troika, the JMC, and both Parties. The Shared Digital Registry timestamps every notification at transmission. The framework architecture deems a notification received by all required recipients at the moment of transmission.</w:t>
      </w:r>
    </w:p>
    <w:p>
      <w:pPr>
        <w:pStyle w:val="Normal"/>
        <w:spacing w:after="180" w:line="288" w:lineRule="auto"/>
        <w:jc w:val="both"/>
      </w:pPr>
      <w:r>
        <w:rPr>
          <w:rFonts w:ascii="Times New Roman" w:hAnsi="Times New Roman" w:eastAsia="Times New Roman" w:cs="Times New Roman"/>
          <w:color w:val="1E2A36"/>
          <w:sz w:val="22"/>
          <w:szCs w:val="22"/>
        </w:rPr>
        <w:t>Either Party requests confirmation of delivery for any notification. The JMC Duty Officer confirms delivery within 4 hours of the request. Failed delivery triggers automatic escalation to the Facilitator Troika for alternative routing.</w:t>
      </w:r>
    </w:p>
    <w:p>
      <w:pPr>
        <w:pStyle w:val="Heading1"/>
      </w:pPr>
      <w:bookmarkStart w:name="_TocArt4" w:id="105"/>
      <w:r>
        <w:rPr>
          <w:rFonts w:ascii="Times New Roman" w:hAnsi="Times New Roman" w:eastAsia="Times New Roman" w:cs="Times New Roman"/>
          <w:b/>
          <w:color w:val="4A5D6E"/>
          <w:sz w:val="28"/>
          <w:szCs w:val="28"/>
        </w:rPr>
        <w:t>Article 4 - Compressed Cooling-Off Period</w:t>
      </w:r>
      <w:bookmarkEnd w:id="105"/>
    </w:p>
    <w:p>
      <w:pPr>
        <w:pStyle w:val="Heading2"/>
      </w:pPr>
      <w:r>
        <w:rPr>
          <w:rFonts w:ascii="Times New Roman" w:hAnsi="Times New Roman" w:eastAsia="Times New Roman" w:cs="Times New Roman"/>
          <w:b/>
          <w:color w:val="1E2A36"/>
          <w:sz w:val="24"/>
          <w:szCs w:val="24"/>
        </w:rPr>
        <w:t>4.1 Automatic Activation</w:t>
      </w:r>
    </w:p>
    <w:p>
      <w:pPr>
        <w:pStyle w:val="Normal"/>
        <w:spacing w:after="180" w:line="288" w:lineRule="auto"/>
        <w:jc w:val="both"/>
      </w:pPr>
      <w:r>
        <w:rPr>
          <w:rFonts w:ascii="Times New Roman" w:hAnsi="Times New Roman" w:eastAsia="Times New Roman" w:cs="Times New Roman"/>
          <w:color w:val="1E2A36"/>
          <w:sz w:val="22"/>
          <w:szCs w:val="22"/>
        </w:rPr>
        <w:t>Upon signature of this Annex, a mandatory 30-day cooling-off period for unresolved political issues activates automatically. The cooling-off requires no further act of either Party.</w:t>
      </w:r>
    </w:p>
    <w:p>
      <w:pPr>
        <w:pStyle w:val="Normal"/>
        <w:spacing w:after="180" w:line="288" w:lineRule="auto"/>
        <w:jc w:val="both"/>
      </w:pPr>
      <w:r>
        <w:rPr>
          <w:rFonts w:ascii="Times New Roman" w:hAnsi="Times New Roman" w:eastAsia="Times New Roman" w:cs="Times New Roman"/>
          <w:color w:val="1E2A36"/>
          <w:sz w:val="22"/>
          <w:szCs w:val="22"/>
        </w:rPr>
        <w:t>During the cooling-off period, the following political issues are deferred:</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legal status of the Persian Gulf Strait Authority (PGSA).</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legitimacy of tolls, fees, or navigational service charges.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permanent governance structure of the Strait of Hormuz.</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Any recognition of sovereignty, jurisdiction, or maritime claims.</w:t>
      </w:r>
    </w:p>
    <w:p>
      <w:pPr>
        <w:pStyle w:val="Heading2"/>
      </w:pPr>
      <w:r>
        <w:rPr>
          <w:rFonts w:ascii="Times New Roman" w:hAnsi="Times New Roman" w:eastAsia="Times New Roman" w:cs="Times New Roman"/>
          <w:b/>
          <w:color w:val="1E2A36"/>
          <w:sz w:val="24"/>
          <w:szCs w:val="24"/>
        </w:rPr>
        <w:t>4.2 Phase I Continuation During Cooling-Off</w:t>
      </w:r>
    </w:p>
    <w:p>
      <w:pPr>
        <w:pStyle w:val="Normal"/>
        <w:spacing w:after="180" w:line="288" w:lineRule="auto"/>
        <w:jc w:val="both"/>
      </w:pPr>
      <w:r>
        <w:rPr>
          <w:rFonts w:ascii="Times New Roman" w:hAnsi="Times New Roman" w:eastAsia="Times New Roman" w:cs="Times New Roman"/>
          <w:color w:val="1E2A36"/>
          <w:sz w:val="22"/>
          <w:szCs w:val="22"/>
        </w:rPr>
        <w:t>All Phase I benefits -- including economic relief, nuclear custody, and maritime transit rights -- continue unchanged during the cooling-off period. Neither Party uses the political deadlock as grounds for benefit suspension or withdrawal.</w:t>
      </w:r>
    </w:p>
    <w:p>
      <w:pPr>
        <w:pStyle w:val="Normal"/>
        <w:spacing w:after="180" w:line="288" w:lineRule="auto"/>
        <w:jc w:val="both"/>
      </w:pPr>
      <w:r>
        <w:rPr>
          <w:rFonts w:ascii="Times New Roman" w:hAnsi="Times New Roman" w:eastAsia="Times New Roman" w:cs="Times New Roman"/>
          <w:color w:val="1E2A36"/>
          <w:sz w:val="22"/>
          <w:szCs w:val="22"/>
        </w:rPr>
        <w:t>The framework architecture explicitly excludes the following during the cooling-off period: suspension of Phase I benefits by either Party; withdrawal from the MOU or any annex based solely on political deadlock; introduction of new conditions on existing benefits; and unilateral renegotiation of terms agreed in Phase I.</w:t>
      </w:r>
    </w:p>
    <w:p>
      <w:pPr>
        <w:pStyle w:val="Heading2"/>
      </w:pPr>
      <w:r>
        <w:rPr>
          <w:rFonts w:ascii="Times New Roman" w:hAnsi="Times New Roman" w:eastAsia="Times New Roman" w:cs="Times New Roman"/>
          <w:b/>
          <w:color w:val="1E2A36"/>
          <w:sz w:val="24"/>
          <w:szCs w:val="24"/>
        </w:rPr>
        <w:t>4.3 Timeline Integration</w:t>
      </w:r>
    </w:p>
    <w:p>
      <w:pPr>
        <w:pStyle w:val="Normal"/>
        <w:spacing w:after="180" w:line="288" w:lineRule="auto"/>
        <w:jc w:val="both"/>
      </w:pPr>
      <w:r>
        <w:rPr>
          <w:rFonts w:ascii="Times New Roman" w:hAnsi="Times New Roman" w:eastAsia="Times New Roman" w:cs="Times New Roman"/>
          <w:color w:val="1E2A36"/>
          <w:sz w:val="22"/>
          <w:szCs w:val="22"/>
        </w:rPr>
        <w:t>The framework architecture integrates all phases of this Annex into a single 60-day timeline. Each phase transitions automatically to the next unless the Parties mutually agree to an alternative pathway.</w:t>
      </w:r>
    </w:p>
    <w:tbl>
      <w:tblPr>
        <w:tblW w:w="5000" w:type="pct"/>
        <w:tblBorders>
          <w:top w:val="single" w:color="4A5D6E" w:sz="12"/>
          <w:left w:val="nil"/>
          <w:bottom w:val="single" w:color="4A5D6E" w:sz="12"/>
          <w:right w:val="nil"/>
          <w:insideH w:val="single" w:color="c5cdd4" w:sz="4"/>
          <w:insideV w:val="nil"/>
        </w:tblBorders>
      </w:tblPr>
      <w:tblGrid>
        <w:gridCol w:w="1200"/>
        <w:gridCol w:w="2200"/>
        <w:gridCol w:w="6600"/>
      </w:tblGrid>
      <w:tr>
        <w:trPr>
          <w:tblHeader w:val="1"/>
        </w:trPr>
        <w:tc>
          <w:tcPr>
            <w:tcW w:w="12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Day</w:t>
            </w:r>
          </w:p>
        </w:tc>
        <w:tc>
          <w:tcPr>
            <w:tcW w:w="22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Phase</w:t>
            </w:r>
          </w:p>
        </w:tc>
        <w:tc>
          <w:tcPr>
            <w:tcW w:w="6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Activity</w:t>
            </w:r>
          </w:p>
        </w:tc>
      </w:tr>
      <w:tr>
        <w:tc>
          <w:tcPr>
            <w:tcW w:w="1200" w:type="dxa"/>
          </w:tcPr>
          <w:p>
            <w:pPr>
              <w:pStyle w:val="Normal"/>
              <w:spacing w:before="60" w:after="60"/>
              <w:jc w:val="left"/>
            </w:pPr>
            <w:r>
              <w:rPr>
                <w:color w:val="3D4F5F"/>
                <w:sz w:val="20"/>
                <w:rFonts w:ascii="Times New Roman" w:hAnsi="Times New Roman" w:eastAsia="Times New Roman" w:cs="Times New Roman"/>
                <w:szCs w:val="20"/>
              </w:rPr>
              <w:t>Day 1</w:t>
            </w:r>
          </w:p>
        </w:tc>
        <w:tc>
          <w:tcPr>
            <w:tcW w:w="2200" w:type="dxa"/>
          </w:tcPr>
          <w:p>
            <w:pPr>
              <w:pStyle w:val="Normal"/>
              <w:spacing w:before="60" w:after="60"/>
              <w:jc w:val="left"/>
            </w:pPr>
            <w:r>
              <w:rPr>
                <w:color w:val="3D4F5F"/>
                <w:sz w:val="20"/>
                <w:rFonts w:ascii="Times New Roman" w:hAnsi="Times New Roman" w:eastAsia="Times New Roman" w:cs="Times New Roman"/>
                <w:szCs w:val="20"/>
              </w:rPr>
              <w:t>Signature</w:t>
            </w:r>
          </w:p>
        </w:tc>
        <w:tc>
          <w:tcPr>
            <w:tcW w:w="6600" w:type="dxa"/>
          </w:tcPr>
          <w:p>
            <w:pPr>
              <w:pStyle w:val="Normal"/>
              <w:spacing w:before="60" w:after="60"/>
              <w:jc w:val="left"/>
            </w:pPr>
            <w:r>
              <w:rPr>
                <w:color w:val="3D4F5F"/>
                <w:sz w:val="20"/>
                <w:rFonts w:ascii="Times New Roman" w:hAnsi="Times New Roman" w:eastAsia="Times New Roman" w:cs="Times New Roman"/>
                <w:szCs w:val="20"/>
              </w:rPr>
              <w:t>Annex H enters into force; all monitoring systems activate; JMC convenes in Muscat within 72 hours</w:t>
            </w:r>
          </w:p>
        </w:tc>
      </w:tr>
      <w:tr>
        <w:tc>
          <w:tcPr>
            <w:tcW w:w="1200" w:type="dxa"/>
          </w:tcPr>
          <w:p>
            <w:pPr>
              <w:pStyle w:val="Normal"/>
              <w:spacing w:before="60" w:after="60"/>
              <w:jc w:val="left"/>
            </w:pPr>
            <w:r>
              <w:rPr>
                <w:color w:val="3D4F5F"/>
                <w:sz w:val="20"/>
                <w:rFonts w:ascii="Times New Roman" w:hAnsi="Times New Roman" w:eastAsia="Times New Roman" w:cs="Times New Roman"/>
                <w:szCs w:val="20"/>
              </w:rPr>
              <w:t>Days 1-14</w:t>
            </w:r>
          </w:p>
        </w:tc>
        <w:tc>
          <w:tcPr>
            <w:tcW w:w="2200" w:type="dxa"/>
          </w:tcPr>
          <w:p>
            <w:pPr>
              <w:pStyle w:val="Normal"/>
              <w:spacing w:before="60" w:after="60"/>
              <w:jc w:val="left"/>
            </w:pPr>
            <w:r>
              <w:rPr>
                <w:color w:val="3D4F5F"/>
                <w:sz w:val="20"/>
                <w:rFonts w:ascii="Times New Roman" w:hAnsi="Times New Roman" w:eastAsia="Times New Roman" w:cs="Times New Roman"/>
                <w:szCs w:val="20"/>
              </w:rPr>
              <w:t>Testing Phase</w:t>
            </w:r>
          </w:p>
        </w:tc>
        <w:tc>
          <w:tcPr>
            <w:tcW w:w="6600" w:type="dxa"/>
          </w:tcPr>
          <w:p>
            <w:pPr>
              <w:pStyle w:val="Normal"/>
              <w:spacing w:before="60" w:after="60"/>
              <w:jc w:val="left"/>
            </w:pPr>
            <w:r>
              <w:rPr>
                <w:color w:val="3D4F5F"/>
                <w:sz w:val="20"/>
                <w:rFonts w:ascii="Times New Roman" w:hAnsi="Times New Roman" w:eastAsia="Times New Roman" w:cs="Times New Roman"/>
                <w:szCs w:val="20"/>
              </w:rPr>
              <w:t>Systems tested; data collected; first qualifying transits logged; service reimbursement pilot activates if Iran participates</w:t>
            </w:r>
          </w:p>
        </w:tc>
      </w:tr>
      <w:tr>
        <w:tc>
          <w:tcPr>
            <w:tcW w:w="1200" w:type="dxa"/>
          </w:tcPr>
          <w:p>
            <w:pPr>
              <w:pStyle w:val="Normal"/>
              <w:spacing w:before="60" w:after="60"/>
              <w:jc w:val="left"/>
            </w:pPr>
            <w:r>
              <w:rPr>
                <w:color w:val="3D4F5F"/>
                <w:sz w:val="20"/>
                <w:rFonts w:ascii="Times New Roman" w:hAnsi="Times New Roman" w:eastAsia="Times New Roman" w:cs="Times New Roman"/>
                <w:szCs w:val="20"/>
              </w:rPr>
              <w:t>Day 15</w:t>
            </w:r>
          </w:p>
        </w:tc>
        <w:tc>
          <w:tcPr>
            <w:tcW w:w="2200" w:type="dxa"/>
          </w:tcPr>
          <w:p>
            <w:pPr>
              <w:pStyle w:val="Normal"/>
              <w:spacing w:before="60" w:after="60"/>
              <w:jc w:val="left"/>
            </w:pPr>
            <w:r>
              <w:rPr>
                <w:color w:val="3D4F5F"/>
                <w:sz w:val="20"/>
                <w:rFonts w:ascii="Times New Roman" w:hAnsi="Times New Roman" w:eastAsia="Times New Roman" w:cs="Times New Roman"/>
                <w:szCs w:val="20"/>
              </w:rPr>
              <w:t>Transition</w:t>
            </w:r>
          </w:p>
        </w:tc>
        <w:tc>
          <w:tcPr>
            <w:tcW w:w="6600" w:type="dxa"/>
          </w:tcPr>
          <w:p>
            <w:pPr>
              <w:pStyle w:val="Normal"/>
              <w:spacing w:before="60" w:after="60"/>
              <w:jc w:val="left"/>
            </w:pPr>
            <w:r>
              <w:rPr>
                <w:color w:val="3D4F5F"/>
                <w:sz w:val="20"/>
                <w:rFonts w:ascii="Times New Roman" w:hAnsi="Times New Roman" w:eastAsia="Times New Roman" w:cs="Times New Roman"/>
                <w:szCs w:val="20"/>
              </w:rPr>
              <w:t>Testing Phase Report issued to PCC and both Parties; PCC acknowledges receipt within 24 hours</w:t>
            </w:r>
          </w:p>
        </w:tc>
      </w:tr>
      <w:tr>
        <w:tc>
          <w:tcPr>
            <w:tcW w:w="1200" w:type="dxa"/>
          </w:tcPr>
          <w:p>
            <w:pPr>
              <w:pStyle w:val="Normal"/>
              <w:spacing w:before="60" w:after="60"/>
              <w:jc w:val="left"/>
            </w:pPr>
            <w:r>
              <w:rPr>
                <w:color w:val="3D4F5F"/>
                <w:sz w:val="20"/>
                <w:rFonts w:ascii="Times New Roman" w:hAnsi="Times New Roman" w:eastAsia="Times New Roman" w:cs="Times New Roman"/>
                <w:szCs w:val="20"/>
              </w:rPr>
              <w:t>Days 15-44</w:t>
            </w:r>
          </w:p>
        </w:tc>
        <w:tc>
          <w:tcPr>
            <w:tcW w:w="2200" w:type="dxa"/>
          </w:tcPr>
          <w:p>
            <w:pPr>
              <w:pStyle w:val="Normal"/>
              <w:spacing w:before="60" w:after="60"/>
              <w:jc w:val="left"/>
            </w:pPr>
            <w:r>
              <w:rPr>
                <w:color w:val="3D4F5F"/>
                <w:sz w:val="20"/>
                <w:rFonts w:ascii="Times New Roman" w:hAnsi="Times New Roman" w:eastAsia="Times New Roman" w:cs="Times New Roman"/>
                <w:szCs w:val="20"/>
              </w:rPr>
              <w:t>Cooling-Off Period</w:t>
            </w:r>
          </w:p>
        </w:tc>
        <w:tc>
          <w:tcPr>
            <w:tcW w:w="6600" w:type="dxa"/>
          </w:tcPr>
          <w:p>
            <w:pPr>
              <w:pStyle w:val="Normal"/>
              <w:spacing w:before="60" w:after="60"/>
              <w:jc w:val="left"/>
            </w:pPr>
            <w:r>
              <w:rPr>
                <w:color w:val="3D4F5F"/>
                <w:sz w:val="20"/>
                <w:rFonts w:ascii="Times New Roman" w:hAnsi="Times New Roman" w:eastAsia="Times New Roman" w:cs="Times New Roman"/>
                <w:szCs w:val="20"/>
              </w:rPr>
              <w:t>Political issues deferred; technical implementation continues; service reimbursements flow; trust-building through data</w:t>
            </w:r>
          </w:p>
        </w:tc>
      </w:tr>
      <w:tr>
        <w:tc>
          <w:tcPr>
            <w:tcW w:w="1200" w:type="dxa"/>
          </w:tcPr>
          <w:p>
            <w:pPr>
              <w:pStyle w:val="Normal"/>
              <w:spacing w:before="60" w:after="60"/>
              <w:jc w:val="left"/>
            </w:pPr>
            <w:r>
              <w:rPr>
                <w:color w:val="3D4F5F"/>
                <w:sz w:val="20"/>
                <w:rFonts w:ascii="Times New Roman" w:hAnsi="Times New Roman" w:eastAsia="Times New Roman" w:cs="Times New Roman"/>
                <w:szCs w:val="20"/>
              </w:rPr>
              <w:t>Days 45-51</w:t>
            </w:r>
          </w:p>
        </w:tc>
        <w:tc>
          <w:tcPr>
            <w:tcW w:w="2200" w:type="dxa"/>
          </w:tcPr>
          <w:p>
            <w:pPr>
              <w:pStyle w:val="Normal"/>
              <w:spacing w:before="60" w:after="60"/>
              <w:jc w:val="left"/>
            </w:pPr>
            <w:r>
              <w:rPr>
                <w:color w:val="3D4F5F"/>
                <w:sz w:val="20"/>
                <w:rFonts w:ascii="Times New Roman" w:hAnsi="Times New Roman" w:eastAsia="Times New Roman" w:cs="Times New Roman"/>
                <w:szCs w:val="20"/>
              </w:rPr>
              <w:t>Decision Point</w:t>
            </w:r>
          </w:p>
        </w:tc>
        <w:tc>
          <w:tcPr>
            <w:tcW w:w="6600" w:type="dxa"/>
          </w:tcPr>
          <w:p>
            <w:pPr>
              <w:pStyle w:val="Normal"/>
              <w:spacing w:before="60" w:after="60"/>
              <w:jc w:val="left"/>
            </w:pPr>
            <w:r>
              <w:rPr>
                <w:color w:val="3D4F5F"/>
                <w:sz w:val="20"/>
                <w:rFonts w:ascii="Times New Roman" w:hAnsi="Times New Roman" w:eastAsia="Times New Roman" w:cs="Times New Roman"/>
                <w:szCs w:val="20"/>
              </w:rPr>
              <w:t>PCC convenes emergency session; Parties choose: final deal, extension, or fallback</w:t>
            </w:r>
          </w:p>
        </w:tc>
      </w:tr>
      <w:tr>
        <w:tc>
          <w:tcPr>
            <w:tcW w:w="1200" w:type="dxa"/>
          </w:tcPr>
          <w:p>
            <w:pPr>
              <w:pStyle w:val="Normal"/>
              <w:spacing w:before="60" w:after="60"/>
              <w:jc w:val="left"/>
            </w:pPr>
            <w:r>
              <w:rPr>
                <w:color w:val="3D4F5F"/>
                <w:sz w:val="20"/>
                <w:rFonts w:ascii="Times New Roman" w:hAnsi="Times New Roman" w:eastAsia="Times New Roman" w:cs="Times New Roman"/>
                <w:szCs w:val="20"/>
              </w:rPr>
              <w:t>Days 52-60</w:t>
            </w:r>
          </w:p>
        </w:tc>
        <w:tc>
          <w:tcPr>
            <w:tcW w:w="2200" w:type="dxa"/>
          </w:tcPr>
          <w:p>
            <w:pPr>
              <w:pStyle w:val="Normal"/>
              <w:spacing w:before="60" w:after="60"/>
              <w:jc w:val="left"/>
            </w:pPr>
            <w:r>
              <w:rPr>
                <w:color w:val="3D4F5F"/>
                <w:sz w:val="20"/>
                <w:rFonts w:ascii="Times New Roman" w:hAnsi="Times New Roman" w:eastAsia="Times New Roman" w:cs="Times New Roman"/>
                <w:szCs w:val="20"/>
              </w:rPr>
              <w:t>Implementation</w:t>
            </w:r>
          </w:p>
        </w:tc>
        <w:tc>
          <w:tcPr>
            <w:tcW w:w="6600" w:type="dxa"/>
          </w:tcPr>
          <w:p>
            <w:pPr>
              <w:pStyle w:val="Normal"/>
              <w:spacing w:before="60" w:after="60"/>
              <w:jc w:val="left"/>
            </w:pPr>
            <w:r>
              <w:rPr>
                <w:color w:val="3D4F5F"/>
                <w:sz w:val="20"/>
                <w:rFonts w:ascii="Times New Roman" w:hAnsi="Times New Roman" w:eastAsia="Times New Roman" w:cs="Times New Roman"/>
                <w:szCs w:val="20"/>
              </w:rPr>
              <w:t>Final deal signed OR Extended Phase I activated automatically</w:t>
            </w:r>
          </w:p>
        </w:tc>
      </w:tr>
    </w:tbl>
    <w:p>
      <w:pPr>
        <w:pStyle w:val="Normal"/>
        <w:spacing w:before="120" w:after="240" w:line="288" w:lineRule="auto"/>
        <w:ind w:left="720" w:right="720"/>
        <w:jc w:val="both"/>
      </w:pPr>
      <w:r>
        <w:rPr>
          <w:i/>
          <w:color w:val="3D4F5F"/>
          <w:sz w:val="21"/>
          <w:rFonts w:ascii="Times New Roman" w:hAnsi="Times New Roman" w:eastAsia="Times New Roman" w:cs="Times New Roman"/>
          <w:szCs w:val="21"/>
        </w:rPr>
        <w:t>The compressed cooling-off period trades extended deliberation time for deadline compliance. The 30-day window provides sufficient space for technical confidence-building while preserving 9 days for final deal implementation. The Decision Point ensures that neither Party is surprised by the outcome: both Parties see the timeline, both Parties know the deadlines, and both Parties choose their path forward from a position of verified data.</w:t>
      </w:r>
    </w:p>
    <w:p>
      <w:pPr>
        <w:pStyle w:val="Heading1"/>
      </w:pPr>
      <w:bookmarkStart w:name="_TocArt5" w:id="106"/>
      <w:r>
        <w:rPr>
          <w:rFonts w:ascii="Times New Roman" w:hAnsi="Times New Roman" w:eastAsia="Times New Roman" w:cs="Times New Roman"/>
          <w:b/>
          <w:color w:val="4A5D6E"/>
          <w:sz w:val="28"/>
          <w:szCs w:val="28"/>
        </w:rPr>
        <w:t>Article 5 - Service Reimbursement Pilot</w:t>
      </w:r>
      <w:bookmarkEnd w:id="106"/>
    </w:p>
    <w:p>
      <w:pPr>
        <w:pStyle w:val="Heading2"/>
      </w:pPr>
      <w:r>
        <w:rPr>
          <w:rFonts w:ascii="Times New Roman" w:hAnsi="Times New Roman" w:eastAsia="Times New Roman" w:cs="Times New Roman"/>
          <w:b/>
          <w:color w:val="1E2A36"/>
          <w:sz w:val="24"/>
          <w:szCs w:val="24"/>
        </w:rPr>
        <w:t>5.1 Voluntary Participation</w:t>
      </w:r>
    </w:p>
    <w:p>
      <w:pPr>
        <w:pStyle w:val="Normal"/>
        <w:spacing w:after="180" w:line="288" w:lineRule="auto"/>
        <w:jc w:val="both"/>
      </w:pPr>
      <w:r>
        <w:rPr>
          <w:rFonts w:ascii="Times New Roman" w:hAnsi="Times New Roman" w:eastAsia="Times New Roman" w:cs="Times New Roman"/>
          <w:color w:val="1E2A36"/>
          <w:sz w:val="22"/>
          <w:szCs w:val="22"/>
        </w:rPr>
        <w:t>The service reimbursement pilot activates automatically upon signature of this Annex. Under the pilot, Iran receives reimbursement for verified maritime services at pre-approved unit rates not exceeding regional market benchmarks. The pilot operates as a default feature of the framework architecture.</w:t>
      </w:r>
    </w:p>
    <w:p>
      <w:pPr>
        <w:pStyle w:val="Normal"/>
        <w:spacing w:after="180" w:line="288" w:lineRule="auto"/>
        <w:jc w:val="both"/>
      </w:pPr>
      <w:r>
        <w:rPr>
          <w:rFonts w:ascii="Times New Roman" w:hAnsi="Times New Roman" w:eastAsia="Times New Roman" w:cs="Times New Roman"/>
          <w:color w:val="1E2A36"/>
          <w:sz w:val="22"/>
          <w:szCs w:val="22"/>
        </w:rPr>
        <w:t>The pilot remains active unless Iran opts out through written notice to the JMC within 72 hours of signature. Opt-out constitutes an active rejection of the benefit and the JMC logs this rejection in the Shared Digital Registry. Iran re-enters the pilot at any time with 72 hours' written notice. Re-entry does not affect any reimbursement for services already verified.</w:t>
      </w:r>
    </w:p>
    <w:tbl>
      <w:tblPr>
        <w:tblW w:w="5000" w:type="pct"/>
        <w:tblBorders>
          <w:top w:val="single" w:color="4A5D6E" w:sz="12"/>
          <w:left w:val="nil"/>
          <w:bottom w:val="single" w:color="4A5D6E" w:sz="12"/>
          <w:right w:val="nil"/>
          <w:insideH w:val="single" w:color="c5cdd4" w:sz="4"/>
          <w:insideV w:val="nil"/>
        </w:tblBorders>
      </w:tblPr>
      <w:tblGrid>
        <w:gridCol w:w="3200"/>
        <w:gridCol w:w="3400"/>
        <w:gridCol w:w="3400"/>
      </w:tblGrid>
      <w:tr>
        <w:trPr>
          <w:tblHeader w:val="1"/>
        </w:trPr>
        <w:tc>
          <w:tcPr>
            <w:tcW w:w="32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Service</w:t>
            </w:r>
          </w:p>
        </w:tc>
        <w:tc>
          <w:tcPr>
            <w:tcW w:w="3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Reimbursement Basis</w:t>
            </w:r>
          </w:p>
        </w:tc>
        <w:tc>
          <w:tcPr>
            <w:tcW w:w="3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Verification Method</w:t>
            </w:r>
          </w:p>
        </w:tc>
      </w:tr>
      <w:tr>
        <w:tc>
          <w:tcPr>
            <w:tcW w:w="3200" w:type="dxa"/>
          </w:tcPr>
          <w:p>
            <w:pPr>
              <w:pStyle w:val="Normal"/>
              <w:spacing w:before="60" w:after="60"/>
              <w:jc w:val="left"/>
            </w:pPr>
            <w:r>
              <w:rPr>
                <w:color w:val="3D4F5F"/>
                <w:sz w:val="20"/>
                <w:rFonts w:ascii="Times New Roman" w:hAnsi="Times New Roman" w:eastAsia="Times New Roman" w:cs="Times New Roman"/>
                <w:szCs w:val="20"/>
              </w:rPr>
              <w:t>Daily strait monitoring and traffic reporting</w:t>
            </w:r>
          </w:p>
        </w:tc>
        <w:tc>
          <w:tcPr>
            <w:tcW w:w="3400" w:type="dxa"/>
          </w:tcPr>
          <w:p>
            <w:pPr>
              <w:pStyle w:val="Normal"/>
              <w:spacing w:before="60" w:after="60"/>
              <w:jc w:val="left"/>
            </w:pPr>
            <w:r>
              <w:rPr>
                <w:color w:val="3D4F5F"/>
                <w:sz w:val="20"/>
                <w:rFonts w:ascii="Times New Roman" w:hAnsi="Times New Roman" w:eastAsia="Times New Roman" w:cs="Times New Roman"/>
                <w:szCs w:val="20"/>
              </w:rPr>
              <w:t>Per-vessel rate set in the MMMF charter</w:t>
            </w:r>
          </w:p>
        </w:tc>
        <w:tc>
          <w:tcPr>
            <w:tcW w:w="3400" w:type="dxa"/>
          </w:tcPr>
          <w:p>
            <w:pPr>
              <w:pStyle w:val="Normal"/>
              <w:spacing w:before="60" w:after="60"/>
              <w:jc w:val="left"/>
            </w:pPr>
            <w:r>
              <w:rPr>
                <w:color w:val="3D4F5F"/>
                <w:sz w:val="20"/>
                <w:rFonts w:ascii="Times New Roman" w:hAnsi="Times New Roman" w:eastAsia="Times New Roman" w:cs="Times New Roman"/>
                <w:szCs w:val="20"/>
              </w:rPr>
              <w:t>JMC telemetry confirmation</w:t>
            </w:r>
          </w:p>
        </w:tc>
      </w:tr>
      <w:tr>
        <w:tc>
          <w:tcPr>
            <w:tcW w:w="3200" w:type="dxa"/>
          </w:tcPr>
          <w:p>
            <w:pPr>
              <w:pStyle w:val="Normal"/>
              <w:spacing w:before="60" w:after="60"/>
              <w:jc w:val="left"/>
            </w:pPr>
            <w:r>
              <w:rPr>
                <w:color w:val="3D4F5F"/>
                <w:sz w:val="20"/>
                <w:rFonts w:ascii="Times New Roman" w:hAnsi="Times New Roman" w:eastAsia="Times New Roman" w:cs="Times New Roman"/>
                <w:szCs w:val="20"/>
              </w:rPr>
              <w:t>Mine-sweeping operations</w:t>
            </w:r>
          </w:p>
        </w:tc>
        <w:tc>
          <w:tcPr>
            <w:tcW w:w="3400" w:type="dxa"/>
          </w:tcPr>
          <w:p>
            <w:pPr>
              <w:pStyle w:val="Normal"/>
              <w:spacing w:before="60" w:after="60"/>
              <w:jc w:val="left"/>
            </w:pPr>
            <w:r>
              <w:rPr>
                <w:color w:val="3D4F5F"/>
                <w:sz w:val="20"/>
                <w:rFonts w:ascii="Times New Roman" w:hAnsi="Times New Roman" w:eastAsia="Times New Roman" w:cs="Times New Roman"/>
                <w:szCs w:val="20"/>
              </w:rPr>
              <w:t>Per linear kilometer cleared</w:t>
            </w:r>
          </w:p>
        </w:tc>
        <w:tc>
          <w:tcPr>
            <w:tcW w:w="3400" w:type="dxa"/>
          </w:tcPr>
          <w:p>
            <w:pPr>
              <w:pStyle w:val="Normal"/>
              <w:spacing w:before="60" w:after="60"/>
              <w:jc w:val="left"/>
            </w:pPr>
            <w:r>
              <w:rPr>
                <w:color w:val="3D4F5F"/>
                <w:sz w:val="20"/>
                <w:rFonts w:ascii="Times New Roman" w:hAnsi="Times New Roman" w:eastAsia="Times New Roman" w:cs="Times New Roman"/>
                <w:szCs w:val="20"/>
              </w:rPr>
              <w:t>JMC telemetry + IAEA/observer confirmation</w:t>
            </w:r>
          </w:p>
        </w:tc>
      </w:tr>
      <w:tr>
        <w:tc>
          <w:tcPr>
            <w:tcW w:w="3200" w:type="dxa"/>
          </w:tcPr>
          <w:p>
            <w:pPr>
              <w:pStyle w:val="Normal"/>
              <w:spacing w:before="60" w:after="60"/>
              <w:jc w:val="left"/>
            </w:pPr>
            <w:r>
              <w:rPr>
                <w:color w:val="3D4F5F"/>
                <w:sz w:val="20"/>
                <w:rFonts w:ascii="Times New Roman" w:hAnsi="Times New Roman" w:eastAsia="Times New Roman" w:cs="Times New Roman"/>
                <w:szCs w:val="20"/>
              </w:rPr>
              <w:t>Environmental and oil-spill response</w:t>
            </w:r>
          </w:p>
        </w:tc>
        <w:tc>
          <w:tcPr>
            <w:tcW w:w="3400" w:type="dxa"/>
          </w:tcPr>
          <w:p>
            <w:pPr>
              <w:pStyle w:val="Normal"/>
              <w:spacing w:before="60" w:after="60"/>
              <w:jc w:val="left"/>
            </w:pPr>
            <w:r>
              <w:rPr>
                <w:color w:val="3D4F5F"/>
                <w:sz w:val="20"/>
                <w:rFonts w:ascii="Times New Roman" w:hAnsi="Times New Roman" w:eastAsia="Times New Roman" w:cs="Times New Roman"/>
                <w:szCs w:val="20"/>
              </w:rPr>
              <w:t>Per incident, at audited cost</w:t>
            </w:r>
          </w:p>
        </w:tc>
        <w:tc>
          <w:tcPr>
            <w:tcW w:w="3400" w:type="dxa"/>
          </w:tcPr>
          <w:p>
            <w:pPr>
              <w:pStyle w:val="Normal"/>
              <w:spacing w:before="60" w:after="60"/>
              <w:jc w:val="left"/>
            </w:pPr>
            <w:r>
              <w:rPr>
                <w:color w:val="3D4F5F"/>
                <w:sz w:val="20"/>
                <w:rFonts w:ascii="Times New Roman" w:hAnsi="Times New Roman" w:eastAsia="Times New Roman" w:cs="Times New Roman"/>
                <w:szCs w:val="20"/>
              </w:rPr>
              <w:t>JMC + environmental sensor data</w:t>
            </w:r>
          </w:p>
        </w:tc>
      </w:tr>
      <w:tr>
        <w:tc>
          <w:tcPr>
            <w:tcW w:w="3200" w:type="dxa"/>
          </w:tcPr>
          <w:p>
            <w:pPr>
              <w:pStyle w:val="Normal"/>
              <w:spacing w:before="60" w:after="60"/>
              <w:jc w:val="left"/>
            </w:pPr>
            <w:r>
              <w:rPr>
                <w:color w:val="3D4F5F"/>
                <w:sz w:val="20"/>
                <w:rFonts w:ascii="Times New Roman" w:hAnsi="Times New Roman" w:eastAsia="Times New Roman" w:cs="Times New Roman"/>
                <w:szCs w:val="20"/>
              </w:rPr>
              <w:t>Search-and-rescue coordination</w:t>
            </w:r>
          </w:p>
        </w:tc>
        <w:tc>
          <w:tcPr>
            <w:tcW w:w="3400" w:type="dxa"/>
          </w:tcPr>
          <w:p>
            <w:pPr>
              <w:pStyle w:val="Normal"/>
              <w:spacing w:before="60" w:after="60"/>
              <w:jc w:val="left"/>
            </w:pPr>
            <w:r>
              <w:rPr>
                <w:color w:val="3D4F5F"/>
                <w:sz w:val="20"/>
                <w:rFonts w:ascii="Times New Roman" w:hAnsi="Times New Roman" w:eastAsia="Times New Roman" w:cs="Times New Roman"/>
                <w:szCs w:val="20"/>
              </w:rPr>
              <w:t>Monthly retainer</w:t>
            </w:r>
          </w:p>
        </w:tc>
        <w:tc>
          <w:tcPr>
            <w:tcW w:w="3400" w:type="dxa"/>
          </w:tcPr>
          <w:p>
            <w:pPr>
              <w:pStyle w:val="Normal"/>
              <w:spacing w:before="60" w:after="60"/>
              <w:jc w:val="left"/>
            </w:pPr>
            <w:r>
              <w:rPr>
                <w:color w:val="3D4F5F"/>
                <w:sz w:val="20"/>
                <w:rFonts w:ascii="Times New Roman" w:hAnsi="Times New Roman" w:eastAsia="Times New Roman" w:cs="Times New Roman"/>
                <w:szCs w:val="20"/>
              </w:rPr>
              <w:t>JMC log of incidents</w:t>
            </w:r>
          </w:p>
        </w:tc>
      </w:tr>
    </w:tbl>
    <w:p>
      <w:pPr>
        <w:pStyle w:val="Heading2"/>
      </w:pPr>
      <w:r>
        <w:rPr>
          <w:rFonts w:ascii="Times New Roman" w:hAnsi="Times New Roman" w:eastAsia="Times New Roman" w:cs="Times New Roman"/>
          <w:b/>
          <w:color w:val="1E2A36"/>
          <w:sz w:val="24"/>
          <w:szCs w:val="24"/>
        </w:rPr>
        <w:t>5.2 Verification and Payment</w:t>
      </w:r>
    </w:p>
    <w:p>
      <w:pPr>
        <w:pStyle w:val="Normal"/>
        <w:spacing w:after="180" w:line="288" w:lineRule="auto"/>
        <w:jc w:val="both"/>
      </w:pPr>
      <w:r>
        <w:rPr>
          <w:rFonts w:ascii="Times New Roman" w:hAnsi="Times New Roman" w:eastAsia="Times New Roman" w:cs="Times New Roman"/>
          <w:color w:val="1E2A36"/>
          <w:sz w:val="22"/>
          <w:szCs w:val="22"/>
        </w:rPr>
        <w:t>Reimbursement payments are made from the Multilateral Maritime Maintenance Fund (MMMF) to Iran upon JMC verification of service completion. The Facilitator Troika administers payments through the Swiss principal and logs them in the Shared Digital Registry.</w:t>
      </w:r>
    </w:p>
    <w:p>
      <w:pPr>
        <w:pStyle w:val="Normal"/>
        <w:spacing w:after="180" w:line="288" w:lineRule="auto"/>
        <w:jc w:val="both"/>
      </w:pPr>
      <w:r>
        <w:rPr>
          <w:rFonts w:ascii="Times New Roman" w:hAnsi="Times New Roman" w:eastAsia="Times New Roman" w:cs="Times New Roman"/>
          <w:color w:val="1E2A36"/>
          <w:sz w:val="22"/>
          <w:szCs w:val="22"/>
        </w:rPr>
        <w:t>The payment cycle operates as follows: Iran submits a service completion report to the JMC within 24 hours of service delivery. The JMC verifies the report through telemetry confirmation within 72 hours. Upon verification, the Facilitator Troika releases payment within 48 hours through the Swiss principal. The Shared Digital Registry logs all transactions with cryptographic timestamping.</w:t>
      </w:r>
    </w:p>
    <w:p>
      <w:pPr>
        <w:pStyle w:val="Normal"/>
        <w:spacing w:after="180" w:line="288" w:lineRule="auto"/>
        <w:jc w:val="both"/>
      </w:pPr>
      <w:r>
        <w:rPr>
          <w:rFonts w:ascii="Times New Roman" w:hAnsi="Times New Roman" w:eastAsia="Times New Roman" w:cs="Times New Roman"/>
          <w:color w:val="1E2A36"/>
          <w:sz w:val="22"/>
          <w:szCs w:val="22"/>
        </w:rPr>
        <w:t>Disputes over service verification follow the Technical Working Group corroboration procedure in Annex A, Section 4.2. Either Party requests a Technical Review Panel assessment within 7 days of a disputed verification. The Panel issues a binding determination within 14 days.</w:t>
      </w:r>
    </w:p>
    <w:p>
      <w:pPr>
        <w:pStyle w:val="Heading2"/>
      </w:pPr>
      <w:r>
        <w:rPr>
          <w:rFonts w:ascii="Times New Roman" w:hAnsi="Times New Roman" w:eastAsia="Times New Roman" w:cs="Times New Roman"/>
          <w:b/>
          <w:color w:val="1E2A36"/>
          <w:sz w:val="24"/>
          <w:szCs w:val="24"/>
        </w:rPr>
        <w:t>5.3 No Precedent</w:t>
      </w:r>
    </w:p>
    <w:p>
      <w:pPr>
        <w:pStyle w:val="Normal"/>
        <w:spacing w:after="180" w:line="288" w:lineRule="auto"/>
        <w:jc w:val="both"/>
      </w:pPr>
      <w:r>
        <w:rPr>
          <w:rFonts w:ascii="Times New Roman" w:hAnsi="Times New Roman" w:eastAsia="Times New Roman" w:cs="Times New Roman"/>
          <w:color w:val="1E2A36"/>
          <w:sz w:val="22"/>
          <w:szCs w:val="22"/>
        </w:rPr>
        <w:t>Participation in the service reimbursement pilot does not constitute recognition of Iran's right to charge tolls, fees, or transit levies. The pilot is a voluntary, time-limited arrangement that creates no precedent for permanent arrangements.</w:t>
      </w:r>
    </w:p>
    <w:p>
      <w:pPr>
        <w:pStyle w:val="Normal"/>
        <w:spacing w:after="180" w:line="288" w:lineRule="auto"/>
        <w:jc w:val="both"/>
      </w:pPr>
      <w:r>
        <w:rPr>
          <w:rFonts w:ascii="Times New Roman" w:hAnsi="Times New Roman" w:eastAsia="Times New Roman" w:cs="Times New Roman"/>
          <w:color w:val="1E2A36"/>
          <w:sz w:val="22"/>
          <w:szCs w:val="22"/>
        </w:rPr>
        <w:t>The framework architecture records the following non-precedent safeguards in the Shared Digital Registry for every reimbursement payment: a statement that the payment constitutes service reimbursement, not tolls or transit fees; a statement that the payment creates no precedent; a statement that Iran's participation does not concede any political position; and a statement that the United States' payment does not recognize any Iranian claim.</w:t>
      </w:r>
    </w:p>
    <w:p>
      <w:pPr>
        <w:pStyle w:val="Normal"/>
        <w:spacing w:before="120" w:after="240" w:line="288" w:lineRule="auto"/>
        <w:ind w:left="720" w:right="720"/>
        <w:jc w:val="both"/>
      </w:pPr>
      <w:r>
        <w:rPr>
          <w:i/>
          <w:color w:val="3D4F5F"/>
          <w:sz w:val="21"/>
          <w:rFonts w:ascii="Times New Roman" w:hAnsi="Times New Roman" w:eastAsia="Times New Roman" w:cs="Times New Roman"/>
          <w:szCs w:val="21"/>
        </w:rPr>
        <w:t>The service reimbursement pilot gives Iran an immediate, tangible benefit for cooperation -- payment for services rendered -- without conceding the political question of tolls. The United States receives verification that services are actually being performed. Both sides get a working relationship on the water.</w:t>
      </w:r>
    </w:p>
    <w:p>
      <w:pPr>
        <w:pStyle w:val="Heading2"/>
      </w:pPr>
      <w:r>
        <w:rPr>
          <w:rFonts w:ascii="Times New Roman" w:hAnsi="Times New Roman" w:eastAsia="Times New Roman" w:cs="Times New Roman"/>
          <w:b/>
          <w:color w:val="1E2A36"/>
          <w:sz w:val="20"/>
          <w:szCs w:val="24"/>
        </w:rPr>
        <w:t>5.4 Quarterly Rate True-Up</w:t>
      </w:r>
    </w:p>
    <w:p>
      <w:pPr>
        <w:pStyle w:val="Normal"/>
        <w:spacing w:after="180" w:line="288" w:lineRule="auto"/>
        <w:jc w:val="both"/>
      </w:pPr>
      <w:r>
        <w:rPr>
          <w:rFonts w:ascii="Times New Roman" w:hAnsi="Times New Roman" w:eastAsia="Times New Roman" w:cs="Times New Roman"/>
          <w:color w:val="3D4F5F"/>
          <w:sz w:val="20"/>
          <w:szCs w:val="22"/>
        </w:rPr>
        <w:t>The framework architecture includes a quarterly true-up mechanism for all reimbursement rates. Either Party requests an automatic rate adjustment when regional market benchmarks shift by more than ten percent from the rate in effect at signature. The Facilitator Troika verifies the benchmark shift through independent market data and adjusts the rate within fourteen days of the request. The Shared Digital Registry logs all rate adjustments with supporting market data.</w:t>
      </w:r>
    </w:p>
    <w:p>
      <w:pPr>
        <w:pStyle w:val="Heading2"/>
      </w:pPr>
      <w:r>
        <w:rPr>
          <w:rFonts w:ascii="Times New Roman" w:hAnsi="Times New Roman" w:eastAsia="Times New Roman" w:cs="Times New Roman"/>
          <w:b/>
          <w:color w:val="1E2A36"/>
          <w:sz w:val="20"/>
          <w:szCs w:val="24"/>
        </w:rPr>
        <w:t>5.5 Pilot Off-Ramp</w:t>
      </w:r>
    </w:p>
    <w:p>
      <w:pPr>
        <w:pStyle w:val="Normal"/>
        <w:spacing w:after="180" w:line="288" w:lineRule="auto"/>
        <w:jc w:val="both"/>
      </w:pPr>
      <w:r>
        <w:rPr>
          <w:rFonts w:ascii="Times New Roman" w:hAnsi="Times New Roman" w:eastAsia="Times New Roman" w:cs="Times New Roman"/>
          <w:color w:val="3D4F5F"/>
          <w:sz w:val="20"/>
          <w:szCs w:val="22"/>
        </w:rPr>
        <w:t>The service reimbursement pilot includes the following automatic off-ramps:</w:t>
      </w:r>
    </w:p>
    <w:p>
      <w:pPr>
        <w:pStyle w:val="Normal"/>
        <w:numPr>
          <w:ilvl w:val="0"/>
          <w:numId w:val="1"/>
        </w:numPr>
        <w:spacing w:after="120" w:line="276" w:lineRule="auto"/>
        <w:jc w:val="both"/>
      </w:pPr>
      <w:r>
        <w:rPr>
          <w:rFonts w:ascii="Times New Roman" w:hAnsi="Times New Roman" w:eastAsia="Times New Roman" w:cs="Times New Roman"/>
          <w:color w:val="3D4F5F"/>
          <w:sz w:val="20"/>
          <w:szCs w:val="22"/>
        </w:rPr>
        <w:t>Thirty days after signature of a Final Deal, the pilot yields to the permanent framework.</w:t>
      </w:r>
    </w:p>
    <w:p>
      <w:pPr>
        <w:pStyle w:val="Normal"/>
        <w:numPr>
          <w:ilvl w:val="0"/>
          <w:numId w:val="1"/>
        </w:numPr>
        <w:spacing w:after="120" w:line="276" w:lineRule="auto"/>
        <w:jc w:val="both"/>
      </w:pPr>
      <w:r>
        <w:rPr>
          <w:rFonts w:ascii="Times New Roman" w:hAnsi="Times New Roman" w:eastAsia="Times New Roman" w:cs="Times New Roman"/>
          <w:color w:val="3D4F5F"/>
          <w:sz w:val="20"/>
          <w:szCs w:val="22"/>
        </w:rPr>
        <w:t>Three hundred sixty-five days after entry into Extended Phase I, the pilot concludes automatically and requires a new negotiation for continuation.</w:t>
      </w:r>
    </w:p>
    <w:p>
      <w:pPr>
        <w:pStyle w:val="Normal"/>
        <w:numPr>
          <w:ilvl w:val="0"/>
          <w:numId w:val="1"/>
        </w:numPr>
        <w:spacing w:after="120" w:line="276" w:lineRule="auto"/>
        <w:jc w:val="both"/>
      </w:pPr>
      <w:r>
        <w:rPr>
          <w:rFonts w:ascii="Times New Roman" w:hAnsi="Times New Roman" w:eastAsia="Times New Roman" w:cs="Times New Roman"/>
          <w:color w:val="3D4F5F"/>
          <w:sz w:val="20"/>
          <w:szCs w:val="22"/>
        </w:rPr>
        <w:t>Either Party exits the pilot at any time with seventy-two hours' written notice, per Article 5.1.</w:t>
      </w:r>
    </w:p>
    <w:p>
      <w:pPr>
        <w:pStyle w:val="Normal"/>
        <w:spacing w:after="180" w:line="288" w:lineRule="auto"/>
        <w:jc w:val="both"/>
      </w:pPr>
      <w:r>
        <w:rPr>
          <w:rFonts w:ascii="Times New Roman" w:hAnsi="Times New Roman" w:eastAsia="Times New Roman" w:cs="Times New Roman"/>
          <w:color w:val="3D4F5F"/>
          <w:sz w:val="20"/>
          <w:szCs w:val="22"/>
        </w:rPr>
        <w:t>The framework architecture treats pilot conclusion under any of these conditions as a technical transition, not a political crisis. All verified services receive reimbursement regardless of which off-ramp applies.</w:t>
      </w:r>
    </w:p>
    <w:p>
      <w:pPr>
        <w:pStyle w:val="Heading1"/>
      </w:pPr>
      <w:bookmarkStart w:name="_TocArt6" w:id="107"/>
      <w:r>
        <w:rPr>
          <w:rFonts w:ascii="Times New Roman" w:hAnsi="Times New Roman" w:eastAsia="Times New Roman" w:cs="Times New Roman"/>
          <w:b/>
          <w:color w:val="4A5D6E"/>
          <w:sz w:val="28"/>
          <w:szCs w:val="28"/>
        </w:rPr>
        <w:t>Article 6 - Testing and Confidence-Building</w:t>
      </w:r>
      <w:bookmarkEnd w:id="107"/>
    </w:p>
    <w:p>
      <w:pPr>
        <w:pStyle w:val="Heading2"/>
      </w:pPr>
      <w:r>
        <w:rPr>
          <w:rFonts w:ascii="Times New Roman" w:hAnsi="Times New Roman" w:eastAsia="Times New Roman" w:cs="Times New Roman"/>
          <w:b/>
          <w:color w:val="1E2A36"/>
          <w:sz w:val="24"/>
          <w:szCs w:val="24"/>
        </w:rPr>
        <w:t>6.1 14-Day Testing Phase</w:t>
      </w:r>
    </w:p>
    <w:p>
      <w:pPr>
        <w:pStyle w:val="Normal"/>
        <w:spacing w:after="180" w:line="288" w:lineRule="auto"/>
        <w:jc w:val="both"/>
      </w:pPr>
      <w:r>
        <w:rPr>
          <w:rFonts w:ascii="Times New Roman" w:hAnsi="Times New Roman" w:eastAsia="Times New Roman" w:cs="Times New Roman"/>
          <w:color w:val="1E2A36"/>
          <w:sz w:val="22"/>
          <w:szCs w:val="22"/>
        </w:rPr>
        <w:t>The initial 14 days following signature constitute a Testing Phase during which the Parties test the monitoring systems, verify data collection and sharing, and build confidence in the technical frameworks.</w:t>
      </w:r>
    </w:p>
    <w:p>
      <w:pPr>
        <w:pStyle w:val="Normal"/>
        <w:spacing w:after="180" w:line="288" w:lineRule="auto"/>
        <w:jc w:val="both"/>
      </w:pPr>
      <w:r>
        <w:rPr>
          <w:rFonts w:ascii="Times New Roman" w:hAnsi="Times New Roman" w:eastAsia="Times New Roman" w:cs="Times New Roman"/>
          <w:color w:val="1E2A36"/>
          <w:sz w:val="22"/>
          <w:szCs w:val="22"/>
        </w:rPr>
        <w:t>The Testing Phase proceeds according to the following schedule:</w:t>
      </w:r>
    </w:p>
    <w:tbl>
      <w:tblPr>
        <w:tblW w:w="5000" w:type="pct"/>
        <w:tblBorders>
          <w:top w:val="single" w:color="4A5D6E" w:sz="12"/>
          <w:left w:val="nil"/>
          <w:bottom w:val="single" w:color="4A5D6E" w:sz="12"/>
          <w:right w:val="nil"/>
          <w:insideH w:val="single" w:color="c5cdd4" w:sz="4"/>
          <w:insideV w:val="nil"/>
        </w:tblBorders>
      </w:tblPr>
      <w:tblGrid>
        <w:gridCol w:w="1600"/>
        <w:gridCol w:w="4400"/>
        <w:gridCol w:w="4000"/>
      </w:tblGrid>
      <w:tr>
        <w:trPr>
          <w:tblHeader w:val="1"/>
        </w:trPr>
        <w:tc>
          <w:tcPr>
            <w:tcW w:w="1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Day</w:t>
            </w:r>
          </w:p>
        </w:tc>
        <w:tc>
          <w:tcPr>
            <w:tcW w:w="4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Activity</w:t>
            </w:r>
          </w:p>
        </w:tc>
        <w:tc>
          <w:tcPr>
            <w:tcW w:w="40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Verification</w:t>
            </w:r>
          </w:p>
        </w:tc>
      </w:tr>
      <w:tr>
        <w:tc>
          <w:tcPr>
            <w:tcW w:w="1600" w:type="dxa"/>
          </w:tcPr>
          <w:p>
            <w:pPr>
              <w:pStyle w:val="Normal"/>
              <w:spacing w:before="60" w:after="60"/>
              <w:jc w:val="left"/>
            </w:pPr>
            <w:r>
              <w:rPr>
                <w:color w:val="3D4F5F"/>
                <w:sz w:val="20"/>
                <w:rFonts w:ascii="Times New Roman" w:hAnsi="Times New Roman" w:eastAsia="Times New Roman" w:cs="Times New Roman"/>
                <w:szCs w:val="20"/>
              </w:rPr>
              <w:t>Day 1</w:t>
            </w:r>
          </w:p>
        </w:tc>
        <w:tc>
          <w:tcPr>
            <w:tcW w:w="4400" w:type="dxa"/>
          </w:tcPr>
          <w:p>
            <w:pPr>
              <w:pStyle w:val="Normal"/>
              <w:spacing w:before="60" w:after="60"/>
              <w:jc w:val="left"/>
            </w:pPr>
            <w:r>
              <w:rPr>
                <w:color w:val="3D4F5F"/>
                <w:sz w:val="20"/>
                <w:rFonts w:ascii="Times New Roman" w:hAnsi="Times New Roman" w:eastAsia="Times New Roman" w:cs="Times New Roman"/>
                <w:szCs w:val="20"/>
              </w:rPr>
              <w:t>Systems activation; JMC convenes; data feeds confirmed</w:t>
            </w:r>
          </w:p>
        </w:tc>
        <w:tc>
          <w:tcPr>
            <w:tcW w:w="4000" w:type="dxa"/>
          </w:tcPr>
          <w:p>
            <w:pPr>
              <w:pStyle w:val="Normal"/>
              <w:spacing w:before="60" w:after="60"/>
              <w:jc w:val="left"/>
            </w:pPr>
            <w:r>
              <w:rPr>
                <w:color w:val="3D4F5F"/>
                <w:sz w:val="20"/>
                <w:rFonts w:ascii="Times New Roman" w:hAnsi="Times New Roman" w:eastAsia="Times New Roman" w:cs="Times New Roman"/>
                <w:szCs w:val="20"/>
              </w:rPr>
              <w:t>JMC logs all activations; PCC notified within 24 hours</w:t>
            </w:r>
          </w:p>
        </w:tc>
      </w:tr>
      <w:tr>
        <w:tc>
          <w:tcPr>
            <w:tcW w:w="1600" w:type="dxa"/>
          </w:tcPr>
          <w:p>
            <w:pPr>
              <w:pStyle w:val="Normal"/>
              <w:spacing w:before="60" w:after="60"/>
              <w:jc w:val="left"/>
            </w:pPr>
            <w:r>
              <w:rPr>
                <w:color w:val="3D4F5F"/>
                <w:sz w:val="20"/>
                <w:rFonts w:ascii="Times New Roman" w:hAnsi="Times New Roman" w:eastAsia="Times New Roman" w:cs="Times New Roman"/>
                <w:szCs w:val="20"/>
              </w:rPr>
              <w:t>Days 2-3</w:t>
            </w:r>
          </w:p>
        </w:tc>
        <w:tc>
          <w:tcPr>
            <w:tcW w:w="4400" w:type="dxa"/>
          </w:tcPr>
          <w:p>
            <w:pPr>
              <w:pStyle w:val="Normal"/>
              <w:spacing w:before="60" w:after="60"/>
              <w:jc w:val="left"/>
            </w:pPr>
            <w:r>
              <w:rPr>
                <w:color w:val="3D4F5F"/>
                <w:sz w:val="20"/>
                <w:rFonts w:ascii="Times New Roman" w:hAnsi="Times New Roman" w:eastAsia="Times New Roman" w:cs="Times New Roman"/>
                <w:szCs w:val="20"/>
              </w:rPr>
              <w:t>Calibration and testing; anomaly detection verified</w:t>
            </w:r>
          </w:p>
        </w:tc>
        <w:tc>
          <w:tcPr>
            <w:tcW w:w="4000" w:type="dxa"/>
          </w:tcPr>
          <w:p>
            <w:pPr>
              <w:pStyle w:val="Normal"/>
              <w:spacing w:before="60" w:after="60"/>
              <w:jc w:val="left"/>
            </w:pPr>
            <w:r>
              <w:rPr>
                <w:color w:val="3D4F5F"/>
                <w:sz w:val="20"/>
                <w:rFonts w:ascii="Times New Roman" w:hAnsi="Times New Roman" w:eastAsia="Times New Roman" w:cs="Times New Roman"/>
                <w:szCs w:val="20"/>
              </w:rPr>
              <w:t>JMC issues preliminary calibration reports</w:t>
            </w:r>
          </w:p>
        </w:tc>
      </w:tr>
      <w:tr>
        <w:tc>
          <w:tcPr>
            <w:tcW w:w="1600" w:type="dxa"/>
          </w:tcPr>
          <w:p>
            <w:pPr>
              <w:pStyle w:val="Normal"/>
              <w:spacing w:before="60" w:after="60"/>
              <w:jc w:val="left"/>
            </w:pPr>
            <w:r>
              <w:rPr>
                <w:color w:val="3D4F5F"/>
                <w:sz w:val="20"/>
                <w:rFonts w:ascii="Times New Roman" w:hAnsi="Times New Roman" w:eastAsia="Times New Roman" w:cs="Times New Roman"/>
                <w:szCs w:val="20"/>
              </w:rPr>
              <w:t>Days 4-10</w:t>
            </w:r>
          </w:p>
        </w:tc>
        <w:tc>
          <w:tcPr>
            <w:tcW w:w="4400" w:type="dxa"/>
          </w:tcPr>
          <w:p>
            <w:pPr>
              <w:pStyle w:val="Normal"/>
              <w:spacing w:before="60" w:after="60"/>
              <w:jc w:val="left"/>
            </w:pPr>
            <w:r>
              <w:rPr>
                <w:color w:val="3D4F5F"/>
                <w:sz w:val="20"/>
                <w:rFonts w:ascii="Times New Roman" w:hAnsi="Times New Roman" w:eastAsia="Times New Roman" w:cs="Times New Roman"/>
                <w:szCs w:val="20"/>
              </w:rPr>
              <w:t>Continuous monitoring; first qualifying transits logged</w:t>
            </w:r>
          </w:p>
        </w:tc>
        <w:tc>
          <w:tcPr>
            <w:tcW w:w="4000" w:type="dxa"/>
          </w:tcPr>
          <w:p>
            <w:pPr>
              <w:pStyle w:val="Normal"/>
              <w:spacing w:before="60" w:after="60"/>
              <w:jc w:val="left"/>
            </w:pPr>
            <w:r>
              <w:rPr>
                <w:color w:val="3D4F5F"/>
                <w:sz w:val="20"/>
                <w:rFonts w:ascii="Times New Roman" w:hAnsi="Times New Roman" w:eastAsia="Times New Roman" w:cs="Times New Roman"/>
                <w:szCs w:val="20"/>
              </w:rPr>
              <w:t>Shared Digital Registry logs all transits; TWG reviews metrics</w:t>
            </w:r>
          </w:p>
        </w:tc>
      </w:tr>
      <w:tr>
        <w:tc>
          <w:tcPr>
            <w:tcW w:w="1600" w:type="dxa"/>
          </w:tcPr>
          <w:p>
            <w:pPr>
              <w:pStyle w:val="Normal"/>
              <w:spacing w:before="60" w:after="60"/>
              <w:jc w:val="left"/>
            </w:pPr>
            <w:r>
              <w:rPr>
                <w:color w:val="3D4F5F"/>
                <w:sz w:val="20"/>
                <w:rFonts w:ascii="Times New Roman" w:hAnsi="Times New Roman" w:eastAsia="Times New Roman" w:cs="Times New Roman"/>
                <w:szCs w:val="20"/>
              </w:rPr>
              <w:t>Days 11-13</w:t>
            </w:r>
          </w:p>
        </w:tc>
        <w:tc>
          <w:tcPr>
            <w:tcW w:w="4400" w:type="dxa"/>
          </w:tcPr>
          <w:p>
            <w:pPr>
              <w:pStyle w:val="Normal"/>
              <w:spacing w:before="60" w:after="60"/>
              <w:jc w:val="left"/>
            </w:pPr>
            <w:r>
              <w:rPr>
                <w:color w:val="3D4F5F"/>
                <w:sz w:val="20"/>
                <w:rFonts w:ascii="Times New Roman" w:hAnsi="Times New Roman" w:eastAsia="Times New Roman" w:cs="Times New Roman"/>
                <w:szCs w:val="20"/>
              </w:rPr>
              <w:t>Data review; discrepancy resolution; verification packages produced</w:t>
            </w:r>
          </w:p>
        </w:tc>
        <w:tc>
          <w:tcPr>
            <w:tcW w:w="4000" w:type="dxa"/>
          </w:tcPr>
          <w:p>
            <w:pPr>
              <w:pStyle w:val="Normal"/>
              <w:spacing w:before="60" w:after="60"/>
              <w:jc w:val="left"/>
            </w:pPr>
            <w:r>
              <w:rPr>
                <w:color w:val="3D4F5F"/>
                <w:sz w:val="20"/>
                <w:rFonts w:ascii="Times New Roman" w:hAnsi="Times New Roman" w:eastAsia="Times New Roman" w:cs="Times New Roman"/>
                <w:szCs w:val="20"/>
              </w:rPr>
              <w:t>TWG issues verification packages to PCC</w:t>
            </w:r>
          </w:p>
        </w:tc>
      </w:tr>
      <w:tr>
        <w:tc>
          <w:tcPr>
            <w:tcW w:w="1600" w:type="dxa"/>
          </w:tcPr>
          <w:p>
            <w:pPr>
              <w:pStyle w:val="Normal"/>
              <w:spacing w:before="60" w:after="60"/>
              <w:jc w:val="left"/>
            </w:pPr>
            <w:r>
              <w:rPr>
                <w:color w:val="3D4F5F"/>
                <w:sz w:val="20"/>
                <w:rFonts w:ascii="Times New Roman" w:hAnsi="Times New Roman" w:eastAsia="Times New Roman" w:cs="Times New Roman"/>
                <w:szCs w:val="20"/>
              </w:rPr>
              <w:t>Day 14</w:t>
            </w:r>
          </w:p>
        </w:tc>
        <w:tc>
          <w:tcPr>
            <w:tcW w:w="4400" w:type="dxa"/>
          </w:tcPr>
          <w:p>
            <w:pPr>
              <w:pStyle w:val="Normal"/>
              <w:spacing w:before="60" w:after="60"/>
              <w:jc w:val="left"/>
            </w:pPr>
            <w:r>
              <w:rPr>
                <w:color w:val="3D4F5F"/>
                <w:sz w:val="20"/>
                <w:rFonts w:ascii="Times New Roman" w:hAnsi="Times New Roman" w:eastAsia="Times New Roman" w:cs="Times New Roman"/>
                <w:szCs w:val="20"/>
              </w:rPr>
              <w:t>Testing Phase Report issued to PCC and both Parties</w:t>
            </w:r>
          </w:p>
        </w:tc>
        <w:tc>
          <w:tcPr>
            <w:tcW w:w="4000" w:type="dxa"/>
          </w:tcPr>
          <w:p>
            <w:pPr>
              <w:pStyle w:val="Normal"/>
              <w:spacing w:before="60" w:after="60"/>
              <w:jc w:val="left"/>
            </w:pPr>
            <w:r>
              <w:rPr>
                <w:color w:val="3D4F5F"/>
                <w:sz w:val="20"/>
                <w:rFonts w:ascii="Times New Roman" w:hAnsi="Times New Roman" w:eastAsia="Times New Roman" w:cs="Times New Roman"/>
                <w:szCs w:val="20"/>
              </w:rPr>
              <w:t>PCC acknowledges report within 24 hours</w:t>
            </w:r>
          </w:p>
        </w:tc>
      </w:tr>
    </w:tbl>
    <w:p>
      <w:pPr>
        <w:pStyle w:val="Heading2"/>
      </w:pPr>
      <w:r>
        <w:rPr>
          <w:rFonts w:ascii="Times New Roman" w:hAnsi="Times New Roman" w:eastAsia="Times New Roman" w:cs="Times New Roman"/>
          <w:b/>
          <w:color w:val="1E2A36"/>
          <w:sz w:val="24"/>
          <w:szCs w:val="24"/>
        </w:rPr>
        <w:t>6.2 Performance Benchmarks</w:t>
      </w:r>
    </w:p>
    <w:p>
      <w:pPr>
        <w:pStyle w:val="Normal"/>
        <w:spacing w:after="180" w:line="288" w:lineRule="auto"/>
        <w:jc w:val="both"/>
      </w:pPr>
      <w:r>
        <w:rPr>
          <w:rFonts w:ascii="Times New Roman" w:hAnsi="Times New Roman" w:eastAsia="Times New Roman" w:cs="Times New Roman"/>
          <w:color w:val="1E2A36"/>
          <w:sz w:val="22"/>
          <w:szCs w:val="22"/>
        </w:rPr>
        <w:t>At the conclusion of the Testing Phase, the JMC issues a Testing Phase Report assessing the following performance benchmarks: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System operability: All monitoring systems are operational and producing reliable data with uptime exceeding 95% across all feeds.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Data sharing symmetry: Data transmission to both Parties occurs with latency differential of less than 30 seconds.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Anomaly detection: Anomaly detection and verification procedures function correctly, with false positive rates below the thresholds defined in Annex B, Article 6.3.</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Service reimbursement pilot: If Iran participates, the pilot is operational with at least one verified service completed and reimbursed by Day 14.</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JMC functionality: The JMC operates 24/7 with full staffing and all communication channels functional.</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Shared Digital Registry: The Registry logs all transits, alerts, and verification packages without data gaps exceeding 15 minutes.</w:t>
      </w:r>
    </w:p>
    <w:p>
      <w:pPr>
        <w:pStyle w:val="Normal"/>
        <w:spacing w:after="180" w:line="288" w:lineRule="auto"/>
        <w:jc w:val="both"/>
      </w:pPr>
      <w:r>
        <w:rPr>
          <w:rFonts w:ascii="Times New Roman" w:hAnsi="Times New Roman" w:eastAsia="Times New Roman" w:cs="Times New Roman"/>
          <w:color w:val="1E2A36"/>
          <w:sz w:val="22"/>
          <w:szCs w:val="22"/>
        </w:rPr>
        <w:t>The Testing Phase Report transmits simultaneously to both Parties and the PCC. The Report is presumptive evidence of system functionality. Neither Party blocks, delays, or redacts the Report.</w:t>
      </w:r>
    </w:p>
    <w:p>
      <w:pPr>
        <w:pStyle w:val="Heading2"/>
      </w:pPr>
      <w:r>
        <w:rPr>
          <w:rFonts w:ascii="Times New Roman" w:hAnsi="Times New Roman" w:eastAsia="Times New Roman" w:cs="Times New Roman"/>
          <w:b/>
          <w:color w:val="1E2A36"/>
          <w:sz w:val="24"/>
          <w:szCs w:val="24"/>
        </w:rPr>
        <w:t>6.3 Early Termination of Testing Phase</w:t>
      </w:r>
    </w:p>
    <w:p>
      <w:pPr>
        <w:pStyle w:val="Normal"/>
        <w:spacing w:after="180" w:line="288" w:lineRule="auto"/>
        <w:jc w:val="both"/>
      </w:pPr>
      <w:r>
        <w:rPr>
          <w:rFonts w:ascii="Times New Roman" w:hAnsi="Times New Roman" w:eastAsia="Times New Roman" w:cs="Times New Roman"/>
          <w:color w:val="1E2A36"/>
          <w:sz w:val="22"/>
          <w:szCs w:val="22"/>
        </w:rPr>
        <w:t>If the Testing Phase demonstrates clear success or clear failure before Day 14, the Parties terminate the Testing Phase early through mutual written agreement and proceed directly to the Decision Point.</w:t>
      </w:r>
    </w:p>
    <w:p>
      <w:pPr>
        <w:pStyle w:val="Normal"/>
        <w:spacing w:after="180" w:line="288" w:lineRule="auto"/>
        <w:jc w:val="both"/>
      </w:pPr>
      <w:r>
        <w:rPr>
          <w:rFonts w:ascii="Times New Roman" w:hAnsi="Times New Roman" w:eastAsia="Times New Roman" w:cs="Times New Roman"/>
          <w:color w:val="1E2A36"/>
          <w:sz w:val="22"/>
          <w:szCs w:val="22"/>
        </w:rPr>
        <w:t>Clear success means all performance benchmarks are met by Day 10 with no material anomalies. Clear failure means two or more performance benchmarks remain unmet by Day 10 despite corrective action.</w:t>
      </w:r>
    </w:p>
    <w:p>
      <w:pPr>
        <w:pStyle w:val="Normal"/>
        <w:spacing w:after="180" w:line="288" w:lineRule="auto"/>
        <w:jc w:val="both"/>
      </w:pPr>
      <w:r>
        <w:rPr>
          <w:rFonts w:ascii="Times New Roman" w:hAnsi="Times New Roman" w:eastAsia="Times New Roman" w:cs="Times New Roman"/>
          <w:color w:val="1E2A36"/>
          <w:sz w:val="22"/>
          <w:szCs w:val="22"/>
        </w:rPr>
        <w:t>Early termination requires: a written proposal from either Party to the PCC; written consent from the other Party within 48 hours; and notification to the Guarantor Matrix. If either Party declines early termination, the Testing Phase continues through Day 14.</w:t>
      </w:r>
    </w:p>
    <w:p>
      <w:pPr>
        <w:pStyle w:val="Heading1"/>
      </w:pPr>
      <w:bookmarkStart w:name="_TocArt7" w:id="108"/>
      <w:r>
        <w:rPr>
          <w:rFonts w:ascii="Times New Roman" w:hAnsi="Times New Roman" w:eastAsia="Times New Roman" w:cs="Times New Roman"/>
          <w:b/>
          <w:color w:val="4A5D6E"/>
          <w:sz w:val="28"/>
          <w:szCs w:val="28"/>
        </w:rPr>
        <w:t>Article 7 - Path Forward</w:t>
      </w:r>
      <w:bookmarkEnd w:id="108"/>
    </w:p>
    <w:p>
      <w:pPr>
        <w:pStyle w:val="Normal"/>
        <w:spacing w:after="180" w:line="288" w:lineRule="auto"/>
        <w:jc w:val="both"/>
      </w:pPr>
      <w:r>
        <w:rPr>
          <w:rFonts w:ascii="Times New Roman" w:hAnsi="Times New Roman" w:eastAsia="Times New Roman" w:cs="Times New Roman"/>
          <w:color w:val="1E2A36"/>
          <w:sz w:val="22"/>
          <w:szCs w:val="22"/>
        </w:rPr>
        <w:t>The path forward is structured but flexible. Success leads to a final deal by Day 60. Limited success leads to extension. Stalemate leads to Extended Phase I. In every case, the technical systems keep running and the verified gains keep accumulating. No one loses.</w:t>
      </w:r>
    </w:p>
    <w:p>
      <w:pPr>
        <w:pStyle w:val="Heading2"/>
      </w:pPr>
      <w:r>
        <w:rPr>
          <w:rFonts w:ascii="Times New Roman" w:hAnsi="Times New Roman" w:eastAsia="Times New Roman" w:cs="Times New Roman"/>
          <w:b/>
          <w:color w:val="1E2A36"/>
          <w:sz w:val="24"/>
          <w:szCs w:val="24"/>
        </w:rPr>
        <w:t>7.1 Final Deal (Preferred Outcome)</w:t>
      </w:r>
    </w:p>
    <w:p>
      <w:pPr>
        <w:pStyle w:val="Normal"/>
        <w:spacing w:after="180" w:line="288" w:lineRule="auto"/>
        <w:jc w:val="both"/>
      </w:pPr>
      <w:r>
        <w:rPr>
          <w:rFonts w:ascii="Times New Roman" w:hAnsi="Times New Roman" w:eastAsia="Times New Roman" w:cs="Times New Roman"/>
          <w:color w:val="1E2A36"/>
          <w:sz w:val="22"/>
          <w:szCs w:val="22"/>
        </w:rPr>
        <w:t>If the Testing Phase succeeds and the cooling-off period generates sufficient trust, the Parties proceed as follows: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Enter into final negotiations on the deferred political issues, commencing no later than Day 45.</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Use the verified transit data from the Testing Phase as the factual baseline for all negotiations.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Amend Annex A and Annex N to reflect a permanent governance structure, if the Parties agree.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Transition the service reimbursement pilot to a permanent framework, if the Parties agree.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Sign a final deal by Day 60 that resolves all deferred political issues.</w:t>
      </w:r>
    </w:p>
    <w:p>
      <w:pPr>
        <w:pStyle w:val="Normal"/>
        <w:spacing w:after="180" w:line="288" w:lineRule="auto"/>
        <w:jc w:val="both"/>
      </w:pPr>
      <w:r>
        <w:rPr>
          <w:rFonts w:ascii="Times New Roman" w:hAnsi="Times New Roman" w:eastAsia="Times New Roman" w:cs="Times New Roman"/>
          <w:color w:val="1E2A36"/>
          <w:sz w:val="22"/>
          <w:szCs w:val="22"/>
        </w:rPr>
        <w:t>The final deal is a separate instrument from this Annex. It does not amend this Annex; it supersedes the deferred political issues upon signature. All technical monitoring, verification, and data-sharing infrastructure established under this Annex continues uninterrupted under the final deal.</w:t>
      </w:r>
    </w:p>
    <w:p>
      <w:pPr>
        <w:pStyle w:val="Heading2"/>
      </w:pPr>
      <w:r>
        <w:rPr>
          <w:rFonts w:ascii="Times New Roman" w:hAnsi="Times New Roman" w:eastAsia="Times New Roman" w:cs="Times New Roman"/>
          <w:b/>
          <w:color w:val="1E2A36"/>
          <w:sz w:val="24"/>
          <w:szCs w:val="24"/>
        </w:rPr>
        <w:t>7.2 Extension of Cooling-Off Period</w:t>
      </w:r>
    </w:p>
    <w:p>
      <w:pPr>
        <w:pStyle w:val="Normal"/>
        <w:spacing w:after="180" w:line="288" w:lineRule="auto"/>
        <w:jc w:val="both"/>
      </w:pPr>
      <w:r>
        <w:rPr>
          <w:rFonts w:ascii="Times New Roman" w:hAnsi="Times New Roman" w:eastAsia="Times New Roman" w:cs="Times New Roman"/>
          <w:color w:val="1E2A36"/>
          <w:sz w:val="22"/>
          <w:szCs w:val="22"/>
        </w:rPr>
        <w:t>If the Parties require more time to resolve political issues, the cooling-off period extends for one additional 14-day period by mutual written agreement.</w:t>
      </w:r>
    </w:p>
    <w:p>
      <w:pPr>
        <w:pStyle w:val="Normal"/>
        <w:spacing w:after="180" w:line="288" w:lineRule="auto"/>
        <w:jc w:val="both"/>
      </w:pPr>
      <w:r>
        <w:rPr>
          <w:rFonts w:ascii="Times New Roman" w:hAnsi="Times New Roman" w:eastAsia="Times New Roman" w:cs="Times New Roman"/>
          <w:color w:val="1E2A36"/>
          <w:sz w:val="22"/>
          <w:szCs w:val="22"/>
        </w:rPr>
        <w:t>Extension requires: a written request from either Party to the PCC; written consent from the other Party within 5 days; and notification to the Guarantor Matrix.</w:t>
      </w:r>
    </w:p>
    <w:p>
      <w:pPr>
        <w:pStyle w:val="Normal"/>
        <w:spacing w:after="180" w:line="288" w:lineRule="auto"/>
        <w:jc w:val="both"/>
      </w:pPr>
      <w:r>
        <w:rPr>
          <w:rFonts w:ascii="Times New Roman" w:hAnsi="Times New Roman" w:eastAsia="Times New Roman" w:cs="Times New Roman"/>
          <w:color w:val="1E2A36"/>
          <w:sz w:val="22"/>
          <w:szCs w:val="22"/>
        </w:rPr>
        <w:t>Any extension concludes by Day 58 at the latest to leave sufficient time for final deal signature. If the extended cooling-off period concludes on Day 58 without agreement, the framework architecture automatically proceeds to the fallback under Article 7.3. No second extension is permitted.</w:t>
      </w:r>
    </w:p>
    <w:p>
      <w:pPr>
        <w:pStyle w:val="Heading2"/>
      </w:pPr>
      <w:r>
        <w:rPr>
          <w:rFonts w:ascii="Times New Roman" w:hAnsi="Times New Roman" w:eastAsia="Times New Roman" w:cs="Times New Roman"/>
          <w:b/>
          <w:color w:val="1E2A36"/>
          <w:sz w:val="24"/>
          <w:szCs w:val="24"/>
        </w:rPr>
        <w:t>7.3 Fallback to Extended Phase I</w:t>
      </w:r>
    </w:p>
    <w:p>
      <w:pPr>
        <w:pStyle w:val="Normal"/>
        <w:spacing w:after="180" w:line="288" w:lineRule="auto"/>
        <w:jc w:val="both"/>
      </w:pPr>
      <w:r>
        <w:rPr>
          <w:rFonts w:ascii="Times New Roman" w:hAnsi="Times New Roman" w:eastAsia="Times New Roman" w:cs="Times New Roman"/>
          <w:color w:val="1E2A36"/>
          <w:sz w:val="22"/>
          <w:szCs w:val="22"/>
        </w:rPr>
        <w:t>If the Parties cannot reach a final deal by Day 60, this Annex automatically reverts to Annex D (Phase II Deadlock Mechanism) -- specifically, Extended Phase I under Annex D, Article 7 -- for an additional 365 days. The reversion is automatic and requires no Party action.</w:t>
      </w:r>
    </w:p>
    <w:p>
      <w:pPr>
        <w:pStyle w:val="Normal"/>
        <w:spacing w:after="180" w:line="288" w:lineRule="auto"/>
        <w:jc w:val="both"/>
      </w:pPr>
      <w:r>
        <w:rPr>
          <w:rFonts w:ascii="Times New Roman" w:hAnsi="Times New Roman" w:eastAsia="Times New Roman" w:cs="Times New Roman"/>
          <w:color w:val="1E2A36"/>
          <w:sz w:val="22"/>
          <w:szCs w:val="22"/>
        </w:rPr>
        <w:t>During Extended Phase I:</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All technical monitoring continues uninterrupted. The sensors stay on. The JMC continues operating. The Shared Digital Registry continues logging.</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All Phase I benefits continue unchanged. Neither Party loses any benefit earned during the Testing Phase or Cooling-Off Period.</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Service reimbursement (if operational) continues on a voluntary, no-precedent basis.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Parties re-enter the final deal process at any time by mutual agreement. Re-entry does not require a new Annex; a joint letter to the PCC suffices.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The 365-day Extended Phase I clock begins on Day 61 and runs continuously regardless of re-entry negotiations.</w:t>
      </w:r>
    </w:p>
    <w:p>
      <w:pPr>
        <w:pStyle w:val="Normal"/>
        <w:spacing w:after="180" w:line="288" w:lineRule="auto"/>
        <w:jc w:val="both"/>
      </w:pPr>
      <w:r>
        <w:rPr>
          <w:rFonts w:ascii="Times New Roman" w:hAnsi="Times New Roman" w:eastAsia="Times New Roman" w:cs="Times New Roman"/>
          <w:color w:val="1E2A36"/>
          <w:sz w:val="22"/>
          <w:szCs w:val="22"/>
        </w:rPr>
        <w:t>The framework architecture preserves all JMC staff, Registry operations, and telemetry feeds at full capacity during Extended Phase I. The only operational change concerns the service reimbursement pilot, which pauses if its continuation is contingent on progress toward a Final Deal. This fallback represents a continuation of the technical system, not a collapse of trust.</w:t>
      </w:r>
    </w:p>
    <w:p>
      <w:pPr>
        <w:pStyle w:val="Normal"/>
        <w:spacing w:after="180" w:line="288" w:lineRule="auto"/>
        <w:jc w:val="both"/>
      </w:pPr>
      <w:r>
        <w:rPr>
          <w:rFonts w:ascii="Times New Roman" w:hAnsi="Times New Roman" w:eastAsia="Times New Roman" w:cs="Times New Roman"/>
          <w:color w:val="1E2A36"/>
          <w:sz w:val="22"/>
          <w:szCs w:val="22"/>
          <w:b/>
        </w:rPr>
        <w:t>7.3A Mandatory Review Conference.</w:t>
      </w:r>
      <w:r>
        <w:rPr>
          <w:rFonts w:ascii="Times New Roman" w:hAnsi="Times New Roman" w:eastAsia="Times New Roman" w:cs="Times New Roman"/>
          <w:color w:val="1E2A36"/>
          <w:sz w:val="22"/>
          <w:szCs w:val="22"/>
        </w:rPr>
        <w:t xml:space="preserve"> During the final 60 days of the Extended Phase I period, the PCC convenes a mandatory review conference. The review conference evaluates the accumulated data, the operational status of the JMC infrastructure, and the progress toward political resolution. The review conference produces one of the following outcomes by mutual agreement of the Parties: initiation of a second Extended Phase I period of 365 days with all technical systems continuing uninterrupted; or triggering of a new Annex HITP process without loss of accumulated data or JMC infrastructure. The Shared Digital Registry preserves all logged data across any extension or renewal. This consultation clause prevents the fallback timeline from becoming a slow-motion cliff and creates a structured off-ramp for Phase I continuation.</w:t>
      </w:r>
    </w:p>
    <w:p>
      <w:pPr>
        <w:pStyle w:val="Normal"/>
        <w:spacing w:after="180" w:line="288" w:lineRule="auto"/>
        <w:jc w:val="both"/>
      </w:pPr>
      <w:r>
        <w:rPr>
          <w:rFonts w:ascii="Times New Roman" w:hAnsi="Times New Roman" w:eastAsia="Times New Roman" w:cs="Times New Roman"/>
          <w:color w:val="1E2A36"/>
          <w:sz w:val="22"/>
          <w:szCs w:val="22"/>
        </w:rPr>
        <w:t>Budget continuity: All MMMF budget tranches released prior to fallback activation remain fully available. The Facilitator Troika maintains the escrow accounts and disbursement mechanisms without interruption through the Swiss principal. Neither Party renegotiates or recalls released funds solely because of fallback activation. Budget continuity ensures that monitoring operations continue without funding gaps during political stalemate.</w:t>
      </w:r>
    </w:p>
    <w:p>
      <w:pPr>
        <w:pStyle w:val="Heading2"/>
      </w:pPr>
      <w:r>
        <w:rPr>
          <w:rFonts w:ascii="Times New Roman" w:hAnsi="Times New Roman" w:eastAsia="Times New Roman" w:cs="Times New Roman"/>
          <w:b/>
          <w:color w:val="1E2A36"/>
          <w:sz w:val="24"/>
          <w:szCs w:val="24"/>
        </w:rPr>
        <w:t>7.4 Decision Point (Days 45-51)</w:t>
      </w:r>
    </w:p>
    <w:p>
      <w:pPr>
        <w:pStyle w:val="Normal"/>
        <w:spacing w:after="180" w:line="288" w:lineRule="auto"/>
        <w:jc w:val="both"/>
      </w:pPr>
      <w:r>
        <w:rPr>
          <w:rFonts w:ascii="Times New Roman" w:hAnsi="Times New Roman" w:eastAsia="Times New Roman" w:cs="Times New Roman"/>
          <w:color w:val="1E2A36"/>
          <w:sz w:val="22"/>
          <w:szCs w:val="22"/>
        </w:rPr>
        <w:t>During the Decision Point, the PCC convenes an emergency session to assess whether a final deal is achievable. The PCC issues a binding recommendation from the following options:</w:t>
      </w:r>
    </w:p>
    <w:tbl>
      <w:tblPr>
        <w:tblW w:w="5000" w:type="pct"/>
        <w:tblBorders>
          <w:top w:val="single" w:color="4A5D6E" w:sz="12"/>
          <w:left w:val="nil"/>
          <w:bottom w:val="single" w:color="4A5D6E" w:sz="12"/>
          <w:right w:val="nil"/>
          <w:insideH w:val="single" w:color="c5cdd4" w:sz="4"/>
          <w:insideV w:val="nil"/>
        </w:tblBorders>
      </w:tblPr>
      <w:tblGrid>
        <w:gridCol w:w="1400"/>
        <w:gridCol w:w="8600"/>
      </w:tblGrid>
      <w:tr>
        <w:trPr>
          <w:tblHeader w:val="1"/>
        </w:trPr>
        <w:tc>
          <w:tcPr>
            <w:tcW w:w="1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Option</w:t>
            </w:r>
          </w:p>
        </w:tc>
        <w:tc>
          <w:tcPr>
            <w:tcW w:w="8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Description</w:t>
            </w:r>
          </w:p>
        </w:tc>
      </w:tr>
      <w:tr>
        <w:tc>
          <w:tcPr>
            <w:tcW w:w="1400" w:type="dxa"/>
          </w:tcPr>
          <w:p>
            <w:pPr>
              <w:pStyle w:val="Normal"/>
              <w:spacing w:before="60" w:after="60"/>
              <w:jc w:val="left"/>
            </w:pPr>
            <w:r>
              <w:rPr>
                <w:color w:val="3D4F5F"/>
                <w:sz w:val="20"/>
                <w:rFonts w:ascii="Times New Roman" w:hAnsi="Times New Roman" w:eastAsia="Times New Roman" w:cs="Times New Roman"/>
                <w:szCs w:val="20"/>
              </w:rPr>
              <w:t>Option A</w:t>
            </w:r>
          </w:p>
        </w:tc>
        <w:tc>
          <w:tcPr>
            <w:tcW w:w="8600" w:type="dxa"/>
          </w:tcPr>
          <w:p>
            <w:pPr>
              <w:pStyle w:val="Normal"/>
              <w:spacing w:before="60" w:after="60"/>
              <w:jc w:val="left"/>
            </w:pPr>
            <w:r>
              <w:rPr>
                <w:color w:val="3D4F5F"/>
                <w:sz w:val="20"/>
                <w:rFonts w:ascii="Times New Roman" w:hAnsi="Times New Roman" w:eastAsia="Times New Roman" w:cs="Times New Roman"/>
                <w:szCs w:val="20"/>
              </w:rPr>
              <w:t>Proceed to final deal negotiations (Days 52-60). The Parties commit to resolving all deferred political issues and signing a final deal by Day 60.</w:t>
            </w:r>
          </w:p>
        </w:tc>
      </w:tr>
      <w:tr>
        <w:tc>
          <w:tcPr>
            <w:tcW w:w="1400" w:type="dxa"/>
          </w:tcPr>
          <w:p>
            <w:pPr>
              <w:pStyle w:val="Normal"/>
              <w:spacing w:before="60" w:after="60"/>
              <w:jc w:val="left"/>
            </w:pPr>
            <w:r>
              <w:rPr>
                <w:color w:val="3D4F5F"/>
                <w:sz w:val="20"/>
                <w:rFonts w:ascii="Times New Roman" w:hAnsi="Times New Roman" w:eastAsia="Times New Roman" w:cs="Times New Roman"/>
                <w:szCs w:val="20"/>
              </w:rPr>
              <w:t>Option B</w:t>
            </w:r>
          </w:p>
        </w:tc>
        <w:tc>
          <w:tcPr>
            <w:tcW w:w="8600" w:type="dxa"/>
          </w:tcPr>
          <w:p>
            <w:pPr>
              <w:pStyle w:val="Normal"/>
              <w:spacing w:before="60" w:after="60"/>
              <w:jc w:val="left"/>
            </w:pPr>
            <w:r>
              <w:rPr>
                <w:color w:val="3D4F5F"/>
                <w:sz w:val="20"/>
                <w:rFonts w:ascii="Times New Roman" w:hAnsi="Times New Roman" w:eastAsia="Times New Roman" w:cs="Times New Roman"/>
                <w:szCs w:val="20"/>
              </w:rPr>
              <w:t>Extend cooling-off period by 14 days (requires mutual consent). The Cooling-Off Period extends to Day 58, leaving 2 days for final deal signature.</w:t>
            </w:r>
          </w:p>
        </w:tc>
      </w:tr>
      <w:tr>
        <w:tc>
          <w:tcPr>
            <w:tcW w:w="1400" w:type="dxa"/>
          </w:tcPr>
          <w:p>
            <w:pPr>
              <w:pStyle w:val="Normal"/>
              <w:spacing w:before="60" w:after="60"/>
              <w:jc w:val="left"/>
            </w:pPr>
            <w:r>
              <w:rPr>
                <w:color w:val="3D4F5F"/>
                <w:sz w:val="20"/>
                <w:rFonts w:ascii="Times New Roman" w:hAnsi="Times New Roman" w:eastAsia="Times New Roman" w:cs="Times New Roman"/>
                <w:szCs w:val="20"/>
              </w:rPr>
              <w:t>Option C</w:t>
            </w:r>
          </w:p>
        </w:tc>
        <w:tc>
          <w:tcPr>
            <w:tcW w:w="8600" w:type="dxa"/>
          </w:tcPr>
          <w:p>
            <w:pPr>
              <w:pStyle w:val="Normal"/>
              <w:spacing w:before="60" w:after="60"/>
              <w:jc w:val="left"/>
            </w:pPr>
            <w:r>
              <w:rPr>
                <w:color w:val="3D4F5F"/>
                <w:sz w:val="20"/>
                <w:rFonts w:ascii="Times New Roman" w:hAnsi="Times New Roman" w:eastAsia="Times New Roman" w:cs="Times New Roman"/>
                <w:szCs w:val="20"/>
              </w:rPr>
              <w:t>Fall back to Extended Phase I (automatic at Day 60 if no agreement). All technical monitoring continues; all Phase I benefits continue; service reimbursement continues on a voluntary basis.</w:t>
            </w:r>
          </w:p>
        </w:tc>
      </w:tr>
      <w:tr>
        <w:tc>
          <w:tcPr>
            <w:tcW w:w="1400" w:type="dxa"/>
          </w:tcPr>
          <w:p>
            <w:pPr>
              <w:pStyle w:val="Normal"/>
              <w:spacing w:before="60" w:after="60"/>
              <w:jc w:val="left"/>
            </w:pPr>
            <w:r>
              <w:rPr>
                <w:b/>
                <w:color w:val="3D4F5F"/>
                <w:sz w:val="20"/>
                <w:rFonts w:ascii="Times New Roman" w:hAnsi="Times New Roman" w:eastAsia="Times New Roman" w:cs="Times New Roman"/>
                <w:szCs w:val="20"/>
              </w:rPr>
              <w:t>Option D</w:t>
            </w:r>
          </w:p>
        </w:tc>
        <w:tc>
          <w:tcPr>
            <w:tcW w:w="8600" w:type="dxa"/>
          </w:tcPr>
          <w:p>
            <w:pPr>
              <w:pStyle w:val="Normal"/>
              <w:spacing w:before="60" w:after="60"/>
              <w:jc w:val="left"/>
            </w:pPr>
            <w:r>
              <w:rPr>
                <w:b/>
                <w:color w:val="3D4F5F"/>
                <w:sz w:val="20"/>
                <w:rFonts w:ascii="Times New Roman" w:hAnsi="Times New Roman" w:eastAsia="Times New Roman" w:cs="Times New Roman"/>
                <w:szCs w:val="20"/>
              </w:rPr>
              <w:t>Framework Agreement. The Parties sign a political declaration of intent on the deferred issues by Day 60, with full legal text finalized within a subsequent 90-day technical drafting period. During this period the Cooling-Off Period and all Phase I benefits extend automatically without requiring a new negotiation.</w:t>
            </w:r>
          </w:p>
        </w:tc>
      </w:tr>
    </w:tbl>
    <w:p>
      <w:pPr>
        <w:pStyle w:val="Normal"/>
        <w:spacing w:after="180" w:line="288" w:lineRule="auto"/>
        <w:jc w:val="both"/>
      </w:pPr>
      <w:r>
        <w:rPr>
          <w:rFonts w:ascii="Times New Roman" w:hAnsi="Times New Roman" w:eastAsia="Times New Roman" w:cs="Times New Roman"/>
          <w:color w:val="1E2A36"/>
          <w:sz w:val="22"/>
          <w:szCs w:val="22"/>
        </w:rPr>
        <w:t>The PCC's recommendation is presumptive. A Party rejects it, but rejection triggers an automatic 48-hour cooling-off period during which the Guarantor Matrix mediates. If mediation fails to produce agreement by Day 51, the framework architecture automatically proceeds to the fallback under Article 7.3. If the Parties select Option D (Framework Agreement), the technical drafting period commences immediately after signature of the political declaration and the existing Cooling-Off Period benefits continue uninterrupted during the 90-day drafting window. During this 90-day window the JMC continues passive monitoring and data logging but the active adversarial verification architecture under Article 14 (claim submission, challenges, and panel determinations) suspends. The Parties reactivate Article 14 by mutual written agreement if verification disputes arise during the drafting period.</w:t>
      </w:r>
    </w:p>
    <w:p>
      <w:pPr>
        <w:pStyle w:val="Normal"/>
        <w:spacing w:after="180" w:line="288" w:lineRule="auto"/>
        <w:jc w:val="both"/>
      </w:pPr>
      <w:r>
        <w:rPr>
          <w:rFonts w:ascii="Times New Roman" w:hAnsi="Times New Roman" w:eastAsia="Times New Roman" w:cs="Times New Roman"/>
          <w:color w:val="1E2A36"/>
          <w:sz w:val="22"/>
          <w:szCs w:val="22"/>
        </w:rPr>
        <w:t>The Decision Point ensures that neither Party is ambushed. Both Parties see the same data. Both Parties hear the same PCC assessment. Both Parties choose their path forward with full knowledge of the consequences.</w:t>
      </w:r>
    </w:p>
    <w:p>
      <w:pPr>
        <w:pStyle w:val="Normal"/>
        <w:spacing w:before="240" w:after="120" w:line="288" w:lineRule="auto"/>
        <w:jc w:val="both"/>
      </w:pPr>
      <w:r>
        <w:rPr>
          <w:b/>
          <w:rFonts w:ascii="Times New Roman" w:hAnsi="Times New Roman" w:eastAsia="Times New Roman" w:cs="Times New Roman"/>
          <w:color w:val="1E2A36"/>
          <w:sz w:val="22"/>
          <w:szCs w:val="22"/>
        </w:rPr>
        <w:t>The PCC bases its presumptive recommendation on answers to the following three technical questions: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Does the Shared Digital Registry contain seven consecutive days of Qualifying Transits without material dispute?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Does Iran hold at least two verified reimbursements?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Does the record show zero interdictions and zero material border closures?</w:t>
      </w:r>
    </w:p>
    <w:p>
      <w:pPr>
        <w:pStyle w:val="Normal"/>
        <w:spacing w:after="180" w:line="288" w:lineRule="auto"/>
        <w:jc w:val="both"/>
      </w:pPr>
      <w:r>
        <w:rPr>
          <w:rFonts w:ascii="Times New Roman" w:hAnsi="Times New Roman" w:eastAsia="Times New Roman" w:cs="Times New Roman"/>
          <w:color w:val="1E2A36"/>
          <w:sz w:val="22"/>
          <w:szCs w:val="22"/>
        </w:rPr>
        <w:t>Affirmative answers to all three questions produce a presumptive recommendation for Option A (Final Deal). The framework architecture treats these questions as the technical foundation for the PCC assessment.</w:t>
      </w:r>
    </w:p>
    <w:p>
      <w:pPr>
        <w:pStyle w:val="Normal"/>
      </w:pPr>
      <w:r>
        <w:rPr>
          <w:rFonts w:ascii="Times New Roman" w:hAnsi="Times New Roman" w:eastAsia="Times New Roman" w:cs="Times New Roman"/>
          <w:color w:val="1E2A36"/>
          <w:sz w:val="22"/>
          <w:b/>
          <w:szCs w:val="20"/>
        </w:rPr>
        <w:t>Cothrom means equal. Equal stakes. Equal scrutiny. Equal protection. Equal opportunity to recover. This Article establishes verification as a reciprocal architecture where both Parties invest, both Parties verify, and both Parties recover. No violation creates permanent exclusion. Every penalty carries a defined earn-back pathway. Economic consequences are structurally decoupled from military authorization.</w:t>
      </w:r>
    </w:p>
    <w:p>
      <w:pPr>
        <w:pStyle w:val="Heading1"/>
        <w:spacing w:after="180" w:line="288" w:lineRule="auto"/>
        <w:jc w:val="both"/>
      </w:pPr>
      <w:r>
        <w:rPr>
          <w:rFonts w:ascii="Times New Roman" w:hAnsi="Times New Roman" w:eastAsia="Times New Roman" w:cs="Times New Roman"/>
          <w:color w:val="4A5D6E"/>
          <w:sz w:val="28"/>
          <w:szCs w:val="22"/>
          <w:b/>
        </w:rPr>
        <w:t>Article 8 - Relationship to Other Annexes</w:t>
      </w:r>
    </w:p>
    <w:p>
      <w:pPr>
        <w:pStyle w:val="Normal"/>
        <w:spacing w:after="180" w:line="288" w:lineRule="auto"/>
        <w:jc w:val="both"/>
      </w:pPr>
      <w:r>
        <w:rPr>
          <w:rFonts w:ascii="Times New Roman" w:hAnsi="Times New Roman" w:eastAsia="Times New Roman" w:cs="Times New Roman"/>
          <w:color w:val="1E2A36"/>
          <w:sz w:val="22"/>
          <w:szCs w:val="22"/>
        </w:rPr>
        <w:t>The table below specifies the operative relationship between this Annex and each relevant provision of the MOU architecture.</w:t>
      </w:r>
    </w:p>
    <w:tbl>
      <w:tblPr>
        <w:tblW w:w="5000" w:type="pct"/>
        <w:tblBorders>
          <w:top w:val="single" w:color="4A5D6E" w:sz="12"/>
          <w:left w:val="nil"/>
          <w:bottom w:val="single" w:color="4A5D6E" w:sz="12"/>
          <w:right w:val="nil"/>
          <w:insideH w:val="single" w:color="c5cdd4" w:sz="4"/>
          <w:insideV w:val="nil"/>
        </w:tblBorders>
      </w:tblPr>
      <w:tblGrid>
        <w:gridCol w:w="2800"/>
        <w:gridCol w:w="7200"/>
      </w:tblGrid>
      <w:tr>
        <w:trPr>
          <w:tblHeader w:val="1"/>
        </w:trPr>
        <w:tc>
          <w:tcPr>
            <w:tcW w:w="28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Annex / Provision</w:t>
            </w:r>
          </w:p>
        </w:tc>
        <w:tc>
          <w:tcPr>
            <w:tcW w:w="72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Relationship</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A (Transit Metrics)</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implements Annex A's verification methodology during the Testing Phase. All qualifying transits are assessed against Annex A, Section 3 metrics.</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B (Maritime Monitoring)</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operationalizes Annex B's monitoring infrastructure. All systems defined in Annex B, Article 3 activate immediately upon signature of this Annex.</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D (Deadlock Mechanism)</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supplements Annex D by providing an immediate operational pathway during political deadlock. If this Annex stalls, it reverts to Annex D's Extended Phase I.</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N (Non-Interdiction)</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operates under Annex N's absolute prohibition on interdiction. No interdiction of commercial vessels occurs during the Testing Phase or Cooling-Off Period.</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N.a (Backdoor Closure)</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triggers Annex N.a's escort authority and financial penalties for any interdiction event that occurs during the Testing Phase or Cooling-Off Period.</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Pa (Patrol Boat Protocol)</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applies Annex Pa's zone-based rules for Iranian patrol vessels throughout the Testing Phase and Cooling-Off Period.</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U (Shared Digital Registry)</w:t>
            </w:r>
          </w:p>
        </w:tc>
        <w:tc>
          <w:tcPr>
            <w:tcW w:w="7200" w:type="dxa"/>
          </w:tcPr>
          <w:p>
            <w:pPr>
              <w:pStyle w:val="Normal"/>
              <w:spacing w:before="60" w:after="60"/>
              <w:jc w:val="left"/>
            </w:pPr>
            <w:r>
              <w:rPr>
                <w:color w:val="3D4F5F"/>
                <w:sz w:val="20"/>
                <w:rFonts w:ascii="Times New Roman" w:hAnsi="Times New Roman" w:eastAsia="Times New Roman" w:cs="Times New Roman"/>
                <w:szCs w:val="20"/>
              </w:rPr>
              <w:t>All data collected under this Annex is logged in the Shared Digital Registry per Annex U, Article 5.</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W (Maritime Telemetry)</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operationalizes Annex W's telemetry infrastructure. All data feeds defined in Annex W, Article 1 activate immediately upon signature.</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Mi (Implementation Schedule)</w:t>
            </w:r>
          </w:p>
        </w:tc>
        <w:tc>
          <w:tcPr>
            <w:tcW w:w="7200" w:type="dxa"/>
          </w:tcPr>
          <w:p>
            <w:pPr>
              <w:pStyle w:val="Normal"/>
              <w:spacing w:before="60" w:after="60"/>
              <w:jc w:val="left"/>
            </w:pPr>
            <w:r>
              <w:rPr>
                <w:color w:val="3D4F5F"/>
                <w:sz w:val="20"/>
                <w:rFonts w:ascii="Times New Roman" w:hAnsi="Times New Roman" w:eastAsia="Times New Roman" w:cs="Times New Roman"/>
                <w:szCs w:val="20"/>
              </w:rPr>
              <w:t>This Annex coordinates with Annex Mi's mine clearance timeline. If mine clearance is ongoing during the Testing Phase, both annexes operate in parallel.</w:t>
            </w:r>
          </w:p>
        </w:tc>
      </w:tr>
      <w:tr>
        <w:tc>
          <w:tcPr>
            <w:tcW w:w="2800" w:type="dxa"/>
          </w:tcPr>
          <w:p>
            <w:pPr>
              <w:pStyle w:val="Normal"/>
              <w:spacing w:before="60" w:after="60"/>
              <w:jc w:val="left"/>
            </w:pPr>
            <w:r>
              <w:rPr>
                <w:color w:val="3D4F5F"/>
                <w:sz w:val="20"/>
                <w:rFonts w:ascii="Times New Roman" w:hAnsi="Times New Roman" w:eastAsia="Times New Roman" w:cs="Times New Roman"/>
                <w:szCs w:val="20"/>
              </w:rPr>
              <w:t>Annex Mo (JMC Charter)</w:t>
            </w:r>
          </w:p>
        </w:tc>
        <w:tc>
          <w:tcPr>
            <w:tcW w:w="7200" w:type="dxa"/>
          </w:tcPr>
          <w:p>
            <w:pPr>
              <w:pStyle w:val="Normal"/>
              <w:spacing w:before="60" w:after="60"/>
              <w:jc w:val="left"/>
            </w:pPr>
            <w:r>
              <w:rPr>
                <w:color w:val="3D4F5F"/>
                <w:sz w:val="20"/>
                <w:rFonts w:ascii="Times New Roman" w:hAnsi="Times New Roman" w:eastAsia="Times New Roman" w:cs="Times New Roman"/>
                <w:szCs w:val="20"/>
              </w:rPr>
              <w:t>The JMC operates under Annex Mo's charter throughout the Testing Phase and Cooling-Off Period.</w:t>
            </w:r>
          </w:p>
        </w:tc>
      </w:tr>
    </w:tbl>
    <w:p>
      <w:pPr>
        <w:pStyle w:val="Heading1"/>
      </w:pPr>
      <w:bookmarkStart w:name="_TocArt9" w:id="110"/>
      <w:r>
        <w:rPr>
          <w:rFonts w:ascii="Times New Roman" w:hAnsi="Times New Roman" w:eastAsia="Times New Roman" w:cs="Times New Roman"/>
          <w:b/>
          <w:color w:val="4A5D6E"/>
          <w:sz w:val="28"/>
          <w:szCs w:val="28"/>
        </w:rPr>
        <w:t>Article 9 - Incorporation by Reference</w:t>
      </w:r>
      <w:bookmarkEnd w:id="110"/>
    </w:p>
    <w:p>
      <w:pPr>
        <w:pStyle w:val="Normal"/>
        <w:spacing w:after="180" w:line="288" w:lineRule="auto"/>
        <w:jc w:val="both"/>
      </w:pPr>
      <w:r>
        <w:rPr>
          <w:rFonts w:ascii="Times New Roman" w:hAnsi="Times New Roman" w:eastAsia="Times New Roman" w:cs="Times New Roman"/>
          <w:color w:val="1E2A36"/>
          <w:sz w:val="22"/>
          <w:szCs w:val="22"/>
        </w:rPr>
        <w:t>This Annex is incorporable into any existing or future agreement through the following adoption sentence:</w:t>
      </w:r>
    </w:p>
    <w:p>
      <w:pPr>
        <w:pStyle w:val="Normal"/>
        <w:pBdr>
          <w:left w:val="single" w:color="4A5D6E" w:sz="12" w:space="8"/>
        </w:pBdr>
        <w:spacing w:before="200" w:after="200" w:line="288" w:lineRule="auto"/>
        <w:ind w:left="720" w:right="720"/>
      </w:pPr>
      <w:r>
        <w:rPr>
          <w:i/>
          <w:color w:val="3D4F5F"/>
          <w:sz w:val="21"/>
          <w:rFonts w:ascii="Times New Roman" w:hAnsi="Times New Roman" w:eastAsia="Times New Roman" w:cs="Times New Roman"/>
          <w:szCs w:val="21"/>
        </w:rPr>
        <w:t>The Parties adopt Annex HITP (Hormuz Implementation and Testing Protocol) as an operative provision of this Agreement. This Annex establishes immediate technical implementation of the Hormuz maritime monitoring frameworks, a compressed cooling-off period for unresolved political issues within a 60-day final deal timeline, a voluntary service reimbursement pilot, and a structured path forward. In the event of any inconsistency, Annex HITP governs with respect to immediate operational implementation during political deadlock.</w:t>
      </w:r>
    </w:p>
    <w:p>
      <w:pPr>
        <w:pStyle w:val="Normal"/>
        <w:spacing w:after="180" w:line="288" w:lineRule="auto"/>
        <w:jc w:val="both"/>
      </w:pPr>
      <w:r>
        <w:rPr>
          <w:rFonts w:ascii="Times New Roman" w:hAnsi="Times New Roman" w:eastAsia="Times New Roman" w:cs="Times New Roman"/>
          <w:color w:val="1E2A36"/>
          <w:sz w:val="22"/>
          <w:szCs w:val="22"/>
        </w:rPr>
        <w:t>No amendment of the parent MOU is required for this Annex to enter into force. This Annex enters into force upon signature by both Parties or provisional application by exchange of diplomatic notes.</w:t>
      </w:r>
    </w:p>
    <w:p>
      <w:pPr>
        <w:pStyle w:val="Normal"/>
        <w:spacing w:before="240" w:after="120" w:line="288" w:lineRule="auto"/>
        <w:jc w:val="both"/>
      </w:pPr>
      <w:r>
        <w:rPr>
          <w:b/>
          <w:rFonts w:ascii="Times New Roman" w:hAnsi="Times New Roman" w:eastAsia="Times New Roman" w:cs="Times New Roman"/>
          <w:color w:val="1E2A36"/>
          <w:sz w:val="22"/>
          <w:szCs w:val="22"/>
        </w:rPr>
        <w:t>The entry-into-force mechanisms are:</w:t>
      </w:r>
    </w:p>
    <w:p>
      <w:pPr>
        <w:pStyle w:val="Heading2"/>
      </w:pPr>
      <w:r>
        <w:rPr>
          <w:rFonts w:ascii="Times New Roman" w:hAnsi="Times New Roman" w:eastAsia="Times New Roman" w:cs="Times New Roman"/>
          <w:b/>
          <w:color w:val="1E2A36"/>
          <w:sz w:val="24"/>
          <w:szCs w:val="24"/>
        </w:rPr>
        <w:t>10.4 Contingency Reserve</w:t>
      </w:r>
    </w:p>
    <w:p>
      <w:pPr>
        <w:pStyle w:val="Normal"/>
        <w:spacing w:after="180" w:line="288" w:lineRule="auto"/>
        <w:jc w:val="both"/>
      </w:pPr>
      <w:r>
        <w:rPr>
          <w:rFonts w:ascii="Times New Roman" w:hAnsi="Times New Roman" w:eastAsia="Times New Roman" w:cs="Times New Roman"/>
          <w:color w:val="1E2A36"/>
          <w:sz w:val="22"/>
          <w:szCs w:val="22"/>
        </w:rPr>
        <w:t>The MMMF maintains a contingency reserve equal to 10 percent of the total Testing Phase and Cooling-Off Period allocation. The Facilitator Troika releases this reserve only upon joint written request from both Parties or upon certification by the JMC Chief Technical Officer that operational costs exceed the released tranches by more than 10 percent. The Shared Digital Registry logs all contingency releases with supporting justification. The contingency reserve protects against minor cost overruns without creating a political dispute.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Signature: Physical or electronic signature by the authorized representative of each Party.</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Provisional application: Exchange of diplomatic notes confirming provisional application.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Automatic integration: If adopted by the incorporation sentence above, it enters into force simultaneously with the adopting agreement.</w:t>
      </w:r>
    </w:p>
    <w:p>
      <w:pPr>
        <w:pStyle w:val="Heading1"/>
      </w:pPr>
      <w:r>
        <w:rPr>
          <w:rFonts w:ascii="Times New Roman" w:hAnsi="Times New Roman" w:eastAsia="Times New Roman" w:cs="Times New Roman"/>
          <w:b/>
          <w:color w:val="4A5D6E"/>
          <w:sz w:val="28"/>
          <w:szCs w:val="28"/>
        </w:rPr>
        <w:t>Article 14 - Cothrom Verification Architecture</w:t>
      </w:r>
    </w:p>
    <w:p>
      <w:pPr>
        <w:pStyle w:val="Normal"/>
        <w:spacing w:after="180" w:line="288" w:lineRule="auto"/>
        <w:jc w:val="both"/>
      </w:pPr>
      <w:r>
        <w:rPr>
          <w:rFonts w:ascii="Times New Roman" w:hAnsi="Times New Roman" w:eastAsia="Times New Roman" w:cs="Times New Roman"/>
          <w:color w:val="1E2A36"/>
          <w:sz w:val="22"/>
          <w:szCs w:val="22"/>
        </w:rPr>
        <w:t>This Article establishes a Cothrom verification architecture for the Testing Phase and Cooling-Off Period. Cothrom: equal, balanced, level, fair. The architecture treats verification not as surveillance but as a reciprocal system where both Parties invest, both Parties verify, and both Parties recover. The architecture replaces snapback collapse with a graduated, reversible, proportionate compliance engine. Both Parties pre-deposit a Verification Bond with the Facilitator Troika. Both Parties operate under identical procedural constraints. Objective records determine every outcome, but human judgment sits above automation. No violation creates permanent exclusion. Every step-back penalty carries a defined earn-back pathway.</w:t>
      </w:r>
    </w:p>
    <w:p>
      <w:pPr>
        <w:pStyle w:val="Normal"/>
        <w:spacing w:after="180" w:line="288" w:lineRule="auto"/>
        <w:jc w:val="both"/>
      </w:pPr>
      <w:r>
        <w:rPr>
          <w:rFonts w:ascii="Times New Roman" w:hAnsi="Times New Roman" w:eastAsia="Times New Roman" w:cs="Times New Roman"/>
          <w:color w:val="1E2A36"/>
          <w:sz w:val="22"/>
          <w:szCs w:val="22"/>
        </w:rPr>
        <w:t>The Cothrom verification architecture achieves the following objectives through this Article: it incentivizes accurate claim submission by the Claimant Party; it enables rigorous but fair review by the Verifier Party; it prevents frivolous submissions through forfeit risk; it prevents frivolous objections through escalating review costs; it protects both Parties from information asymmetry; it provides neutral third-party expert oversight; it generates objective, auditable verification scores; it ensures proportionate penalties for breaches; it guarantees defined earn-back pathways for every penalty; and it structurally decouples economic penalties from military authorization.</w:t>
      </w:r>
    </w:p>
    <w:p>
      <w:pPr>
        <w:pStyle w:val="Heading2"/>
      </w:pPr>
      <w:r>
        <w:rPr>
          <w:rFonts w:ascii="Times New Roman" w:hAnsi="Times New Roman" w:eastAsia="Times New Roman" w:cs="Times New Roman"/>
          <w:b/>
          <w:color w:val="1E2A36"/>
          <w:sz w:val="24"/>
          <w:szCs w:val="24"/>
        </w:rPr>
        <w:t>14.1 Verification Bond</w:t>
      </w:r>
    </w:p>
    <w:p>
      <w:pPr>
        <w:pStyle w:val="Normal"/>
        <w:spacing w:after="180" w:line="288" w:lineRule="auto"/>
        <w:jc w:val="both"/>
      </w:pPr>
      <w:r>
        <w:rPr>
          <w:rFonts w:ascii="Times New Roman" w:hAnsi="Times New Roman" w:eastAsia="Times New Roman" w:cs="Times New Roman"/>
          <w:color w:val="1E2A36"/>
          <w:sz w:val="22"/>
          <w:szCs w:val="22"/>
        </w:rPr>
        <w:t>Both Parties deposit a Verification Bond with the Facilitator Troika before the Testing Phase commences. The framework architecture treats the bond as a performance stake, not a fee. Neither Party recovers its bond automatically. Recovery depends on demonstrated good faith participation. The Facilitator Troika holds both bonds in a dedicated sub-account of the escrow through the Swiss principal.</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gridCol w:w="7600"/>
      </w:tblGrid>
      <w:tr>
        <w:trPr>
          <w:tblHeader w:val="1"/>
        </w:trPr>
        <w:tc>
          <w:tcPr>
            <w:tcW w:w="2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Party</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Bond Amount</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Release Condition</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Forfeit Condition</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Iran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200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Iran accumulates 50 or more verified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Iran submits zero verifiable claims during the Testing Phase</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United States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200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US objections achieve 50 percent or greater upheld rate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Net Objection Rate exceeds 50 percent. Net Objection Rate equals Total Objections Filed divided by Total Claims Submitted by Iran</w:t>
            </w:r>
          </w:p>
        </w:tc>
      </w:tr>
    </w:tbl>
    <w:p>
      <w:pPr>
        <w:pStyle w:val="Normal"/>
        <w:spacing w:after="180" w:line="288" w:lineRule="auto"/>
        <w:jc w:val="both"/>
      </w:pPr>
      <w:r>
        <w:rPr>
          <w:rFonts w:ascii="Times New Roman" w:hAnsi="Times New Roman" w:eastAsia="Times New Roman" w:cs="Times New Roman"/>
          <w:color w:val="1E2A36"/>
          <w:sz w:val="22"/>
          <w:szCs w:val="22"/>
        </w:rPr>
        <w:t>The Facilitator Troika holds both bonds in a dedicated sub-account of the escrow through the Swiss principal. The framework architecture releases each bond automatically upon satisfaction of the release condition. The framework architecture forfeits each bond automatically upon satisfaction of the forfeit condition. Bond status appears on the Compliance Dashboard at all times.</w:t>
      </w:r>
    </w:p>
    <w:p>
      <w:pPr>
        <w:pStyle w:val="Heading2"/>
      </w:pPr>
      <w:r>
        <w:rPr>
          <w:rFonts w:ascii="Times New Roman" w:hAnsi="Times New Roman" w:eastAsia="Times New Roman" w:cs="Times New Roman"/>
          <w:b/>
          <w:color w:val="1E2A36"/>
          <w:sz w:val="24"/>
          <w:szCs w:val="24"/>
        </w:rPr>
        <w:t>14.2 Claim Submission</w:t>
      </w:r>
    </w:p>
    <w:p>
      <w:pPr>
        <w:pStyle w:val="Normal"/>
        <w:spacing w:after="180" w:line="288" w:lineRule="auto"/>
        <w:jc w:val="both"/>
      </w:pPr>
      <w:r>
        <w:rPr>
          <w:rFonts w:ascii="Times New Roman" w:hAnsi="Times New Roman" w:eastAsia="Times New Roman" w:cs="Times New Roman"/>
          <w:color w:val="1E2A36"/>
          <w:sz w:val="22"/>
          <w:szCs w:val="22"/>
        </w:rPr>
        <w:t>The Claimant Party submits a service claim through the Shared Digital Registry. Every claim requires primary evidence, supporting documentation, and certification by the Claimant Party's JMC liaison.</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Requirement</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Description</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Time Limit</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Primary evidence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Telemetry, radar data, AIS logs, or equivalent objective recordings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24 hours from service delivery</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Supporting documentation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Time-stamped operational logs with chain-of-custody records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24 hours from service delivery</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JMC liaison certification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Signed attestation by the accredited national representative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24 hours from service delivery</w:t>
            </w:r>
          </w:p>
        </w:tc>
      </w:tr>
    </w:tbl>
    <w:p>
      <w:pPr>
        <w:pStyle w:val="Normal"/>
        <w:spacing w:after="180" w:line="288" w:lineRule="auto"/>
        <w:jc w:val="both"/>
        <w:sectPr>
          <w:headerReference w:type="default" r:id="Re63c7cfdb2184392"/>
          <w:footerReference w:type="default" r:id="R3cbd37a35e01423f"/>
          <w:type w:val="nextPage"/>
          <w:pgSz w:w="11906" w:h="16838"/>
          <w:pgMar w:top="1440" w:right="1440" w:bottom="1440" w:left="1440" w:header="720" w:footer="720"/>
        </w:sectPr>
      </w:pPr>
      <w:r>
        <w:rPr>
          <w:rFonts w:ascii="Times New Roman" w:hAnsi="Times New Roman" w:eastAsia="Times New Roman" w:cs="Times New Roman"/>
          <w:color w:val="1E2A36"/>
          <w:sz w:val="22"/>
          <w:szCs w:val="22"/>
        </w:rPr>
        <w:t>The Joint Monitoring Cell timestamps every claim upon receipt. The timestamp determines the claim's position in the review queue and its eligibility for the rapid-response bonus. Claims arriving without all three components return to the Claimant Party automatically. The Claimant Party corrects and resubmits the claim within the original 24-hour window.</w:t>
      </w:r>
    </w:p>
    <w:p>
      <w:pPr>
        <w:pStyle w:val="Heading1"/>
      </w:pPr>
      <w:r>
        <w:rPr>
          <w:rFonts w:ascii="Times New Roman" w:hAnsi="Times New Roman" w:eastAsia="Times New Roman" w:cs="Times New Roman"/>
          <w:b/>
          <w:color w:val="4A5D6E"/>
          <w:sz w:val="28"/>
          <w:szCs w:val="28"/>
        </w:rPr>
        <w:t>Article 10 - Multilateral Maritime Maintenance Fund Pre-Authorization</w:t>
      </w:r>
    </w:p>
    <w:p>
      <w:pPr>
        <w:pStyle w:val="Heading2"/>
      </w:pPr>
      <w:r>
        <w:rPr>
          <w:rFonts w:ascii="Times New Roman" w:hAnsi="Times New Roman" w:eastAsia="Times New Roman" w:cs="Times New Roman"/>
          <w:b/>
          <w:color w:val="1E2A36"/>
          <w:sz w:val="24"/>
          <w:szCs w:val="24"/>
        </w:rPr>
        <w:t>10.1 Automatic Budget Release</w:t>
      </w:r>
    </w:p>
    <w:p>
      <w:pPr>
        <w:pStyle w:val="Normal"/>
        <w:spacing w:after="180" w:line="288" w:lineRule="auto"/>
        <w:jc w:val="both"/>
      </w:pPr>
      <w:r>
        <w:rPr>
          <w:rFonts w:ascii="Times New Roman" w:hAnsi="Times New Roman" w:eastAsia="Times New Roman" w:cs="Times New Roman"/>
          <w:color w:val="1E2A36"/>
          <w:sz w:val="22"/>
          <w:szCs w:val="22"/>
        </w:rPr>
        <w:t>The Multilateral Maritime Maintenance Fund releases a non-revocable budget tranche equal to forty percent of the Testing Phase allocation immediately upon signature of this Annex. The MMMF releases a second tranche equal to thirty percent of the Cooling-Off Period allocation automatically upon commencement of the Cooling-Off Period. Both releases execute without further act of either Party. The Facilitator Troika completes both transfers within forty-eight hours of the triggering event through the Swiss principal.</w:t>
      </w:r>
    </w:p>
    <w:p>
      <w:pPr>
        <w:pStyle w:val="Heading2"/>
      </w:pPr>
      <w:r>
        <w:rPr>
          <w:rFonts w:ascii="Times New Roman" w:hAnsi="Times New Roman" w:eastAsia="Times New Roman" w:cs="Times New Roman"/>
          <w:b/>
          <w:color w:val="1E2A36"/>
          <w:sz w:val="24"/>
          <w:szCs w:val="24"/>
        </w:rPr>
        <w:t>10.2 Non-Revocability</w:t>
      </w:r>
    </w:p>
    <w:p>
      <w:pPr>
        <w:pStyle w:val="Normal"/>
        <w:spacing w:after="180" w:line="288" w:lineRule="auto"/>
        <w:jc w:val="both"/>
      </w:pPr>
      <w:r>
        <w:rPr>
          <w:rFonts w:ascii="Times New Roman" w:hAnsi="Times New Roman" w:eastAsia="Times New Roman" w:cs="Times New Roman"/>
          <w:color w:val="1E2A36"/>
          <w:sz w:val="22"/>
          <w:szCs w:val="22"/>
        </w:rPr>
        <w:t>Neither Party recalls, suspends, or conditions a released tranche. The framework architecture treats any attempt to obstruct fund release after the triggering event as a technical failure, not a political dispute. The Shared Digital Registry logs all fund releases with cryptographic timestamping.</w:t>
      </w:r>
    </w:p>
    <w:p>
      <w:pPr>
        <w:pStyle w:val="Heading2"/>
      </w:pPr>
      <w:r>
        <w:rPr>
          <w:rFonts w:ascii="Times New Roman" w:hAnsi="Times New Roman" w:eastAsia="Times New Roman" w:cs="Times New Roman"/>
          <w:b/>
          <w:color w:val="1E2A36"/>
          <w:sz w:val="24"/>
          <w:szCs w:val="24"/>
        </w:rPr>
        <w:t>10.3 Remaining Reserve</w:t>
      </w:r>
    </w:p>
    <w:p>
      <w:pPr>
        <w:pStyle w:val="Normal"/>
        <w:spacing w:after="180" w:line="288" w:lineRule="auto"/>
        <w:jc w:val="both"/>
        <w:sectPr>
          <w:type w:val="nextPage"/>
          <w:pgSz w:w="11906" w:h="16838"/>
          <w:pgMar w:top="1440" w:right="1440" w:bottom="1440" w:left="1440" w:header="720" w:footer="720"/>
        </w:sectPr>
      </w:pPr>
      <w:r>
        <w:rPr>
          <w:rFonts w:ascii="Times New Roman" w:hAnsi="Times New Roman" w:eastAsia="Times New Roman" w:cs="Times New Roman"/>
          <w:color w:val="1E2A36"/>
          <w:sz w:val="22"/>
          <w:szCs w:val="22"/>
        </w:rPr>
        <w:t>The MMMF retains the remaining thirty percent for the service reimbursement pilot and contingency operations. This reserve releases according to the verification and payment procedures in Article 5.</w:t>
      </w:r>
    </w:p>
    <w:p>
      <w:pPr>
        <w:pStyle w:val="Heading1"/>
      </w:pPr>
      <w:r>
        <w:rPr>
          <w:rFonts w:ascii="Times New Roman" w:hAnsi="Times New Roman" w:eastAsia="Times New Roman" w:cs="Times New Roman"/>
          <w:b/>
          <w:color w:val="4A5D6E"/>
          <w:sz w:val="28"/>
          <w:szCs w:val="28"/>
        </w:rPr>
        <w:t>Article 11 - Material Breach</w:t>
      </w:r>
    </w:p>
    <w:p>
      <w:pPr>
        <w:pStyle w:val="Heading2"/>
      </w:pPr>
      <w:r>
        <w:rPr>
          <w:rFonts w:ascii="Times New Roman" w:hAnsi="Times New Roman" w:eastAsia="Times New Roman" w:cs="Times New Roman"/>
          <w:b/>
          <w:color w:val="1E2A36"/>
          <w:sz w:val="24"/>
          <w:szCs w:val="24"/>
        </w:rPr>
        <w:t>11.1 Definition</w:t>
      </w:r>
    </w:p>
    <w:p>
      <w:pPr>
        <w:pStyle w:val="Normal"/>
        <w:spacing w:after="180" w:line="288" w:lineRule="auto"/>
        <w:jc w:val="both"/>
      </w:pPr>
      <w:r>
        <w:rPr>
          <w:rFonts w:ascii="Times New Roman" w:hAnsi="Times New Roman" w:eastAsia="Times New Roman" w:cs="Times New Roman"/>
          <w:color w:val="1E2A36"/>
          <w:sz w:val="22"/>
          <w:szCs w:val="22"/>
        </w:rPr>
        <w:t>The framework architecture recognizes the following actions as Material Breach:</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Deliberate jamming or interference with AIS satellite feeds or coastal radar data originating from a Party's territory or assets.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Deliberate refusal to transmit coastal radar or satellite data to the Shared Digital Registry after system activation.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Failure to maintain JMC staffing at the minimum level defined in Annex Mo for more than seventy-two consecutive hours.</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Persistent transmission of data below the signal-to-noise threshold defined in Article 3.5 or in a format that violates Annex U, Section 3.</w:t>
      </w:r>
    </w:p>
    <w:p>
      <w:pPr>
        <w:pStyle w:val="Heading2"/>
      </w:pPr>
      <w:r>
        <w:rPr>
          <w:rFonts w:ascii="Times New Roman" w:hAnsi="Times New Roman" w:eastAsia="Times New Roman" w:cs="Times New Roman"/>
          <w:b/>
          <w:color w:val="1E2A36"/>
          <w:sz w:val="24"/>
          <w:szCs w:val="24"/>
        </w:rPr>
        <w:t>11.2 Framework Response</w:t>
      </w:r>
    </w:p>
    <w:p>
      <w:pPr>
        <w:pStyle w:val="Normal"/>
        <w:spacing w:after="180" w:line="288" w:lineRule="auto"/>
        <w:jc w:val="both"/>
      </w:pPr>
      <w:r>
        <w:rPr>
          <w:rFonts w:ascii="Times New Roman" w:hAnsi="Times New Roman" w:eastAsia="Times New Roman" w:cs="Times New Roman"/>
          <w:color w:val="1E2A36"/>
          <w:sz w:val="22"/>
          <w:szCs w:val="22"/>
        </w:rPr>
        <w:t>A Material Breach activates the following framework response: the non-breaching Party logs the breach in the Shared Digital Registry with supporting telemetry; the JMC Chief Technical Officer confirms the breach classification within forty-eight hours; and the PCC convenes an emergency mediation session within seventy-two hours of confirmation.</w:t>
      </w:r>
    </w:p>
    <w:p>
      <w:pPr>
        <w:pStyle w:val="Normal"/>
        <w:spacing w:after="180" w:line="288" w:lineRule="auto"/>
        <w:jc w:val="both"/>
      </w:pPr>
      <w:r>
        <w:rPr>
          <w:rFonts w:ascii="Times New Roman" w:hAnsi="Times New Roman" w:eastAsia="Times New Roman" w:cs="Times New Roman"/>
          <w:color w:val="1E2A36"/>
          <w:sz w:val="22"/>
          <w:szCs w:val="22"/>
        </w:rPr>
        <w:t>The framework architecture continues all technical monitoring during a Material Breach dispute. Neither Party suspends data transmission or withdraws JMC personnel during a Material Breach dispute.</w:t>
      </w:r>
    </w:p>
    <w:p>
      <w:pPr>
        <w:pStyle w:val="Heading2"/>
      </w:pPr>
      <w:r>
        <w:rPr>
          <w:rFonts w:ascii="Times New Roman" w:hAnsi="Times New Roman" w:eastAsia="Times New Roman" w:cs="Times New Roman"/>
          <w:b/>
          <w:color w:val="1E2A36"/>
          <w:sz w:val="24"/>
          <w:szCs w:val="24"/>
        </w:rPr>
        <w:t>11.3 Political Interference Clause</w:t>
      </w:r>
    </w:p>
    <w:p>
      <w:pPr>
        <w:pStyle w:val="Normal"/>
        <w:spacing w:after="180" w:line="288" w:lineRule="auto"/>
        <w:jc w:val="both"/>
      </w:pPr>
      <w:r>
        <w:rPr>
          <w:rFonts w:ascii="Times New Roman" w:hAnsi="Times New Roman" w:eastAsia="Times New Roman" w:cs="Times New Roman"/>
          <w:color w:val="1E2A36"/>
          <w:sz w:val="22"/>
          <w:szCs w:val="22"/>
        </w:rPr>
        <w:t>The framework architecture recognizes that actions short of technical Material Breach materially impede the operational environment. The following actions constitute Political Interference: restricting JMC personnel movement through delayed visas, denied port access, or administrative obstacles; public threats against monitoring systems, telemetry infrastructure, or JMC staff; state-media campaigns that undermine the technical integrity of the framework; and deliberate obstruction of supply vessels or logistics convoys supporting JMC operations.</w:t>
      </w:r>
    </w:p>
    <w:p>
      <w:pPr>
        <w:pStyle w:val="Normal"/>
        <w:spacing w:after="180" w:line="288" w:lineRule="auto"/>
        <w:jc w:val="both"/>
        <w:sectPr>
          <w:type w:val="nextPage"/>
          <w:pgSz w:w="11906" w:h="16838"/>
          <w:pgMar w:top="1440" w:right="1440" w:bottom="1440" w:left="1440" w:header="720" w:footer="720"/>
        </w:sectPr>
      </w:pPr>
      <w:r>
        <w:rPr>
          <w:rFonts w:ascii="Times New Roman" w:hAnsi="Times New Roman" w:eastAsia="Times New Roman" w:cs="Times New Roman"/>
          <w:color w:val="1E2A36"/>
          <w:sz w:val="22"/>
          <w:szCs w:val="22"/>
        </w:rPr>
        <w:t>Political Interference activates the following parallel escalation track: the affected Party logs the interference in the Shared Digital Registry with supporting documentation within 12 hours of detection; the PCC convenes a Political Good Faith mediation session within 48 hours of logging; and the PCC, by two-thirds majority vote, formally finds that Political Interference is occurring and materially impeding JMC operations. The PCC's finding requires clear and convincing evidence. Upon PCC confirmation, the 60-day timeline pauses for a maximum of 14 days. If mediation produces a resolution within 14 days the timeline resumes upon PCC notification of resolution. If mediation fails to resolve the interference within 14 days the timeline resumes automatically regardless of mediation status. Political Interference does not trigger the technical breach penalties under Article 11.2. The 14-day cap and the PCC discretionary finding prevent either Party from weaponizing the pause mechanism through serial or frivolous interference claims while preserving the remedy for genuine operational impediments.</w:t>
      </w:r>
    </w:p>
    <w:p>
      <w:pPr>
        <w:pStyle w:val="Heading1"/>
      </w:pPr>
      <w:r>
        <w:rPr>
          <w:rFonts w:ascii="Times New Roman" w:hAnsi="Times New Roman" w:eastAsia="Times New Roman" w:cs="Times New Roman"/>
          <w:b/>
          <w:color w:val="4A5D6E"/>
          <w:sz w:val="28"/>
          <w:szCs w:val="28"/>
        </w:rPr>
        <w:t>Article 12 - Weekly Red Team Review</w:t>
      </w:r>
    </w:p>
    <w:p>
      <w:pPr>
        <w:pStyle w:val="Heading2"/>
      </w:pPr>
      <w:r>
        <w:rPr>
          <w:rFonts w:ascii="Times New Roman" w:hAnsi="Times New Roman" w:eastAsia="Times New Roman" w:cs="Times New Roman"/>
          <w:b/>
          <w:color w:val="1E2A36"/>
          <w:sz w:val="24"/>
          <w:szCs w:val="24"/>
        </w:rPr>
        <w:t>12.1 Red Team Mandate</w:t>
      </w:r>
    </w:p>
    <w:p>
      <w:pPr>
        <w:pStyle w:val="Normal"/>
        <w:spacing w:after="180" w:line="288" w:lineRule="auto"/>
        <w:jc w:val="both"/>
      </w:pPr>
      <w:r>
        <w:rPr>
          <w:rFonts w:ascii="Times New Roman" w:hAnsi="Times New Roman" w:eastAsia="Times New Roman" w:cs="Times New Roman"/>
          <w:color w:val="1E2A36"/>
          <w:sz w:val="22"/>
          <w:szCs w:val="22"/>
        </w:rPr>
        <w:t>The JMC maintains a standing Red Team. This team operates continuously during the Testing Phase and the Cooling-Off Period. The Red Team identifies weaknesses in the monitoring system, tests data integrity, and probes for vulnerabilities in the telemetry chain.</w:t>
      </w:r>
    </w:p>
    <w:p>
      <w:pPr>
        <w:pStyle w:val="Heading2"/>
      </w:pPr>
      <w:r>
        <w:rPr>
          <w:rFonts w:ascii="Times New Roman" w:hAnsi="Times New Roman" w:eastAsia="Times New Roman" w:cs="Times New Roman"/>
          <w:b/>
          <w:color w:val="1E2A36"/>
          <w:sz w:val="24"/>
          <w:szCs w:val="24"/>
        </w:rPr>
        <w:t>12.2 Weekly Review Cycle</w:t>
      </w:r>
    </w:p>
    <w:p>
      <w:pPr>
        <w:pStyle w:val="Normal"/>
        <w:spacing w:after="180" w:line="288" w:lineRule="auto"/>
        <w:jc w:val="both"/>
      </w:pPr>
      <w:r>
        <w:rPr>
          <w:rFonts w:ascii="Times New Roman" w:hAnsi="Times New Roman" w:eastAsia="Times New Roman" w:cs="Times New Roman"/>
          <w:color w:val="1E2A36"/>
          <w:sz w:val="22"/>
          <w:szCs w:val="22"/>
        </w:rPr>
        <w:t>The Red Team produces a findings report every seven days. The JMC distributes this report automatically to both Parties within twenty-four hours of completion. The report contains: identified system weaknesses; recommended corrective actions; and verification of data integrity across all feeds.</w:t>
      </w:r>
    </w:p>
    <w:p>
      <w:pPr>
        <w:pStyle w:val="Heading2"/>
      </w:pPr>
      <w:r>
        <w:rPr>
          <w:rFonts w:ascii="Times New Roman" w:hAnsi="Times New Roman" w:eastAsia="Times New Roman" w:cs="Times New Roman"/>
          <w:b/>
          <w:color w:val="1E2A36"/>
          <w:sz w:val="24"/>
          <w:szCs w:val="24"/>
        </w:rPr>
        <w:t>12.3 Continuous Improvement</w:t>
      </w:r>
    </w:p>
    <w:p>
      <w:pPr>
        <w:pStyle w:val="Normal"/>
        <w:spacing w:after="180" w:line="288" w:lineRule="auto"/>
        <w:jc w:val="both"/>
      </w:pPr>
      <w:r>
        <w:rPr>
          <w:rFonts w:ascii="Times New Roman" w:hAnsi="Times New Roman" w:eastAsia="Times New Roman" w:cs="Times New Roman"/>
          <w:color w:val="1E2A36"/>
          <w:sz w:val="22"/>
          <w:szCs w:val="22"/>
        </w:rPr>
        <w:t>Both Parties review the Red Team findings and implement corrective actions through the JMC. The Shared Digital Registry logs all findings and corrective actions. The Red Team verifies implementation of all corrective actions in its subsequent report.</w:t>
      </w:r>
    </w:p>
    <w:p>
      <w:pPr>
        <w:pStyle w:val="Heading2"/>
      </w:pPr>
      <w:r>
        <w:rPr>
          <w:rFonts w:ascii="Times New Roman" w:hAnsi="Times New Roman" w:eastAsia="Times New Roman" w:cs="Times New Roman"/>
          <w:b/>
          <w:color w:val="1E2A36"/>
          <w:sz w:val="24"/>
          <w:szCs w:val="24"/>
        </w:rPr>
        <w:t>12.4 Data Fidelity Bonus</w:t>
      </w:r>
    </w:p>
    <w:p>
      <w:pPr>
        <w:pStyle w:val="Normal"/>
        <w:spacing w:after="180" w:line="288" w:lineRule="auto"/>
        <w:jc w:val="both"/>
      </w:pPr>
      <w:r>
        <w:rPr>
          <w:rFonts w:ascii="Times New Roman" w:hAnsi="Times New Roman" w:eastAsia="Times New Roman" w:cs="Times New Roman"/>
          <w:color w:val="1E2A36"/>
          <w:sz w:val="22"/>
          <w:szCs w:val="22"/>
        </w:rPr>
        <w:t>The framework architecture incentivizes ruthless Red Team analysis through a Data Fidelity Bonus. The Red Team receives a performance bonus from the MMMF contingency reserve when it identifies a material vulnerability in the monitoring system, telemetry chain, or data integrity architecture that the JMC subsequently patches before exploitation. A material vulnerability means a flaw that degrades detection accuracy by more than 10 percent, creates a false-negative pathway for transit metrics, or exposes the Shared Digital Registry to unauthorized data modification.</w:t>
      </w:r>
    </w:p>
    <w:p>
      <w:pPr>
        <w:pStyle w:val="Normal"/>
        <w:spacing w:after="180" w:line="288" w:lineRule="auto"/>
        <w:jc w:val="both"/>
        <w:sectPr>
          <w:type w:val="nextPage"/>
          <w:pgSz w:w="11906" w:h="16838"/>
          <w:pgMar w:top="1440" w:right="1440" w:bottom="1440" w:left="1440" w:header="720" w:footer="720"/>
        </w:sectPr>
      </w:pPr>
      <w:r>
        <w:rPr>
          <w:rFonts w:ascii="Times New Roman" w:hAnsi="Times New Roman" w:eastAsia="Times New Roman" w:cs="Times New Roman"/>
          <w:color w:val="1E2A36"/>
          <w:sz w:val="22"/>
          <w:szCs w:val="22"/>
        </w:rPr>
        <w:t>The bonus operates as follows: the Red Team documents the vulnerability in its weekly findings report with proof-of-concept evidence; the JMC Chief Technical Officer confirms the material nature of the vulnerability within 48 hours; the JMC patches the vulnerability and documents the remediation; and upon verification of successful patching, the Facilitator Troika releases a bonus of $150,000 (or equivalent in a mutually agreed currency) from the MMMF contingency reserve to the Red Team operating budget. This allocation is distinct from Verification Fund credits and constitutes real funding for Red Team operations. The Shared Digital Registry logs every bonus award with the vulnerability description and remediation record. The Data Fidelity Bonus transforms the Red Team from a compliance exercise into an active defensive asset.</w:t>
      </w:r>
    </w:p>
    <w:p>
      <w:pPr>
        <w:pStyle w:val="Heading2"/>
      </w:pPr>
      <w:r>
        <w:rPr>
          <w:rFonts w:ascii="Times New Roman" w:hAnsi="Times New Roman" w:eastAsia="Times New Roman" w:cs="Times New Roman"/>
          <w:b/>
          <w:color w:val="1E2A36"/>
          <w:sz w:val="24"/>
          <w:szCs w:val="24"/>
        </w:rPr>
        <w:t>12.5 Whistleblower Protection</w:t>
      </w:r>
    </w:p>
    <w:p>
      <w:pPr>
        <w:pStyle w:val="Normal"/>
        <w:spacing w:after="180" w:line="288" w:lineRule="auto"/>
        <w:jc w:val="both"/>
      </w:pPr>
      <w:r>
        <w:rPr>
          <w:rFonts w:ascii="Times New Roman" w:hAnsi="Times New Roman" w:eastAsia="Times New Roman" w:cs="Times New Roman"/>
          <w:color w:val="1E2A36"/>
          <w:sz w:val="22"/>
          <w:szCs w:val="22"/>
        </w:rPr>
        <w:t>The framework architecture protects JMC staff, Red Team members, and technical personnel from retaliation for good-faith reporting of technical irregularities, data integrity concerns, or procedural misconduct. A Protected Disclosure means any report of a material issue logged in the Shared Digital Registry through official JMC channels. Neither Party takes adverse action against any JMC personnel for making a Protected Disclosure. Adverse action includes recall of accredited personnel, suspension of national liaison privileges, withholding of logistical support, or public attribution of disclosure content to the reporting individual.</w:t>
      </w:r>
    </w:p>
    <w:p>
      <w:pPr>
        <w:pStyle w:val="Normal"/>
        <w:spacing w:after="180" w:line="288" w:lineRule="auto"/>
        <w:jc w:val="both"/>
      </w:pPr>
      <w:r>
        <w:rPr>
          <w:rFonts w:ascii="Times New Roman" w:hAnsi="Times New Roman" w:eastAsia="Times New Roman" w:cs="Times New Roman"/>
          <w:color w:val="1E2A36"/>
          <w:sz w:val="22"/>
          <w:szCs w:val="22"/>
        </w:rPr>
        <w:t>The Facilitator Troika investigates any alleged retaliation upon written complaint by the affected individual or either Party. The investigation completes within 14 days of complaint logging. Upon confirmation of retaliation the Facilitator Troika imposes procedural sanctions including suspension of the retaliating Party's challenge rights under Article 14 for 7 days and mandatory PCC review of the retaliating Party's compliance status. The Shared Digital Registry logs every Protected Disclosure, investigation, and sanction with full chain-of-custody. The whistleblower protection architecture ensures JMC personnel report concerns without fear of national reprisal.</w:t>
      </w:r>
    </w:p>
    <w:p>
      <w:pPr>
        <w:pStyle w:val="Heading1"/>
      </w:pPr>
      <w:r>
        <w:rPr>
          <w:rFonts w:ascii="Times New Roman" w:hAnsi="Times New Roman" w:eastAsia="Times New Roman" w:cs="Times New Roman"/>
          <w:b/>
          <w:color w:val="4A5D6E"/>
          <w:sz w:val="28"/>
          <w:szCs w:val="24"/>
        </w:rPr>
        <w:t>Article 13 - Third-Party Vessel Compliance</w:t>
      </w:r>
    </w:p>
    <w:p>
      <w:pPr>
        <w:pStyle w:val="Heading2"/>
      </w:pPr>
      <w:r>
        <w:rPr>
          <w:rFonts w:ascii="Times New Roman" w:hAnsi="Times New Roman" w:eastAsia="Times New Roman" w:cs="Times New Roman"/>
          <w:b/>
          <w:color w:val="1E2A36"/>
          <w:sz w:val="24"/>
          <w:szCs w:val="24"/>
        </w:rPr>
        <w:t>13.1 National Maritime Space Obligation</w:t>
      </w:r>
    </w:p>
    <w:p>
      <w:pPr>
        <w:pStyle w:val="Normal"/>
        <w:spacing w:after="180" w:line="288" w:lineRule="auto"/>
        <w:jc w:val="both"/>
      </w:pPr>
      <w:r>
        <w:rPr>
          <w:rFonts w:ascii="Times New Roman" w:hAnsi="Times New Roman" w:eastAsia="Times New Roman" w:cs="Times New Roman"/>
          <w:color w:val="1E2A36"/>
          <w:sz w:val="22"/>
          <w:szCs w:val="22"/>
        </w:rPr>
        <w:t>Each Party exercises maximum diplomatic effort to ensure that all vessels flying its flag or operating within its de facto zones of control comply with the transit metrics defined in Annex A. The framework architecture treats failure to maintain this control as a technical failure by that Party to steward its national maritime space.</w:t>
      </w:r>
    </w:p>
    <w:p>
      <w:pPr>
        <w:pStyle w:val="Heading2"/>
      </w:pPr>
      <w:r>
        <w:rPr>
          <w:rFonts w:ascii="Times New Roman" w:hAnsi="Times New Roman" w:eastAsia="Times New Roman" w:cs="Times New Roman"/>
          <w:b/>
          <w:color w:val="1E2A36"/>
          <w:sz w:val="24"/>
          <w:szCs w:val="24"/>
        </w:rPr>
        <w:t>13.2 Proxy and Rogue Vessel Protocol</w:t>
      </w:r>
    </w:p>
    <w:p>
      <w:pPr>
        <w:pStyle w:val="Normal"/>
        <w:spacing w:after="180" w:line="288" w:lineRule="auto"/>
        <w:jc w:val="both"/>
      </w:pPr>
      <w:r>
        <w:rPr>
          <w:rFonts w:ascii="Times New Roman" w:hAnsi="Times New Roman" w:eastAsia="Times New Roman" w:cs="Times New Roman"/>
          <w:color w:val="1E2A36"/>
          <w:sz w:val="22"/>
          <w:szCs w:val="22"/>
        </w:rPr>
        <w:t>Neither Party authorizes, supports, or tolerates actions by vessels under its jurisdiction that violate Annex A metrics. A pattern of violations by vessels associated with one Party triggers the Material Breach procedure under Article 11.</w:t>
      </w:r>
    </w:p>
    <w:p>
      <w:pPr>
        <w:pStyle w:val="Heading2"/>
      </w:pPr>
      <w:r>
        <w:rPr>
          <w:rFonts w:ascii="Times New Roman" w:hAnsi="Times New Roman" w:eastAsia="Times New Roman" w:cs="Times New Roman"/>
          <w:b/>
          <w:color w:val="1E2A36"/>
          <w:sz w:val="24"/>
          <w:szCs w:val="24"/>
        </w:rPr>
        <w:t>13.3 Framework Exclusion</w:t>
      </w:r>
    </w:p>
    <w:p>
      <w:pPr>
        <w:pStyle w:val="Normal"/>
        <w:spacing w:after="180" w:line="288" w:lineRule="auto"/>
        <w:jc w:val="both"/>
        <w:sectPr>
          <w:type w:val="nextPage"/>
          <w:pgSz w:w="11906" w:h="16838"/>
          <w:pgMar w:top="1440" w:right="1440" w:bottom="1440" w:left="1440" w:header="720" w:footer="720"/>
        </w:sectPr>
      </w:pPr>
      <w:r>
        <w:rPr>
          <w:rFonts w:ascii="Times New Roman" w:hAnsi="Times New Roman" w:eastAsia="Times New Roman" w:cs="Times New Roman"/>
          <w:color w:val="1E2A36"/>
          <w:sz w:val="22"/>
          <w:szCs w:val="22"/>
        </w:rPr>
        <w:t>The framework architecture excludes third-party proxies and rogue vessels from justification for escalation between the Parties. Either Party reports suspicious third-party vessel activity through the JMC for technical review rather than unilateral response.</w:t>
      </w:r>
    </w:p>
    <w:p>
      <w:pPr>
        <w:pStyle w:val="Heading1"/>
      </w:pPr>
      <w:r>
        <w:rPr>
          <w:rFonts w:ascii="Times New Roman" w:hAnsi="Times New Roman" w:eastAsia="Times New Roman" w:cs="Times New Roman"/>
          <w:b/>
          <w:color w:val="4A5D6E"/>
          <w:sz w:val="28"/>
          <w:szCs w:val="28"/>
        </w:rPr>
        <w:t>Appendix A - Authorized Negotiators</w:t>
      </w:r>
    </w:p>
    <w:p>
      <w:pPr>
        <w:pStyle w:val="Normal"/>
        <w:spacing w:after="180" w:line="288" w:lineRule="auto"/>
        <w:jc w:val="both"/>
      </w:pPr>
      <w:r>
        <w:rPr>
          <w:rFonts w:ascii="Times New Roman" w:hAnsi="Times New Roman" w:eastAsia="Times New Roman" w:cs="Times New Roman"/>
          <w:color w:val="1E2A36"/>
          <w:sz w:val="22"/>
          <w:szCs w:val="22"/>
        </w:rPr>
        <w:t>The following individuals hold exclusive decision-making authority for this Annex:</w:t>
      </w:r>
    </w:p>
    <w:p>
      <w:pPr>
        <w:pStyle w:val="Normal"/>
        <w:spacing w:before="120" w:after="240" w:line="288" w:lineRule="auto"/>
        <w:ind w:left="720" w:right="720"/>
        <w:jc w:val="both"/>
      </w:pPr>
      <w:r>
        <w:rPr>
          <w:i/>
          <w:color w:val="1E2A36"/>
          <w:sz w:val="22"/>
          <w:rFonts w:ascii="Times New Roman" w:hAnsi="Times New Roman" w:eastAsia="Times New Roman" w:cs="Times New Roman"/>
          <w:szCs w:val="21"/>
          <w:b/>
        </w:rPr>
        <w:t>For the United States of America:</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Primary: [Name], [Title]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Alternate: [Name], [Title]</w:t>
      </w:r>
    </w:p>
    <w:p>
      <w:pPr>
        <w:pStyle w:val="Normal"/>
        <w:spacing w:before="120" w:after="240" w:line="288" w:lineRule="auto"/>
        <w:ind w:left="720" w:right="720"/>
        <w:jc w:val="both"/>
      </w:pPr>
      <w:r>
        <w:rPr>
          <w:i/>
          <w:color w:val="1E2A36"/>
          <w:sz w:val="22"/>
          <w:rFonts w:ascii="Times New Roman" w:hAnsi="Times New Roman" w:eastAsia="Times New Roman" w:cs="Times New Roman"/>
          <w:szCs w:val="21"/>
          <w:b/>
        </w:rPr>
        <w:t>For the Islamic Republic of Iran:</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Primary: [Name], [Title]</w:t>
      </w:r>
    </w:p>
    <w:p>
      <w:pPr>
        <w:pStyle w:val="Normal"/>
        <w:numPr>
          <w:ilvl w:val="0"/>
          <w:numId w:val="1"/>
        </w:numPr>
        <w:spacing w:after="120" w:line="276" w:lineRule="auto"/>
        <w:jc w:val="both"/>
      </w:pPr>
      <w:r>
        <w:rPr>
          <w:rFonts w:ascii="Times New Roman" w:hAnsi="Times New Roman" w:eastAsia="Times New Roman" w:cs="Times New Roman"/>
          <w:color w:val="1E2A36"/>
          <w:sz w:val="22"/>
          <w:szCs w:val="22"/>
        </w:rPr>
        <w:t>Alternate: [Name], [Title]</w:t>
      </w:r>
    </w:p>
    <w:p>
      <w:pPr>
        <w:pStyle w:val="Normal"/>
        <w:spacing w:after="180" w:line="288" w:lineRule="auto"/>
        <w:jc w:val="both"/>
      </w:pPr>
      <w:r>
        <w:rPr>
          <w:rFonts w:ascii="Times New Roman" w:hAnsi="Times New Roman" w:eastAsia="Times New Roman" w:cs="Times New Roman"/>
          <w:color w:val="1E2A36"/>
          <w:sz w:val="22"/>
          <w:szCs w:val="22"/>
        </w:rPr>
        <w:t>Decision-making authority rests exclusively with the named individuals or their documented alternates. A change of primary negotiator requires written notification to the JMC and the other Party at least forty-eight hours in advance. An unauthorized personnel change does not constitute valid cause for reopening discussions.</w:t>
      </w:r>
    </w:p>
    <w:p>
      <w:pPr>
        <w:pStyle w:val="Normal"/>
        <w:spacing w:after="180" w:line="288" w:lineRule="auto"/>
        <w:jc w:val="both"/>
      </w:pPr>
      <w:r>
        <w:rPr>
          <w:rFonts w:ascii="Times New Roman" w:hAnsi="Times New Roman" w:eastAsia="Times New Roman" w:cs="Times New Roman"/>
          <w:color w:val="1E2A36"/>
          <w:sz w:val="22"/>
          <w:szCs w:val="22"/>
        </w:rPr>
        <w:t>Bundled claims: The Claimant Party submits bundled claims for repetitive services in a single submission. A bundle covers multiple instances of the same service type across a defined period. The bundle includes all required evidence for each instance. The JMC verifies the bundle as a single claim for purposes of pacing limits and credit calculation. The credit value for a bundle equals the sum of the individual instance credits. Bundling reduces administrative burden for routine services and allows the JMC to focus on higher-value or contested claims.</w:t>
      </w:r>
    </w:p>
    <w:p>
      <w:pPr>
        <w:pStyle w:val="Heading2"/>
      </w:pPr>
      <w:r>
        <w:rPr>
          <w:rFonts w:ascii="Times New Roman" w:hAnsi="Times New Roman" w:eastAsia="Times New Roman" w:cs="Times New Roman"/>
          <w:b/>
          <w:color w:val="1E2A36"/>
          <w:sz w:val="24"/>
          <w:szCs w:val="24"/>
        </w:rPr>
        <w:t>14.3 Initial Verification and Verification Fund</w:t>
      </w:r>
    </w:p>
    <w:p>
      <w:pPr>
        <w:pStyle w:val="Normal"/>
        <w:spacing w:after="180" w:line="288" w:lineRule="auto"/>
        <w:jc w:val="both"/>
      </w:pPr>
      <w:r>
        <w:rPr>
          <w:rFonts w:ascii="Times New Roman" w:hAnsi="Times New Roman" w:eastAsia="Times New Roman" w:cs="Times New Roman"/>
          <w:color w:val="1E2A36"/>
          <w:sz w:val="22"/>
          <w:szCs w:val="22"/>
        </w:rPr>
        <w:t>The JMC Technical Working Group assesses every submitted claim against the objective data in the Shared Digital Registry. The Group compares the Claimant Party's evidence against the golden record: the unalterable, cryptographically sealed data stream that both Parties contribute to continuously.</w:t>
      </w:r>
    </w:p>
    <w:p>
      <w:pPr>
        <w:pStyle w:val="Normal"/>
        <w:spacing w:after="180" w:line="288" w:lineRule="auto"/>
        <w:jc w:val="both"/>
      </w:pPr>
      <w:r>
        <w:rPr>
          <w:rFonts w:ascii="Times New Roman" w:hAnsi="Times New Roman" w:eastAsia="Times New Roman" w:cs="Times New Roman"/>
          <w:color w:val="1E2A36"/>
          <w:sz w:val="22"/>
          <w:szCs w:val="22"/>
        </w:rPr>
        <w:t>The Technical Working Group assigns a confirmation level to every claim:</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Confirmation Level</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Data Alignment</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Effect on Challenge Cost</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Full confirmation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100 percent data alignment between claim and golden record</w:t>
            </w:r>
          </w:p>
        </w:tc>
        <w:tc>
          <w:tcPr>
            <w:tcW w:w="7600" w:type="dxa"/>
          </w:tcPr>
          <w:p>
            <w:pPr>
              <w:pStyle w:val="Normal"/>
              <w:spacing w:before="60" w:after="60"/>
              <w:jc w:val="left"/>
            </w:pPr>
            <w:r>
              <w:rPr>
                <w:b/>
                <w:color w:val="1E2A36"/>
                <w:sz w:val="22"/>
                <w:rFonts w:ascii="Times New Roman" w:hAnsi="Times New Roman" w:eastAsia="Times New Roman" w:cs="Times New Roman"/>
                <w:szCs w:val="20"/>
              </w:rPr>
              <w:t>Verifier challenge cost multiplies by 1.5 times</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Partial confirmation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50 to 99 percent data alignment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Verifier challenge cost remains at standard rate</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No confirmation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Below 50 percent data alignment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Verifier challenge cost reduces to 0.5 times</w:t>
            </w:r>
          </w:p>
        </w:tc>
      </w:tr>
    </w:tbl>
    <w:p>
      <w:pPr>
        <w:pStyle w:val="Normal"/>
        <w:spacing w:after="180" w:line="288" w:lineRule="auto"/>
        <w:jc w:val="both"/>
      </w:pPr>
      <w:r>
        <w:rPr>
          <w:rFonts w:ascii="Times New Roman" w:hAnsi="Times New Roman" w:eastAsia="Times New Roman" w:cs="Times New Roman"/>
          <w:color w:val="1E2A36"/>
          <w:sz w:val="22"/>
          <w:szCs w:val="22"/>
        </w:rPr>
        <w:t>Upon confirmation by the Technical Working Group, the claim enters the Verification Fund. Credits accumulate according to the following schedule:</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Service Type</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Base Credit Value</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Rapid-Confirmation Bonus (within 12 hours)</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Mine-sweeping (per linear kilometer)</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10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 credits</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Daily strait monitoring (per day)</w:t>
            </w:r>
          </w:p>
        </w:tc>
        <w:tc>
          <w:tcPr>
            <w:tcW w:w="7600" w:type="dxa"/>
          </w:tcPr>
          <w:p>
            <w:pPr>
              <w:pStyle w:val="Normal"/>
              <w:spacing w:before="60" w:after="60"/>
              <w:jc w:val="left"/>
            </w:pPr>
            <w:r>
              <w:rPr>
                <w:b/>
                <w:color w:val="1E2A36"/>
                <w:sz w:val="22"/>
                <w:rFonts w:ascii="Times New Roman" w:hAnsi="Times New Roman" w:eastAsia="Times New Roman" w:cs="Times New Roman"/>
                <w:szCs w:val="20"/>
              </w:rPr>
              <w:t>5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 credit</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Search-and-rescue coordination (per incident)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8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 credit</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Environmental response (per incident)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6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 credit</w:t>
            </w:r>
          </w:p>
        </w:tc>
      </w:tr>
    </w:tbl>
    <w:p>
      <w:pPr>
        <w:pStyle w:val="Normal"/>
        <w:spacing w:after="180" w:line="288" w:lineRule="auto"/>
        <w:jc w:val="both"/>
      </w:pPr>
      <w:r>
        <w:rPr>
          <w:rFonts w:ascii="Times New Roman" w:hAnsi="Times New Roman" w:eastAsia="Times New Roman" w:cs="Times New Roman"/>
          <w:color w:val="1E2A36"/>
          <w:sz w:val="22"/>
          <w:szCs w:val="22"/>
        </w:rPr>
        <w:t>The framework architecture awards the rapid-confirmation bonus automatically when the Technical Working Group confirms the claim within 12 hours of submission. The bonus rewards prompt, well-documented claims and accelerates the verification pipeline.</w:t>
      </w:r>
    </w:p>
    <w:p>
      <w:pPr>
        <w:pStyle w:val="Normal"/>
        <w:spacing w:after="180" w:line="288" w:lineRule="auto"/>
        <w:jc w:val="both"/>
      </w:pPr>
      <w:r>
        <w:rPr>
          <w:rFonts w:ascii="Times New Roman" w:hAnsi="Times New Roman" w:eastAsia="Times New Roman" w:cs="Times New Roman"/>
          <w:color w:val="1E2A36"/>
          <w:sz w:val="22"/>
          <w:szCs w:val="22"/>
        </w:rPr>
        <w:t>The 50-credit threshold determines the Testing Phase outcome under Article 14.12. Accumulation of 50 or more verified credits triggers automatic progression to the Cooling-Off Period with positive momentum designation. The framework architecture fixes this threshold. No Party renegotiates it.</w:t>
      </w:r>
    </w:p>
    <w:p>
      <w:pPr>
        <w:pStyle w:val="Heading2"/>
      </w:pPr>
      <w:r>
        <w:rPr>
          <w:rFonts w:ascii="Times New Roman" w:hAnsi="Times New Roman" w:eastAsia="Times New Roman" w:cs="Times New Roman"/>
          <w:b/>
          <w:color w:val="1E2A36"/>
          <w:sz w:val="24"/>
          <w:szCs w:val="24"/>
        </w:rPr>
        <w:t>14.4 Review Phase</w:t>
      </w:r>
    </w:p>
    <w:p>
      <w:pPr>
        <w:pStyle w:val="Normal"/>
        <w:spacing w:after="180" w:line="288" w:lineRule="auto"/>
        <w:jc w:val="both"/>
      </w:pPr>
      <w:r>
        <w:rPr>
          <w:rFonts w:ascii="Times New Roman" w:hAnsi="Times New Roman" w:eastAsia="Times New Roman" w:cs="Times New Roman"/>
          <w:color w:val="1E2A36"/>
          <w:sz w:val="22"/>
          <w:szCs w:val="22"/>
        </w:rPr>
        <w:t>The Verifier Party possesses a 48-hour challenge window following JMC confirmation of any claim. The Verifier Party exercises this window by submitting a formal objection notice through the Shared Digital Registry. Every objection specifies the exact evidence in dispute and pays the applicable challenge cost from the Verifier Party's Verification Fund.</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gridCol w:w="7600"/>
      </w:tblGrid>
      <w:tr>
        <w:trPr>
          <w:tblHeader w:val="1"/>
        </w:trPr>
        <w:tc>
          <w:tcPr>
            <w:tcW w:w="24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Challenge Type</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Action</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Cost from Verifier Fund</w:t>
            </w:r>
          </w:p>
        </w:tc>
        <w:tc>
          <w:tcPr>
            <w:tcW w:w="7600" w:type="dxa"/>
            <w:shd w:val="clear" w:fill="E8ECEF" w:color="auto"/>
          </w:tcPr>
          <w:p>
            <w:pPr>
              <w:pStyle w:val="Normal"/>
              <w:spacing w:before="60" w:after="60"/>
              <w:jc w:val="left"/>
            </w:pPr>
            <w:r>
              <w:rPr>
                <w:b/>
                <w:color w:val="1E2A36"/>
                <w:sz w:val="20"/>
                <w:rFonts w:ascii="Times New Roman" w:hAnsi="Times New Roman" w:eastAsia="Times New Roman" w:cs="Times New Roman"/>
                <w:szCs w:val="20"/>
              </w:rPr>
              <w:t>Penalty if Challenge Fails</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Acceptance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The Verifier Party accepts the confirmation without objection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0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None; claim stands; reimbursement proceeds</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Technical review request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The Verifier Party requests panel review of specific evidence elements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5 credits (subject to JMC multiplier)</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10-credit penalty to Verifier Fund if review confirms claim</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Full objection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The Verifier Party asserts the claim is false and provides counter-evidence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20 credits (subject to JMC multiplier)</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Twice the reimbursement value if objection fails</w:t>
            </w:r>
          </w:p>
        </w:tc>
      </w:tr>
    </w:tbl>
    <w:p>
      <w:pPr>
        <w:pStyle w:val="Normal"/>
        <w:spacing w:after="180" w:line="288" w:lineRule="auto"/>
        <w:jc w:val="both"/>
      </w:pPr>
      <w:r>
        <w:rPr>
          <w:rFonts w:ascii="Times New Roman" w:hAnsi="Times New Roman" w:eastAsia="Times New Roman" w:cs="Times New Roman"/>
          <w:color w:val="1E2A36"/>
          <w:sz w:val="22"/>
          <w:szCs w:val="22"/>
        </w:rPr>
        <w:t>The Technical Review Panel convenes within 24 hours of challenge receipt. Both Parties present evidence to the Panel. The Panel bases its decision solely on the unalterable data in the Shared Digital Registry. The Panel issues a binding determination. The Shared Digital Registry logs the determination with a verification score.</w:t>
      </w:r>
    </w:p>
    <w:p>
      <w:pPr>
        <w:pStyle w:val="Heading2"/>
      </w:pPr>
      <w:r>
        <w:rPr>
          <w:rFonts w:ascii="Times New Roman" w:hAnsi="Times New Roman" w:eastAsia="Times New Roman" w:cs="Times New Roman"/>
          <w:b/>
          <w:color w:val="1E2A36"/>
          <w:sz w:val="24"/>
          <w:szCs w:val="24"/>
        </w:rPr>
        <w:t>14.5 JMC Confirmation Multiplier</w:t>
      </w:r>
    </w:p>
    <w:p>
      <w:pPr>
        <w:pStyle w:val="Normal"/>
        <w:spacing w:after="180" w:line="288" w:lineRule="auto"/>
        <w:jc w:val="both"/>
      </w:pPr>
      <w:r>
        <w:rPr>
          <w:rFonts w:ascii="Times New Roman" w:hAnsi="Times New Roman" w:eastAsia="Times New Roman" w:cs="Times New Roman"/>
          <w:color w:val="1E2A36"/>
          <w:sz w:val="22"/>
          <w:szCs w:val="22"/>
        </w:rPr>
        <w:t>The framework architecture corrects information asymmetry through the JMC Confirmation Multiplier. When the Technical Working Group's independent data fully confirms a claim before the Verifier Party issues any challenge, the Verifier Party's challenge cost increases proportionally. This multiplier reflects the fact that challenging objectively confirmed data carries higher procedural risk.</w:t>
      </w:r>
    </w:p>
    <w:p>
      <w:pPr>
        <w:pStyle w:val="Normal"/>
        <w:spacing w:after="180" w:line="288" w:lineRule="auto"/>
        <w:jc w:val="both"/>
      </w:pPr>
      <w:r>
        <w:rPr>
          <w:rFonts w:ascii="Times New Roman" w:hAnsi="Times New Roman" w:eastAsia="Times New Roman" w:cs="Times New Roman"/>
          <w:color w:val="1E2A36"/>
          <w:sz w:val="22"/>
          <w:szCs w:val="22"/>
        </w:rPr>
        <w:t>The multiplier applies at the confirmation levels defined in Article 14.3. Full confirmation (100 percent alignment) triggers the 1.5 times multiplier. Partial confirmation (50 to 99 percent) triggers standard rates. No confirmation (below 50 percent) triggers the 0.5 times discount. The multiplier applies to all challenge types uniformly.</w:t>
      </w:r>
    </w:p>
    <w:p>
      <w:pPr>
        <w:pStyle w:val="Normal"/>
        <w:spacing w:after="180" w:line="288" w:lineRule="auto"/>
        <w:jc w:val="both"/>
      </w:pPr>
      <w:r>
        <w:rPr>
          <w:rFonts w:ascii="Times New Roman" w:hAnsi="Times New Roman" w:eastAsia="Times New Roman" w:cs="Times New Roman"/>
          <w:color w:val="1E2A36"/>
          <w:sz w:val="22"/>
          <w:szCs w:val="22"/>
        </w:rPr>
        <w:t>The Technical Working Group publishes the confirmation level for every claim simultaneously with its confirmation decision. The Verifier Party knows the multiplier before deciding whether to challenge. The framework architecture treats the multiplier as advisory intelligence, not a barrier to legitimate review.</w:t>
      </w:r>
    </w:p>
    <w:p>
      <w:pPr>
        <w:pStyle w:val="Heading2"/>
      </w:pPr>
      <w:r>
        <w:rPr>
          <w:rFonts w:ascii="Times New Roman" w:hAnsi="Times New Roman" w:eastAsia="Times New Roman" w:cs="Times New Roman"/>
          <w:b/>
          <w:color w:val="1E2A36"/>
          <w:sz w:val="24"/>
          <w:szCs w:val="24"/>
        </w:rPr>
        <w:t>14.6 Adjudication and Partial Credit</w:t>
      </w:r>
    </w:p>
    <w:p>
      <w:pPr>
        <w:pStyle w:val="Normal"/>
        <w:spacing w:after="180" w:line="288" w:lineRule="auto"/>
        <w:jc w:val="both"/>
      </w:pPr>
      <w:r>
        <w:rPr>
          <w:rFonts w:ascii="Times New Roman" w:hAnsi="Times New Roman" w:eastAsia="Times New Roman" w:cs="Times New Roman"/>
          <w:color w:val="1E2A36"/>
          <w:sz w:val="22"/>
          <w:szCs w:val="22"/>
        </w:rPr>
        <w:t>The Technical Review Panel awards partial credit when a claim contains both accurate and inaccurate elements. The all-or-nothing approach creates inflation incentives. Partial credit rewards precision and penalizes exaggeration proportionally.</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Claim Accuracy</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Credit Award</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Reimbursement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90 to 100 percent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Full credit plus rapid-confirmation bonus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100 percent reimbursement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70 to 89 percent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75 percent of base credit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75 percent reimbursement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50 to 69 percent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50 percent of base credit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50 percent reimbursement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Below 50 percent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0 credit; claim rejection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No reimbursement; penalty applies per Article 14.1</w:t>
            </w:r>
          </w:p>
        </w:tc>
      </w:tr>
    </w:tbl>
    <w:p>
      <w:pPr>
        <w:pStyle w:val="Normal"/>
        <w:spacing w:after="180" w:line="288" w:lineRule="auto"/>
        <w:jc w:val="both"/>
      </w:pPr>
      <w:r>
        <w:rPr>
          <w:rFonts w:ascii="Times New Roman" w:hAnsi="Times New Roman" w:eastAsia="Times New Roman" w:cs="Times New Roman"/>
          <w:color w:val="1E2A36"/>
          <w:sz w:val="22"/>
          <w:szCs w:val="22"/>
        </w:rPr>
        <w:t>The Panel determines accuracy percentage by comparing the claim's scope, location, timing, and outcome against the golden record. A claim for 12 kilometers of mine-sweeping that verifies at 9 kilometers receives 75 percent credit. A claim for 12 kilometers that verifies at 6 kilometers receives 50 percent credit. The Panel publishes its percentage calculation methodology with every determination.</w:t>
      </w:r>
    </w:p>
    <w:p>
      <w:pPr>
        <w:pStyle w:val="Heading2"/>
      </w:pPr>
      <w:r>
        <w:rPr>
          <w:rFonts w:ascii="Times New Roman" w:hAnsi="Times New Roman" w:eastAsia="Times New Roman" w:cs="Times New Roman"/>
          <w:b/>
          <w:color w:val="1E2A36"/>
          <w:sz w:val="20"/>
          <w:szCs w:val="24"/>
        </w:rPr>
        <w:t>14.7 Anonymous Review Protocol</w:t>
      </w:r>
    </w:p>
    <w:p>
      <w:pPr>
        <w:pStyle w:val="Normal"/>
        <w:spacing w:after="180" w:line="288" w:lineRule="auto"/>
        <w:jc w:val="both"/>
      </w:pPr>
      <w:r>
        <w:rPr>
          <w:rFonts w:ascii="Times New Roman" w:hAnsi="Times New Roman" w:eastAsia="Times New Roman" w:cs="Times New Roman"/>
          <w:color w:val="1E2A36"/>
          <w:sz w:val="22"/>
          <w:szCs w:val="22"/>
        </w:rPr>
        <w:t>All challenges submit anonymously to the JMC. The framework architecture treats the review process as data-driven, not accusatory. Anonymity depersonalizes verification and prevents challenges from becoming diplomatic incidents.</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after="180" w:line="288" w:lineRule="auto"/>
              <w:jc w:val="both"/>
            </w:pPr>
            <w:r>
              <w:rPr>
                <w:rFonts w:ascii="Times New Roman" w:hAnsi="Times New Roman" w:eastAsia="Times New Roman" w:cs="Times New Roman"/>
                <w:color w:val="1E2A36"/>
                <w:sz w:val="22"/>
                <w:szCs w:val="22"/>
              </w:rPr>
              <w:t>Unified assessment checklist: The Phase Conclusion Assessment evaluates all performance indicators through a single unified checklist. The Assessment determines whether the following conditions are satisfied: performance benchmarks under Article 6.2 are met; zero persistent data quality failures under Article 3.5 occurred; the verification score threshold under Article 14.12 is satisfied. Failure on any of these grounds produces a presumptive recommendation for fallback to Extended Phase I under Article 7.3. Success on all grounds produces a presumptive recommendation for progression to a final deal or extension under Article 7.1 or 7.2. The unified checklist replaces the need to consult multiple articles independently at the Decision Point.</w:t>
            </w:r>
          </w:p>
          <w:p>
            <w:pPr>
              <w:pStyle w:val="Normal"/>
            </w:pPr>
            <w:r>
              <w:rPr>
                <w:rFonts w:ascii="Times New Roman" w:hAnsi="Times New Roman" w:eastAsia="Times New Roman" w:cs="Times New Roman"/>
                <w:b/>
                <w:color w:val="1E2A36"/>
                <w:sz w:val="22"/>
                <w:szCs w:val="20"/>
              </w:rPr>
              <w:t>Stage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Information Shared</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Challenge submission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challenged Party receives notice: "Your claim has been challenged. Submit supporting evidence by [date]." The challenging Party's identity remains concealed.</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Adjudication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Both Parties submit evidence to the Panel but do not see each other's evidence during the review process.</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Upheld claim</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challenger remains anonymous. No Party learns the challenging Party's identity.</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Overturned claim</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Panel reveals the challenger only to the challenged Party, not publicly. The revelation occurs through secure diplomatic channels, not the Shared Digital Registry.</w:t>
            </w:r>
          </w:p>
        </w:tc>
      </w:tr>
    </w:tbl>
    <w:p>
      <w:pPr>
        <w:pStyle w:val="Normal"/>
        <w:spacing w:after="180" w:line="288" w:lineRule="auto"/>
        <w:jc w:val="both"/>
      </w:pPr>
      <w:r>
        <w:rPr>
          <w:rFonts w:ascii="Times New Roman" w:hAnsi="Times New Roman" w:eastAsia="Times New Roman" w:cs="Times New Roman"/>
          <w:color w:val="1E2A36"/>
          <w:sz w:val="22"/>
          <w:szCs w:val="22"/>
        </w:rPr>
        <w:t>The Anonymous Review Protocol protects the integrity of the verification process. A Party that identifies the challenger through evidence patterns bears no penalty for that identification. The framework architecture treats anonymity as a procedural guarantee, not a permanent concealment mechanism.</w:t>
      </w:r>
    </w:p>
    <w:p>
      <w:pPr>
        <w:pStyle w:val="Heading2"/>
      </w:pPr>
      <w:r>
        <w:rPr>
          <w:rFonts w:ascii="Times New Roman" w:hAnsi="Times New Roman" w:eastAsia="Times New Roman" w:cs="Times New Roman"/>
          <w:b/>
          <w:color w:val="1E2A36"/>
          <w:sz w:val="20"/>
          <w:szCs w:val="24"/>
        </w:rPr>
        <w:t>14.8 Pacing Buffer</w:t>
      </w:r>
    </w:p>
    <w:p>
      <w:pPr>
        <w:pStyle w:val="Normal"/>
        <w:spacing w:after="180" w:line="288" w:lineRule="auto"/>
        <w:jc w:val="both"/>
      </w:pPr>
      <w:r>
        <w:rPr>
          <w:rFonts w:ascii="Times New Roman" w:hAnsi="Times New Roman" w:eastAsia="Times New Roman" w:cs="Times New Roman"/>
          <w:color w:val="1E2A36"/>
          <w:sz w:val="22"/>
          <w:szCs w:val="22"/>
        </w:rPr>
        <w:t>The framework architecture enforces pacing limits that prevent either Party from flooding the system with claims or challenges. The limits scale by phase and prioritize quality over volume.</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Period</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Maximum Claims per Day</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Maximum Challenges per Day</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Days 1 through 10 (Testing Phase)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3 claims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2 challenges</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Days 11 through 14 (Testing Phase)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 claims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3 challenges</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Days 15 through 44 (Cooling-Off Period)</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2 claims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2 challenges</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Final 5 days before Decision Point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1 claim</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1 challenge</w:t>
            </w:r>
          </w:p>
        </w:tc>
      </w:tr>
    </w:tbl>
    <w:p>
      <w:pPr>
        <w:pStyle w:val="Normal"/>
        <w:spacing w:after="180" w:line="288" w:lineRule="auto"/>
        <w:jc w:val="both"/>
      </w:pPr>
      <w:r>
        <w:rPr>
          <w:rFonts w:ascii="Times New Roman" w:hAnsi="Times New Roman" w:eastAsia="Times New Roman" w:cs="Times New Roman"/>
          <w:color w:val="1E2A36"/>
          <w:sz w:val="22"/>
          <w:szCs w:val="22"/>
        </w:rPr>
        <w:t>The JMC enforces pacing limits automatically. Claims or challenges exceeding the daily limit queue for the next available day. The Shared Digital Registry displays the current day's utilization status for both Parties. Neither Party gains priority from queue position.</w:t>
      </w:r>
    </w:p>
    <w:p>
      <w:pPr>
        <w:pStyle w:val="Heading2"/>
      </w:pPr>
      <w:r>
        <w:rPr>
          <w:rFonts w:ascii="Times New Roman" w:hAnsi="Times New Roman" w:eastAsia="Times New Roman" w:cs="Times New Roman"/>
          <w:b/>
          <w:color w:val="1E2A36"/>
          <w:sz w:val="20"/>
          <w:szCs w:val="24"/>
        </w:rPr>
        <w:t>14.9 Escrow Reserve for High-Value Claims</w:t>
      </w:r>
    </w:p>
    <w:p>
      <w:pPr>
        <w:pStyle w:val="Normal"/>
        <w:spacing w:after="180" w:line="288" w:lineRule="auto"/>
        <w:jc w:val="both"/>
      </w:pPr>
      <w:r>
        <w:rPr>
          <w:rFonts w:ascii="Times New Roman" w:hAnsi="Times New Roman" w:eastAsia="Times New Roman" w:cs="Times New Roman"/>
          <w:color w:val="1E2A36"/>
          <w:sz w:val="22"/>
          <w:szCs w:val="22"/>
        </w:rPr>
        <w:t>High-value claims carry disproportionate score risk. A single rejected major claim eliminates a Party's accumulated progress. The Escrow Reserve reduces this risk by holding a portion of the claim's credit value in suspense until adjudication completes.</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Claim Value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Reserve Percentage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Initial Score Impact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0 to 20 credits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No reserve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Full credit value enters the Verification Fund immediately upon confirmation</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21 to 50 credits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50 percent held in reserve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50 percent enters the Fund upon confirmation; remaining 50 percent releases upon final adjudication</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51 credits and above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75 percent held in reserve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25 percent enters the Fund upon confirmation; remaining 75 percent releases upon final adjudication</w:t>
            </w:r>
          </w:p>
        </w:tc>
      </w:tr>
    </w:tbl>
    <w:p>
      <w:pPr>
        <w:pStyle w:val="Normal"/>
        <w:spacing w:after="180" w:line="288" w:lineRule="auto"/>
        <w:jc w:val="both"/>
      </w:pPr>
      <w:r>
        <w:rPr>
          <w:rFonts w:ascii="Times New Roman" w:hAnsi="Times New Roman" w:eastAsia="Times New Roman" w:cs="Times New Roman"/>
          <w:color w:val="1E2A36"/>
          <w:sz w:val="22"/>
          <w:szCs w:val="22"/>
        </w:rPr>
        <w:t>The framework architecture releases reserved credits automatically upon claim verification. The framework architecture forfeits reserved credits automatically upon claim rejection. The Escrow Reserve protects the Claimant Party from catastrophic score loss while maintaining the Verifier Party's incentive to challenge inflated claims.</w:t>
      </w:r>
    </w:p>
    <w:p>
      <w:pPr>
        <w:pStyle w:val="Heading2"/>
      </w:pPr>
      <w:r>
        <w:rPr>
          <w:rFonts w:ascii="Times New Roman" w:hAnsi="Times New Roman" w:eastAsia="Times New Roman" w:cs="Times New Roman"/>
          <w:b/>
          <w:color w:val="1E2A36"/>
          <w:sz w:val="20"/>
          <w:szCs w:val="24"/>
        </w:rPr>
        <w:t>14.17 Graduated Step-Back Mechanism</w:t>
      </w:r>
    </w:p>
    <w:p>
      <w:pPr>
        <w:pStyle w:val="Normal"/>
        <w:spacing w:after="180" w:line="288" w:lineRule="auto"/>
        <w:jc w:val="both"/>
      </w:pPr>
      <w:r>
        <w:rPr>
          <w:rFonts w:ascii="Times New Roman" w:hAnsi="Times New Roman" w:eastAsia="Times New Roman" w:cs="Times New Roman"/>
          <w:color w:val="1E2A36"/>
          <w:sz w:val="22"/>
          <w:szCs w:val="20"/>
          <w:b/>
        </w:rPr>
        <w:t>The step-back mechanism operates on three principles: proportionality, sequenced impact, and human-in-the-loop. Step-back reductions match the severity and duration of the breach. Minor or quickly-cured violations trigger reduced penalties. Full reductions apply only after the remediation window expires without compliance.</w:t>
      </w:r>
    </w:p>
    <w:p>
      <w:pPr>
        <w:pStyle w:val="Normal"/>
        <w:spacing w:after="180" w:line="288" w:lineRule="auto"/>
        <w:jc w:val="both"/>
      </w:pPr>
      <w:r>
        <w:rPr>
          <w:rFonts w:ascii="Times New Roman" w:hAnsi="Times New Roman" w:eastAsia="Times New Roman" w:cs="Times New Roman"/>
          <w:color w:val="1E2A36"/>
          <w:sz w:val="22"/>
          <w:szCs w:val="20"/>
          <w:b/>
        </w:rPr>
        <w:t>Sequenced impact: when step-back activates, benefits pause in this exact sequence. First affected: discretionary measures (reconstruction credits, over-compliance credits, bonus funds). Second affected: commercial financial benefits (expanded access, export licenses, non-humanitarian trade facilitation). Third affected: core relief tranches (frozen asset releases, general license renewals). Last affected: core constraints and verification obligations (custody protocols, monitoring freeze agreements). Never affected: humanitarian tranches (food, medicine, medical equipment, safety), escrowed funds already released, hotline and deconfliction protocols.</w:t>
      </w:r>
    </w:p>
    <w:p>
      <w:pPr>
        <w:pStyle w:val="Normal"/>
        <w:spacing w:after="180" w:line="288" w:lineRule="auto"/>
        <w:jc w:val="both"/>
      </w:pPr>
      <w:r>
        <w:rPr>
          <w:rFonts w:ascii="Times New Roman" w:hAnsi="Times New Roman" w:eastAsia="Times New Roman" w:cs="Times New Roman"/>
          <w:color w:val="1E2A36"/>
          <w:sz w:val="22"/>
          <w:szCs w:val="20"/>
          <w:b/>
        </w:rPr>
        <w:t>Penalty formula: Penalty equals Base Tier Penalty multiplied by Duration Multiplier multiplied by Remediation Factor. Duration Multiplier scales from 0.4 (corrected within 24 hours) to 1.0 (remediation window expires uncured). Remediation Factor: full remediation completed equals 0.5; partial remediation equals 0.75; no remediation equals 1.0.</w:t>
      </w:r>
    </w:p>
    <w:p>
      <w:pPr>
        <w:pStyle w:val="Normal"/>
        <w:spacing w:after="180" w:line="288" w:lineRule="auto"/>
        <w:jc w:val="both"/>
      </w:pPr>
      <w:r>
        <w:rPr>
          <w:rFonts w:ascii="Times New Roman" w:hAnsi="Times New Roman" w:eastAsia="Times New Roman" w:cs="Times New Roman"/>
          <w:color w:val="1E2A36"/>
          <w:sz w:val="22"/>
          <w:szCs w:val="20"/>
          <w:b/>
        </w:rPr>
        <w:t>Human-in-the-loop requirement: before any step-back penalty activates, AI systems flag anomalies and present evidence packages within 6 hours of detection; the JMC Duty Officer reviews the evidence package within 12 hours; senior officials from both Parties confer within 48 hours (mandatory cooling-off period); executive consultation confirms the tier classification before penalties apply. The Annual Human-in-the-Loop Audit verifies that AI systems are not making autonomous penalty decisions and that human review occurs within 24 hours of all AI flags.</w:t>
      </w:r>
    </w:p>
    <w:p>
      <w:pPr>
        <w:pStyle w:val="Heading2"/>
      </w:pPr>
      <w:r>
        <w:rPr>
          <w:rFonts w:ascii="Times New Roman" w:hAnsi="Times New Roman" w:eastAsia="Times New Roman" w:cs="Times New Roman"/>
          <w:b/>
          <w:color w:val="1E2A36"/>
          <w:sz w:val="20"/>
          <w:szCs w:val="24"/>
        </w:rPr>
        <w:t>14.18 Earn-Back Pathway</w:t>
      </w:r>
    </w:p>
    <w:p>
      <w:pPr>
        <w:pStyle w:val="Normal"/>
        <w:spacing w:after="180" w:line="288" w:lineRule="auto"/>
        <w:jc w:val="both"/>
      </w:pPr>
      <w:r>
        <w:rPr>
          <w:rFonts w:ascii="Times New Roman" w:hAnsi="Times New Roman" w:eastAsia="Times New Roman" w:cs="Times New Roman"/>
          <w:color w:val="1E2A36"/>
          <w:sz w:val="22"/>
          <w:szCs w:val="20"/>
          <w:b/>
        </w:rPr>
        <w:t>Earn-back is not a privilege. It is a structural feature of the framework. Every step-back penalty carries an automatic, defined earn-back route. No penalty is permanent.</w:t>
      </w:r>
    </w:p>
    <w:p>
      <w:pPr>
        <w:pStyle w:val="Normal"/>
        <w:spacing w:after="180" w:line="288" w:lineRule="auto"/>
        <w:jc w:val="both"/>
      </w:pPr>
      <w:r>
        <w:rPr>
          <w:rFonts w:ascii="Times New Roman" w:hAnsi="Times New Roman" w:eastAsia="Times New Roman" w:cs="Times New Roman"/>
          <w:color w:val="1E2A36"/>
          <w:sz w:val="22"/>
          <w:szCs w:val="20"/>
          <w:b/>
        </w:rPr>
        <w:t>Tier 1: no earn-back requirement exists. Resolution within 14 days returns the Party to full status automatically. Tier 2: full earn-back is available after 14 days of clean compliance following remediation completion. Day 1 through 14 post-remediation constitutes a monitoring period with enhanced verification. Day 15: if clean certification issues, full benefits restore automatically. Over-compliance credit reduces the 14-day monitoring period by up to 25 percent (minimum 11 days). Tier 3: full earn-back is available after 90 days of sustained clean compliance. Days 1 through 30 constitute an intensive monitoring period with inspections at 72-hour intervals. Days 31 through 60 constitute standard monitoring with weekly verification. Days 61 through 90 constitute reduced monitoring with bi-weekly verification. Day 91: if clean certification issues and majority confirmation arrives, full benefits restore automatically. Over-compliance credit reduces the 90-day period by up to 25 percent (minimum 68 days).</w:t>
      </w:r>
    </w:p>
    <w:p>
      <w:pPr>
        <w:pStyle w:val="Normal"/>
        <w:spacing w:after="180" w:line="288" w:lineRule="auto"/>
        <w:jc w:val="both"/>
      </w:pPr>
      <w:r>
        <w:rPr>
          <w:rFonts w:ascii="Times New Roman" w:hAnsi="Times New Roman" w:eastAsia="Times New Roman" w:cs="Times New Roman"/>
          <w:color w:val="1E2A36"/>
          <w:sz w:val="22"/>
          <w:szCs w:val="20"/>
          <w:b/>
        </w:rPr>
        <w:t>Earn-back does not require: admission of guilt or formal acknowledgment of violation; payment of penalties or liquidated damages; political concessions beyond returning to compliance; or re-negotiation of the underlying commitment. Earn-back does require: verified compliance with the breached obligation; sustained compliance for the defined monitoring period; technical confirmation (Tier 2) or majority confirmation (Tier 3); and no new Tier 2 or Tier 3 violations during the earn-back monitoring period.</w:t>
      </w:r>
    </w:p>
    <w:p>
      <w:pPr>
        <w:pStyle w:val="Heading2"/>
      </w:pPr>
      <w:r>
        <w:rPr>
          <w:rFonts w:ascii="Times New Roman" w:hAnsi="Times New Roman" w:eastAsia="Times New Roman" w:cs="Times New Roman"/>
          <w:b/>
          <w:color w:val="1E2A36"/>
          <w:sz w:val="20"/>
          <w:szCs w:val="24"/>
        </w:rPr>
        <w:t>14.19 Safeguards Against Abuse and Escalation</w:t>
      </w:r>
    </w:p>
    <w:p>
      <w:pPr>
        <w:pStyle w:val="Normal"/>
        <w:spacing w:after="180" w:line="288" w:lineRule="auto"/>
        <w:jc w:val="both"/>
      </w:pPr>
      <w:r>
        <w:rPr>
          <w:rFonts w:ascii="Times New Roman" w:hAnsi="Times New Roman" w:eastAsia="Times New Roman" w:cs="Times New Roman"/>
          <w:color w:val="1E2A36"/>
          <w:sz w:val="22"/>
          <w:szCs w:val="20"/>
          <w:b/>
        </w:rPr>
        <w:t>Mandatory cooling-off architecture: before any step-back penalty activates, a 48-hour cooling-off period applies. During this period no penalties accrue; both Parties' senior officials confer directly; the Facilitator Troika proposes de-escalation measures; the cooling-off period extends up to 72 hours by mutual agreement. This prevents heat-of-moment reactions to technical anomalies.</w:t>
      </w:r>
    </w:p>
    <w:p>
      <w:pPr>
        <w:pStyle w:val="Normal"/>
        <w:spacing w:after="180" w:line="288" w:lineRule="auto"/>
        <w:jc w:val="both"/>
      </w:pPr>
      <w:r>
        <w:rPr>
          <w:rFonts w:ascii="Times New Roman" w:hAnsi="Times New Roman" w:eastAsia="Times New Roman" w:cs="Times New Roman"/>
          <w:color w:val="1E2A36"/>
          <w:sz w:val="22"/>
          <w:szCs w:val="20"/>
          <w:b/>
        </w:rPr>
        <w:t>Consensus minus one: for all Tier 2 and Tier 3 determinations and cross-module spillover certifications, the framework architecture excludes the affected Party's vote. All other oversight members agree. If consensus minus one fails, automatic referral to the PCC occurs for final judgment.</w:t>
      </w:r>
    </w:p>
    <w:p>
      <w:pPr>
        <w:pStyle w:val="Normal"/>
        <w:spacing w:after="180" w:line="288" w:lineRule="auto"/>
        <w:jc w:val="both"/>
      </w:pPr>
      <w:r>
        <w:rPr>
          <w:rFonts w:ascii="Times New Roman" w:hAnsi="Times New Roman" w:eastAsia="Times New Roman" w:cs="Times New Roman"/>
          <w:color w:val="1E2A36"/>
          <w:sz w:val="22"/>
          <w:szCs w:val="20"/>
          <w:b/>
        </w:rPr>
        <w:t>Temporary Operational Suspension: either Party invokes Temporary Operational Suspension for up to 14 days per invocation, maximum 3 invocations per calendar year. Temporary Operational Suspension freezes all new obligations but preserves verification custody, the hotline, humanitarian corridors, and escrowed funds. Temporary Operational Suspension is not a breach. It is a safety valve for domestic political crises, leadership transitions, or regional spillover events. The step-back clock suspends during Temporary Operational Suspension: earn-back timelines do not advance during suspension, but neither do penalty durations.</w:t>
      </w:r>
    </w:p>
    <w:p>
      <w:pPr>
        <w:pStyle w:val="Normal"/>
        <w:spacing w:after="180" w:line="288" w:lineRule="auto"/>
        <w:jc w:val="both"/>
      </w:pPr>
      <w:r>
        <w:rPr>
          <w:rFonts w:ascii="Times New Roman" w:hAnsi="Times New Roman" w:eastAsia="Times New Roman" w:cs="Times New Roman"/>
          <w:color w:val="1E2A36"/>
          <w:sz w:val="22"/>
          <w:szCs w:val="20"/>
          <w:b/>
        </w:rPr>
        <w:t>No automatic military escalation: under no circumstances does a compliance dispute, Tier 2 or Tier 3 violation, step-back penalty, or framework suspension automatically authorize, trigger, or justify the use of military force by either Party. The step-back architecture is purely economic and diplomatic. Military action requires separate, explicit decision by the respective head of government under constitutional procedures. This separation between economic penalties and military authorization is absolute and non-waivable.</w:t>
      </w:r>
    </w:p>
    <w:p>
      <w:pPr>
        <w:pStyle w:val="Normal"/>
        <w:spacing w:after="180" w:line="288" w:lineRule="auto"/>
        <w:jc w:val="both"/>
      </w:pPr>
      <w:r>
        <w:rPr>
          <w:rFonts w:ascii="Times New Roman" w:hAnsi="Times New Roman" w:eastAsia="Times New Roman" w:cs="Times New Roman"/>
          <w:color w:val="1E2A36"/>
          <w:sz w:val="22"/>
          <w:szCs w:val="20"/>
          <w:b/>
        </w:rPr>
        <w:t>False Flag Attack Protocol: in the event of attacks by unknown actors, both Parties operate under a presumption of good faith. A 48-hour attribution deferral window applies before any penalty assignment. Forensic investigation precedes any breach classification. Rogue actors and false-flag operations are explicitly excluded from bilateral penalties.</w:t>
      </w:r>
    </w:p>
    <w:p>
      <w:pPr>
        <w:pStyle w:val="Normal"/>
        <w:spacing w:after="180" w:line="288" w:lineRule="auto"/>
        <w:jc w:val="both"/>
      </w:pPr>
      <w:r>
        <w:rPr>
          <w:rFonts w:ascii="Times New Roman" w:hAnsi="Times New Roman" w:eastAsia="Times New Roman" w:cs="Times New Roman"/>
          <w:color w:val="1E2A36"/>
          <w:sz w:val="22"/>
          <w:szCs w:val="20"/>
          <w:b/>
        </w:rPr>
        <w:t>Cross-module spillover protection: the framework architecture operates as a modular system. Failure in one module does not cascade into others unless explicitly certified. Step-back reductions apply only within the module where the violation occurred. Cross-module spillover requires certification by a two-thirds majority vote that the violation directly and materially undermines a different module. The framework architecture excludes the affected Party's vote. No single unresolved module invalidates the remainder of the framework. Each module operates as an independent contractual track. This doctrine is binding and interpretive.</w:t>
      </w:r>
    </w:p>
    <w:p>
      <w:pPr>
        <w:pStyle w:val="Heading1"/>
      </w:pPr>
      <w:r>
        <w:rPr>
          <w:rFonts w:ascii="Times New Roman" w:hAnsi="Times New Roman" w:eastAsia="Times New Roman" w:cs="Times New Roman"/>
          <w:b/>
          <w:color w:val="4A5D6E"/>
          <w:sz w:val="28"/>
          <w:szCs w:val="28"/>
        </w:rPr>
        <w:t>Article 15 - Technical Corrections Protocol</w:t>
      </w:r>
    </w:p>
    <w:p>
      <w:pPr>
        <w:pStyle w:val="Normal"/>
        <w:spacing w:after="180" w:line="288" w:lineRule="auto"/>
        <w:jc w:val="both"/>
      </w:pPr>
      <w:r>
        <w:rPr>
          <w:rFonts w:ascii="Times New Roman" w:hAnsi="Times New Roman" w:eastAsia="Times New Roman" w:cs="Times New Roman"/>
          <w:color w:val="1E2A36"/>
          <w:sz w:val="22"/>
          <w:szCs w:val="22"/>
        </w:rPr>
        <w:t>The JMC Chief Technical Officer, in consultation with the Facilitator Troika, issues technical corrections to this Annex to address non-material errors. Technical corrections include typographical errors, incorrect cross-references, inconsistent numbering, and minor formatting inconsistencies. The Officer does not issue technical corrections that alter substantive obligations, rights, or timelines.</w:t>
      </w:r>
    </w:p>
    <w:p>
      <w:pPr>
        <w:pStyle w:val="Normal"/>
        <w:spacing w:after="180" w:line="288" w:lineRule="auto"/>
        <w:jc w:val="both"/>
      </w:pPr>
      <w:r>
        <w:rPr>
          <w:rFonts w:ascii="Times New Roman" w:hAnsi="Times New Roman" w:eastAsia="Times New Roman" w:cs="Times New Roman"/>
          <w:color w:val="1E2A36"/>
          <w:sz w:val="22"/>
          <w:szCs w:val="22"/>
        </w:rPr>
        <w:t>Every technical correction follows this protocol: the Officer logs the correction in the Shared Digital Registry; the Officer notifies both Parties within 48 hours of logging; the correction takes effect immediately upon notification. Either Party objects to a technical correction within 7 days of notification. An objection suspends the correction pending mutual agreement or PCC review. If no objection is lodged within 7 days, the correction becomes permanent.</w:t>
      </w:r>
    </w:p>
    <w:p>
      <w:pPr>
        <w:pStyle w:val="Heading1"/>
      </w:pPr>
      <w:r>
        <w:rPr>
          <w:rFonts w:ascii="Times New Roman" w:hAnsi="Times New Roman" w:eastAsia="Times New Roman" w:cs="Times New Roman"/>
          <w:b/>
          <w:color w:val="4A5D6E"/>
          <w:sz w:val="28"/>
          <w:szCs w:val="28"/>
        </w:rPr>
        <w:t>Article 16 - Declassification Schedule</w:t>
      </w:r>
    </w:p>
    <w:p>
      <w:pPr>
        <w:pStyle w:val="Normal"/>
        <w:spacing w:after="180" w:line="288" w:lineRule="auto"/>
        <w:jc w:val="both"/>
      </w:pPr>
      <w:r>
        <w:rPr>
          <w:rFonts w:ascii="Times New Roman" w:hAnsi="Times New Roman" w:eastAsia="Times New Roman" w:cs="Times New Roman"/>
          <w:color w:val="1E2A36"/>
          <w:sz w:val="22"/>
          <w:szCs w:val="22"/>
        </w:rPr>
        <w:t>This Annex and all operational data logged in the Shared Digital Registry declassify automatically and enter the public domain on the first anniversary of the earlier of: signature of a Final Deal, or entry into Extended Phase I.</w:t>
      </w:r>
    </w:p>
    <w:p>
      <w:pPr>
        <w:pStyle w:val="Normal"/>
        <w:spacing w:after="180" w:line="288" w:lineRule="auto"/>
        <w:jc w:val="both"/>
      </w:pPr>
      <w:r>
        <w:rPr>
          <w:rFonts w:ascii="Times New Roman" w:hAnsi="Times New Roman" w:eastAsia="Times New Roman" w:cs="Times New Roman"/>
          <w:color w:val="1E2A36"/>
          <w:sz w:val="22"/>
          <w:szCs w:val="22"/>
        </w:rPr>
        <w:t>Both Parties jointly agree to delay declassification for one additional year by written notice to the PCC. The framework architecture permits no more than two such delays. The total maximum classification period is three years from the declassification trigger date.</w:t>
      </w:r>
    </w:p>
    <w:p>
      <w:pPr>
        <w:pStyle w:val="Normal"/>
        <w:spacing w:after="180" w:line="288" w:lineRule="auto"/>
        <w:jc w:val="both"/>
      </w:pPr>
      <w:r>
        <w:rPr>
          <w:rFonts w:ascii="Times New Roman" w:hAnsi="Times New Roman" w:eastAsia="Times New Roman" w:cs="Times New Roman"/>
          <w:color w:val="1E2A36"/>
          <w:sz w:val="22"/>
          <w:szCs w:val="22"/>
        </w:rPr>
        <w:t>Personal identifying information of JMC staff and operational personnel is redacted prior to public release. The Facilitator Troika completes redaction and releases the declassified material within 30 days of the declassification trigger date through the Swiss principal.</w:t>
      </w:r>
    </w:p>
    <w:p>
      <w:pPr>
        <w:pStyle w:val="Normal"/>
        <w:spacing w:after="180" w:line="288" w:lineRule="auto"/>
        <w:jc w:val="both"/>
      </w:pPr>
      <w:r>
        <w:rPr>
          <w:rFonts w:ascii="Times New Roman" w:hAnsi="Times New Roman" w:eastAsia="Times New Roman" w:cs="Times New Roman"/>
          <w:color w:val="1E2A36"/>
          <w:sz w:val="22"/>
          <w:szCs w:val="22"/>
        </w:rPr>
        <w:t>The framework architecture maintains a standing pool of five neutral technical experts. The Facilitator Troika accredits all five experts before the Testing Phase begins through the Swiss principal. Each expert holds technical qualifications in maritime telemetry, data forensics, or a related field. No expert holds nationality from either Party. The non-permanent Diplomatic Facilitator rotates from the standing list by mutual Party agreement. The Third-Party Expert Pool remains strictly for technical data forensics and panel determinations.</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Expert Origin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Role</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Switzerland</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Pool coordinator and tie-breaker</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Singapore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Maritime traffic systems expert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Japan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Telemetry and sensor expert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United Arab Emirates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Regional maritime operations expert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Regional non-party state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Rotating expert from a state not party to this MOU</w:t>
            </w:r>
          </w:p>
        </w:tc>
      </w:tr>
    </w:tbl>
    <w:p>
      <w:pPr>
        <w:pStyle w:val="Normal"/>
        <w:spacing w:after="180" w:line="288" w:lineRule="auto"/>
        <w:jc w:val="both"/>
      </w:pPr>
      <w:r>
        <w:rPr>
          <w:rFonts w:ascii="Times New Roman" w:hAnsi="Times New Roman" w:eastAsia="Times New Roman" w:cs="Times New Roman"/>
          <w:color w:val="1E2A36"/>
          <w:sz w:val="22"/>
          <w:szCs w:val="22"/>
        </w:rPr>
        <w:t>Either Party challenges a Panel determination by requesting a Second Opinion. The Facilitator Troika randomly selects one expert from the pool. The selected expert reviews all evidence independently and issues a Second Opinion within 72 hours.</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Second Opinion Outcome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Effect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Second Opinion confirms the Panel determination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challenging Party loses 10 credits from its Verification Fund as a procedural penalty</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Second Opinion overturns the Panel determination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Panel's decision vacates automatically; the claim re-adjudicates with the Second Opinion as the authoritative finding; the vacated Panel members rotate out and the Facilitator Troika appoints replacements within 14 days through the Swiss principal</w:t>
            </w:r>
          </w:p>
        </w:tc>
      </w:tr>
    </w:tbl>
    <w:p>
      <w:pPr>
        <w:pStyle w:val="Normal"/>
        <w:spacing w:after="180" w:line="288" w:lineRule="auto"/>
        <w:jc w:val="both"/>
      </w:pPr>
      <w:r>
        <w:rPr>
          <w:rFonts w:ascii="Times New Roman" w:hAnsi="Times New Roman" w:eastAsia="Times New Roman" w:cs="Times New Roman"/>
          <w:color w:val="1E2A36"/>
          <w:sz w:val="22"/>
          <w:szCs w:val="22"/>
        </w:rPr>
        <w:t>The Second Opinion mechanism provides a check on Panel error without paralyzing the verification pipeline. The 10-credit penalty for a failed Second Opinion request prevents frivolous appeals. The automatic Panel rotation ensures accountability without personalizing the outcome.</w:t>
      </w:r>
    </w:p>
    <w:p>
      <w:pPr>
        <w:pStyle w:val="Heading2"/>
      </w:pPr>
      <w:r>
        <w:rPr>
          <w:rFonts w:ascii="Times New Roman" w:hAnsi="Times New Roman" w:eastAsia="Times New Roman" w:cs="Times New Roman"/>
          <w:b/>
          <w:color w:val="1E2A36"/>
          <w:sz w:val="20"/>
          <w:szCs w:val="24"/>
        </w:rPr>
        <w:t>14.10 Good Faith Reset</w:t>
      </w:r>
    </w:p>
    <w:p>
      <w:pPr>
        <w:pStyle w:val="Normal"/>
        <w:spacing w:after="180" w:line="288" w:lineRule="auto"/>
        <w:jc w:val="both"/>
      </w:pPr>
      <w:r>
        <w:rPr>
          <w:rFonts w:ascii="Times New Roman" w:hAnsi="Times New Roman" w:eastAsia="Times New Roman" w:cs="Times New Roman"/>
          <w:color w:val="1E2A36"/>
          <w:sz w:val="22"/>
          <w:szCs w:val="22"/>
        </w:rPr>
        <w:t>The framework architecture includes a Good Faith Reset mechanism that prevents either Party from entering an irreversible negative spiral. A Party whose Verification Fund score falls to negative 20 or below invokes the reset once per phase.</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Condition</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Effect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Score at negative 20 or below</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Score resets to 0 automatically</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Written acknowledgment of errors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Reset activates immediately; the acknowledgment appears in the Shared Digital Registry</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Commitment to enhanced cooperation for 7 days</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Enhanced cooperation means daily JMC liaison contact and same-day response to all verification queries</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No reset invoked in the previous phase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Reset approves automatically without PCC review</w:t>
            </w:r>
          </w:p>
        </w:tc>
      </w:tr>
    </w:tbl>
    <w:p>
      <w:pPr>
        <w:pStyle w:val="Normal"/>
        <w:spacing w:after="180" w:line="288" w:lineRule="auto"/>
        <w:jc w:val="both"/>
      </w:pPr>
      <w:r>
        <w:rPr>
          <w:rFonts w:ascii="Times New Roman" w:hAnsi="Times New Roman" w:eastAsia="Times New Roman" w:cs="Times New Roman"/>
          <w:color w:val="1E2A36"/>
          <w:sz w:val="22"/>
          <w:szCs w:val="22"/>
        </w:rPr>
        <w:t>The Good Faith Reset is a safety valve, not a free pass. The once-per-phase limit prevents abuse. The written acknowledgment requirement preserves accountability. The enhanced cooperation commitment demonstrates genuine intent to improve. A Party that invokes the reset in one phase and still achieves negative 20 in the next phase faces the full consequences without further protection.</w:t>
      </w:r>
    </w:p>
    <w:p>
      <w:pPr>
        <w:pStyle w:val="Heading2"/>
      </w:pPr>
      <w:r>
        <w:rPr>
          <w:rFonts w:ascii="Times New Roman" w:hAnsi="Times New Roman" w:eastAsia="Times New Roman" w:cs="Times New Roman"/>
          <w:b/>
          <w:color w:val="1E2A36"/>
          <w:sz w:val="20"/>
          <w:szCs w:val="24"/>
        </w:rPr>
        <w:t>14.11 Mutual Consent Escalation</w:t>
      </w:r>
    </w:p>
    <w:p>
      <w:pPr>
        <w:pStyle w:val="Normal"/>
        <w:spacing w:after="180" w:line="288" w:lineRule="auto"/>
        <w:jc w:val="both"/>
      </w:pPr>
      <w:r>
        <w:rPr>
          <w:rFonts w:ascii="Times New Roman" w:hAnsi="Times New Roman" w:eastAsia="Times New Roman" w:cs="Times New Roman"/>
          <w:color w:val="1E2A36"/>
          <w:sz w:val="22"/>
          <w:szCs w:val="22"/>
        </w:rPr>
        <w:t>The framework architecture treats the verification score as advisory, not mandatory. Both Parties retain the right to override score-based outcomes through joint agreement. The Mutual Consent Escalation clause prevents the system from becoming trap logic that blocks cooperation when both Parties want to proceed.</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Joint Agreement</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Effect</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Both Parties agree the score does not reflect operational reality</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Decision Point defers for 5 days; the PCC conducts a joint review of raw telemetry data</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Both Parties agree the system malfunctioned</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The score recalculates using raw golden record data, bypassing the algorithmic scoring system</w:t>
            </w:r>
          </w:p>
        </w:tc>
      </w:tr>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Both Parties agree to proceed to a final deal despite a low score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Proceeds; the score is advisory and carries no binding pathway determination</w:t>
            </w:r>
          </w:p>
        </w:tc>
      </w:tr>
    </w:tbl>
    <w:p>
      <w:pPr>
        <w:pStyle w:val="Normal"/>
        <w:spacing w:after="180" w:line="288" w:lineRule="auto"/>
        <w:jc w:val="both"/>
      </w:pPr>
      <w:r>
        <w:rPr>
          <w:rFonts w:ascii="Times New Roman" w:hAnsi="Times New Roman" w:eastAsia="Times New Roman" w:cs="Times New Roman"/>
          <w:color w:val="1E2A36"/>
          <w:sz w:val="22"/>
          <w:szCs w:val="22"/>
        </w:rPr>
        <w:t>Mutual Consent Escalation requires written agreement from both Parties, transmitted simultaneously to the JMC. Either Party withdraws its consent within 24 hours without penalty. If one Party withdraws consent, the original score-based pathway determination resumes automatically.</w:t>
      </w:r>
    </w:p>
    <w:p>
      <w:pPr>
        <w:pStyle w:val="Heading2"/>
      </w:pPr>
      <w:r>
        <w:rPr>
          <w:rFonts w:ascii="Times New Roman" w:hAnsi="Times New Roman" w:eastAsia="Times New Roman" w:cs="Times New Roman"/>
          <w:b/>
          <w:color w:val="1E2A36"/>
          <w:sz w:val="20"/>
          <w:szCs w:val="24"/>
        </w:rPr>
        <w:t>14.12 Phase Conclusion Assessment</w:t>
      </w:r>
    </w:p>
    <w:p>
      <w:pPr>
        <w:pStyle w:val="Normal"/>
        <w:spacing w:after="180" w:line="288" w:lineRule="auto"/>
        <w:jc w:val="both"/>
      </w:pPr>
      <w:r>
        <w:rPr>
          <w:rFonts w:ascii="Times New Roman" w:hAnsi="Times New Roman" w:eastAsia="Times New Roman" w:cs="Times New Roman"/>
          <w:color w:val="1E2A36"/>
          <w:sz w:val="22"/>
          <w:szCs w:val="22"/>
        </w:rPr>
        <w:t>At the conclusion of the Testing Phase, the JMC publishes the final Verification Scores. The scores determine the operational pathway through the following matrix:</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after="180" w:line="288" w:lineRule="auto"/>
              <w:jc w:val="both"/>
            </w:pPr>
            <w:r>
              <w:rPr>
                <w:rFonts w:ascii="Times New Roman" w:hAnsi="Times New Roman" w:eastAsia="Times New Roman" w:cs="Times New Roman"/>
                <w:color w:val="1E2A36"/>
                <w:sz w:val="22"/>
                <w:szCs w:val="20"/>
                <w:b/>
              </w:rPr>
              <w:t>Claimant Fund Score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Verifier Fund Score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Outcome</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50 credits or above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Any score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Automatic progression to Cooling-Off Period; Testing Phase qualifies as success</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30 to 49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Below Claimant score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Automatic extension; Cooling-Off Period activates with positive momentum designation</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30 to 49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Equal to or above Claimant score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Extension with review; Cooling-Off Period activates with technical issues require resolution designation</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Below 30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Any score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Fallback to Extended Phase I; Testing Phase does not qualify as success</w:t>
            </w:r>
          </w:p>
        </w:tc>
      </w:tr>
    </w:tbl>
    <w:p>
      <w:pPr>
        <w:pStyle w:val="Normal"/>
        <w:spacing w:after="180" w:line="288" w:lineRule="auto"/>
        <w:jc w:val="both"/>
      </w:pPr>
      <w:r>
        <w:rPr>
          <w:rFonts w:ascii="Times New Roman" w:hAnsi="Times New Roman" w:eastAsia="Times New Roman" w:cs="Times New Roman"/>
          <w:color w:val="1E2A36"/>
          <w:sz w:val="22"/>
          <w:szCs w:val="22"/>
        </w:rPr>
        <w:t>The Phase Conclusion Assessment executes automatically. No Party blocks, delays, or redacts the score publication. The framework architecture treats the assessment outcome as presumptive evidence of Testing Phase performance. Either Party invokes Mutual Consent Escalation under Article 14.11 to override the outcome.</w:t>
      </w:r>
    </w:p>
    <w:p>
      <w:pPr>
        <w:pStyle w:val="Heading2"/>
      </w:pPr>
      <w:r>
        <w:rPr>
          <w:rFonts w:ascii="Times New Roman" w:hAnsi="Times New Roman" w:eastAsia="Times New Roman" w:cs="Times New Roman"/>
          <w:b/>
          <w:color w:val="1E2A36"/>
          <w:sz w:val="20"/>
          <w:szCs w:val="24"/>
        </w:rPr>
        <w:t>14.13 Expedited Verification</w:t>
      </w:r>
    </w:p>
    <w:p>
      <w:pPr>
        <w:pStyle w:val="Normal"/>
        <w:spacing w:after="180" w:line="288" w:lineRule="auto"/>
        <w:jc w:val="both"/>
      </w:pPr>
      <w:r>
        <w:rPr>
          <w:rFonts w:ascii="Times New Roman" w:hAnsi="Times New Roman" w:eastAsia="Times New Roman" w:cs="Times New Roman"/>
          <w:color w:val="1E2A36"/>
          <w:sz w:val="22"/>
          <w:szCs w:val="22"/>
        </w:rPr>
        <w:t>The framework architecture includes an expedited verification track for urgent maritime incidents. Normal timelines compress automatically upon activation of the expedited track.</w:t>
      </w:r>
    </w:p>
    <w:p>
      <w:pPr>
        <w:pStyle w:val="Normal"/>
        <w:spacing w:after="180" w:line="288" w:lineRule="auto"/>
        <w:jc w:val="both"/>
      </w:pPr>
      <w:r>
        <w:rPr>
          <w:rFonts w:ascii="Times New Roman" w:hAnsi="Times New Roman" w:eastAsia="Times New Roman" w:cs="Times New Roman"/>
          <w:color w:val="1E2A36"/>
          <w:sz w:val="22"/>
          <w:szCs w:val="22"/>
        </w:rPr>
        <w:t>The expedited track triggers automatically upon JMC classification of a maritime incident as priority: potential vessel interdiction, environmental emergency, or search-and-rescue activation. Either Party requests expedited classification by alerting the JMC Duty Officer. The Duty Officer confirms or denies the classification within 1 hour. Denial includes a written rationale logged in the Shared Digital Registry.</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Parameter</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Standard Timeline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Expedited Timeline</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Claim submission deadline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24 hours from service delivery</w:t>
            </w:r>
          </w:p>
        </w:tc>
        <w:tc>
          <w:tcPr>
            <w:tcW w:w="7600" w:type="dxa"/>
          </w:tcPr>
          <w:p>
            <w:pPr>
              <w:pStyle w:val="Normal"/>
              <w:spacing w:before="60" w:after="60"/>
              <w:jc w:val="left"/>
            </w:pPr>
            <w:r>
              <w:rPr>
                <w:b/>
                <w:color w:val="1E2A36"/>
                <w:sz w:val="22"/>
                <w:rFonts w:ascii="Times New Roman" w:hAnsi="Times New Roman" w:eastAsia="Times New Roman" w:cs="Times New Roman"/>
                <w:szCs w:val="20"/>
              </w:rPr>
              <w:t>4 hours from incident detection</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Verifier response window</w:t>
            </w:r>
          </w:p>
        </w:tc>
        <w:tc>
          <w:tcPr>
            <w:tcW w:w="7600" w:type="dxa"/>
          </w:tcPr>
          <w:p>
            <w:pPr>
              <w:pStyle w:val="Normal"/>
              <w:spacing w:before="60" w:after="60"/>
              <w:jc w:val="left"/>
            </w:pPr>
            <w:r>
              <w:rPr>
                <w:b/>
                <w:color w:val="1E2A36"/>
                <w:sz w:val="22"/>
                <w:rFonts w:ascii="Times New Roman" w:hAnsi="Times New Roman" w:eastAsia="Times New Roman" w:cs="Times New Roman"/>
                <w:szCs w:val="20"/>
              </w:rPr>
              <w:t>48 hours from confirmation</w:t>
            </w:r>
          </w:p>
        </w:tc>
        <w:tc>
          <w:tcPr>
            <w:tcW w:w="7600" w:type="dxa"/>
          </w:tcPr>
          <w:p>
            <w:pPr>
              <w:pStyle w:val="Normal"/>
              <w:spacing w:before="60" w:after="60"/>
              <w:jc w:val="left"/>
            </w:pPr>
            <w:r>
              <w:rPr>
                <w:b/>
                <w:color w:val="1E2A36"/>
                <w:sz w:val="22"/>
                <w:rFonts w:ascii="Times New Roman" w:hAnsi="Times New Roman" w:eastAsia="Times New Roman" w:cs="Times New Roman"/>
                <w:szCs w:val="20"/>
              </w:rPr>
              <w:t>6 hours from confirmation</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Panel determination deadline</w:t>
            </w:r>
          </w:p>
        </w:tc>
        <w:tc>
          <w:tcPr>
            <w:tcW w:w="7600" w:type="dxa"/>
          </w:tcPr>
          <w:p>
            <w:pPr>
              <w:pStyle w:val="Normal"/>
              <w:spacing w:before="60" w:after="60"/>
              <w:jc w:val="left"/>
            </w:pPr>
            <w:r>
              <w:rPr>
                <w:b/>
                <w:color w:val="1E2A36"/>
                <w:sz w:val="22"/>
                <w:rFonts w:ascii="Times New Roman" w:hAnsi="Times New Roman" w:eastAsia="Times New Roman" w:cs="Times New Roman"/>
                <w:szCs w:val="20"/>
              </w:rPr>
              <w:t>72 hours from challenge receipt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12 hours from challenge receipt</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Credit multiplier</w:t>
            </w:r>
          </w:p>
        </w:tc>
        <w:tc>
          <w:tcPr>
            <w:tcW w:w="7600" w:type="dxa"/>
          </w:tcPr>
          <w:p>
            <w:pPr>
              <w:pStyle w:val="Normal"/>
              <w:spacing w:before="60" w:after="60"/>
              <w:jc w:val="left"/>
            </w:pPr>
            <w:r>
              <w:rPr>
                <w:b/>
                <w:color w:val="1E2A36"/>
                <w:sz w:val="22"/>
                <w:rFonts w:ascii="Times New Roman" w:hAnsi="Times New Roman" w:eastAsia="Times New Roman" w:cs="Times New Roman"/>
                <w:szCs w:val="20"/>
              </w:rPr>
              <w:t>Base rate applies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Double credit value for verified claims</w:t>
            </w:r>
          </w:p>
        </w:tc>
      </w:tr>
    </w:tbl>
    <w:p>
      <w:pPr>
        <w:pStyle w:val="Heading2"/>
      </w:pPr>
      <w:r>
        <w:rPr>
          <w:rFonts w:ascii="Times New Roman" w:hAnsi="Times New Roman" w:eastAsia="Times New Roman" w:cs="Times New Roman"/>
          <w:b/>
          <w:color w:val="1E2A36"/>
          <w:sz w:val="20"/>
          <w:szCs w:val="24"/>
        </w:rPr>
        <w:t>14.14 Counter-Evidence Review</w:t>
      </w:r>
    </w:p>
    <w:p>
      <w:pPr>
        <w:pStyle w:val="Normal"/>
        <w:spacing w:after="180" w:line="288" w:lineRule="auto"/>
        <w:jc w:val="both"/>
      </w:pPr>
      <w:r>
        <w:rPr>
          <w:rFonts w:ascii="Times New Roman" w:hAnsi="Times New Roman" w:eastAsia="Times New Roman" w:cs="Times New Roman"/>
          <w:color w:val="1E2A36"/>
          <w:sz w:val="22"/>
          <w:szCs w:val="22"/>
        </w:rPr>
        <w:t>When the Panel issues an inconclusive determination, the framework architecture activates a Counter-Evidence Review procedure. An inconclusive determination means the Panel finds the evidence insufficient to support either full verification or full rejection.</w:t>
      </w:r>
    </w:p>
    <w:p>
      <w:pPr>
        <w:pStyle w:val="Normal"/>
        <w:spacing w:after="180" w:line="288" w:lineRule="auto"/>
        <w:jc w:val="both"/>
      </w:pPr>
      <w:r>
        <w:rPr>
          <w:rFonts w:ascii="Times New Roman" w:hAnsi="Times New Roman" w:eastAsia="Times New Roman" w:cs="Times New Roman"/>
          <w:color w:val="1E2A36"/>
          <w:sz w:val="22"/>
          <w:szCs w:val="22"/>
        </w:rPr>
        <w:t>The Counter-Evidence Review operates as follows: the Panel schedules a hearing within 12 hours of the inconclusive determination. Both Parties submit all supplemental evidence simultaneously within 12 hours of the hearing notice. The Panel reviews the supplemental evidence and issues a final determination within the remaining 12 hours. For high-priority incidents, the expedited timeline under Article 14.13 applies automatically to the Counter-Evidence Review. The entire Counter-Evidence Review completes within 24 hours total.</w:t>
      </w:r>
    </w:p>
    <w:p>
      <w:pPr>
        <w:pStyle w:val="Heading2"/>
      </w:pPr>
      <w:r>
        <w:rPr>
          <w:rFonts w:ascii="Times New Roman" w:hAnsi="Times New Roman" w:eastAsia="Times New Roman" w:cs="Times New Roman"/>
          <w:b/>
          <w:color w:val="1E2A36"/>
          <w:sz w:val="20"/>
          <w:szCs w:val="24"/>
        </w:rPr>
        <w:t>14.16 Three-Tier Breach Classification</w:t>
      </w:r>
    </w:p>
    <w:p>
      <w:pPr>
        <w:pStyle w:val="Normal"/>
        <w:spacing w:after="180" w:line="288" w:lineRule="auto"/>
        <w:jc w:val="both"/>
      </w:pPr>
      <w:r>
        <w:rPr>
          <w:rFonts w:ascii="Times New Roman" w:hAnsi="Times New Roman" w:eastAsia="Times New Roman" w:cs="Times New Roman"/>
          <w:color w:val="1E2A36"/>
          <w:sz w:val="22"/>
          <w:szCs w:val="22"/>
        </w:rPr>
        <w:t>All compliance events sort into one of three tiers based on severity, intent, and material impact. This classification determines every subsequent response.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w:t>
      </w:r>
    </w:p>
    <w:p>
      <w:pPr>
        <w:pStyle w:val="Heading2"/>
      </w:pPr>
      <w:r>
        <w:rPr>
          <w:rFonts w:ascii="Times New Roman" w:hAnsi="Times New Roman" w:eastAsia="Times New Roman" w:cs="Times New Roman"/>
          <w:b/>
          <w:color w:val="1E2A36"/>
          <w:sz w:val="24"/>
          <w:szCs w:val="24"/>
        </w:rPr>
        <w:t>14.16A Tier 1: Technical Dispute (De Minimis)</w:t>
      </w:r>
    </w:p>
    <w:p>
      <w:pPr>
        <w:pStyle w:val="Normal"/>
        <w:spacing w:after="180" w:line="288" w:lineRule="auto"/>
        <w:jc w:val="both"/>
      </w:pPr>
      <w:r>
        <w:rPr>
          <w:rFonts w:ascii="Times New Roman" w:hAnsi="Times New Roman" w:eastAsia="Times New Roman" w:cs="Times New Roman"/>
          <w:color w:val="1E2A36"/>
          <w:sz w:val="22"/>
          <w:szCs w:val="22"/>
        </w:rPr>
        <w:t>Tier 1 events include: verification readings measuring less than 0.5 percent above the agreed ceiling; two or fewer verification elements found outside agreed status; reporting delays of 48 hours or less attributable to administrative or technical causes; minor sensor data transmission interruptions with documented cause; and scheduled sensor maintenance within the 48-hour advance notice window. Base response: no benefit reduction, no step-back triggers. The JMC provides technical assistance within 72 hours. Engineering resolution window: 14 days. Tier 1 events resolve independently and do not accumulate toward Tier 2.</w:t>
      </w:r>
    </w:p>
    <w:p>
      <w:pPr>
        <w:pStyle w:val="Heading2"/>
      </w:pPr>
      <w:r>
        <w:rPr>
          <w:rFonts w:ascii="Times New Roman" w:hAnsi="Times New Roman" w:eastAsia="Times New Roman" w:cs="Times New Roman"/>
          <w:b/>
          <w:color w:val="1E2A36"/>
          <w:sz w:val="24"/>
          <w:szCs w:val="24"/>
        </w:rPr>
        <w:t>14.16B Tier 2: Material Disruption</w:t>
      </w:r>
    </w:p>
    <w:p>
      <w:pPr>
        <w:pStyle w:val="Normal"/>
        <w:spacing w:after="180" w:line="288" w:lineRule="auto"/>
        <w:jc w:val="both"/>
      </w:pPr>
      <w:r>
        <w:rPr>
          <w:rFonts w:ascii="Times New Roman" w:hAnsi="Times New Roman" w:eastAsia="Times New Roman" w:cs="Times New Roman"/>
          <w:color w:val="1E2A36"/>
          <w:sz w:val="22"/>
          <w:szCs w:val="22"/>
        </w:rPr>
        <w:t>Tier 2 events include: verification readings exceeding 0.5 percent above ceiling; more than 2 verification elements outside agreed status; more than 72 hours of JMC obstruction or denied access; unscheduled sensor downtime exceeding 4 hours without documented cause; pattern of anomalous readings suggesting systematic data manipulation; and confirmed evidence of sensor tampering or deliberate disablement. Base response (graduated by duration): Days 1 through 7 of disruption produces 10 percent reduction in non-humanitarian benefits; Days 7 through 14 produces 15 percent reduction; Days 15 through 30 produces 25 percent reduction; after 30 days 25 percent reduction plus mandatory referral to the PCC. Humanitarian tranches remain fully protected at all times. No Tier 2 penalty touches food, medicine, medical equipment, or safety payments. The JMC convenes within 24 hours of Tier 2 classification. A 30-day remediation window opens automatically.</w:t>
      </w:r>
    </w:p>
    <w:p>
      <w:pPr>
        <w:pStyle w:val="Heading2"/>
      </w:pPr>
      <w:r>
        <w:rPr>
          <w:rFonts w:ascii="Times New Roman" w:hAnsi="Times New Roman" w:eastAsia="Times New Roman" w:cs="Times New Roman"/>
          <w:b/>
          <w:color w:val="1E2A36"/>
          <w:sz w:val="24"/>
          <w:szCs w:val="24"/>
        </w:rPr>
        <w:t>14.16C Tier 3: Deliberate Hostile Violation</w:t>
      </w:r>
    </w:p>
    <w:p>
      <w:pPr>
        <w:pStyle w:val="Normal"/>
        <w:spacing w:after="180" w:line="288" w:lineRule="auto"/>
        <w:jc w:val="both"/>
      </w:pPr>
      <w:r>
        <w:rPr>
          <w:rFonts w:ascii="Times New Roman" w:hAnsi="Times New Roman" w:eastAsia="Times New Roman" w:cs="Times New Roman"/>
          <w:color w:val="1E2A36"/>
          <w:sz w:val="22"/>
          <w:szCs w:val="22"/>
        </w:rPr>
        <w:t>Tier 3 events include: prohibited weapons activity detected; fissile or hazardous material diversion confirmed; physical attack on inspectors or facilities; confirmed deliberate compromise of framework sensors that undermines the entire verification architecture; and systematic pattern of Tier 2 violations demonstrating institutional bad faith. Base response (graduated by response speed): immediate remediation within 72 hours produces 25 percent reduction in benefits; after 72 hours without remediation 35 percent reduction; after 30 days without remediation 50 percent reduction. All Tier 3-classified modules enter hold status. The framework architecture mandates a 90-day remediation window. The PCC convenes within 48 hours. Full earn-back requires 90 consecutive days of sustained clean compliance plus clean certification plus majority confirmation.</w:t>
      </w:r>
    </w:p>
    <w:tbl>
      <w:tblPr>
        <w:tblW w:w="5000" w:type="pct"/>
        <w:tblBorders>
          <w:top w:val="single" w:color="4A5D6E" w:sz="12"/>
          <w:left w:val="nil"/>
          <w:bottom w:val="single" w:color="4A5D6E" w:sz="12"/>
          <w:right w:val="nil"/>
          <w:insideH w:val="single" w:color="c5cdd4" w:sz="4"/>
          <w:insideV w:val="nil"/>
        </w:tblBorders>
      </w:tblPr>
      <w:tblGrid>
        <w:gridCol w:w="24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Outcome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Effect</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Claimant Party's new evidence confirms the claim and the Verifier Party fails to refute it</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The claim verifies at double the standard credit value</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Verifier Party's counter-evidence definitively refutes the claim</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The Panel rejects the claim permanently with double the standard penalty</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Evidence remains inconclusive after Counter-Evidence Review</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The claim receives 50 percent credit automatically; no Party receives bonus or penalty</w:t>
            </w:r>
          </w:p>
        </w:tc>
      </w:tr>
    </w:tbl>
    <w:p>
      <w:pPr>
        <w:pStyle w:val="Normal"/>
        <w:spacing w:after="180" w:line="288" w:lineRule="auto"/>
        <w:jc w:val="both"/>
      </w:pPr>
      <w:r>
        <w:rPr>
          <w:rFonts w:ascii="Times New Roman" w:hAnsi="Times New Roman" w:eastAsia="Times New Roman" w:cs="Times New Roman"/>
          <w:color w:val="1E2A36"/>
          <w:sz w:val="22"/>
          <w:szCs w:val="22"/>
        </w:rPr>
        <w:t>The Counter-Evidence Review closes all claims. No claim returns for additional review after this procedure. The Shared Digital Registry logs the Panel's final determination and all evidence submitted during the review. Both Parties receive identical copies of the complete record.</w:t>
      </w:r>
    </w:p>
    <w:p>
      <w:pPr>
        <w:pStyle w:val="Heading2"/>
      </w:pPr>
      <w:r>
        <w:rPr>
          <w:rFonts w:ascii="Times New Roman" w:hAnsi="Times New Roman" w:eastAsia="Times New Roman" w:cs="Times New Roman"/>
          <w:b/>
          <w:color w:val="1E2A36"/>
          <w:sz w:val="20"/>
          <w:szCs w:val="24"/>
        </w:rPr>
        <w:t>14.15 Score Reset Between Phases</w:t>
      </w:r>
    </w:p>
    <w:p>
      <w:pPr>
        <w:pStyle w:val="Normal"/>
        <w:spacing w:after="180" w:line="288" w:lineRule="auto"/>
        <w:jc w:val="both"/>
      </w:pPr>
      <w:r>
        <w:rPr>
          <w:rFonts w:ascii="Times New Roman" w:hAnsi="Times New Roman" w:eastAsia="Times New Roman" w:cs="Times New Roman"/>
          <w:color w:val="1E2A36"/>
          <w:sz w:val="22"/>
          <w:szCs w:val="22"/>
        </w:rPr>
        <w:t>The framework architecture resets Verification Scores at phase boundaries according to the following schedule:</w:t>
      </w:r>
    </w:p>
    <w:tbl>
      <w:tblPr>
        <w:tblW w:w="5000" w:type="pct"/>
        <w:tblBorders>
          <w:top w:val="single" w:color="4A5D6E" w:sz="12"/>
          <w:left w:val="nil"/>
          <w:bottom w:val="single" w:color="4A5D6E" w:sz="12"/>
          <w:right w:val="nil"/>
          <w:insideH w:val="single" w:color="c5cdd4" w:sz="4"/>
          <w:insideV w:val="nil"/>
        </w:tblBorders>
      </w:tblPr>
      <w:tblGrid>
        <w:gridCol w:w="2400"/>
        <w:gridCol w:w="7600"/>
        <w:gridCol w:w="7600"/>
      </w:tblGrid>
      <w:tr>
        <w:trPr>
          <w:tblHeader w:val="1"/>
        </w:trPr>
        <w:tc>
          <w:tcPr>
            <w:tcW w:w="24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Phase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Initial Fund Balance</w:t>
            </w:r>
          </w:p>
        </w:tc>
        <w:tc>
          <w:tcPr>
            <w:tcW w:w="7600" w:type="dxa"/>
            <w:shd w:val="clear" w:fill="E8ECEF" w:color="auto"/>
          </w:tcPr>
          <w:p>
            <w:pPr>
              <w:pStyle w:val="Normal"/>
              <w:spacing w:before="60" w:after="60"/>
              <w:jc w:val="left"/>
            </w:pPr>
            <w:r>
              <w:rPr>
                <w:b/>
                <w:color w:val="1E2A36"/>
                <w:sz w:val="22"/>
                <w:rFonts w:ascii="Times New Roman" w:hAnsi="Times New Roman" w:eastAsia="Times New Roman" w:cs="Times New Roman"/>
                <w:szCs w:val="20"/>
              </w:rPr>
              <w:t>Reset Rule</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Testing Phase (Days 1 through 14)</w:t>
            </w:r>
          </w:p>
        </w:tc>
        <w:tc>
          <w:tcPr>
            <w:tcW w:w="7600" w:type="dxa"/>
          </w:tcPr>
          <w:p>
            <w:pPr>
              <w:pStyle w:val="Normal"/>
              <w:spacing w:before="60" w:after="60"/>
              <w:jc w:val="left"/>
            </w:pPr>
            <w:r>
              <w:rPr>
                <w:b/>
                <w:color w:val="1E2A36"/>
                <w:sz w:val="22"/>
                <w:rFonts w:ascii="Times New Roman" w:hAnsi="Times New Roman" w:eastAsia="Times New Roman" w:cs="Times New Roman"/>
                <w:szCs w:val="20"/>
              </w:rPr>
              <w:t>Both Parties start at 0 credits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Scores carry forward to Cooling-Off Period as base scores on Day 15</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Cooling-Off Period (Days 15 through 44)</w:t>
            </w:r>
          </w:p>
        </w:tc>
        <w:tc>
          <w:tcPr>
            <w:tcW w:w="7600" w:type="dxa"/>
          </w:tcPr>
          <w:p>
            <w:pPr>
              <w:pStyle w:val="Normal"/>
              <w:spacing w:before="60" w:after="60"/>
              <w:jc w:val="left"/>
            </w:pPr>
            <w:r>
              <w:rPr>
                <w:b/>
                <w:color w:val="1E2A36"/>
                <w:sz w:val="22"/>
                <w:rFonts w:ascii="Times New Roman" w:hAnsi="Times New Roman" w:eastAsia="Times New Roman" w:cs="Times New Roman"/>
                <w:szCs w:val="20"/>
              </w:rPr>
              <w:t>Testing Phase final scores become starting balances</w:t>
            </w:r>
          </w:p>
        </w:tc>
        <w:tc>
          <w:tcPr>
            <w:tcW w:w="7600" w:type="dxa"/>
          </w:tcPr>
          <w:p>
            <w:pPr>
              <w:pStyle w:val="Normal"/>
              <w:spacing w:before="60" w:after="60"/>
              <w:jc w:val="left"/>
            </w:pPr>
            <w:r>
              <w:rPr>
                <w:b/>
                <w:color w:val="1E2A36"/>
                <w:sz w:val="22"/>
                <w:rFonts w:ascii="Times New Roman" w:hAnsi="Times New Roman" w:eastAsia="Times New Roman" w:cs="Times New Roman"/>
                <w:szCs w:val="20"/>
              </w:rPr>
              <w:t>Scores freeze and publish on Day 45; no further verification activity</w:t>
            </w:r>
          </w:p>
        </w:tc>
      </w:tr>
      <w:tr>
        <w:tc>
          <w:tcPr>
            <w:tcW w:w="2400" w:type="dxa"/>
          </w:tcPr>
          <w:p>
            <w:pPr>
              <w:pStyle w:val="Normal"/>
              <w:spacing w:before="60" w:after="60"/>
              <w:jc w:val="left"/>
            </w:pPr>
            <w:r>
              <w:rPr>
                <w:b/>
                <w:color w:val="1E2A36"/>
                <w:sz w:val="22"/>
                <w:rFonts w:ascii="Times New Roman" w:hAnsi="Times New Roman" w:eastAsia="Times New Roman" w:cs="Times New Roman"/>
                <w:szCs w:val="20"/>
              </w:rPr>
              <w:t>Decision Point (Days 45 through 51)</w:t>
            </w:r>
          </w:p>
        </w:tc>
        <w:tc>
          <w:tcPr>
            <w:tcW w:w="7600" w:type="dxa"/>
          </w:tcPr>
          <w:p>
            <w:pPr>
              <w:pStyle w:val="Normal"/>
              <w:spacing w:before="60" w:after="60"/>
              <w:jc w:val="left"/>
            </w:pPr>
            <w:r>
              <w:rPr>
                <w:b/>
                <w:color w:val="1E2A36"/>
                <w:sz w:val="22"/>
                <w:rFonts w:ascii="Times New Roman" w:hAnsi="Times New Roman" w:eastAsia="Times New Roman" w:cs="Times New Roman"/>
                <w:szCs w:val="20"/>
              </w:rPr>
              <w:t>Scores are frozen and published</w:t>
            </w:r>
          </w:p>
        </w:tc>
        <w:tc>
          <w:tcPr>
            <w:tcW w:w="7600" w:type="dxa"/>
          </w:tcPr>
          <w:p>
            <w:pPr>
              <w:pStyle w:val="Normal"/>
              <w:spacing w:before="60" w:after="60"/>
              <w:jc w:val="left"/>
            </w:pPr>
            <w:r>
              <w:rPr>
                <w:b/>
                <w:color w:val="1E2A36"/>
                <w:sz w:val="22"/>
                <w:rFonts w:ascii="Times New Roman" w:hAnsi="Times New Roman" w:eastAsia="Times New Roman" w:cs="Times New Roman"/>
                <w:szCs w:val="20"/>
              </w:rPr>
              <w:t>No further claims, challenges, or score changes; only political decision remains</w:t>
            </w:r>
          </w:p>
        </w:tc>
      </w:tr>
    </w:tbl>
    <w:p>
      <w:pPr>
        <w:pStyle w:val="Normal"/>
        <w:spacing w:after="180" w:line="288" w:lineRule="auto"/>
        <w:jc w:val="both"/>
      </w:pPr>
      <w:r>
        <w:rPr>
          <w:rFonts w:ascii="Times New Roman" w:hAnsi="Times New Roman" w:eastAsia="Times New Roman" w:cs="Times New Roman"/>
          <w:color w:val="1E2A36"/>
          <w:sz w:val="22"/>
          <w:szCs w:val="22"/>
        </w:rPr>
        <w:t>The score reset between phases ensures that each phase begins with a clear baseline. Historical scores inform the phase assessment but do not predetermine the next phase's outcome. The Good Faith Reset under Article 14.10 operates independently of the phase reset and applies within the current phase only.</w:t>
      </w:r>
    </w:p>
    <w:p>
      <w:pPr>
        <w:pStyle w:val="Normal"/>
        <w:spacing w:after="180" w:line="288" w:lineRule="auto"/>
        <w:jc w:val="both"/>
        <w:sectPr>
          <w:type w:val="continuous"/>
          <w:pgSz w:w="11906" w:h="16838"/>
          <w:pgMar w:top="1440" w:right="1440" w:bottom="1440" w:left="1440" w:header="720" w:footer="720"/>
        </w:sectPr>
      </w:pPr>
      <w:r>
        <w:rPr>
          <w:rFonts w:ascii="Times New Roman" w:hAnsi="Times New Roman" w:eastAsia="Times New Roman" w:cs="Times New Roman"/>
          <w:color w:val="1E2A36"/>
          <w:sz w:val="22"/>
          <w:szCs w:val="22"/>
        </w:rPr>
        <w:t>No Party re-litigates a claim after the phase in which the claim was submitted concludes. The Shared Digital Registry archives all claims, determinations, and scores permanently for audit purposes. The framework architecture treats historical verification data as the factual baseline for all future phase assessments.</w:t>
      </w:r>
    </w:p>
    <w:p>
      <w:pPr>
        <w:pStyle w:val="Heading1"/>
      </w:pPr>
      <w:r>
        <w:rPr>
          <w:rFonts w:ascii="Times New Roman" w:hAnsi="Times New Roman" w:eastAsia="Times New Roman" w:cs="Times New Roman"/>
          <w:b/>
          <w:color w:val="4A5D6E"/>
          <w:sz w:val="28"/>
          <w:szCs w:val="28"/>
        </w:rPr>
        <w:t>Article 18 - Force Majeure</w:t>
      </w:r>
    </w:p>
    <w:p>
      <w:pPr>
        <w:pStyle w:val="Normal"/>
        <w:spacing w:after="180" w:line="288" w:lineRule="auto"/>
        <w:jc w:val="both"/>
      </w:pPr>
      <w:r>
        <w:rPr>
          <w:rFonts w:ascii="Times New Roman" w:hAnsi="Times New Roman" w:eastAsia="Times New Roman" w:cs="Times New Roman"/>
          <w:color w:val="1E2A36"/>
          <w:sz w:val="22"/>
          <w:szCs w:val="22"/>
        </w:rPr>
        <w:t>Neither Party is held in breach of this Annex for failure to meet technical performance benchmarks (including uptime, latency, or data transmission requirements) where such failure is caused by a Force Majeure Event. A Force Majeure Event means an event outside the reasonable control of the affected Party, including natural disasters, cyberattacks, satellite system failures, or regional conflict escalation beyond the Parties' control.</w:t>
      </w:r>
    </w:p>
    <w:p>
      <w:pPr>
        <w:pStyle w:val="Normal"/>
        <w:spacing w:after="180" w:line="288" w:lineRule="auto"/>
        <w:jc w:val="both"/>
      </w:pPr>
      <w:r>
        <w:rPr>
          <w:rFonts w:ascii="Times New Roman" w:hAnsi="Times New Roman" w:eastAsia="Times New Roman" w:cs="Times New Roman"/>
          <w:color w:val="1E2A36"/>
          <w:sz w:val="22"/>
          <w:szCs w:val="22"/>
        </w:rPr>
        <w:t>The affected Party notifies the JMC and the Facilitator Troika within 12 hours of the onset of the Force Majeure Event, provides a remediation plan within 48 hours, and implements the plan with best efforts. The technical timeline pauses during the Force Majeure Event and resumes upon restoration of service. The Facilitator Troika confirms the Force Majeure classification by 2-of-3 majority vote. The Shared Digital Registry logs all Force Majeure notifications, remediation plans, and restoration confirmations.</w:t>
      </w:r>
    </w:p>
    <w:p>
      <w:pPr>
        <w:pStyle w:val="Heading1"/>
      </w:pPr>
      <w:r>
        <w:rPr>
          <w:rFonts w:ascii="Times New Roman" w:hAnsi="Times New Roman" w:eastAsia="Times New Roman" w:cs="Times New Roman"/>
          <w:b/>
          <w:color w:val="4A5D6E"/>
          <w:sz w:val="28"/>
          <w:szCs w:val="28"/>
        </w:rPr>
        <w:t>Article 19 - Good-Faith Discretion</w:t>
      </w:r>
    </w:p>
    <w:p>
      <w:pPr>
        <w:pStyle w:val="Normal"/>
        <w:spacing w:after="180" w:line="288" w:lineRule="auto"/>
        <w:jc w:val="both"/>
      </w:pPr>
      <w:r>
        <w:rPr>
          <w:rFonts w:ascii="Times New Roman" w:hAnsi="Times New Roman" w:eastAsia="Times New Roman" w:cs="Times New Roman"/>
          <w:color w:val="1E2A36"/>
          <w:sz w:val="22"/>
          <w:szCs w:val="20"/>
          <w:b/>
        </w:rPr>
        <w:t>The Facilitator Troika, by 2-of-3 majority vote, waives or reduces any automatic penalty under this Annex (including bond forfeiture, Heightened Scrutiny designation, and credit penalties) where the affected Party demonstrates by clear and convincing evidence that the failure was caused by genuine technical ambiguity, data corruption, or circumstances beyond their reasonable control. The Troika logs all waiver decisions with supporting rationale in the Shared Digital Registry. This discretion prevents the framework from punishing good-faith technical disagreements. Neither Party invokes Good-Faith Discretion more than once per phase for penalties arising from the same category of conduct.</w:t>
      </w:r>
    </w:p>
    <w:p>
      <w:pPr>
        <w:pStyle w:val="Heading1"/>
      </w:pPr>
      <w:bookmarkStart w:name="_TocSig" w:id="111"/>
      <w:r>
        <w:rPr>
          <w:rFonts w:ascii="Times New Roman" w:hAnsi="Times New Roman" w:eastAsia="Times New Roman" w:cs="Times New Roman"/>
          <w:b/>
          <w:color w:val="4A5D6E"/>
          <w:sz w:val="28"/>
          <w:szCs w:val="28"/>
        </w:rPr>
        <w:t>Signature Block</w:t>
      </w:r>
      <w:bookmarkEnd w:id="111"/>
    </w:p>
    <w:p>
      <w:pPr>
        <w:pStyle w:val="Normal"/>
        <w:spacing w:before="200" w:after="400"/>
      </w:pPr>
      <w:r>
        <w:rPr>
          <w:i/>
          <w:sz w:val="22"/>
          <w:rFonts w:ascii="Times New Roman" w:hAnsi="Times New Roman" w:eastAsia="Times New Roman" w:cs="Times New Roman"/>
          <w:color w:val="1E2A36"/>
          <w:szCs w:val="22"/>
        </w:rPr>
        <w:t>In witness whereof, the undersigned, being duly authorized by their respective governments, have signed this Annex HITP: Hormuz Implementation and Testing Protocol.</w:t>
      </w:r>
    </w:p>
    <w:p>
      <w:pPr>
        <w:pStyle w:val="Normal"/>
      </w:pPr>
      <w:r>
        <w:rPr>
          <w:i/>
          <w:sz w:val="20"/>
          <w:rFonts w:ascii="Times New Roman" w:hAnsi="Times New Roman" w:eastAsia="Times New Roman" w:cs="Times New Roman"/>
          <w:color w:val="1E2A36"/>
          <w:szCs w:val="20"/>
        </w:rPr>
        <w:t>Done at ____________________, this ______ day of ______________, 2026, in duplicate in the English language.</w:t>
      </w:r>
    </w:p>
    <w:tbl>
      <w:tblPr>
        <w:tblW w:w="5000" w:type="pct"/>
        <w:tblBorders>
          <w:top w:val="nil"/>
          <w:left w:val="nil"/>
          <w:bottom w:val="nil"/>
          <w:right w:val="nil"/>
          <w:insideH w:val="nil"/>
          <w:insideV w:val="nil"/>
        </w:tblBorders>
      </w:tblPr>
      <w:tblGrid>
        <w:gridCol w:w="5000"/>
        <w:gridCol w:w="5000"/>
      </w:tblGrid>
      <w:tr>
        <w:tc>
          <w:tcPr>
            <w:tcW w:w="5000" w:type="dxa"/>
          </w:tcPr>
          <w:p>
            <w:pPr>
              <w:pStyle w:val="Normal"/>
              <w:spacing w:before="120" w:after="60"/>
            </w:pPr>
            <w:r>
              <w:rPr>
                <w:b/>
                <w:color w:val="1E2A36"/>
                <w:sz w:val="22"/>
                <w:rFonts w:ascii="Times New Roman" w:hAnsi="Times New Roman" w:eastAsia="Times New Roman" w:cs="Times New Roman"/>
                <w:szCs w:val="22"/>
              </w:rPr>
              <w:t>For the United States of America:</w:t>
            </w:r>
          </w:p>
        </w:tc>
        <w:tc>
          <w:tcPr>
            <w:tcW w:w="5000" w:type="dxa"/>
          </w:tcPr>
          <w:p>
            <w:pPr>
              <w:pStyle w:val="Normal"/>
              <w:spacing w:before="120" w:after="60"/>
            </w:pPr>
            <w:r>
              <w:rPr>
                <w:b/>
                <w:color w:val="1E2A36"/>
                <w:sz w:val="22"/>
                <w:rFonts w:ascii="Times New Roman" w:hAnsi="Times New Roman" w:eastAsia="Times New Roman" w:cs="Times New Roman"/>
                <w:szCs w:val="22"/>
              </w:rPr>
              <w:t>For the Islamic Republic of Iran:</w:t>
            </w:r>
          </w:p>
        </w:tc>
      </w:tr>
      <w:tr>
        <w:tc>
          <w:tcPr>
            <w:tcW w:w="5000" w:type="dxa"/>
          </w:tcPr>
          <w:p>
            <w:pPr>
              <w:pStyle w:val="Normal"/>
              <w:spacing w:before="120" w:after="60"/>
            </w:pPr>
            <w:r>
              <w:rPr>
                <w:color w:val="1E2A36"/>
                <w:sz w:val="22"/>
                <w:rFonts w:ascii="Times New Roman" w:hAnsi="Times New Roman" w:eastAsia="Times New Roman" w:cs="Times New Roman"/>
                <w:szCs w:val="22"/>
              </w:rPr>
              <w:t>Name: ____________________________</w:t>
            </w:r>
          </w:p>
        </w:tc>
        <w:tc>
          <w:tcPr>
            <w:tcW w:w="5000" w:type="dxa"/>
          </w:tcPr>
          <w:p>
            <w:pPr>
              <w:pStyle w:val="Normal"/>
              <w:spacing w:before="120" w:after="60"/>
            </w:pPr>
            <w:r>
              <w:rPr>
                <w:color w:val="1E2A36"/>
                <w:sz w:val="22"/>
                <w:rFonts w:ascii="Times New Roman" w:hAnsi="Times New Roman" w:eastAsia="Times New Roman" w:cs="Times New Roman"/>
                <w:szCs w:val="22"/>
              </w:rPr>
              <w:t>Name: ____________________________</w:t>
            </w:r>
          </w:p>
        </w:tc>
      </w:tr>
      <w:tr>
        <w:tc>
          <w:tcPr>
            <w:tcW w:w="5000" w:type="dxa"/>
          </w:tcPr>
          <w:p>
            <w:pPr>
              <w:pStyle w:val="Normal"/>
              <w:spacing w:before="120" w:after="60"/>
            </w:pPr>
            <w:r>
              <w:rPr>
                <w:color w:val="1E2A36"/>
                <w:sz w:val="22"/>
                <w:rFonts w:ascii="Times New Roman" w:hAnsi="Times New Roman" w:eastAsia="Times New Roman" w:cs="Times New Roman"/>
                <w:szCs w:val="22"/>
              </w:rPr>
              <w:t>Title: ___________________________</w:t>
            </w:r>
          </w:p>
        </w:tc>
        <w:tc>
          <w:tcPr>
            <w:tcW w:w="5000" w:type="dxa"/>
          </w:tcPr>
          <w:p>
            <w:pPr>
              <w:pStyle w:val="Normal"/>
              <w:spacing w:before="120" w:after="60"/>
            </w:pPr>
            <w:r>
              <w:rPr>
                <w:color w:val="1E2A36"/>
                <w:sz w:val="22"/>
                <w:rFonts w:ascii="Times New Roman" w:hAnsi="Times New Roman" w:eastAsia="Times New Roman" w:cs="Times New Roman"/>
                <w:szCs w:val="22"/>
              </w:rPr>
              <w:t>Title: ___________________________</w:t>
            </w:r>
          </w:p>
        </w:tc>
      </w:tr>
      <w:tr>
        <w:tc>
          <w:tcPr>
            <w:tcW w:w="5000" w:type="dxa"/>
          </w:tcPr>
          <w:p>
            <w:pPr>
              <w:pStyle w:val="Normal"/>
              <w:spacing w:before="120" w:after="60"/>
            </w:pPr>
            <w:r>
              <w:rPr>
                <w:color w:val="1E2A36"/>
                <w:sz w:val="22"/>
                <w:rFonts w:ascii="Times New Roman" w:hAnsi="Times New Roman" w:eastAsia="Times New Roman" w:cs="Times New Roman"/>
                <w:szCs w:val="22"/>
              </w:rPr>
              <w:t>Signature: _______________________</w:t>
            </w:r>
          </w:p>
        </w:tc>
        <w:tc>
          <w:tcPr>
            <w:tcW w:w="5000" w:type="dxa"/>
          </w:tcPr>
          <w:p>
            <w:pPr>
              <w:pStyle w:val="Normal"/>
              <w:spacing w:before="120" w:after="60"/>
            </w:pPr>
            <w:r>
              <w:rPr>
                <w:color w:val="1E2A36"/>
                <w:sz w:val="22"/>
                <w:rFonts w:ascii="Times New Roman" w:hAnsi="Times New Roman" w:eastAsia="Times New Roman" w:cs="Times New Roman"/>
                <w:szCs w:val="22"/>
              </w:rPr>
              <w:t>Signature: _______________________</w:t>
            </w:r>
          </w:p>
        </w:tc>
      </w:tr>
      <w:tr>
        <w:tc>
          <w:tcPr>
            <w:tcW w:w="5000" w:type="dxa"/>
          </w:tcPr>
          <w:p>
            <w:pPr>
              <w:pStyle w:val="Normal"/>
              <w:spacing w:before="120" w:after="60"/>
            </w:pPr>
            <w:r>
              <w:rPr>
                <w:color w:val="1E2A36"/>
                <w:sz w:val="22"/>
                <w:rFonts w:ascii="Times New Roman" w:hAnsi="Times New Roman" w:eastAsia="Times New Roman" w:cs="Times New Roman"/>
                <w:szCs w:val="22"/>
              </w:rPr>
              <w:t>Date: ____________________________</w:t>
            </w:r>
          </w:p>
        </w:tc>
        <w:tc>
          <w:tcPr>
            <w:tcW w:w="5000" w:type="dxa"/>
          </w:tcPr>
          <w:p>
            <w:pPr>
              <w:pStyle w:val="Normal"/>
              <w:spacing w:before="120" w:after="60"/>
            </w:pPr>
            <w:r>
              <w:rPr>
                <w:color w:val="1E2A36"/>
                <w:sz w:val="22"/>
                <w:rFonts w:ascii="Times New Roman" w:hAnsi="Times New Roman" w:eastAsia="Times New Roman" w:cs="Times New Roman"/>
                <w:szCs w:val="22"/>
              </w:rPr>
              <w:t>Date: ____________________________</w:t>
            </w:r>
          </w:p>
        </w:tc>
      </w:tr>
    </w:tbl>
    <w:p>
      <w:pPr>
        <w:pStyle w:val="Normal"/>
        <w:spacing w:after="200"/>
      </w:pPr>
      <w:r>
        <w:rPr>
          <w:b/>
          <w:sz w:val="22"/>
          <w:rFonts w:ascii="Times New Roman" w:hAnsi="Times New Roman" w:eastAsia="Times New Roman" w:cs="Times New Roman"/>
          <w:color w:val="1E2A36"/>
          <w:szCs w:val="22"/>
        </w:rPr>
        <w:t>Witnessed by the Sultanate of Oman (Host Nation):</w:t>
      </w:r>
    </w:p>
    <w:p>
      <w:pPr>
        <w:pStyle w:val="Normal"/>
        <w:spacing w:before="200" w:after="100"/>
      </w:pPr>
      <w:r>
        <w:rPr>
          <w:sz w:val="22"/>
          <w:rFonts w:ascii="Times New Roman" w:hAnsi="Times New Roman" w:eastAsia="Times New Roman" w:cs="Times New Roman"/>
          <w:color w:val="1E2A36"/>
          <w:szCs w:val="22"/>
        </w:rPr>
        <w:t>Name: ______________________________</w:t>
      </w:r>
    </w:p>
    <w:p>
      <w:pPr>
        <w:pStyle w:val="Normal"/>
        <w:spacing w:before="400" w:after="200"/>
      </w:pPr>
      <w:r>
        <w:rPr>
          <w:b/>
          <w:sz w:val="22"/>
          <w:rFonts w:ascii="Times New Roman" w:hAnsi="Times New Roman" w:eastAsia="Times New Roman" w:cs="Times New Roman"/>
          <w:color w:val="1E2A36"/>
          <w:szCs w:val="22"/>
        </w:rPr>
        <w:t>Witnessed by the Facilitator Troika (Switzerland, Sultanate of Oman, and rotating non-permanent member):</w:t>
      </w:r>
    </w:p>
    <w:p>
      <w:pPr>
        <w:pStyle w:val="Normal"/>
        <w:spacing w:before="200" w:after="100"/>
      </w:pPr>
      <w:r>
        <w:rPr>
          <w:sz w:val="22"/>
          <w:rFonts w:ascii="Times New Roman" w:hAnsi="Times New Roman" w:eastAsia="Times New Roman" w:cs="Times New Roman"/>
          <w:color w:val="1E2A36"/>
          <w:szCs w:val="22"/>
        </w:rPr>
        <w:t>Name: ______________________________</w:t>
      </w:r>
    </w:p>
    <w:p>
      <w:pPr>
        <w:jc w:val="center"/>
      </w:pPr>
      <w:r>
        <w:rPr>
          <w:i/>
          <w:color w:val="7A8D9E"/>
          <w:sz w:val="18"/>
          <w:rFonts w:ascii="Times New Roman" w:hAnsi="Times New Roman" w:eastAsia="Times New Roman" w:cs="Times New Roman"/>
          <w:szCs w:val="18"/>
        </w:rPr>
        <w:t>Participation in this Annex does not prejudice the legal positions, sovereignty claims, sanctions positions, or future political negotiations of any Party.</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a8d9e"/>
        <w:sz w:val="16"/>
      </w:rPr>
      <w:t xml:space="preserve">Page </w:t>
    </w:r>
    <w:r>
      <w:rPr>
        <w:color w:val="7a8d9e"/>
        <w:sz w:val="16"/>
      </w:rPr>
      <w:fldChar w:fldCharType="begin"/>
    </w:r>
    <w:r>
      <w:rPr>
        <w:color w:val="7a8d9e"/>
        <w:sz w:val="16"/>
      </w:rPr>
      <w:instrText xml:space="preserve"> PAGE </w:instrText>
    </w:r>
    <w:r>
      <w:rPr>
        <w:color w:val="7a8d9e"/>
        <w:sz w:val="16"/>
      </w:rPr>
      <w:fldChar w:fldCharType="separate"/>
    </w:r>
    <w:r>
      <w:rPr>
        <w:color w:val="7a8d9e"/>
        <w:sz w:val="16"/>
      </w:rPr>
      <w:t>1</w:t>
    </w:r>
    <w:r>
      <w:rPr>
        <w:color w:val="7a8d9e"/>
        <w:sz w:val="16"/>
      </w:rPr>
      <w:fldChar w:fldCharType="end"/>
    </w:r>
    <w:r>
      <w:rPr>
        <w:color w:val="7a8d9e"/>
        <w:sz w:val="16"/>
      </w:rPr>
      <w:t xml:space="preserve"> of </w:t>
    </w:r>
    <w:r>
      <w:rPr>
        <w:color w:val="7a8d9e"/>
        <w:sz w:val="16"/>
      </w:rPr>
      <w:fldChar w:fldCharType="begin"/>
    </w:r>
    <w:r>
      <w:rPr>
        <w:color w:val="7a8d9e"/>
        <w:sz w:val="16"/>
      </w:rPr>
      <w:instrText xml:space="preserve"> NUMPAGES </w:instrText>
    </w:r>
    <w:r>
      <w:rPr>
        <w:color w:val="7a8d9e"/>
        <w:sz w:val="16"/>
      </w:rPr>
      <w:fldChar w:fldCharType="separate"/>
    </w:r>
    <w:r>
      <w:rPr>
        <w:color w:val="7a8d9e"/>
        <w:sz w:val="16"/>
      </w:rPr>
      <w:t>1</w:t>
    </w:r>
    <w:r>
      <w:rPr>
        <w:color w:val="7a8d9e"/>
        <w:sz w:val="16"/>
      </w:rPr>
      <w:fldChar w:fldCharType="end"/>
    </w:r>
  </w:p>
</w:ftr>
</file>

<file path=word/header1.xml><?xml version="1.0" encoding="utf-8"?>
<w:hdr xmlns:w="http://schemas.openxmlformats.org/wordprocessingml/2006/main">
  <w:p>
    <w:pPr>
      <w:pBdr>
        <w:bottom w:val="single" w:color="c5cdd4" w:sz="4"/>
      </w:pBdr>
      <w:jc w:val="right"/>
    </w:pPr>
    <w:r>
      <w:rPr>
        <w:caps/>
        <w:color w:val="7a8d9e"/>
        <w:sz w:val="16"/>
      </w:rPr>
      <w:t>Annex HITP  -  Hormuz Implementation and Testing Protocol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Times New Roman" w:hAnsi="Times New Roman" w:eastAsia="Times New Roman"/>
      <w:color w:val="1e2a36"/>
      <w:sz w:val="22"/>
    </w:rPr>
  </w:style>
  <w:style w:type="paragraph" w:styleId="Heading1">
    <w:name w:val="heading 1"/>
    <w:basedOn w:val="Normal"/>
    <w:pPr>
      <w:keepNext/>
      <w:keepLines/>
      <w:pageBreakBefore/>
      <w:spacing w:before="400" w:after="200"/>
      <w:outlineLvl w:val="0"/>
    </w:pPr>
    <w:rPr>
      <w:rFonts w:ascii="Times New Roman" w:hAnsi="Times New Roman"/>
      <w:b/>
      <w:caps/>
      <w:color w:val="4A5D6E"/>
      <w:sz w:val="28"/>
    </w:rPr>
  </w:style>
  <w:style w:type="paragraph" w:styleId="Heading2">
    <w:name w:val="heading 2"/>
    <w:basedOn w:val="Normal"/>
    <w:pPr>
      <w:keepNext/>
      <w:keepLines/>
      <w:spacing w:before="320" w:after="120"/>
      <w:outlineLvl w:val="1"/>
    </w:pPr>
    <w:rPr>
      <w:rFonts w:ascii="Times New Roman" w:hAnsi="Times New Roman"/>
      <w:b/>
      <w:color w:val="1e2a36"/>
      <w:sz w:val="24"/>
    </w:rPr>
  </w:style>
  <w:style w:type="paragraph" w:styleId="Heading3">
    <w:name w:val="heading 3"/>
    <w:basedOn w:val="Normal"/>
    <w:pPr>
      <w:keepNext/>
      <w:keepLines/>
      <w:spacing w:before="240" w:after="80"/>
      <w:outlineLvl w:val="2"/>
    </w:pPr>
    <w:rPr>
      <w:rFonts w:ascii="Times New Roman" w:hAnsi="Times New Roman"/>
      <w:b/>
      <w:i/>
      <w:color w:val="3d4f5f"/>
      <w:sz w:val="22"/>
    </w:rPr>
  </w:style>
  <w:style w:type="paragraph" w:styleId="TOC1">
    <w:name w:val="toc 1"/>
    <w:basedOn w:val="Normal"/>
    <w:pPr>
      <w:tabs>
        <w:tab w:val="right" w:leader="dot" w:pos="9350"/>
      </w:tabs>
      <w:spacing w:before="200" w:after="40"/>
      <w:ind w:left="0"/>
    </w:pPr>
    <w:rPr>
      <w:b/>
      <w:color w:val="1e2a36"/>
    </w:rPr>
  </w:style>
  <w:style w:type="paragraph" w:styleId="TOC2">
    <w:name w:val="toc 2"/>
    <w:basedOn w:val="Normal"/>
    <w:pPr>
      <w:tabs>
        <w:tab w:val="right" w:leader="dot" w:pos="9350"/>
      </w:tabs>
      <w:spacing w:before="60" w:after="40"/>
      <w:ind w:left="360"/>
    </w:pPr>
    <w:rPr>
      <w:color w:val="3d4f5f"/>
    </w:rPr>
  </w:style>
  <w:style w:type="paragraph" w:styleId="TOC3">
    <w:name w:val="toc 3"/>
    <w:basedOn w:val="Normal"/>
    <w:pPr>
      <w:tabs>
        <w:tab w:val="right" w:leader="dot" w:pos="9350"/>
      </w:tabs>
      <w:spacing w:before="40" w:after="40"/>
      <w:ind w:left="720"/>
    </w:pPr>
    <w:rPr>
      <w:color w:val="3d4f5f"/>
    </w:rPr>
  </w:style>
  <w:style w:type="paragraph" w:styleId="Caption">
    <w:name w:val="Caption"/>
    <w:basedOn w:val="Normal"/>
    <w:pPr>
      <w:spacing w:before="60" w:after="240"/>
      <w:jc w:val="center"/>
    </w:pPr>
    <w:rPr>
      <w:i/>
      <w:color w:val="7a8d9e"/>
      <w:sz w:val="18"/>
    </w:rPr>
  </w:style>
</w:styles>
</file>

<file path=word/_rels/document.xml.rels><?xml version='1.0' encoding='UTF-8'?>
<Relationships xmlns="http://schemas.openxmlformats.org/package/2006/relationships"><Relationship Id="R3973448f02d54f84" Type="http://schemas.openxmlformats.org/officeDocument/2006/relationships/styles" Target="styles.xml" /><Relationship Id="R3cbd37a35e01423f" Type="http://schemas.openxmlformats.org/officeDocument/2006/relationships/footer" Target="footer1.xml" /><Relationship Id="R554089e8f5e144e6" Type="http://schemas.openxmlformats.org/officeDocument/2006/relationships/settings" Target="settings.xml" /><Relationship Id="Rb57f5b4375d44161" Type="http://schemas.openxmlformats.org/officeDocument/2006/relationships/numbering" Target="numbering.xml" /><Relationship Id="Rcefd1482fb194854" Type="http://schemas.openxmlformats.org/officeDocument/2006/relationships/image" Target="media/image.png" /><Relationship Id="Re63c7cfdb2184392" Type="http://schemas.openxmlformats.org/officeDocument/2006/relationships/header" Target="header1.xml" /></Relationships>
</file>