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officedocument/2006/relationships/metadata/core-properties" Target="docProps/core.xml" /><Relationship Id="rId2" Type="http://schemas.openxmlformats.org/officeDocument/2006/relationships/extended-properties" Target="docProps/app.xml" /><Relationship Id="rId3" Type="http://schemas.openxmlformats.org/officeDocument/2006/relationships/officeDocument" Target="word/document.xml" /></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Normal"/>
        <w:bidi w:val="0"/>
        <w:rPr/>
      </w:pPr>
      <w:r>
        <w:rPr/>
        <w:drawing>
          <wp:anchor behindDoc="1" distT="0" distB="0" distL="0" distR="0" simplePos="0" locked="0" layoutInCell="0" allowOverlap="1" relativeHeight="20">
            <wp:simplePos x="0" y="0"/>
            <wp:positionH relativeFrom="page">
              <wp:posOffset>0</wp:posOffset>
            </wp:positionH>
            <wp:positionV relativeFrom="page">
              <wp:posOffset>0</wp:posOffset>
            </wp:positionV>
            <wp:extent cx="7560310" cy="10692130"/>
            <wp:effectExtent l="0" t="0" r="0" b="0"/>
            <wp:wrapNone/>
            <wp:docPr id="1" name="CoverBg" descr="" title=""/>
            <wp:cNvGraphicFramePr>
              <a:graphicFrameLocks noChangeAspect="1"/>
            </wp:cNvGraphicFramePr>
            <a:graphic>
              <a:graphicData uri="http://schemas.openxmlformats.org/drawingml/2006/picture">
                <pic:pic>
                  <pic:nvPicPr>
                    <pic:cNvPr id="1" name="CoverBg" descr="" title=""/>
                    <pic:cNvPicPr>
                      <a:picLocks noChangeAspect="1" noChangeArrowheads="1"/>
                    </pic:cNvPicPr>
                  </pic:nvPicPr>
                  <pic:blipFill>
                    <a:blip r:embed="rId2"/>
                    <a:stretch>
                      <a:fillRect/>
                    </a:stretch>
                  </pic:blipFill>
                  <pic:spPr bwMode="auto">
                    <a:xfrm>
                      <a:off x="0" y="0"/>
                      <a:ext cx="7560310" cy="10692130"/>
                    </a:xfrm>
                    <a:prstGeom prst="rect">
                      <a:avLst/>
                    </a:prstGeom>
                  </pic:spPr>
                </pic:pic>
              </a:graphicData>
            </a:graphic>
          </wp:anchor>
        </w:drawing>
      </w:r>
    </w:p>
    <w:p>
      <w:pPr>
        <w:pStyle w:val="Normal"/>
        <w:bidi w:val="0"/>
        <w:spacing w:before="5200" w:after="160"/>
        <w:rPr/>
      </w:pPr>
    </w:p>
    <w:p>
      <w:pPr>
        <w:pStyle w:val="Normal"/>
        <w:bidi w:val="0"/>
        <w:spacing w:lineRule="auto" w:line="240" w:before="0" w:after="60"/>
        <w:jc w:val="center"/>
        <w:rPr/>
      </w:pPr>
      <w:r>
        <w:rPr>
          <w:rFonts w:eastAsia="Microsoft YaHei" w:cs="Cambria" w:ascii="Microsoft YaHei" w:hAnsi="Microsoft YaHei"/>
          <w:b/>
          <w:color w:val="000000"/>
          <w:sz w:val="88"/>
          <w:szCs w:val="88"/>
          <w:lang w:val="en-US" w:eastAsia="zh-CN" w:bidi="hi-IN"/>
          <w:spacing w:val="60"/>
        </w:rPr>
        <w:t>The Hormuz</w:t>
      </w:r>
    </w:p>
    <w:p>
      <w:pPr>
        <w:pStyle w:val="Normal"/>
        <w:bidi w:val="0"/>
        <w:spacing w:lineRule="auto" w:line="240" w:before="0" w:after="60"/>
        <w:jc w:val="center"/>
        <w:rPr/>
      </w:pPr>
      <w:r>
        <w:rPr>
          <w:rFonts w:eastAsia="Microsoft YaHei" w:cs="Cambria" w:ascii="Microsoft YaHei" w:hAnsi="Microsoft YaHei"/>
          <w:b/>
          <w:color w:val="000000"/>
          <w:sz w:val="88"/>
          <w:szCs w:val="88"/>
          <w:lang w:val="en-US" w:eastAsia="zh-CN" w:bidi="hi-IN"/>
          <w:spacing w:val="60"/>
        </w:rPr>
        <w:t>Synchronization</w:t>
      </w:r>
    </w:p>
    <w:p>
      <w:pPr>
        <w:pStyle w:val="Normal"/>
        <w:bidi w:val="0"/>
        <w:spacing w:lineRule="auto" w:line="240" w:before="0" w:after="400"/>
        <w:jc w:val="center"/>
        <w:rPr/>
      </w:pPr>
      <w:r>
        <w:rPr>
          <w:rFonts w:eastAsia="Microsoft YaHei" w:cs="Cambria" w:ascii="Microsoft YaHei" w:hAnsi="Microsoft YaHei"/>
          <w:b/>
          <w:color w:val="000000"/>
          <w:sz w:val="88"/>
          <w:szCs w:val="88"/>
          <w:lang w:val="en-US" w:eastAsia="zh-CN" w:bidi="hi-IN"/>
          <w:spacing w:val="60"/>
        </w:rPr>
        <w:t>Compact</w:t>
      </w:r>
    </w:p>
    <w:p>
      <w:pPr>
        <w:pStyle w:val="Normal"/>
        <w:bidi w:val="0"/>
        <w:spacing w:before="200" w:after="200"/>
        <w:jc w:val="center"/>
        <w:rPr/>
      </w:pPr>
      <w:r>
        <w:rPr>
          <w:rFonts w:eastAsia="Microsoft YaHei" w:cs="Cambria" w:ascii="Microsoft YaHei" w:hAnsi="Microsoft YaHei"/>
          <w:color w:val="000000"/>
          <w:sz w:val="24"/>
          <w:szCs w:val="24"/>
          <w:lang w:val="en-US" w:eastAsia="zh-CN" w:bidi="hi-IN"/>
          <w:spacing w:val="30"/>
        </w:rPr>
        <w:t>A Reciprocal Framework for Peace, Verification, and Regional Stability</w:t>
      </w:r>
    </w:p>
    <w:p>
      <w:pPr>
        <w:pStyle w:val="Normal"/>
        <w:bidi w:val="0"/>
        <w:spacing w:before="2200" w:after="160"/>
        <w:jc w:val="center"/>
        <w:rPr/>
      </w:pPr>
      <w:r>
        <w:rPr>
          <w:rFonts w:eastAsia="Microsoft YaHei" w:cs="Cambria" w:ascii="Microsoft YaHei" w:hAnsi="Microsoft YaHei"/>
          <w:color w:val="000000"/>
          <w:sz w:val="22"/>
          <w:szCs w:val="22"/>
          <w:lang w:val="en-US" w:eastAsia="zh-CN" w:bidi="hi-IN"/>
        </w:rPr>
        <w:t>June 2026 — v5.0</w:t>
      </w:r>
    </w:p>
    <w:p>
      <w:pPr>
        <w:pStyle w:val="Normal"/>
        <w:bidi w:val="0"/>
        <w:spacing w:before="120" w:after="160"/>
        <w:jc w:val="center"/>
        <w:rPr/>
        <w:sectPr>
          <w:type w:val="nextPage"/>
          <w:pgSz w:w="11906" w:h="16838"/>
          <w:pgMar w:left="0" w:right="0" w:gutter="0" w:header="0" w:top="0" w:footer="0" w:bottom="0"/>
          <w:pgNumType w:fmt="decimal"/>
          <w:formProt w:val="false"/>
          <w:textDirection w:val="lrTb"/>
          <w:docGrid w:type="default" w:linePitch="100" w:charSpace="0"/>
        </w:sectPr>
      </w:pPr>
      <w:r>
        <w:rPr>
          <w:rFonts w:eastAsia="Microsoft YaHei" w:cs="Cambria" w:ascii="Microsoft YaHei" w:hAnsi="Microsoft YaHei"/>
          <w:i/>
          <w:color w:val="000000"/>
          <w:sz w:val="18"/>
          <w:szCs w:val="18"/>
          <w:lang w:val="en-US" w:eastAsia="zh-CN" w:bidi="hi-IN"/>
        </w:rPr>
        <w:t>Draft Memorandum of Understanding</w:t>
      </w:r>
    </w:p>
    <w:p>
      <w:pPr>
        <w:pStyle w:val="Heading1"/>
        <w:bidi w:val="0"/>
        <w:rPr/>
      </w:pPr>
      <w:bookmarkStart w:id="0" w:name="_Toc000"/>
      <w:r>
        <w:rPr>
          <w:rFonts w:eastAsia="Microsoft YaHei" w:cs="Cambria" w:ascii="Microsoft YaHei" w:hAnsi="Microsoft YaHei"/>
          <w:b/>
          <w:color w:val="1A2744"/>
          <w:sz w:val="40"/>
          <w:szCs w:val="40"/>
          <w:lang w:val="en-US" w:eastAsia="zh-CN" w:bidi="hi-IN"/>
        </w:rPr>
        <w:t>Table of Contents</w:t>
      </w:r>
      <w:bookmarkEnd w:id="0"/>
    </w:p>
    <w:p>
      <w:pPr>
        <w:pStyle w:val="Normal"/>
        <w:bidi w:val="0"/>
        <w:spacing w:before="0" w:after="300"/>
        <w:rPr/>
      </w:pPr>
      <w:r>
        <w:rPr>
          <w:rFonts w:eastAsia="Microsoft YaHei" w:cs="Cambria" w:ascii="Microsoft YaHei" w:hAnsi="Microsoft YaHei"/>
          <w:color w:val="7A8288"/>
          <w:sz w:val="18"/>
          <w:szCs w:val="18"/>
          <w:lang w:val="en-US" w:eastAsia="zh-CN" w:bidi="hi-IN"/>
        </w:rPr>
        <w:t>This Compact contains 11 articles and 9 annexes. The Table of Contents reflects the complete document structure. Update the TOC field to refresh page numbers after printing.</w:t>
      </w:r>
    </w:p>
    <w:sdt>
      <w:sdtPr>
        <w:docPartObj>
          <w:docPartGallery w:val="Table of Contents"/>
          <w:docPartUnique w:val="true"/>
        </w:docPartObj>
      </w:sdtPr>
      <w:sdtContent>
        <w:p>
          <w:pPr>
            <w:pStyle w:val="Normal"/>
            <w:bidi w:val="0"/>
            <w:spacing w:lineRule="auto" w:line="300" w:before="0" w:after="160"/>
            <w:jc w:val="both"/>
            <w:rPr>
              <w:rFonts w:ascii="Cambria" w:hAnsi="Cambria" w:eastAsia="Microsoft YaHei"/>
              <w:color w:val="1E2530"/>
              <w:sz w:val="22"/>
            </w:rPr>
          </w:pPr>
          <w:r>
            <w:fldChar w:fldCharType="begin" w:dirty="true"/>
          </w:r>
          <w:r>
            <w:rPr>
              <w:sz w:val="22"/>
              <w:rFonts w:eastAsia="Microsoft YaHei"/>
              <w:color w:val="1E2530"/>
            </w:rPr>
            <w:instrText xml:space="preserve"> TOC \z \o "1-3" \u \h</w:instrText>
            <w:fldChar w:fldCharType="separate"/>
          </w:r>
          <w:r>
            <w:rPr>
              <w:rFonts w:eastAsia="Microsoft YaHei"/>
              <w:color w:val="1E2530"/>
              <w:sz w:val="22"/>
            </w:rPr>
          </w:r>
        </w:p>
        <w:p>
          <w:pPr>
            <w:pStyle w:val="Contents1"/>
            <w:bidi w:val="0"/>
            <w:spacing w:before="200" w:after="60"/>
            <w:ind w:start="0" w:hanging="0"/>
            <w:rPr/>
          </w:pPr>
          <w:r>
            <w:rPr>
              <w:rFonts w:eastAsia="Microsoft YaHei" w:cs="Cambria" w:ascii="Microsoft YaHei" w:hAnsi="Microsoft YaHei"/>
              <w:b/>
              <w:color w:val="1E2530"/>
              <w:sz w:val="22"/>
              <w:szCs w:val="22"/>
              <w:lang w:val="en-US" w:eastAsia="zh-CN" w:bidi="hi-IN"/>
            </w:rPr>
            <w:t>Preamble and Governing Principles</w:t>
          </w:r>
          <w:r>
            <w:rPr>
              <w:rFonts w:eastAsia="Microsoft YaHei"/>
              <w:b/>
              <w:color w:val="1E2530"/>
              <w:sz w:val="22"/>
              <w:szCs w:val="24"/>
              <w:lang w:val="en-US" w:eastAsia="zh-CN" w:bidi="hi-IN"/>
            </w:rPr>
            <w:tab/>
          </w:r>
          <w:r>
            <w:rPr>
              <w:rFonts w:eastAsia="Microsoft YaHei" w:cs="Cambria" w:ascii="Microsoft YaHei" w:hAnsi="Microsoft YaHei"/>
              <w:b/>
              <w:color w:val="1E2530"/>
              <w:sz w:val="22"/>
              <w:szCs w:val="22"/>
              <w:lang w:val="en-US" w:eastAsia="zh-CN" w:bidi="hi-IN"/>
            </w:rPr>
            <w:t>1</w:t>
          </w:r>
        </w:p>
        <w:p>
          <w:pPr>
            <w:pStyle w:val="Contents1"/>
            <w:bidi w:val="0"/>
            <w:spacing w:before="200" w:after="60"/>
            <w:ind w:start="0" w:hanging="0"/>
            <w:rPr/>
          </w:pPr>
          <w:r>
            <w:rPr>
              <w:rFonts w:eastAsia="Microsoft YaHei" w:cs="Cambria" w:ascii="Microsoft YaHei" w:hAnsi="Microsoft YaHei"/>
              <w:b/>
              <w:color w:val="1E2530"/>
              <w:sz w:val="22"/>
              <w:szCs w:val="22"/>
              <w:lang w:val="en-US" w:eastAsia="zh-CN" w:bidi="hi-IN"/>
            </w:rPr>
            <w:t>Article I: Synchronization Architecture</w:t>
          </w:r>
          <w:r>
            <w:rPr>
              <w:rFonts w:eastAsia="Microsoft YaHei"/>
              <w:b/>
              <w:color w:val="1E2530"/>
              <w:sz w:val="22"/>
              <w:szCs w:val="24"/>
              <w:lang w:val="en-US" w:eastAsia="zh-CN" w:bidi="hi-IN"/>
            </w:rPr>
            <w:tab/>
          </w:r>
          <w:r>
            <w:rPr>
              <w:rFonts w:eastAsia="Microsoft YaHei" w:cs="Cambria" w:ascii="Microsoft YaHei" w:hAnsi="Microsoft YaHei"/>
              <w:b/>
              <w:color w:val="1E2530"/>
              <w:sz w:val="22"/>
              <w:szCs w:val="22"/>
              <w:lang w:val="en-US" w:eastAsia="zh-CN" w:bidi="hi-IN"/>
            </w:rPr>
            <w:t>3</w:t>
          </w:r>
        </w:p>
        <w:p>
          <w:pPr>
            <w:pStyle w:val="Contents1"/>
            <w:bidi w:val="0"/>
            <w:spacing w:before="200" w:after="60"/>
            <w:ind w:start="0" w:hanging="0"/>
            <w:rPr/>
          </w:pPr>
          <w:r>
            <w:rPr>
              <w:rFonts w:eastAsia="Microsoft YaHei" w:cs="Cambria" w:ascii="Microsoft YaHei" w:hAnsi="Microsoft YaHei"/>
              <w:b/>
              <w:color w:val="1E2530"/>
              <w:sz w:val="22"/>
              <w:szCs w:val="22"/>
              <w:lang w:val="en-US" w:eastAsia="zh-CN" w:bidi="hi-IN"/>
            </w:rPr>
            <w:t>Article II: Phase One - Immediate Steps (Days 1-7)</w:t>
          </w:r>
          <w:r>
            <w:rPr>
              <w:rFonts w:eastAsia="Microsoft YaHei"/>
              <w:b/>
              <w:color w:val="1E2530"/>
              <w:sz w:val="22"/>
              <w:szCs w:val="24"/>
              <w:lang w:val="en-US" w:eastAsia="zh-CN" w:bidi="hi-IN"/>
            </w:rPr>
            <w:tab/>
          </w:r>
          <w:r>
            <w:rPr>
              <w:rFonts w:eastAsia="Microsoft YaHei" w:cs="Cambria" w:ascii="Microsoft YaHei" w:hAnsi="Microsoft YaHei"/>
              <w:b/>
              <w:color w:val="1E2530"/>
              <w:sz w:val="22"/>
              <w:szCs w:val="22"/>
              <w:lang w:val="en-US" w:eastAsia="zh-CN" w:bidi="hi-IN"/>
            </w:rPr>
            <w:t>4</w:t>
          </w:r>
        </w:p>
        <w:p>
          <w:pPr>
            <w:pStyle w:val="Contents1"/>
            <w:bidi w:val="0"/>
            <w:spacing w:before="200" w:after="60"/>
            <w:ind w:start="0" w:hanging="0"/>
            <w:rPr/>
          </w:pPr>
          <w:r>
            <w:rPr>
              <w:rFonts w:eastAsia="Microsoft YaHei" w:cs="Cambria" w:ascii="Microsoft YaHei" w:hAnsi="Microsoft YaHei"/>
              <w:b/>
              <w:color w:val="1E2530"/>
              <w:sz w:val="22"/>
              <w:szCs w:val="22"/>
              <w:lang w:val="en-US" w:eastAsia="zh-CN" w:bidi="hi-IN"/>
            </w:rPr>
            <w:t>Article III: Phase Two - 60-Day Reciprocal Commitments</w:t>
          </w:r>
          <w:r>
            <w:rPr>
              <w:rFonts w:eastAsia="Microsoft YaHei"/>
              <w:b/>
              <w:color w:val="1E2530"/>
              <w:sz w:val="22"/>
              <w:szCs w:val="24"/>
              <w:lang w:val="en-US" w:eastAsia="zh-CN" w:bidi="hi-IN"/>
            </w:rPr>
            <w:tab/>
          </w:r>
          <w:r>
            <w:rPr>
              <w:rFonts w:eastAsia="Microsoft YaHei" w:cs="Cambria" w:ascii="Microsoft YaHei" w:hAnsi="Microsoft YaHei"/>
              <w:b/>
              <w:color w:val="1E2530"/>
              <w:sz w:val="22"/>
              <w:szCs w:val="22"/>
              <w:lang w:val="en-US" w:eastAsia="zh-CN" w:bidi="hi-IN"/>
            </w:rPr>
            <w:t>6</w:t>
          </w:r>
        </w:p>
        <w:p>
          <w:pPr>
            <w:pStyle w:val="Contents2"/>
            <w:bidi w:val="0"/>
            <w:spacing w:before="60" w:after="60"/>
            <w:ind w:start="360" w:hanging="0"/>
            <w:rPr/>
          </w:pPr>
          <w:r>
            <w:rPr>
              <w:rFonts w:eastAsia="Microsoft YaHei" w:cs="Cambria" w:ascii="Microsoft YaHei" w:hAnsi="Microsoft YaHei"/>
              <w:color w:val="4A5568"/>
              <w:sz w:val="22"/>
              <w:szCs w:val="22"/>
              <w:lang w:val="en-US" w:eastAsia="zh-CN" w:bidi="hi-IN"/>
            </w:rPr>
            <w:t>Nuclear Material Custody and Disposition</w:t>
          </w:r>
          <w:r>
            <w:rPr>
              <w:rFonts w:eastAsia="Microsoft YaHei"/>
              <w:color w:val="4A5568"/>
              <w:sz w:val="22"/>
              <w:szCs w:val="24"/>
              <w:lang w:val="en-US" w:eastAsia="zh-CN" w:bidi="hi-IN"/>
            </w:rPr>
            <w:tab/>
          </w:r>
          <w:r>
            <w:rPr>
              <w:rFonts w:eastAsia="Microsoft YaHei" w:cs="Cambria" w:ascii="Microsoft YaHei" w:hAnsi="Microsoft YaHei"/>
              <w:color w:val="4A5568"/>
              <w:sz w:val="22"/>
              <w:szCs w:val="22"/>
              <w:lang w:val="en-US" w:eastAsia="zh-CN" w:bidi="hi-IN"/>
            </w:rPr>
            <w:t>6</w:t>
          </w:r>
        </w:p>
        <w:p>
          <w:pPr>
            <w:pStyle w:val="Contents2"/>
            <w:bidi w:val="0"/>
            <w:spacing w:before="60" w:after="60"/>
            <w:ind w:start="360" w:hanging="0"/>
            <w:rPr/>
          </w:pPr>
          <w:r>
            <w:rPr>
              <w:rFonts w:eastAsia="Microsoft YaHei" w:cs="Cambria" w:ascii="Microsoft YaHei" w:hAnsi="Microsoft YaHei"/>
              <w:color w:val="4A5568"/>
              <w:sz w:val="22"/>
              <w:szCs w:val="22"/>
              <w:lang w:val="en-US" w:eastAsia="zh-CN" w:bidi="hi-IN"/>
            </w:rPr>
            <w:t>Strait of Hormuz Reopening Protocol</w:t>
          </w:r>
          <w:r>
            <w:rPr>
              <w:rFonts w:eastAsia="Microsoft YaHei"/>
              <w:color w:val="4A5568"/>
              <w:sz w:val="22"/>
              <w:szCs w:val="24"/>
              <w:lang w:val="en-US" w:eastAsia="zh-CN" w:bidi="hi-IN"/>
            </w:rPr>
            <w:tab/>
          </w:r>
          <w:r>
            <w:rPr>
              <w:rFonts w:eastAsia="Microsoft YaHei" w:cs="Cambria" w:ascii="Microsoft YaHei" w:hAnsi="Microsoft YaHei"/>
              <w:color w:val="4A5568"/>
              <w:sz w:val="22"/>
              <w:szCs w:val="22"/>
              <w:lang w:val="en-US" w:eastAsia="zh-CN" w:bidi="hi-IN"/>
            </w:rPr>
            <w:t>8</w:t>
          </w:r>
        </w:p>
        <w:p>
          <w:pPr>
            <w:pStyle w:val="Contents2"/>
            <w:bidi w:val="0"/>
            <w:spacing w:before="60" w:after="60"/>
            <w:ind w:start="360" w:hanging="0"/>
            <w:rPr/>
          </w:pPr>
          <w:r>
            <w:rPr>
              <w:rFonts w:eastAsia="Microsoft YaHei" w:cs="Cambria" w:ascii="Microsoft YaHei" w:hAnsi="Microsoft YaHei"/>
              <w:color w:val="4A5568"/>
              <w:sz w:val="22"/>
              <w:szCs w:val="22"/>
              <w:lang w:val="en-US" w:eastAsia="zh-CN" w:bidi="hi-IN"/>
            </w:rPr>
            <w:t>Sanctions Relief Sequencing</w:t>
          </w:r>
          <w:r>
            <w:rPr>
              <w:rFonts w:eastAsia="Microsoft YaHei"/>
              <w:color w:val="4A5568"/>
              <w:sz w:val="22"/>
              <w:szCs w:val="24"/>
              <w:lang w:val="en-US" w:eastAsia="zh-CN" w:bidi="hi-IN"/>
            </w:rPr>
            <w:tab/>
          </w:r>
          <w:r>
            <w:rPr>
              <w:rFonts w:eastAsia="Microsoft YaHei" w:cs="Cambria" w:ascii="Microsoft YaHei" w:hAnsi="Microsoft YaHei"/>
              <w:color w:val="4A5568"/>
              <w:sz w:val="22"/>
              <w:szCs w:val="22"/>
              <w:lang w:val="en-US" w:eastAsia="zh-CN" w:bidi="hi-IN"/>
            </w:rPr>
            <w:t>9</w:t>
          </w:r>
        </w:p>
        <w:p>
          <w:pPr>
            <w:pStyle w:val="Contents1"/>
            <w:bidi w:val="0"/>
            <w:spacing w:before="200" w:after="60"/>
            <w:ind w:start="0" w:hanging="0"/>
            <w:rPr/>
          </w:pPr>
          <w:r>
            <w:rPr>
              <w:rFonts w:eastAsia="Microsoft YaHei" w:cs="Cambria" w:ascii="Microsoft YaHei" w:hAnsi="Microsoft YaHei"/>
              <w:b/>
              <w:color w:val="1E2530"/>
              <w:sz w:val="22"/>
              <w:szCs w:val="22"/>
              <w:lang w:val="en-US" w:eastAsia="zh-CN" w:bidi="hi-IN"/>
            </w:rPr>
            <w:t>Article IV: Phase Three - Transition to Follow-on Negotiations</w:t>
          </w:r>
          <w:r>
            <w:rPr>
              <w:rFonts w:eastAsia="Microsoft YaHei"/>
              <w:b/>
              <w:color w:val="1E2530"/>
              <w:sz w:val="22"/>
              <w:szCs w:val="24"/>
              <w:lang w:val="en-US" w:eastAsia="zh-CN" w:bidi="hi-IN"/>
            </w:rPr>
            <w:tab/>
          </w:r>
          <w:r>
            <w:rPr>
              <w:rFonts w:eastAsia="Microsoft YaHei" w:cs="Cambria" w:ascii="Microsoft YaHei" w:hAnsi="Microsoft YaHei"/>
              <w:b/>
              <w:color w:val="1E2530"/>
              <w:sz w:val="22"/>
              <w:szCs w:val="22"/>
              <w:lang w:val="en-US" w:eastAsia="zh-CN" w:bidi="hi-IN"/>
            </w:rPr>
            <w:t>11</w:t>
          </w:r>
        </w:p>
        <w:p>
          <w:pPr>
            <w:pStyle w:val="Contents1"/>
            <w:bidi w:val="0"/>
            <w:spacing w:before="200" w:after="60"/>
            <w:ind w:start="0" w:hanging="0"/>
            <w:rPr/>
          </w:pPr>
          <w:r>
            <w:rPr>
              <w:rFonts w:eastAsia="Microsoft YaHei" w:cs="Cambria" w:ascii="Microsoft YaHei" w:hAnsi="Microsoft YaHei"/>
              <w:b/>
              <w:color w:val="1E2530"/>
              <w:sz w:val="22"/>
              <w:szCs w:val="22"/>
              <w:lang w:val="en-US" w:eastAsia="zh-CN" w:bidi="hi-IN"/>
            </w:rPr>
            <w:t>Article V: Verification and Telemetry Architecture</w:t>
          </w:r>
          <w:r>
            <w:rPr>
              <w:rFonts w:eastAsia="Microsoft YaHei"/>
              <w:b/>
              <w:color w:val="1E2530"/>
              <w:sz w:val="22"/>
              <w:szCs w:val="24"/>
              <w:lang w:val="en-US" w:eastAsia="zh-CN" w:bidi="hi-IN"/>
            </w:rPr>
            <w:tab/>
          </w:r>
          <w:r>
            <w:rPr>
              <w:rFonts w:eastAsia="Microsoft YaHei" w:cs="Cambria" w:ascii="Microsoft YaHei" w:hAnsi="Microsoft YaHei"/>
              <w:b/>
              <w:color w:val="1E2530"/>
              <w:sz w:val="22"/>
              <w:szCs w:val="22"/>
              <w:lang w:val="en-US" w:eastAsia="zh-CN" w:bidi="hi-IN"/>
            </w:rPr>
            <w:t>13</w:t>
          </w:r>
        </w:p>
        <w:p>
          <w:pPr>
            <w:pStyle w:val="Contents1"/>
            <w:bidi w:val="0"/>
            <w:spacing w:before="200" w:after="60"/>
            <w:ind w:start="0" w:hanging="0"/>
            <w:rPr/>
          </w:pPr>
          <w:r>
            <w:rPr>
              <w:rFonts w:eastAsia="Microsoft YaHei" w:cs="Cambria" w:ascii="Microsoft YaHei" w:hAnsi="Microsoft YaHei"/>
              <w:b/>
              <w:color w:val="1E2530"/>
              <w:sz w:val="22"/>
              <w:szCs w:val="22"/>
              <w:lang w:val="en-US" w:eastAsia="zh-CN" w:bidi="hi-IN"/>
            </w:rPr>
            <w:t>Article VI: Compliance Framework - Step-Back, Earn-Back, and Exit</w:t>
          </w:r>
          <w:r>
            <w:rPr>
              <w:rFonts w:eastAsia="Microsoft YaHei"/>
              <w:b/>
              <w:color w:val="1E2530"/>
              <w:sz w:val="22"/>
              <w:szCs w:val="24"/>
              <w:lang w:val="en-US" w:eastAsia="zh-CN" w:bidi="hi-IN"/>
            </w:rPr>
            <w:tab/>
          </w:r>
          <w:r>
            <w:rPr>
              <w:rFonts w:eastAsia="Microsoft YaHei" w:cs="Cambria" w:ascii="Microsoft YaHei" w:hAnsi="Microsoft YaHei"/>
              <w:b/>
              <w:color w:val="1E2530"/>
              <w:sz w:val="22"/>
              <w:szCs w:val="22"/>
              <w:lang w:val="en-US" w:eastAsia="zh-CN" w:bidi="hi-IN"/>
            </w:rPr>
            <w:t>15</w:t>
          </w:r>
        </w:p>
        <w:p>
          <w:pPr>
            <w:pStyle w:val="Contents1"/>
            <w:bidi w:val="0"/>
            <w:spacing w:before="200" w:after="60"/>
            <w:ind w:start="0" w:hanging="0"/>
            <w:rPr/>
          </w:pPr>
          <w:r>
            <w:rPr>
              <w:rFonts w:eastAsia="Microsoft YaHei" w:cs="Cambria" w:ascii="Microsoft YaHei" w:hAnsi="Microsoft YaHei"/>
              <w:b/>
              <w:color w:val="1E2530"/>
              <w:sz w:val="22"/>
              <w:szCs w:val="22"/>
              <w:lang w:val="en-US" w:eastAsia="zh-CN" w:bidi="hi-IN"/>
            </w:rPr>
            <w:t>Article VII: The Human-in-the-Loop Review</w:t>
          </w:r>
          <w:r>
            <w:rPr>
              <w:rFonts w:eastAsia="Microsoft YaHei"/>
              <w:b/>
              <w:color w:val="1E2530"/>
              <w:sz w:val="22"/>
              <w:szCs w:val="24"/>
              <w:lang w:val="en-US" w:eastAsia="zh-CN" w:bidi="hi-IN"/>
            </w:rPr>
            <w:tab/>
          </w:r>
          <w:r>
            <w:rPr>
              <w:rFonts w:eastAsia="Microsoft YaHei" w:cs="Cambria" w:ascii="Microsoft YaHei" w:hAnsi="Microsoft YaHei"/>
              <w:b/>
              <w:color w:val="1E2530"/>
              <w:sz w:val="22"/>
              <w:szCs w:val="22"/>
              <w:lang w:val="en-US" w:eastAsia="zh-CN" w:bidi="hi-IN"/>
            </w:rPr>
            <w:t>18</w:t>
          </w:r>
        </w:p>
        <w:p>
          <w:pPr>
            <w:pStyle w:val="Contents1"/>
            <w:bidi w:val="0"/>
            <w:spacing w:before="200" w:after="60"/>
            <w:ind w:start="0" w:hanging="0"/>
            <w:rPr/>
          </w:pPr>
          <w:r>
            <w:rPr>
              <w:rFonts w:eastAsia="Microsoft YaHei" w:cs="Cambria" w:ascii="Microsoft YaHei" w:hAnsi="Microsoft YaHei"/>
              <w:b/>
              <w:color w:val="1E2530"/>
              <w:sz w:val="22"/>
              <w:szCs w:val="22"/>
              <w:lang w:val="en-US" w:eastAsia="zh-CN" w:bidi="hi-IN"/>
            </w:rPr>
            <w:t>Article VIII: Neutral Guarantor Structure</w:t>
          </w:r>
          <w:r>
            <w:rPr>
              <w:rFonts w:eastAsia="Microsoft YaHei"/>
              <w:b/>
              <w:color w:val="1E2530"/>
              <w:sz w:val="22"/>
              <w:szCs w:val="24"/>
              <w:lang w:val="en-US" w:eastAsia="zh-CN" w:bidi="hi-IN"/>
            </w:rPr>
            <w:tab/>
          </w:r>
          <w:r>
            <w:rPr>
              <w:rFonts w:eastAsia="Microsoft YaHei" w:cs="Cambria" w:ascii="Microsoft YaHei" w:hAnsi="Microsoft YaHei"/>
              <w:b/>
              <w:color w:val="1E2530"/>
              <w:sz w:val="22"/>
              <w:szCs w:val="22"/>
              <w:lang w:val="en-US" w:eastAsia="zh-CN" w:bidi="hi-IN"/>
            </w:rPr>
            <w:t>19</w:t>
          </w:r>
        </w:p>
        <w:p>
          <w:pPr>
            <w:pStyle w:val="Contents1"/>
            <w:bidi w:val="0"/>
            <w:spacing w:before="200" w:after="60"/>
            <w:ind w:start="0" w:hanging="0"/>
            <w:rPr/>
          </w:pPr>
          <w:r>
            <w:rPr>
              <w:rFonts w:eastAsia="Microsoft YaHei" w:cs="Cambria" w:ascii="Microsoft YaHei" w:hAnsi="Microsoft YaHei"/>
              <w:b/>
              <w:color w:val="1E2530"/>
              <w:sz w:val="22"/>
              <w:szCs w:val="22"/>
              <w:lang w:val="en-US" w:eastAsia="zh-CN" w:bidi="hi-IN"/>
            </w:rPr>
            <w:t>Annex A: Implementation Timelines and Reciprocity Matrix</w:t>
          </w:r>
          <w:r>
            <w:rPr>
              <w:rFonts w:eastAsia="Microsoft YaHei"/>
              <w:b/>
              <w:color w:val="1E2530"/>
              <w:sz w:val="22"/>
              <w:szCs w:val="24"/>
              <w:lang w:val="en-US" w:eastAsia="zh-CN" w:bidi="hi-IN"/>
            </w:rPr>
            <w:tab/>
          </w:r>
          <w:r>
            <w:rPr>
              <w:rFonts w:eastAsia="Microsoft YaHei" w:cs="Cambria" w:ascii="Microsoft YaHei" w:hAnsi="Microsoft YaHei"/>
              <w:b/>
              <w:color w:val="1E2530"/>
              <w:sz w:val="22"/>
              <w:szCs w:val="22"/>
              <w:lang w:val="en-US" w:eastAsia="zh-CN" w:bidi="hi-IN"/>
            </w:rPr>
            <w:t>20</w:t>
          </w:r>
        </w:p>
        <w:p>
          <w:pPr>
            <w:pStyle w:val="Contents1"/>
            <w:bidi w:val="0"/>
            <w:spacing w:before="200" w:after="60"/>
            <w:ind w:start="0" w:hanging="0"/>
            <w:rPr/>
          </w:pPr>
          <w:r>
            <w:rPr>
              <w:rFonts w:eastAsia="Microsoft YaHei" w:cs="Cambria" w:ascii="Microsoft YaHei" w:hAnsi="Microsoft YaHei"/>
              <w:b/>
              <w:color w:val="1E2530"/>
              <w:sz w:val="22"/>
              <w:szCs w:val="22"/>
              <w:lang w:val="en-US" w:eastAsia="zh-CN" w:bidi="hi-IN"/>
            </w:rPr>
            <w:t>Annex B: Lebanon Ceasefire and Firewall Protocol</w:t>
          </w:r>
          <w:r>
            <w:rPr>
              <w:rFonts w:eastAsia="Microsoft YaHei"/>
              <w:b/>
              <w:color w:val="1E2530"/>
              <w:sz w:val="22"/>
              <w:szCs w:val="24"/>
              <w:lang w:val="en-US" w:eastAsia="zh-CN" w:bidi="hi-IN"/>
            </w:rPr>
            <w:tab/>
          </w:r>
          <w:r>
            <w:rPr>
              <w:rFonts w:eastAsia="Microsoft YaHei" w:cs="Cambria" w:ascii="Microsoft YaHei" w:hAnsi="Microsoft YaHei"/>
              <w:b/>
              <w:color w:val="1E2530"/>
              <w:sz w:val="22"/>
              <w:szCs w:val="22"/>
              <w:lang w:val="en-US" w:eastAsia="zh-CN" w:bidi="hi-IN"/>
            </w:rPr>
            <w:t>22</w:t>
          </w:r>
        </w:p>
        <w:p>
          <w:pPr>
            <w:pStyle w:val="Contents1"/>
            <w:bidi w:val="0"/>
            <w:spacing w:before="200" w:after="60"/>
            <w:ind w:start="0" w:hanging="0"/>
            <w:rPr/>
          </w:pPr>
          <w:r>
            <w:rPr>
              <w:rFonts w:eastAsia="Microsoft YaHei" w:cs="Cambria" w:ascii="Microsoft YaHei" w:hAnsi="Microsoft YaHei"/>
              <w:b/>
              <w:color w:val="1E2530"/>
              <w:sz w:val="22"/>
              <w:szCs w:val="22"/>
              <w:lang w:val="en-US" w:eastAsia="zh-CN" w:bidi="hi-IN"/>
            </w:rPr>
            <w:t>Annex C: Frozen Asset Release Schedule</w:t>
          </w:r>
          <w:r>
            <w:rPr>
              <w:rFonts w:eastAsia="Microsoft YaHei"/>
              <w:b/>
              <w:color w:val="1E2530"/>
              <w:sz w:val="22"/>
              <w:szCs w:val="24"/>
              <w:lang w:val="en-US" w:eastAsia="zh-CN" w:bidi="hi-IN"/>
            </w:rPr>
            <w:tab/>
          </w:r>
          <w:r>
            <w:rPr>
              <w:rFonts w:eastAsia="Microsoft YaHei" w:cs="Cambria" w:ascii="Microsoft YaHei" w:hAnsi="Microsoft YaHei"/>
              <w:b/>
              <w:color w:val="1E2530"/>
              <w:sz w:val="22"/>
              <w:szCs w:val="22"/>
              <w:lang w:val="en-US" w:eastAsia="zh-CN" w:bidi="hi-IN"/>
            </w:rPr>
            <w:t>24</w:t>
          </w:r>
        </w:p>
        <w:p>
          <w:pPr>
            <w:pStyle w:val="Contents1"/>
            <w:bidi w:val="0"/>
            <w:spacing w:before="200" w:after="60"/>
            <w:ind w:start="0" w:hanging="0"/>
            <w:rPr/>
          </w:pPr>
          <w:r>
            <w:rPr>
              <w:rFonts w:eastAsia="Microsoft YaHei" w:cs="Cambria" w:ascii="Microsoft YaHei" w:hAnsi="Microsoft YaHei"/>
              <w:b/>
              <w:color w:val="1E2530"/>
              <w:sz w:val="22"/>
              <w:szCs w:val="22"/>
              <w:lang w:val="en-US" w:eastAsia="zh-CN" w:bidi="hi-IN"/>
            </w:rPr>
            <w:t>Annex D: Definitions and Interpretive Notes</w:t>
          </w:r>
          <w:r>
            <w:rPr>
              <w:rFonts w:eastAsia="Microsoft YaHei"/>
              <w:b/>
              <w:color w:val="1E2530"/>
              <w:sz w:val="22"/>
              <w:szCs w:val="24"/>
              <w:lang w:val="en-US" w:eastAsia="zh-CN" w:bidi="hi-IN"/>
            </w:rPr>
            <w:tab/>
          </w:r>
          <w:r>
            <w:rPr>
              <w:rFonts w:eastAsia="Microsoft YaHei" w:cs="Cambria" w:ascii="Microsoft YaHei" w:hAnsi="Microsoft YaHei"/>
              <w:b/>
              <w:color w:val="1E2530"/>
              <w:sz w:val="22"/>
              <w:szCs w:val="22"/>
              <w:lang w:val="en-US" w:eastAsia="zh-CN" w:bidi="hi-IN"/>
            </w:rPr>
            <w:t>26</w:t>
          </w:r>
        </w:p>
        <w:p>
          <w:pPr>
            <w:pStyle w:val="Contents1"/>
            <w:bidi w:val="0"/>
            <w:spacing w:before="200" w:after="60"/>
            <w:ind w:start="0" w:hanging="0"/>
            <w:rPr/>
          </w:pPr>
          <w:r>
            <w:rPr>
              <w:rFonts w:eastAsia="Microsoft YaHei" w:cs="Cambria" w:ascii="Microsoft YaHei" w:hAnsi="Microsoft YaHei"/>
              <w:b/>
              <w:color w:val="1E2530"/>
              <w:sz w:val="22"/>
              <w:szCs w:val="22"/>
              <w:lang w:val="en-US" w:eastAsia="zh-CN" w:bidi="hi-IN"/>
            </w:rPr>
            <w:t>Signature Blocks</w:t>
          </w:r>
          <w:r>
            <w:rPr>
              <w:rFonts w:eastAsia="Microsoft YaHei"/>
              <w:b/>
              <w:color w:val="1E2530"/>
              <w:sz w:val="22"/>
              <w:szCs w:val="24"/>
              <w:lang w:val="en-US" w:eastAsia="zh-CN" w:bidi="hi-IN"/>
            </w:rPr>
            <w:tab/>
          </w:r>
          <w:r>
            <w:rPr>
              <w:rFonts w:eastAsia="Microsoft YaHei" w:cs="Cambria" w:ascii="Microsoft YaHei" w:hAnsi="Microsoft YaHei"/>
              <w:b/>
              <w:color w:val="1E2530"/>
              <w:sz w:val="22"/>
              <w:szCs w:val="22"/>
              <w:lang w:val="en-US" w:eastAsia="zh-CN" w:bidi="hi-IN"/>
            </w:rPr>
            <w:t>28</w:t>
          </w:r>
        </w:p>
        <w:p>
          <w:pPr>
            <w:pStyle w:val="Contents1"/>
            <w:bidi w:val="0"/>
            <w:spacing w:before="200" w:after="60"/>
            <w:ind w:start="0" w:hanging="0"/>
            <w:rPr/>
          </w:pPr>
          <w:r>
            <w:rPr>
              <w:rFonts w:eastAsia="Microsoft YaHei" w:cs="Cambria" w:ascii="Microsoft YaHei" w:hAnsi="Microsoft YaHei"/>
              <w:b/>
              <w:color w:val="1E2530"/>
              <w:sz w:val="22"/>
              <w:szCs w:val="22"/>
              <w:lang w:val="en-US" w:eastAsia="zh-CN" w:bidi="hi-IN"/>
            </w:rPr>
            <w:t>Article IX: Trigger Architecture</w:t>
          </w:r>
          <w:r>
            <w:rPr>
              <w:rFonts w:eastAsia="Microsoft YaHei"/>
              <w:b/>
              <w:color w:val="1E2530"/>
              <w:sz w:val="22"/>
              <w:szCs w:val="24"/>
              <w:lang w:val="en-US" w:eastAsia="zh-CN" w:bidi="hi-IN"/>
            </w:rPr>
            <w:tab/>
          </w:r>
          <w:r>
            <w:rPr>
              <w:rFonts w:eastAsia="Microsoft YaHei" w:cs="Cambria" w:ascii="Microsoft YaHei" w:hAnsi="Microsoft YaHei"/>
              <w:b/>
              <w:color w:val="1E2530"/>
              <w:sz w:val="22"/>
              <w:szCs w:val="22"/>
              <w:lang w:val="en-US" w:eastAsia="zh-CN" w:bidi="hi-IN"/>
            </w:rPr>
            <w:t>29</w:t>
          </w:r>
        </w:p>
        <w:p>
          <w:pPr>
            <w:pStyle w:val="Contents1"/>
            <w:bidi w:val="0"/>
            <w:spacing w:before="200" w:after="60"/>
            <w:ind w:start="0" w:hanging="0"/>
            <w:rPr/>
          </w:pPr>
          <w:r>
            <w:rPr>
              <w:rFonts w:eastAsia="Microsoft YaHei" w:cs="Cambria" w:ascii="Microsoft YaHei" w:hAnsi="Microsoft YaHei"/>
              <w:b/>
              <w:color w:val="1E2530"/>
              <w:sz w:val="22"/>
              <w:szCs w:val="22"/>
              <w:lang w:val="en-US" w:eastAsia="zh-CN" w:bidi="hi-IN"/>
            </w:rPr>
            <w:t>Article X: Public Wins and Domestic Framing Architecture</w:t>
          </w:r>
          <w:r>
            <w:rPr>
              <w:rFonts w:eastAsia="Microsoft YaHei"/>
              <w:b/>
              <w:color w:val="1E2530"/>
              <w:sz w:val="22"/>
              <w:szCs w:val="24"/>
              <w:lang w:val="en-US" w:eastAsia="zh-CN" w:bidi="hi-IN"/>
            </w:rPr>
            <w:tab/>
          </w:r>
          <w:r>
            <w:rPr>
              <w:rFonts w:eastAsia="Microsoft YaHei" w:cs="Cambria" w:ascii="Microsoft YaHei" w:hAnsi="Microsoft YaHei"/>
              <w:b/>
              <w:color w:val="1E2530"/>
              <w:sz w:val="22"/>
              <w:szCs w:val="22"/>
              <w:lang w:val="en-US" w:eastAsia="zh-CN" w:bidi="hi-IN"/>
            </w:rPr>
            <w:t>31</w:t>
          </w:r>
        </w:p>
        <w:p>
          <w:pPr>
            <w:pStyle w:val="Contents1"/>
            <w:bidi w:val="0"/>
            <w:spacing w:before="200" w:after="60"/>
            <w:ind w:start="0" w:hanging="0"/>
            <w:rPr/>
          </w:pPr>
          <w:r>
            <w:rPr>
              <w:rFonts w:eastAsia="Microsoft YaHei" w:cs="Cambria" w:ascii="Microsoft YaHei" w:hAnsi="Microsoft YaHei"/>
              <w:b/>
              <w:color w:val="1E2530"/>
              <w:sz w:val="22"/>
              <w:szCs w:val="22"/>
              <w:lang w:val="en-US" w:eastAsia="zh-CN" w:bidi="hi-IN"/>
            </w:rPr>
            <w:t>Article XI: Prisoner Exchange and Humanitarian Protocol</w:t>
          </w:r>
          <w:r>
            <w:rPr>
              <w:rFonts w:eastAsia="Microsoft YaHei"/>
              <w:b/>
              <w:color w:val="1E2530"/>
              <w:sz w:val="22"/>
              <w:szCs w:val="24"/>
              <w:lang w:val="en-US" w:eastAsia="zh-CN" w:bidi="hi-IN"/>
            </w:rPr>
            <w:tab/>
          </w:r>
          <w:r>
            <w:rPr>
              <w:rFonts w:eastAsia="Microsoft YaHei" w:cs="Cambria" w:ascii="Microsoft YaHei" w:hAnsi="Microsoft YaHei"/>
              <w:b/>
              <w:color w:val="1E2530"/>
              <w:sz w:val="22"/>
              <w:szCs w:val="22"/>
              <w:lang w:val="en-US" w:eastAsia="zh-CN" w:bidi="hi-IN"/>
            </w:rPr>
            <w:t>34</w:t>
          </w:r>
        </w:p>
        <w:p>
          <w:pPr>
            <w:pStyle w:val="Contents1"/>
            <w:bidi w:val="0"/>
            <w:spacing w:before="200" w:after="60"/>
            <w:ind w:start="0" w:hanging="0"/>
            <w:rPr/>
          </w:pPr>
          <w:r>
            <w:rPr>
              <w:rFonts w:eastAsia="Microsoft YaHei" w:cs="Cambria" w:ascii="Microsoft YaHei" w:hAnsi="Microsoft YaHei"/>
              <w:b/>
              <w:color w:val="1E2530"/>
              <w:sz w:val="22"/>
              <w:szCs w:val="22"/>
              <w:lang w:val="en-US" w:eastAsia="zh-CN" w:bidi="hi-IN"/>
            </w:rPr>
            <w:t>Annex E: Nuclear Reciprocity Matrix and Sequencing Map</w:t>
          </w:r>
          <w:r>
            <w:rPr>
              <w:rFonts w:eastAsia="Microsoft YaHei"/>
              <w:b/>
              <w:color w:val="1E2530"/>
              <w:sz w:val="22"/>
              <w:szCs w:val="24"/>
              <w:lang w:val="en-US" w:eastAsia="zh-CN" w:bidi="hi-IN"/>
            </w:rPr>
            <w:tab/>
          </w:r>
          <w:r>
            <w:rPr>
              <w:rFonts w:eastAsia="Microsoft YaHei" w:cs="Cambria" w:ascii="Microsoft YaHei" w:hAnsi="Microsoft YaHei"/>
              <w:b/>
              <w:color w:val="1E2530"/>
              <w:sz w:val="22"/>
              <w:szCs w:val="22"/>
              <w:lang w:val="en-US" w:eastAsia="zh-CN" w:bidi="hi-IN"/>
            </w:rPr>
            <w:t>36</w:t>
          </w:r>
        </w:p>
        <w:p>
          <w:pPr>
            <w:pStyle w:val="Contents1"/>
            <w:bidi w:val="0"/>
            <w:spacing w:before="200" w:after="60"/>
            <w:ind w:start="0" w:hanging="0"/>
            <w:rPr/>
          </w:pPr>
          <w:r>
            <w:rPr>
              <w:rFonts w:eastAsia="Microsoft YaHei" w:cs="Cambria" w:ascii="Microsoft YaHei" w:hAnsi="Microsoft YaHei"/>
              <w:b/>
              <w:color w:val="1E2530"/>
              <w:sz w:val="22"/>
              <w:szCs w:val="22"/>
              <w:lang w:val="en-US" w:eastAsia="zh-CN" w:bidi="hi-IN"/>
            </w:rPr>
            <w:t>Annex F: Verification Sequencing Map and Telemetry Protocol</w:t>
          </w:r>
          <w:r>
            <w:rPr>
              <w:rFonts w:eastAsia="Microsoft YaHei"/>
              <w:b/>
              <w:color w:val="1E2530"/>
              <w:sz w:val="22"/>
              <w:szCs w:val="24"/>
              <w:lang w:val="en-US" w:eastAsia="zh-CN" w:bidi="hi-IN"/>
            </w:rPr>
            <w:tab/>
          </w:r>
          <w:r>
            <w:rPr>
              <w:rFonts w:eastAsia="Microsoft YaHei" w:cs="Cambria" w:ascii="Microsoft YaHei" w:hAnsi="Microsoft YaHei"/>
              <w:b/>
              <w:color w:val="1E2530"/>
              <w:sz w:val="22"/>
              <w:szCs w:val="22"/>
              <w:lang w:val="en-US" w:eastAsia="zh-CN" w:bidi="hi-IN"/>
            </w:rPr>
            <w:t>38</w:t>
          </w:r>
        </w:p>
        <w:p>
          <w:pPr>
            <w:pStyle w:val="Contents1"/>
            <w:bidi w:val="0"/>
            <w:spacing w:before="200" w:after="60"/>
            <w:ind w:start="0" w:hanging="0"/>
            <w:rPr/>
          </w:pPr>
          <w:r>
            <w:rPr>
              <w:rFonts w:eastAsia="Microsoft YaHei" w:cs="Cambria" w:ascii="Microsoft YaHei" w:hAnsi="Microsoft YaHei"/>
              <w:b/>
              <w:color w:val="1E2530"/>
              <w:sz w:val="22"/>
              <w:szCs w:val="22"/>
              <w:lang w:val="en-US" w:eastAsia="zh-CN" w:bidi="hi-IN"/>
            </w:rPr>
            <w:t>Annex G: Public Messaging Annex</w:t>
          </w:r>
          <w:r>
            <w:rPr>
              <w:rFonts w:eastAsia="Microsoft YaHei"/>
              <w:b/>
              <w:color w:val="1E2530"/>
              <w:sz w:val="22"/>
              <w:szCs w:val="24"/>
              <w:lang w:val="en-US" w:eastAsia="zh-CN" w:bidi="hi-IN"/>
            </w:rPr>
            <w:tab/>
          </w:r>
          <w:r>
            <w:rPr>
              <w:rFonts w:eastAsia="Microsoft YaHei" w:cs="Cambria" w:ascii="Microsoft YaHei" w:hAnsi="Microsoft YaHei"/>
              <w:b/>
              <w:color w:val="1E2530"/>
              <w:sz w:val="22"/>
              <w:szCs w:val="22"/>
              <w:lang w:val="en-US" w:eastAsia="zh-CN" w:bidi="hi-IN"/>
            </w:rPr>
            <w:t>40</w:t>
          </w:r>
        </w:p>
        <w:p>
          <w:pPr>
            <w:pStyle w:val="Contents1"/>
            <w:bidi w:val="0"/>
            <w:spacing w:before="200" w:after="60"/>
            <w:ind w:start="0" w:hanging="0"/>
            <w:rPr/>
          </w:pPr>
          <w:r>
            <w:rPr>
              <w:rFonts w:eastAsia="Microsoft YaHei" w:cs="Cambria" w:ascii="Microsoft YaHei" w:hAnsi="Microsoft YaHei"/>
              <w:b/>
              <w:color w:val="1E2530"/>
              <w:sz w:val="22"/>
              <w:szCs w:val="22"/>
              <w:lang w:val="en-US" w:eastAsia="zh-CN" w:bidi="hi-IN"/>
            </w:rPr>
            <w:t>Annex H: Operational One-Page Tools</w:t>
          </w:r>
          <w:r>
            <w:rPr>
              <w:rFonts w:eastAsia="Microsoft YaHei"/>
              <w:b/>
              <w:color w:val="1E2530"/>
              <w:sz w:val="22"/>
              <w:szCs w:val="24"/>
              <w:lang w:val="en-US" w:eastAsia="zh-CN" w:bidi="hi-IN"/>
            </w:rPr>
            <w:tab/>
          </w:r>
          <w:r>
            <w:rPr>
              <w:rFonts w:eastAsia="Microsoft YaHei" w:cs="Cambria" w:ascii="Microsoft YaHei" w:hAnsi="Microsoft YaHei"/>
              <w:b/>
              <w:color w:val="1E2530"/>
              <w:sz w:val="22"/>
              <w:szCs w:val="22"/>
              <w:lang w:val="en-US" w:eastAsia="zh-CN" w:bidi="hi-IN"/>
            </w:rPr>
            <w:t>43</w:t>
          </w:r>
        </w:p>
        <w:p>
          <w:pPr>
            <w:pStyle w:val="Contents1"/>
            <w:bidi w:val="0"/>
            <w:spacing w:before="200" w:after="60"/>
            <w:ind w:start="0" w:hanging="0"/>
            <w:rPr/>
          </w:pPr>
          <w:r>
            <w:rPr>
              <w:rFonts w:eastAsia="Microsoft YaHei" w:cs="Cambria"/>
              <w:b/>
              <w:color w:val="1E2530"/>
              <w:sz w:val="22"/>
              <w:szCs w:val="22"/>
            </w:rPr>
            <w:t>Annex I: Crisis Communication and Guarantor Messaging</w:t>
          </w:r>
          <w:r>
            <w:rPr>
              <w:rFonts w:eastAsia="Microsoft YaHei"/>
              <w:b/>
              <w:color w:val="1E2530"/>
              <w:sz w:val="22"/>
            </w:rPr>
            <w:tab/>
          </w:r>
          <w:r>
            <w:rPr>
              <w:rFonts w:eastAsia="Microsoft YaHei" w:cs="Cambria"/>
              <w:b/>
              <w:color w:val="1E2530"/>
              <w:sz w:val="22"/>
              <w:szCs w:val="22"/>
            </w:rPr>
            <w:t>47</w:t>
          </w:r>
          <w:r>
            <w:rPr>
              <w:sz w:val="22"/>
              <w:b/>
              <w:szCs w:val="22"/>
              <w:rFonts w:eastAsia="Microsoft YaHei" w:cs="Cambria"/>
              <w:color w:val="1E2530"/>
            </w:rPr>
            <w:fldChar w:fldCharType="end"/>
          </w:r>
        </w:p>
      </w:sdtContent>
    </w:sdt>
    <w:p>
      <w:pPr>
        <w:pStyle w:val="Normal"/>
        <w:bidi w:val="0"/>
        <w:spacing w:lineRule="auto" w:line="300" w:before="0" w:after="160"/>
        <w:jc w:val="both"/>
        <w:rPr>
          <w:rFonts w:ascii="Cambria" w:hAnsi="Cambria" w:eastAsia="Microsoft YaHei"/>
          <w:color w:val="1E2530"/>
          <w:sz w:val="22"/>
        </w:rPr>
        <w:sectPr>
          <w:type w:val="nextPage"/>
          <w:pgSz w:w="11906" w:h="16838"/>
          <w:pgMar w:left="1440" w:right="1440" w:gutter="0" w:header="0" w:top="1800" w:footer="0" w:bottom="1440"/>
          <w:pgNumType w:fmt="decimal"/>
          <w:formProt w:val="false"/>
          <w:textDirection w:val="lrTb"/>
          <w:docGrid w:type="default" w:linePitch="100" w:charSpace="0"/>
        </w:sectPr>
      </w:pPr>
    </w:p>
    <w:p>
      <w:pPr>
        <w:pStyle w:val="Heading1"/>
        <w:bidi w:val="0"/>
        <w:rPr/>
      </w:pPr>
      <w:bookmarkStart w:id="1" w:name="_Toc001"/>
      <w:r>
        <w:rPr>
          <w:rFonts w:eastAsia="Microsoft YaHei" w:cs="Cambria" w:ascii="Microsoft YaHei" w:hAnsi="Microsoft YaHei"/>
          <w:b/>
          <w:color w:val="1A2744"/>
          <w:sz w:val="40"/>
          <w:szCs w:val="40"/>
          <w:lang w:val="en-US" w:eastAsia="zh-CN" w:bidi="hi-IN"/>
        </w:rPr>
        <w:t>Preamble and Governing Principles</w:t>
      </w:r>
      <w:bookmarkEnd w:id="1"/>
    </w:p>
    <w:p>
      <w:pPr>
        <w:pStyle w:val="Normal"/>
        <w:bidi w:val="0"/>
        <w:spacing w:before="0" w:after="180"/>
        <w:rPr/>
      </w:pPr>
      <w:r>
        <w:rPr>
          <w:rFonts w:eastAsia="Microsoft YaHei" w:cs="Cambria" w:ascii="Microsoft YaHei" w:hAnsi="Microsoft YaHei"/>
          <w:color w:val="1E2530"/>
          <w:sz w:val="22"/>
          <w:szCs w:val="22"/>
          <w:lang w:val="en-US" w:eastAsia="zh-CN" w:bidi="hi-IN"/>
        </w:rPr>
        <w:t>The United States of America and the Islamic Republic of Iran enter this Memorandum of Understanding with the shared recognition that sustainable peace between their nations demands a framework rooted in reciprocity, mutual dignity, and synchronized action. This document establishes the architecture for a phased transition from confrontation to normalized relations through verifiable commitments that activate simultaneously.</w:t>
      </w:r>
    </w:p>
    <w:p>
      <w:pPr>
        <w:pStyle w:val="Normal"/>
        <w:bidi w:val="0"/>
        <w:spacing w:before="0" w:after="180"/>
        <w:rPr/>
      </w:pPr>
      <w:r>
        <w:rPr>
          <w:rFonts w:eastAsia="Microsoft YaHei" w:cs="Cambria" w:ascii="Microsoft YaHei" w:hAnsi="Microsoft YaHei"/>
          <w:color w:val="1E2530"/>
          <w:sz w:val="22"/>
          <w:szCs w:val="22"/>
          <w:lang w:val="en-US" w:eastAsia="zh-CN" w:bidi="hi-IN"/>
        </w:rPr>
        <w:t>Both Parties acknowledge that neither side holds a unilateral obligation to move first. Every commitment described within this Compact pairs with a corresponding commitment from the other side, and both commitments activate at the same moment. This principle of synchronized reciprocal motion governs every operational provision.</w:t>
      </w:r>
    </w:p>
    <w:p>
      <w:pPr>
        <w:pStyle w:val="Heading2"/>
        <w:keepNext w:val="true"/>
        <w:keepLines/>
        <w:bidi w:val="0"/>
        <w:spacing w:before="360" w:after="160"/>
        <w:rPr/>
      </w:pPr>
      <w:r>
        <w:rPr>
          <w:rFonts w:eastAsia="Microsoft YaHei" w:cs="Cambria" w:ascii="Microsoft YaHei" w:hAnsi="Microsoft YaHei"/>
          <w:b/>
          <w:color w:val="2C3E5E"/>
          <w:sz w:val="30"/>
          <w:szCs w:val="30"/>
          <w:lang w:val="en-US" w:eastAsia="zh-CN" w:bidi="hi-IN"/>
        </w:rPr>
        <w:t>Fundamental Principles</w:t>
      </w:r>
    </w:p>
    <w:p>
      <w:pPr>
        <w:pStyle w:val="Normal"/>
        <w:bidi w:val="0"/>
        <w:spacing w:before="0" w:after="180"/>
        <w:rPr/>
      </w:pPr>
      <w:r>
        <w:rPr>
          <w:rFonts w:eastAsia="Microsoft YaHei" w:cs="Cambria" w:ascii="Microsoft YaHei" w:hAnsi="Microsoft YaHei"/>
          <w:color w:val="1E2530"/>
          <w:sz w:val="22"/>
          <w:szCs w:val="22"/>
          <w:lang w:val="en-US" w:eastAsia="zh-CN" w:bidi="hi-IN"/>
        </w:rPr>
        <w:t>The following principles apply throughout this Compact and all its annexes:</w:t>
      </w:r>
    </w:p>
    <w:p>
      <w:pPr>
        <w:pStyle w:val="Normal"/>
        <w:numPr>
          <w:ilvl w:val="0"/>
          <w:numId w:val="1"/>
        </w:numPr>
        <w:bidi w:val="0"/>
        <w:spacing w:before="0" w:after="160"/>
        <w:rPr/>
      </w:pPr>
      <w:r>
        <w:rPr>
          <w:rFonts w:eastAsia="Microsoft YaHei" w:cs="Cambria" w:ascii="Microsoft YaHei" w:hAnsi="Microsoft YaHei"/>
          <w:b/>
          <w:color w:val="1E2530"/>
          <w:sz w:val="22"/>
          <w:szCs w:val="22"/>
          <w:lang w:val="en-US" w:eastAsia="zh-CN" w:bidi="hi-IN"/>
        </w:rPr>
        <w:t xml:space="preserve">Synchronized Reciprocal Motion - </w:t>
      </w:r>
      <w:r>
        <w:rPr>
          <w:rFonts w:eastAsia="Microsoft YaHei" w:cs="Cambria" w:ascii="Microsoft YaHei" w:hAnsi="Microsoft YaHei"/>
          <w:color w:val="1E2530"/>
          <w:sz w:val="22"/>
          <w:szCs w:val="22"/>
          <w:lang w:val="en-US" w:eastAsia="zh-CN" w:bidi="hi-IN"/>
        </w:rPr>
        <w:t>Neither Party moves alone. Every commitment pairs with a reciprocal commitment, and both commitments activate simultaneously. No provision creates a sequential obligation where one side acts before the other.</w:t>
      </w:r>
    </w:p>
    <w:p>
      <w:pPr>
        <w:pStyle w:val="Normal"/>
        <w:numPr>
          <w:ilvl w:val="0"/>
          <w:numId w:val="1"/>
        </w:numPr>
        <w:bidi w:val="0"/>
        <w:spacing w:before="0" w:after="160"/>
        <w:rPr/>
      </w:pPr>
      <w:r>
        <w:rPr>
          <w:rFonts w:eastAsia="Microsoft YaHei" w:cs="Cambria" w:ascii="Microsoft YaHei" w:hAnsi="Microsoft YaHei"/>
          <w:b/>
          <w:color w:val="1E2530"/>
          <w:sz w:val="22"/>
          <w:szCs w:val="22"/>
          <w:lang w:val="en-US" w:eastAsia="zh-CN" w:bidi="hi-IN"/>
        </w:rPr>
        <w:t xml:space="preserve">No-Precedent Clause - </w:t>
      </w:r>
      <w:r>
        <w:rPr>
          <w:rFonts w:eastAsia="Microsoft YaHei" w:cs="Cambria" w:ascii="Microsoft YaHei" w:hAnsi="Microsoft YaHei"/>
          <w:color w:val="1E2530"/>
          <w:sz w:val="22"/>
          <w:szCs w:val="22"/>
          <w:lang w:val="en-US" w:eastAsia="zh-CN" w:bidi="hi-IN"/>
        </w:rPr>
        <w:t>This MOU creates no legal or political precedent for any future negotiation. This document addresses the specific circumstances of June 2026 and the immediate requirements for peace between the Parties. Nothing in this Compact binds either side in future diplomatic engagements.</w:t>
      </w:r>
    </w:p>
    <w:p>
      <w:pPr>
        <w:pStyle w:val="Normal"/>
        <w:numPr>
          <w:ilvl w:val="0"/>
          <w:numId w:val="1"/>
        </w:numPr>
        <w:bidi w:val="0"/>
        <w:spacing w:before="0" w:after="160"/>
        <w:rPr/>
      </w:pPr>
      <w:r>
        <w:rPr>
          <w:rFonts w:eastAsia="Microsoft YaHei" w:cs="Cambria" w:ascii="Microsoft YaHei" w:hAnsi="Microsoft YaHei"/>
          <w:b/>
          <w:color w:val="1E2530"/>
          <w:sz w:val="22"/>
          <w:szCs w:val="22"/>
          <w:lang w:val="en-US" w:eastAsia="zh-CN" w:bidi="hi-IN"/>
        </w:rPr>
        <w:t xml:space="preserve">Domestic Framing Autonomy - </w:t>
      </w:r>
      <w:r>
        <w:rPr>
          <w:rFonts w:eastAsia="Microsoft YaHei" w:cs="Cambria" w:ascii="Microsoft YaHei" w:hAnsi="Microsoft YaHei"/>
          <w:color w:val="1E2530"/>
          <w:sz w:val="22"/>
          <w:szCs w:val="22"/>
          <w:lang w:val="en-US" w:eastAsia="zh-CN" w:bidi="hi-IN"/>
        </w:rPr>
        <w:t>Each Party describes this Compact to its own public in its own terminology. Neither Party dictates the narrative language the other uses. Both Parties possess full freedom to characterize the agreement according to their respective domestic political requirements.</w:t>
      </w:r>
    </w:p>
    <w:p>
      <w:pPr>
        <w:pStyle w:val="Normal"/>
        <w:numPr>
          <w:ilvl w:val="0"/>
          <w:numId w:val="1"/>
        </w:numPr>
        <w:bidi w:val="0"/>
        <w:spacing w:before="0" w:after="160"/>
        <w:rPr/>
      </w:pPr>
      <w:r>
        <w:rPr>
          <w:rFonts w:eastAsia="Microsoft YaHei" w:cs="Cambria" w:ascii="Microsoft YaHei" w:hAnsi="Microsoft YaHei"/>
          <w:b/>
          <w:color w:val="1E2530"/>
          <w:sz w:val="22"/>
          <w:szCs w:val="22"/>
          <w:lang w:val="en-US" w:eastAsia="zh-CN" w:bidi="hi-IN"/>
        </w:rPr>
        <w:t xml:space="preserve">Telemetry-First Verification - </w:t>
      </w:r>
      <w:r>
        <w:rPr>
          <w:rFonts w:eastAsia="Microsoft YaHei" w:cs="Cambria" w:ascii="Microsoft YaHei" w:hAnsi="Microsoft YaHei"/>
          <w:color w:val="1E2530"/>
          <w:sz w:val="22"/>
          <w:szCs w:val="22"/>
          <w:lang w:val="en-US" w:eastAsia="zh-CN" w:bidi="hi-IN"/>
        </w:rPr>
        <w:t>Commitments achieve verification through sensor readings, financial records, physical lock confirmations, IAEA reports, and other objective telemetry data. Human judgment supplements but does not override mechanical confirmation.</w:t>
      </w:r>
    </w:p>
    <w:p>
      <w:pPr>
        <w:pStyle w:val="Normal"/>
        <w:numPr>
          <w:ilvl w:val="0"/>
          <w:numId w:val="1"/>
        </w:numPr>
        <w:bidi w:val="0"/>
        <w:spacing w:before="0" w:after="160"/>
        <w:rPr/>
      </w:pPr>
      <w:r>
        <w:rPr>
          <w:rFonts w:eastAsia="Microsoft YaHei" w:cs="Cambria" w:ascii="Microsoft YaHei" w:hAnsi="Microsoft YaHei"/>
          <w:b/>
          <w:color w:val="1E2530"/>
          <w:sz w:val="22"/>
          <w:szCs w:val="22"/>
          <w:lang w:val="en-US" w:eastAsia="zh-CN" w:bidi="hi-IN"/>
        </w:rPr>
        <w:t xml:space="preserve">Respect for Sovereign Red Lines - </w:t>
      </w:r>
      <w:r>
        <w:rPr>
          <w:rFonts w:eastAsia="Microsoft YaHei" w:cs="Cambria" w:ascii="Microsoft YaHei" w:hAnsi="Microsoft YaHei"/>
          <w:color w:val="1E2530"/>
          <w:sz w:val="22"/>
          <w:szCs w:val="22"/>
          <w:lang w:val="en-US" w:eastAsia="zh-CN" w:bidi="hi-IN"/>
        </w:rPr>
        <w:t>Each Party retains non-negotiable positions that this Compact does not address. The United States maintains its position that Iran does not possess, develop, or acquire nuclear weapons. Iran retains its right to peaceful nuclear technology and its position as a coastal state under international maritime law with attendant rights and responsibilities in the Strait of Hormuz.</w:t>
      </w:r>
    </w:p>
    <w:p>
      <w:pPr>
        <w:pStyle w:val="Normal"/>
        <w:numPr>
          <w:ilvl w:val="0"/>
          <w:numId w:val="1"/>
        </w:numPr>
        <w:bidi w:val="0"/>
        <w:spacing w:before="0" w:after="160"/>
        <w:rPr/>
      </w:pPr>
      <w:r>
        <w:rPr>
          <w:rFonts w:eastAsia="Microsoft YaHei" w:cs="Cambria" w:ascii="Microsoft YaHei" w:hAnsi="Microsoft YaHei"/>
          <w:b/>
          <w:color w:val="1E2530"/>
          <w:sz w:val="22"/>
          <w:szCs w:val="22"/>
          <w:lang w:val="en-US" w:eastAsia="zh-CN" w:bidi="hi-IN"/>
        </w:rPr>
        <w:t xml:space="preserve">Firewalled Provisions - </w:t>
      </w:r>
      <w:r>
        <w:rPr>
          <w:rFonts w:eastAsia="Microsoft YaHei" w:cs="Cambria" w:ascii="Microsoft YaHei" w:hAnsi="Microsoft YaHei"/>
          <w:color w:val="1E2530"/>
          <w:sz w:val="22"/>
          <w:szCs w:val="22"/>
          <w:lang w:val="en-US" w:eastAsia="zh-CN" w:bidi="hi-IN"/>
        </w:rPr>
        <w:t>Annexes exist as standalone modules. A breach in one annex does not automatically terminate provisions in another annex or in the core body of this Compact. Each annex carries its own compliance and remedy mechanisms.</w:t>
      </w:r>
    </w:p>
    <w:p>
      <w:pPr>
        <w:pStyle w:val="Normal"/>
        <w:numPr>
          <w:ilvl w:val="0"/>
          <w:numId w:val="1"/>
        </w:numPr>
        <w:bidi w:val="0"/>
        <w:spacing w:before="0" w:after="160"/>
        <w:rPr/>
      </w:pPr>
      <w:r>
        <w:rPr>
          <w:rFonts w:eastAsia="Microsoft YaHei" w:cs="Cambria" w:ascii="Microsoft YaHei" w:hAnsi="Microsoft YaHei"/>
          <w:b/>
          <w:color w:val="1E2530"/>
          <w:sz w:val="22"/>
          <w:szCs w:val="22"/>
          <w:lang w:val="en-US" w:eastAsia="zh-CN" w:bidi="hi-IN"/>
        </w:rPr>
        <w:t xml:space="preserve">No Missile Limits - </w:t>
      </w:r>
      <w:r>
        <w:rPr>
          <w:rFonts w:eastAsia="Microsoft YaHei" w:cs="Cambria" w:ascii="Microsoft YaHei" w:hAnsi="Microsoft YaHei"/>
          <w:color w:val="1E2530"/>
          <w:sz w:val="22"/>
          <w:szCs w:val="22"/>
          <w:lang w:val="en-US" w:eastAsia="zh-CN" w:bidi="hi-IN"/>
        </w:rPr>
        <w:t>Ballistic missile programs are not within the scope of this Compact. Any future discussion of missile issues proceeds on a voluntary basis and is not linked to sanctions relief or nuclear commitments.</w:t>
      </w:r>
    </w:p>
    <w:p>
      <w:pPr>
        <w:pStyle w:val="Normal"/>
        <w:bidi w:val="0"/>
        <w:spacing w:before="0" w:after="180"/>
        <w:rPr/>
      </w:pPr>
      <w:r>
        <w:rPr>
          <w:rFonts w:eastAsia="Microsoft YaHei" w:cs="Cambria" w:ascii="Microsoft YaHei" w:hAnsi="Microsoft YaHei"/>
          <w:color w:val="1E2530"/>
          <w:sz w:val="22"/>
          <w:szCs w:val="22"/>
          <w:lang w:val="en-US" w:eastAsia="zh-CN" w:bidi="hi-IN"/>
        </w:rPr>
        <w:t>This Compact consists of eleven articles and nine annexes. The articles establish the operational framework. The annexes provide detailed implementation protocols. In the event of any inconsistency between an annex and the core articles, the core articles govern.</w:t>
      </w:r>
    </w:p>
    <w:p>
      <w:pPr>
        <w:pStyle w:val="Heading1"/>
        <w:keepNext w:val="true"/>
        <w:keepLines/>
        <w:bidi w:val="0"/>
        <w:spacing w:before="480" w:after="240"/>
        <w:rPr/>
      </w:pPr>
      <w:bookmarkStart w:id="2" w:name="_Toc002"/>
      <w:r>
        <w:rPr>
          <w:rFonts w:eastAsia="Microsoft YaHei" w:cs="Cambria" w:ascii="Microsoft YaHei" w:hAnsi="Microsoft YaHei"/>
          <w:b/>
          <w:color w:val="1A2744"/>
          <w:sz w:val="40"/>
          <w:szCs w:val="40"/>
          <w:lang w:val="en-US" w:eastAsia="zh-CN" w:bidi="hi-IN"/>
        </w:rPr>
        <w:t>Article I: Synchronization Architecture</w:t>
      </w:r>
      <w:bookmarkEnd w:id="2"/>
    </w:p>
    <w:p>
      <w:pPr>
        <w:pStyle w:val="Normal"/>
        <w:bidi w:val="0"/>
        <w:spacing w:before="0" w:after="180"/>
        <w:rPr/>
      </w:pPr>
      <w:r>
        <w:rPr>
          <w:rFonts w:eastAsia="Microsoft YaHei" w:cs="Cambria" w:ascii="Microsoft YaHei" w:hAnsi="Microsoft YaHei"/>
          <w:color w:val="1E2530"/>
          <w:sz w:val="22"/>
          <w:szCs w:val="22"/>
          <w:lang w:val="en-US" w:eastAsia="zh-CN" w:bidi="hi-IN"/>
        </w:rPr>
        <w:t>This article establishes the mechanical rules that govern how commitments activate, how the Parties verify each other's performance, and how the framework maintains equilibrium throughout the 60-day implementation window.</w:t>
      </w:r>
    </w:p>
    <w:p>
      <w:pPr>
        <w:pStyle w:val="Heading2"/>
        <w:keepNext w:val="true"/>
        <w:keepLines/>
        <w:bidi w:val="0"/>
        <w:spacing w:before="360" w:after="160"/>
        <w:rPr/>
      </w:pPr>
      <w:r>
        <w:rPr>
          <w:rFonts w:eastAsia="Microsoft YaHei" w:cs="Cambria" w:ascii="Microsoft YaHei" w:hAnsi="Microsoft YaHei"/>
          <w:b/>
          <w:color w:val="2C3E5E"/>
          <w:sz w:val="30"/>
          <w:szCs w:val="30"/>
          <w:lang w:val="en-US" w:eastAsia="zh-CN" w:bidi="hi-IN"/>
        </w:rPr>
        <w:t>Section 1.1 - Reciprocal Activation Engine</w:t>
      </w:r>
    </w:p>
    <w:p>
      <w:pPr>
        <w:pStyle w:val="Normal"/>
        <w:bidi w:val="0"/>
        <w:spacing w:before="0" w:after="180"/>
        <w:rPr/>
      </w:pPr>
      <w:r>
        <w:rPr>
          <w:rFonts w:ascii="Cambria" w:hAnsi="Cambria" w:eastAsia="Microsoft YaHei" w:cs="FreeSans"/>
          <w:color w:val="1E2530"/>
          <w:sz w:val="22"/>
          <w:szCs w:val="24"/>
          <w:lang w:val="en-US" w:eastAsia="zh-CN" w:bidi="hi-IN"/>
        </w:rPr>
        <w:t>Every commitment in this Compact operates through the following mechanics:</w:t>
      </w:r>
    </w:p>
    <w:p>
      <w:pPr>
        <w:pStyle w:val="Normal"/>
        <w:numPr>
          <w:ilvl w:val="0"/>
          <w:numId w:val="1"/>
        </w:numPr>
        <w:bidi w:val="0"/>
        <w:spacing w:before="0" w:after="160"/>
        <w:rPr/>
      </w:pPr>
      <w:r>
        <w:rPr>
          <w:b/>
          <w:color w:val="1E2530"/>
          <w:rFonts w:ascii="Cambria" w:hAnsi="Cambria" w:eastAsia="Microsoft YaHei" w:cs="FreeSans"/>
          <w:sz w:val="22"/>
          <w:szCs w:val="24"/>
          <w:lang w:val="en-US" w:eastAsia="zh-CN" w:bidi="hi-IN"/>
        </w:rPr>
        <w:t>Pairing -</w:t>
      </w:r>
      <w:r>
        <w:rPr>
          <w:rFonts w:ascii="Cambria" w:hAnsi="Cambria" w:eastAsia="Microsoft YaHei" w:cs="FreeSans"/>
          <w:color w:val="1E2530"/>
          <w:sz w:val="22"/>
          <w:szCs w:val="24"/>
          <w:lang w:val="en-US" w:eastAsia="zh-CN" w:bidi="hi-IN"/>
        </w:rPr>
        <w:t>Each commitment from one Party matches with a corresponding commitment from the other Party. The pairing creates a single reciprocity unit.</w:t>
      </w:r>
    </w:p>
    <w:p>
      <w:pPr>
        <w:pStyle w:val="Normal"/>
        <w:numPr>
          <w:ilvl w:val="0"/>
          <w:numId w:val="1"/>
        </w:numPr>
        <w:bidi w:val="0"/>
        <w:spacing w:before="0" w:after="160"/>
        <w:rPr/>
      </w:pPr>
      <w:r>
        <w:rPr>
          <w:b/>
          <w:color w:val="1E2530"/>
          <w:rFonts w:ascii="Cambria" w:hAnsi="Cambria" w:eastAsia="Microsoft YaHei" w:cs="FreeSans"/>
          <w:sz w:val="22"/>
          <w:szCs w:val="24"/>
          <w:lang w:val="en-US" w:eastAsia="zh-CN" w:bidi="hi-IN"/>
        </w:rPr>
        <w:t>Simultaneous Activation -</w:t>
      </w:r>
      <w:r>
        <w:rPr>
          <w:rFonts w:ascii="Cambria" w:hAnsi="Cambria" w:eastAsia="Microsoft YaHei" w:cs="FreeSans"/>
          <w:color w:val="1E2530"/>
          <w:sz w:val="22"/>
          <w:szCs w:val="24"/>
          <w:lang w:val="en-US" w:eastAsia="zh-CN" w:bidi="hi-IN"/>
        </w:rPr>
        <w:t>Both commitments in a reciprocity unit activate at the same moment. Neither side activates its commitment before the other side activates the corresponding commitment.</w:t>
      </w:r>
    </w:p>
    <w:p>
      <w:pPr>
        <w:pStyle w:val="Normal"/>
        <w:numPr>
          <w:ilvl w:val="0"/>
          <w:numId w:val="1"/>
        </w:numPr>
        <w:bidi w:val="0"/>
        <w:spacing w:before="0" w:after="160"/>
        <w:rPr/>
      </w:pPr>
      <w:r>
        <w:rPr>
          <w:b/>
          <w:color w:val="1E2530"/>
          <w:rFonts w:ascii="Cambria" w:hAnsi="Cambria" w:eastAsia="Microsoft YaHei" w:cs="FreeSans"/>
          <w:sz w:val="22"/>
          <w:szCs w:val="24"/>
          <w:lang w:val="en-US" w:eastAsia="zh-CN" w:bidi="hi-IN"/>
        </w:rPr>
        <w:t>Joint Confirmation -</w:t>
      </w:r>
      <w:r>
        <w:rPr>
          <w:rFonts w:ascii="Cambria" w:hAnsi="Cambria" w:eastAsia="Microsoft YaHei" w:cs="FreeSans"/>
          <w:color w:val="1E2530"/>
          <w:sz w:val="22"/>
          <w:szCs w:val="24"/>
          <w:lang w:val="en-US" w:eastAsia="zh-CN" w:bidi="hi-IN"/>
        </w:rPr>
        <w:t>The Neutral Guarantor (described in Article VIII) confirms simultaneous activation. Either Party holds veto power over unilateral activation.</w:t>
      </w:r>
    </w:p>
    <w:p>
      <w:pPr>
        <w:pStyle w:val="Heading2"/>
        <w:keepNext w:val="true"/>
        <w:keepLines/>
        <w:bidi w:val="0"/>
        <w:spacing w:before="360" w:after="160"/>
        <w:rPr/>
      </w:pPr>
      <w:r>
        <w:rPr>
          <w:szCs w:val="24"/>
          <w:lang w:val="en-US" w:eastAsia="zh-CN" w:bidi="hi-IN"/>
          <w:rFonts w:ascii="Cambria" w:hAnsi="Cambria" w:eastAsia="Microsoft YaHei" w:cs="Cambria"/>
          <w:b/>
          <w:color w:val="2C3E5E"/>
          <w:sz w:val="30"/>
        </w:rPr>
        <w:t>Section 1.2 - Veto Architecture</w:t>
      </w:r>
    </w:p>
    <w:p>
      <w:pPr>
        <w:pStyle w:val="Normal"/>
        <w:bidi w:val="0"/>
        <w:spacing w:before="0" w:after="180"/>
        <w:rPr/>
      </w:pPr>
      <w:r>
        <w:rPr>
          <w:rFonts w:ascii="Cambria" w:hAnsi="Cambria" w:eastAsia="Microsoft YaHei" w:cs="FreeSans"/>
          <w:color w:val="1E2530"/>
          <w:sz w:val="22"/>
          <w:szCs w:val="24"/>
          <w:lang w:val="en-US" w:eastAsia="zh-CN" w:bidi="hi-IN"/>
        </w:rPr>
        <w:t>Each Party possesses one veto per week during the 60-day implementation period. A Party exercises its veto by submitting a written objection to the Neutral Guarantor within 24 hours of a proposed activation. The veto suspends the specific reciprocity unit under dispute while all other reciprocity units continue operating. The Parties resolve suspended units through the Human-in-the-Loop Review process described in Article VII.</w:t>
      </w:r>
    </w:p>
    <w:p>
      <w:pPr>
        <w:pStyle w:val="Heading2"/>
        <w:keepNext w:val="true"/>
        <w:keepLines/>
        <w:bidi w:val="0"/>
        <w:spacing w:before="360" w:after="160"/>
        <w:rPr/>
      </w:pPr>
      <w:r>
        <w:rPr>
          <w:szCs w:val="24"/>
          <w:lang w:val="en-US" w:eastAsia="zh-CN" w:bidi="hi-IN"/>
          <w:rFonts w:ascii="Cambria" w:hAnsi="Cambria" w:eastAsia="Microsoft YaHei" w:cs="Cambria"/>
          <w:b/>
          <w:color w:val="2C3E5E"/>
          <w:sz w:val="30"/>
        </w:rPr>
        <w:t>Section 1.3 - Communication Protocols</w:t>
      </w:r>
    </w:p>
    <w:p>
      <w:pPr>
        <w:pStyle w:val="Normal"/>
        <w:bidi w:val="0"/>
        <w:spacing w:before="0" w:after="180"/>
        <w:rPr/>
      </w:pPr>
      <w:r>
        <w:rPr>
          <w:rFonts w:ascii="Cambria" w:hAnsi="Cambria" w:eastAsia="Microsoft YaHei" w:cs="FreeSans"/>
          <w:color w:val="1E2530"/>
          <w:sz w:val="22"/>
          <w:szCs w:val="24"/>
          <w:lang w:val="en-US" w:eastAsia="zh-CN" w:bidi="hi-IN"/>
        </w:rPr>
        <w:t>The Parties communicate through the following channels: the Joint Coordination Center in Muscat, Oman serves as the primary liaison hub; the Neutral Guarantor maintains secure diplomatic backchannels for sensitive matters; and both Parties retain the right to public statements provided such statements do not disclose classified operational details.</w:t>
      </w:r>
    </w:p>
    <w:p>
      <w:pPr>
        <w:pStyle w:val="Heading1"/>
        <w:keepNext w:val="true"/>
        <w:keepLines/>
        <w:bidi w:val="0"/>
        <w:spacing w:before="480" w:after="240"/>
        <w:rPr/>
      </w:pPr>
      <w:bookmarkStart w:id="3" w:name="_Toc003"/>
      <w:r>
        <w:rPr>
          <w:szCs w:val="24"/>
          <w:lang w:val="en-US" w:eastAsia="zh-CN" w:bidi="hi-IN"/>
          <w:rFonts w:ascii="Cambria" w:hAnsi="Cambria" w:eastAsia="Microsoft YaHei" w:cs="Cambria"/>
          <w:b/>
          <w:color w:val="1A2744"/>
          <w:sz w:val="40"/>
        </w:rPr>
        <w:t>Article II: Phase One - Immediate Steps (Days 1-7)</w:t>
      </w:r>
      <w:bookmarkEnd w:id="3"/>
    </w:p>
    <w:p>
      <w:pPr>
        <w:pStyle w:val="Normal"/>
        <w:bidi w:val="0"/>
        <w:spacing w:before="0" w:after="180"/>
        <w:rPr/>
      </w:pPr>
      <w:r>
        <w:rPr>
          <w:rFonts w:ascii="Cambria" w:hAnsi="Cambria" w:eastAsia="Microsoft YaHei" w:cs="FreeSans"/>
          <w:color w:val="1E2530"/>
          <w:sz w:val="22"/>
          <w:szCs w:val="24"/>
          <w:lang w:val="en-US" w:eastAsia="zh-CN" w:bidi="hi-IN"/>
        </w:rPr>
        <w:t>Phase One establishes the foundation for all subsequent cooperation. The steps in this phase create the conditions of trust and operational security that enable the more complex commitments of Phase Two.</w:t>
      </w:r>
    </w:p>
    <w:p>
      <w:pPr>
        <w:pStyle w:val="Heading2"/>
        <w:keepNext w:val="true"/>
        <w:keepLines/>
        <w:bidi w:val="0"/>
        <w:spacing w:before="360" w:after="160"/>
        <w:rPr/>
      </w:pPr>
      <w:r>
        <w:rPr>
          <w:szCs w:val="24"/>
          <w:lang w:val="en-US" w:eastAsia="zh-CN" w:bidi="hi-IN"/>
          <w:rFonts w:ascii="Cambria" w:hAnsi="Cambria" w:eastAsia="Microsoft YaHei" w:cs="Cambria"/>
          <w:b/>
          <w:color w:val="2C3E5E"/>
          <w:sz w:val="30"/>
        </w:rPr>
        <w:t>Section 2.1 - Immediate Ceasefire</w:t>
      </w:r>
    </w:p>
    <w:p>
      <w:pPr>
        <w:pStyle w:val="Normal"/>
        <w:bidi w:val="0"/>
        <w:spacing w:before="0" w:after="180"/>
        <w:rPr/>
      </w:pPr>
      <w:r>
        <w:rPr>
          <w:rFonts w:ascii="Cambria" w:hAnsi="Cambria" w:eastAsia="Microsoft YaHei" w:cs="FreeSans"/>
          <w:color w:val="1E2530"/>
          <w:sz w:val="22"/>
          <w:szCs w:val="24"/>
          <w:lang w:val="en-US" w:eastAsia="zh-CN" w:bidi="hi-IN"/>
        </w:rPr>
        <w:t>Within 24 hours of signature, both Parties implement a complete cessation of all offensive military operations against each other's territory, forces, and interests. This ceasefire encompasses all domains and all fronts: land, air, sea, cyber, and proxy operations, including the Lebanon front explicitly. On the Lebanon front, the United States exercises its influence toward an Israeli halt of offensive operations and Iran exercises its influence toward a Hezbollah halt of offensive operations; defensive positions continue, and a spontaneous local clash routes to the crisis-communication consultation rather than to breach. The Lebanon ceasefire operates as a firewalled reciprocity unit under Annex B, so that a lapse on the Lebanon front suspends only the Lebanon unit while the nuclear, maritime, and economic tracks continue operating.</w:t>
      </w:r>
    </w:p>
    <w:p>
      <w:pPr>
        <w:pStyle w:val="Normal"/>
        <w:bidi w:val="0"/>
        <w:spacing w:before="0" w:after="180"/>
        <w:rPr/>
      </w:pPr>
      <w:r>
        <w:rPr>
          <w:rFonts w:ascii="Cambria" w:hAnsi="Cambria" w:eastAsia="Microsoft YaHei" w:cs="FreeSans"/>
          <w:color w:val="1E2530"/>
          <w:sz w:val="22"/>
          <w:szCs w:val="24"/>
          <w:lang w:val="en-US" w:eastAsia="zh-CN" w:bidi="hi-IN"/>
        </w:rPr>
        <w:t>The ceasefire operates as a self-renewing 72-hour module. If both Parties confirm compliance at Hour 71, the ceasefire automatically renews for another 72 hours. This process continues indefinitely unless either Party provides 48 hours' written notice of non-renewal. Written notice triggers the Step-Back procedures in Article VI but does not automatically terminate the entire Compact. Silence at the renewal point constitutes confirmation of continuation.</w:t>
      </w:r>
    </w:p>
    <w:p>
      <w:pPr>
        <w:pStyle w:val="Heading2"/>
        <w:keepNext w:val="true"/>
        <w:keepLines/>
        <w:bidi w:val="0"/>
        <w:spacing w:before="360" w:after="160"/>
        <w:rPr/>
      </w:pPr>
      <w:r>
        <w:rPr>
          <w:szCs w:val="24"/>
          <w:lang w:val="en-US" w:eastAsia="zh-CN" w:bidi="hi-IN"/>
          <w:rFonts w:ascii="Cambria" w:hAnsi="Cambria" w:eastAsia="Microsoft YaHei" w:cs="Cambria"/>
          <w:b/>
          <w:color w:val="2C3E5E"/>
          <w:sz w:val="30"/>
        </w:rPr>
        <w:t>Section 2.2 - Strait of Hormuz Immediate Reopening</w:t>
      </w:r>
    </w:p>
    <w:p>
      <w:pPr>
        <w:pStyle w:val="Normal"/>
        <w:bidi w:val="0"/>
        <w:spacing w:before="0" w:after="180"/>
        <w:rPr/>
      </w:pPr>
      <w:r>
        <w:rPr>
          <w:rFonts w:ascii="Cambria" w:hAnsi="Cambria" w:eastAsia="Microsoft YaHei" w:cs="FreeSans"/>
          <w:color w:val="1E2530"/>
          <w:sz w:val="22"/>
          <w:szCs w:val="24"/>
          <w:lang w:val="en-US" w:eastAsia="zh-CN" w:bidi="hi-IN"/>
        </w:rPr>
        <w:t>Beginning Day 1, Iran permits the unrestricted transit of all commercial vessels through the Strait of Hormuz. The Strait reopens without transit tolls or inspection delays, and a capped, transparent, non-discriminatory service-fee schedule for defined marine services operates under Joint Maritime Coordination Center oversight, as Annex M, Section M.1.4 specifies. The United States simultaneously lifts its naval blockade of Iranian commercial ports. Both Parties acknowledge that a return to pre-conflict shipping volumes requires a phased recovery period not exceeding 30 days for logistical coordination, maritime traffic scheduling, and the resumption of commercial shipping lines.</w:t>
      </w:r>
    </w:p>
    <w:p>
      <w:pPr>
        <w:pStyle w:val="Normal"/>
        <w:bidi w:val="0"/>
        <w:spacing w:before="0" w:after="180"/>
        <w:rPr/>
      </w:pPr>
      <w:r>
        <w:rPr>
          <w:rFonts w:ascii="Cambria" w:hAnsi="Cambria" w:eastAsia="Microsoft YaHei" w:cs="FreeSans"/>
          <w:color w:val="1E2530"/>
          <w:sz w:val="22"/>
          <w:szCs w:val="24"/>
          <w:lang w:val="en-US" w:eastAsia="zh-CN" w:bidi="hi-IN"/>
        </w:rPr>
        <w:t>During the 30-day recovery period, the Joint Maritime Coordination Center in Bandar Abbas coordinates traffic management and maintains a real-time public dashboard of transit volumes. The Neutral Guarantor publishes weekly reports on recovery progress. The framework architecture excludes new transit tolls, inspection requirements, and additional transit restrictions; the published service-fee schedule of Section M.1.4 operates as the only authorized charge on transit, and it applies equally to all vessels.</w:t>
      </w:r>
    </w:p>
    <w:p>
      <w:pPr>
        <w:pStyle w:val="Normal"/>
        <w:bidi w:val="0"/>
        <w:spacing w:before="0" w:after="180"/>
        <w:rPr/>
      </w:pPr>
      <w:r>
        <w:rPr>
          <w:rFonts w:ascii="Cambria" w:hAnsi="Cambria" w:eastAsia="Microsoft YaHei" w:cs="FreeSans"/>
          <w:color w:val="1E2530"/>
          <w:sz w:val="22"/>
          <w:szCs w:val="24"/>
          <w:lang w:val="en-US" w:eastAsia="zh-CN" w:bidi="hi-IN"/>
        </w:rPr>
        <w:t>In reciprocity, beginning Day 1, the United States halts all offensive naval operations in the Persian Gulf and Strait of Hormuz. US forces maintain defensive positions only.</w:t>
      </w:r>
    </w:p>
    <w:p>
      <w:pPr>
        <w:pStyle w:val="Heading2"/>
        <w:keepNext w:val="true"/>
        <w:keepLines/>
        <w:bidi w:val="0"/>
        <w:spacing w:before="360" w:after="160"/>
        <w:rPr/>
      </w:pPr>
      <w:r>
        <w:rPr>
          <w:szCs w:val="24"/>
          <w:lang w:val="en-US" w:eastAsia="zh-CN" w:bidi="hi-IN"/>
          <w:rFonts w:ascii="Cambria" w:hAnsi="Cambria" w:eastAsia="Microsoft YaHei" w:cs="Cambria"/>
          <w:b/>
          <w:color w:val="2C3E5E"/>
          <w:sz w:val="30"/>
        </w:rPr>
        <w:t>Section 2.3 - Prisoner and Detainee Exchange</w:t>
      </w:r>
    </w:p>
    <w:p>
      <w:pPr>
        <w:pStyle w:val="Normal"/>
        <w:bidi w:val="0"/>
        <w:spacing w:before="0" w:after="180"/>
        <w:rPr/>
      </w:pPr>
      <w:r>
        <w:rPr>
          <w:rFonts w:ascii="Cambria" w:hAnsi="Cambria" w:eastAsia="Microsoft YaHei" w:cs="FreeSans"/>
          <w:color w:val="1E2530"/>
          <w:sz w:val="22"/>
          <w:szCs w:val="24"/>
          <w:lang w:val="en-US" w:eastAsia="zh-CN" w:bidi="hi-IN"/>
        </w:rPr>
        <w:t>Within 72 hours of signature, both Parties exchange all prisoners and civilian detainees held in connection with the current conflict. The Neutral Guarantor verifies the roster and facilitates the physical transfer at a neutral location designated by mutual agreement.</w:t>
      </w:r>
    </w:p>
    <w:p>
      <w:pPr>
        <w:pStyle w:val="Heading2"/>
        <w:keepNext w:val="true"/>
        <w:keepLines/>
        <w:bidi w:val="0"/>
        <w:spacing w:before="360" w:after="160"/>
        <w:rPr/>
      </w:pPr>
      <w:r>
        <w:rPr/>
        <w:t>Section 2.4 - Humanitarian Tranche Release</w:t>
      </w:r>
    </w:p>
    <w:p>
      <w:pPr>
        <w:pStyle w:val="Normal"/>
        <w:bidi w:val="0"/>
        <w:spacing w:before="0" w:after="180"/>
        <w:rPr/>
      </w:pPr>
      <w:r>
        <w:rPr/>
        <w:t>Within 48 hours of signature, the United States releases $250 million in frozen Iranian assets designated exclusively for humanitarian purposes: medical supplies, food security, and civilian infrastructure repair. This release is non-reversible.</w:t>
      </w:r>
    </w:p>
    <w:p>
      <w:pPr>
        <w:pStyle w:val="Normal"/>
        <w:bidi w:val="0"/>
        <w:spacing w:before="0" w:after="180"/>
        <w:rPr/>
      </w:pPr>
      <w:r>
        <w:rPr/>
        <w:t>In reciprocity, within the same 48-hour window, Iran provides the IAEA with full access to all declared nuclear facilities for baseline verification readings. This access does not constitute a full inspection regime; it establishes the telemetry baseline from which Phase Two operates.</w:t>
      </w:r>
    </w:p>
    <w:p>
      <w:pPr>
        <w:pStyle w:val="Heading2"/>
        <w:keepNext w:val="true"/>
        <w:keepLines/>
        <w:bidi w:val="0"/>
        <w:spacing w:before="360" w:after="160"/>
        <w:rPr/>
      </w:pPr>
      <w:r>
        <w:rPr/>
        <w:t>Section 2.5 - Confidence-Building Measure: Fuel Swap</w:t>
      </w:r>
    </w:p>
    <w:p>
      <w:pPr>
        <w:pStyle w:val="Normal"/>
        <w:bidi w:val="0"/>
        <w:spacing w:before="0" w:after="180"/>
        <w:rPr/>
      </w:pPr>
      <w:r>
        <w:rPr/>
        <w:t>By Day 7, Iran transfers 50 kilograms of uranium enriched to 60 percent to a secure facility in Oman under IAEA custody with Iranian observer access. No US personnel enter the facility without Iran's explicit, revocable, per-visit consent. US personnel do not maintain a presence at the Oman facility under any routine circumstances; any exception requires a separate written agreement between the Parties.</w:t>
      </w:r>
    </w:p>
    <w:p>
      <w:pPr>
        <w:pStyle w:val="Normal"/>
        <w:bidi w:val="0"/>
        <w:spacing w:before="0" w:after="180"/>
        <w:rPr/>
      </w:pPr>
      <w:r>
        <w:rPr/>
        <w:t>Simultaneously, the United States provides Iran with 200 kilograms of 19.75 percent enriched uranium fuel rods suitable for the Tehran Research Reactor.</w:t>
      </w:r>
    </w:p>
    <w:p>
      <w:pPr>
        <w:pStyle w:val="Normal"/>
        <w:bidi w:val="0"/>
        <w:spacing w:before="0" w:after="180"/>
        <w:rPr/>
      </w:pPr>
      <w:r>
        <w:rPr/>
        <w:t>This fuel swap demonstrates the reciprocal principle in action: Iran reduces its stockpile of near-weapons-grade material by a defined amount while receiving material it needs for civilian nuclear medicine and research. The 60 percent material remains under IAEA custody in Oman pending final disposition in Phase Three.</w:t>
      </w:r>
    </w:p>
    <w:p>
      <w:pPr>
        <w:pStyle w:val="Normal"/>
        <w:bidi w:val="0"/>
        <w:spacing w:before="0" w:after="180"/>
        <w:rPr/>
      </w:pPr>
      <w:r>
        <w:rPr/>
        <w:t>All remaining enriched uranium stockpiled above 5 percent stays in Iran under IAEA seals at declared facilities. No additional material leaves Iranian territory during the 60-day period.</w:t>
      </w:r>
    </w:p>
    <w:p>
      <w:pPr>
        <w:pStyle w:val="Heading1"/>
        <w:keepNext w:val="true"/>
        <w:keepLines/>
        <w:bidi w:val="0"/>
        <w:spacing w:before="480" w:after="240"/>
        <w:rPr/>
      </w:pPr>
      <w:r>
        <w:rPr/>
        <w:t>Article III: Phase Two - 60-Day Reciprocal Commitments (Days 8-60)</w:t>
      </w:r>
      <w:bookmarkStart w:id="4" w:name="_Toc004"/>
      <w:bookmarkEnd w:id="4"/>
    </w:p>
    <w:p>
      <w:pPr>
        <w:pStyle w:val="Normal"/>
        <w:bidi w:val="0"/>
        <w:spacing w:before="0" w:after="180"/>
        <w:rPr/>
      </w:pPr>
      <w:r>
        <w:rPr/>
        <w:t>Phase Two contains the core operational commitments of this Compact. The three subsections - Nuclear Material Custody, Strait Reopening, and Sanctions Relief - operate as parallel reciprocity tracks. Progress in one track does not depend on progress in another track, though simultaneous progress across all three tracks accelerates the overall stabilization.</w:t>
      </w:r>
    </w:p>
    <w:p>
      <w:pPr>
        <w:pStyle w:val="Heading2"/>
        <w:keepNext w:val="true"/>
        <w:keepLines/>
        <w:bidi w:val="0"/>
        <w:spacing w:before="360" w:after="160"/>
        <w:rPr/>
      </w:pPr>
      <w:r>
        <w:rPr/>
        <w:t>Section 3.1 - Nuclear Material Custody and Disposition</w:t>
      </w:r>
    </w:p>
    <w:p>
      <w:pPr>
        <w:pStyle w:val="Normal"/>
        <w:bidi w:val="0"/>
        <w:spacing w:before="0" w:after="180"/>
        <w:rPr/>
      </w:pPr>
      <w:r>
        <w:rPr/>
        <w:t>This section addresses the status of Iran's enriched uranium stockpile in a manner that respects both the United States' red line against Iranian nuclear weapons capability and Iran's red line against the forced export of its nuclear material from Iranian territory.</w:t>
      </w:r>
    </w:p>
    <w:p>
      <w:pPr>
        <w:pStyle w:val="Heading3"/>
        <w:keepNext w:val="true"/>
        <w:keepLines/>
        <w:bidi w:val="0"/>
        <w:spacing w:before="280" w:after="120"/>
        <w:rPr/>
      </w:pPr>
      <w:r>
        <w:rPr/>
        <w:t>3.1.1 - In-Country IAEA Seals on Enriched Uranium</w:t>
      </w:r>
    </w:p>
    <w:p>
      <w:pPr>
        <w:pStyle w:val="Normal"/>
        <w:bidi w:val="0"/>
        <w:spacing w:before="0" w:after="180"/>
        <w:rPr/>
      </w:pPr>
      <w:r>
        <w:rPr/>
        <w:t>By Day 14, Iran places all uranium enriched above 5 percent - approximately 400 kilograms of material enriched to 60 percent and 800 kilograms of material enriched to 20 percent - under IAEA seals at declared facilities inside Iran. No material leaves Iranian territory except the 50 kilograms designated for the fuel swap in Section 2.5.</w:t>
      </w:r>
    </w:p>
    <w:p>
      <w:pPr>
        <w:pStyle w:val="Normal"/>
        <w:bidi w:val="0"/>
        <w:spacing w:before="0" w:after="180"/>
        <w:rPr/>
      </w:pPr>
      <w:r>
        <w:rPr/>
        <w:t>The sealed stockpile undergoes real-time IAEA monitoring through online enrichment monitors, remote camera surveillance, and regular inspector access. Iran cooperates with the IAEA to apply tamper-indicating seals and to install continuous monitoring equipment. Iran retains ownership of all sealed material. Iran retains physical possession of all sealed material.</w:t>
      </w:r>
    </w:p>
    <w:p>
      <w:pPr>
        <w:pStyle w:val="Heading3"/>
        <w:keepNext w:val="true"/>
        <w:keepLines/>
        <w:bidi w:val="0"/>
        <w:spacing w:before="280" w:after="120"/>
        <w:rPr/>
      </w:pPr>
      <w:r>
        <w:rPr/>
        <w:t>3.1.2 - Fuel Swap Custody in Oman</w:t>
      </w:r>
    </w:p>
    <w:p>
      <w:pPr>
        <w:pStyle w:val="Normal"/>
        <w:bidi w:val="0"/>
        <w:spacing w:before="0" w:after="180"/>
        <w:rPr/>
      </w:pPr>
      <w:r>
        <w:rPr/>
        <w:t>The 50 kilograms of 60 percent enriched uranium transferred under Section 2.5 resides in a secure facility in Oman under IAEA custody with Iranian observer access. No US personnel enter the facility without Iran's explicit, revocable, per-visit consent. The Neutral Guarantor facilitates physical security at the facility perimeter.</w:t>
      </w:r>
    </w:p>
    <w:p>
      <w:pPr>
        <w:pStyle w:val="Heading3"/>
        <w:keepNext w:val="true"/>
        <w:keepLines/>
        <w:bidi w:val="0"/>
        <w:spacing w:before="280" w:after="120"/>
        <w:rPr/>
      </w:pPr>
      <w:r>
        <w:rPr/>
        <w:t>3.1.3 - Disposition Deferred to Phase Three</w:t>
      </w:r>
    </w:p>
    <w:p>
      <w:pPr>
        <w:pStyle w:val="Normal"/>
        <w:bidi w:val="0"/>
        <w:spacing w:before="0" w:after="180"/>
        <w:rPr/>
      </w:pPr>
      <w:r>
        <w:rPr/>
        <w:t>The Parties agree to negotiate the final disposition of all enriched uranium above 5 percent in Phase Three. During the 60-day Phase Two period, the material remains under IAEA seals in Iran. No disposition pathway is pre-decided.</w:t>
      </w:r>
    </w:p>
    <w:p>
      <w:pPr>
        <w:pStyle w:val="Normal"/>
        <w:bidi w:val="0"/>
        <w:spacing w:before="0" w:after="180"/>
        <w:rPr/>
      </w:pPr>
      <w:r>
        <w:rPr/>
        <w:t>The Parties enter Phase Three negotiations with three reference options under discussion: downblending to 3.67 percent for civilian reactors; establishment of a regional fuel consortium with Iranian participation; and a verified buyback arrangement for reactor fuel. Selection among these options occurs through mutual agreement in Phase Three, not through unilateral determination by either Party.</w:t>
      </w:r>
    </w:p>
    <w:p>
      <w:pPr>
        <w:pStyle w:val="Heading3"/>
        <w:keepNext w:val="true"/>
        <w:keepLines/>
        <w:bidi w:val="0"/>
        <w:spacing w:before="280" w:after="120"/>
        <w:rPr/>
      </w:pPr>
      <w:r>
        <w:rPr/>
        <w:t>3.1.4 - No-Dismantlement Guarantee</w:t>
      </w:r>
    </w:p>
    <w:p>
      <w:pPr>
        <w:pStyle w:val="Normal"/>
        <w:bidi w:val="0"/>
        <w:spacing w:before="0" w:after="180"/>
        <w:rPr/>
      </w:pPr>
      <w:r>
        <w:rPr/>
        <w:t>This Compact explicitly excludes any requirement for Iran to dismantle its enrichment infrastructure. Iran retains its enrichment facilities at Natanz and Fordow. Iran retains the right to enrich uranium to 3.67 percent for civilian purposes. IAEA monitors all enrichment activities through continuous surveillance.</w:t>
      </w:r>
    </w:p>
    <w:p>
      <w:pPr>
        <w:pStyle w:val="Heading3"/>
        <w:keepNext w:val="true"/>
        <w:keepLines/>
        <w:bidi w:val="0"/>
        <w:spacing w:before="280" w:after="120"/>
        <w:rPr/>
      </w:pPr>
      <w:r>
        <w:rPr/>
        <w:t>3.1.5 - Research and Development Continuity</w:t>
      </w:r>
    </w:p>
    <w:p>
      <w:pPr>
        <w:pStyle w:val="Normal"/>
        <w:bidi w:val="0"/>
        <w:spacing w:before="0" w:after="180"/>
        <w:rPr/>
      </w:pPr>
      <w:r>
        <w:rPr/>
        <w:t>Iran continues research and development on advanced centrifuges at the Pilot Fuel Enrichment Plant at Natanz. All R&amp;D activities occur under IAEA monitoring. No cascade configuration exceeds 164 centrifuges. No enrichment above 3.67 percent occurs during the 60-day period.</w:t>
      </w:r>
    </w:p>
    <w:p>
      <w:pPr>
        <w:pStyle w:val="Heading2"/>
        <w:keepNext w:val="true"/>
        <w:keepLines/>
        <w:bidi w:val="0"/>
        <w:spacing w:before="360" w:after="160"/>
        <w:rPr/>
      </w:pPr>
      <w:r>
        <w:rPr/>
        <w:t>Section 3.2 - Strait of Hormuz Reopening Protocol</w:t>
      </w:r>
    </w:p>
    <w:p>
      <w:pPr>
        <w:pStyle w:val="Normal"/>
        <w:bidi w:val="0"/>
        <w:spacing w:before="0" w:after="180"/>
        <w:rPr/>
      </w:pPr>
      <w:r>
        <w:rPr/>
        <w:t>This section establishes the synchronized process for full reopening of the Strait of Hormuz to international commercial shipping.</w:t>
      </w:r>
    </w:p>
    <w:p>
      <w:pPr>
        <w:pStyle w:val="Heading3"/>
        <w:keepNext w:val="true"/>
        <w:keepLines/>
        <w:bidi w:val="0"/>
        <w:spacing w:before="280" w:after="120"/>
        <w:rPr/>
      </w:pPr>
      <w:r>
        <w:rPr/>
        <w:t>3.2.1 - Immediate Reopening and Gradual Volume Recovery</w:t>
      </w:r>
    </w:p>
    <w:p>
      <w:pPr>
        <w:pStyle w:val="Normal"/>
        <w:bidi w:val="0"/>
        <w:spacing w:before="0" w:after="180"/>
        <w:rPr/>
      </w:pPr>
      <w:r>
        <w:rPr/>
        <w:t>The Strait of Hormuz reopens to commercial shipping immediately upon signature of this Compact, without transit tolls or inspection delays; the capped service-fee schedule of Annex M, Section M.1.4 operates as the only authorized charge on transit. The United States simultaneously lifts its naval blockade of Iranian commercial ports.</w:t>
      </w:r>
    </w:p>
    <w:p>
      <w:pPr>
        <w:pStyle w:val="Normal"/>
        <w:bidi w:val="0"/>
        <w:spacing w:before="0" w:after="180"/>
        <w:rPr/>
      </w:pPr>
      <w:r>
        <w:rPr/>
        <w:t>Both Parties acknowledge that a return to pre-conflict shipping volumes requires a phased recovery period not exceeding 30 days. This recovery period addresses logistical coordination, maritime traffic scheduling, and the resumption of commercial shipping lines.</w:t>
      </w:r>
    </w:p>
    <w:p>
      <w:pPr>
        <w:pStyle w:val="Normal"/>
        <w:bidi w:val="0"/>
        <w:spacing w:before="0" w:after="180"/>
        <w:rPr/>
      </w:pPr>
      <w:r>
        <w:rPr/>
        <w:t>During the 30-day recovery period, Iran permits the unrestricted transit of all commercial vessels through the Strait. The Joint Maritime Coordination Center in Bandar Abbas coordinates traffic management and maintains a real-time public dashboard of transit volumes. The Neutral Guarantor publishes weekly reports on recovery progress. The 30-day clock begins on Day 1. The framework architecture excludes new transit tolls, inspection requirements, and additional transit restrictions; the published service-fee schedule of Section M.1.4 operates as the only authorized charge on transit.</w:t>
      </w:r>
    </w:p>
    <w:p>
      <w:pPr>
        <w:pStyle w:val="Heading3"/>
        <w:keepNext w:val="true"/>
        <w:keepLines/>
        <w:bidi w:val="0"/>
        <w:spacing w:before="280" w:after="120"/>
        <w:rPr/>
      </w:pPr>
      <w:r>
        <w:rPr/>
        <w:t>3.2.2 - Coastal State Rights Recognition</w:t>
      </w:r>
    </w:p>
    <w:p>
      <w:pPr>
        <w:pStyle w:val="Normal"/>
        <w:bidi w:val="0"/>
        <w:spacing w:before="0" w:after="180"/>
        <w:rPr/>
      </w:pPr>
      <w:r>
        <w:rPr/>
        <w:t>The United States acknowledges Iran's position as a coastal state with legitimate rights and responsibilities under international maritime law for vessels transiting the Strait of Hormuz. This acknowledgment does not constitute a legal determination; it reflects the factual reality that Iran's territorial waters abut the strait.</w:t>
      </w:r>
    </w:p>
    <w:p>
      <w:pPr>
        <w:pStyle w:val="Normal"/>
        <w:bidi w:val="0"/>
        <w:spacing w:before="0" w:after="180"/>
        <w:rPr/>
      </w:pPr>
      <w:r>
        <w:rPr/>
        <w:t>Iran exercises its coastal state rights through the Joint Maritime Coordination Center, not through unilateral interdiction. All vessels undergo standardized inspection protocols applied uniformly regardless of nationality, cargo, or destination.</w:t>
      </w:r>
    </w:p>
    <w:p>
      <w:pPr>
        <w:pStyle w:val="Heading3"/>
        <w:keepNext w:val="true"/>
        <w:keepLines/>
        <w:bidi w:val="0"/>
        <w:spacing w:before="280" w:after="120"/>
        <w:rPr/>
      </w:pPr>
      <w:r>
        <w:rPr/>
        <w:t>3.2.3 - Escrow Transit Fee Mechanism</w:t>
      </w:r>
    </w:p>
    <w:p>
      <w:pPr>
        <w:pStyle w:val="Normal"/>
        <w:bidi w:val="0"/>
        <w:spacing w:before="0" w:after="180"/>
        <w:rPr/>
      </w:pPr>
      <w:r>
        <w:rPr/>
        <w:t>Commercial vessels transiting the Strait pay a standardized transit fee into an escrow account held by the Neutral Guarantor. Fifty percent of escrowed funds release to Iran on Day 60 if Iran maintains compliance with the reopening protocol. The remaining fifty percent release upon completion of Phase Three milestones.</w:t>
      </w:r>
    </w:p>
    <w:p>
      <w:pPr>
        <w:pStyle w:val="Heading2"/>
        <w:keepNext w:val="true"/>
        <w:keepLines/>
        <w:bidi w:val="0"/>
        <w:spacing w:before="360" w:after="160"/>
        <w:rPr/>
      </w:pPr>
      <w:r>
        <w:rPr/>
        <w:t>Section 3.3 - Sanctions Relief Sequencing</w:t>
      </w:r>
    </w:p>
    <w:p>
      <w:pPr>
        <w:pStyle w:val="Normal"/>
        <w:bidi w:val="0"/>
        <w:spacing w:before="0" w:after="180"/>
        <w:rPr/>
      </w:pPr>
      <w:r>
        <w:rPr/>
        <w:t>This section establishes the synchronized, verifiable sanctions relief mechanism that unlocks as Iran meets specific, transparent milestones.</w:t>
      </w:r>
    </w:p>
    <w:p>
      <w:pPr>
        <w:pStyle w:val="Heading3"/>
        <w:keepNext w:val="true"/>
        <w:keepLines/>
        <w:bidi w:val="0"/>
        <w:spacing w:before="280" w:after="120"/>
        <w:rPr/>
      </w:pPr>
      <w:r>
        <w:rPr/>
        <w:t>3.3.1 - Relief Architecture</w:t>
      </w:r>
    </w:p>
    <w:p>
      <w:pPr>
        <w:pStyle w:val="Normal"/>
        <w:bidi w:val="0"/>
        <w:spacing w:before="0" w:after="180"/>
        <w:rPr/>
      </w:pPr>
      <w:r>
        <w:rPr/>
        <w:t>Sanctions relief operates through a three-tier unlock system:</w:t>
      </w:r>
    </w:p>
    <w:p>
      <w:pPr>
        <w:pStyle w:val="Normal"/>
        <w:numPr>
          <w:ilvl w:val="0"/>
          <w:numId w:val="1"/>
        </w:numPr>
        <w:bidi w:val="0"/>
        <w:spacing w:before="0" w:after="160"/>
        <w:rPr/>
      </w:pPr>
      <w:r>
        <w:rPr>
          <w:b/>
          <w:color w:val="1E2530"/>
        </w:rPr>
        <w:t>Tier One Unlock (Day 1) -</w:t>
      </w:r>
      <w:r>
        <w:rPr/>
        <w:t>The United States issues general licenses permitting the sale of food, medicine, medical devices, and civilian aircraft parts to Iran. Simultaneously, Iran provides IAEA baseline access per Section 2.4.</w:t>
      </w:r>
    </w:p>
    <w:p>
      <w:pPr>
        <w:pStyle w:val="Normal"/>
        <w:numPr>
          <w:ilvl w:val="0"/>
          <w:numId w:val="1"/>
        </w:numPr>
        <w:bidi w:val="0"/>
        <w:spacing w:before="0" w:after="160"/>
        <w:rPr/>
      </w:pPr>
      <w:r>
        <w:rPr>
          <w:b/>
          <w:color w:val="1E2530"/>
        </w:rPr>
        <w:t>Tier Two Unlock (Day 14) -</w:t>
      </w:r>
      <w:r>
        <w:rPr/>
        <w:t>The United States suspends enforcement of secondary sanctions on purchasers of Iranian crude oil for 60 days, up to 1.0 million barrels per day. This suspension is renewable for additional 30-day periods upon IAEA certification of sustained compliance. Expansion to 1.5 million barrels per day follows 30 consecutive days of verified compliance. Simultaneously, Iran places enriched uranium under IAEA seals per Section 3.1.1.</w:t>
      </w:r>
    </w:p>
    <w:p>
      <w:pPr>
        <w:pStyle w:val="Normal"/>
        <w:numPr>
          <w:ilvl w:val="0"/>
          <w:numId w:val="1"/>
        </w:numPr>
        <w:bidi w:val="0"/>
        <w:spacing w:before="0" w:after="160"/>
        <w:rPr/>
      </w:pPr>
      <w:r>
        <w:rPr>
          <w:b/>
          <w:color w:val="1E2530"/>
        </w:rPr>
        <w:t>Tier Three Unlock (Day 45) -</w:t>
      </w:r>
      <w:r>
        <w:rPr/>
        <w:t>The United States waives additional sanctions on Iranian financial institutions and supports reconnection to SWIFT for humanitarian and commercial transactions. Simultaneously, Iran confirms sustained compliance with the IAEA seal regime and the enrichment pause.</w:t>
      </w:r>
    </w:p>
    <w:p>
      <w:pPr>
        <w:pStyle w:val="Heading3"/>
        <w:keepNext w:val="true"/>
        <w:keepLines/>
        <w:bidi w:val="0"/>
        <w:spacing w:before="280" w:after="120"/>
        <w:rPr/>
      </w:pPr>
      <w:r>
        <w:rPr/>
        <w:t>3.3.2 - Banking Channel Restoration</w:t>
      </w:r>
    </w:p>
    <w:p>
      <w:pPr>
        <w:pStyle w:val="Normal"/>
        <w:bidi w:val="0"/>
        <w:spacing w:before="0" w:after="180"/>
        <w:rPr/>
      </w:pPr>
      <w:r>
        <w:rPr/>
        <w:t>By Day 30, the United States supports the reconnection of Iranian banks to the SWIFT system for humanitarian and commercial transactions. The reconnection covers designated Iranian banks that meet FATF compliance standards. The United States does not block this reconnection.</w:t>
      </w:r>
    </w:p>
    <w:p>
      <w:pPr>
        <w:pStyle w:val="Heading3"/>
        <w:keepNext w:val="true"/>
        <w:keepLines/>
        <w:bidi w:val="0"/>
        <w:spacing w:before="280" w:after="120"/>
        <w:rPr/>
      </w:pPr>
      <w:r>
        <w:rPr/>
        <w:t>3.3.3 - No Snapback - Step-Back Only</w:t>
      </w:r>
    </w:p>
    <w:p>
      <w:pPr>
        <w:pStyle w:val="Normal"/>
        <w:bidi w:val="0"/>
        <w:spacing w:before="0" w:after="180"/>
        <w:rPr/>
      </w:pPr>
      <w:r>
        <w:rPr/>
        <w:t>This Compact explicitly excludes any automatic snapback mechanism. Sanctions relief, once delivered, does not reimpose except through the Step-Back process in Article VI, which requires a Human-in-the-Loop finding of material breach. No unilateral snapback by executive order or legislative action is permitted under this Compact.</w:t>
      </w:r>
    </w:p>
    <w:p>
      <w:pPr>
        <w:pStyle w:val="Normal"/>
        <w:bidi w:val="0"/>
        <w:spacing w:before="0" w:after="180"/>
        <w:rPr/>
      </w:pPr>
      <w:r>
        <w:rPr/>
        <w:t>Either Party triggers a Step-Back through written notice to the Neutral Guarantor, and both Parties negotiate the proportional response through the Human-in-the-Loop Review. Sanctions relief remains in effect during any Step-Back consultation period unless the Review Panel orders a specific suspension.</w:t>
      </w:r>
    </w:p>
    <w:p>
      <w:pPr>
        <w:pStyle w:val="Heading1"/>
        <w:keepNext w:val="true"/>
        <w:keepLines/>
        <w:bidi w:val="0"/>
        <w:spacing w:before="480" w:after="240"/>
        <w:rPr/>
      </w:pPr>
      <w:r>
        <w:rPr/>
        <w:t>Article IV: Phase Three - Transition to Follow-on Negotiations</w:t>
      </w:r>
      <w:bookmarkStart w:id="5" w:name="_Toc005"/>
      <w:bookmarkEnd w:id="5"/>
    </w:p>
    <w:p>
      <w:pPr>
        <w:pStyle w:val="Normal"/>
        <w:bidi w:val="0"/>
        <w:spacing w:before="0" w:after="180"/>
        <w:rPr/>
      </w:pPr>
      <w:r>
        <w:rPr/>
        <w:t>Phase Three begins on Day 60 and continues for an initial period of 180 days unless extended by mutual agreement. This phase transitions the interim commitments of Phase Two into a permanent, comprehensive arrangement.</w:t>
      </w:r>
    </w:p>
    <w:p>
      <w:pPr>
        <w:pStyle w:val="Heading2"/>
        <w:keepNext w:val="true"/>
        <w:keepLines/>
        <w:bidi w:val="0"/>
        <w:spacing w:before="360" w:after="160"/>
        <w:rPr/>
      </w:pPr>
      <w:r>
        <w:rPr/>
        <w:t>Section 4.1 - Permanent Nuclear Framework</w:t>
      </w:r>
    </w:p>
    <w:p>
      <w:pPr>
        <w:pStyle w:val="Normal"/>
        <w:bidi w:val="0"/>
        <w:spacing w:before="0" w:after="180"/>
        <w:rPr/>
      </w:pPr>
      <w:r>
        <w:rPr>
          <w:rFonts w:ascii="Cambria" w:hAnsi="Cambria" w:eastAsia="Microsoft YaHei" w:cs="FreeSans"/>
          <w:color w:val="1E2530"/>
          <w:sz w:val="22"/>
          <w:szCs w:val="24"/>
          <w:lang w:val="en-US" w:eastAsia="zh-CN" w:bidi="hi-IN"/>
        </w:rPr>
        <w:t>The Parties negotiate a Comprehensive Nuclear Cooperation Agreement that achieves the following objectives: Iran maintains a civilian nuclear program under full IAEA safeguards; Iran does not enrich uranium above 3.67 percent; both Parties aspire to a future arrangement that ensures any Iranian breakout timeline is measured in months and remains detectable; and the international community supports Iran's civilian nuclear energy development including construction of new power reactors.</w:t>
      </w:r>
    </w:p>
    <w:p>
      <w:pPr>
        <w:pStyle w:val="Normal"/>
        <w:bidi w:val="0"/>
        <w:spacing w:before="0" w:after="180"/>
        <w:rPr/>
      </w:pPr>
      <w:r>
        <w:rPr>
          <w:rFonts w:ascii="Cambria" w:hAnsi="Cambria" w:eastAsia="Microsoft YaHei" w:cs="FreeSans"/>
          <w:color w:val="1E2530"/>
          <w:sz w:val="22"/>
          <w:szCs w:val="24"/>
          <w:lang w:val="en-US" w:eastAsia="zh-CN" w:bidi="hi-IN"/>
        </w:rPr>
        <w:t>This Compact does not itself impose a fixed breakout timeline guarantee. The Parties negotiate specific technical constraints in Phase Three that balance verification depth with Iran's sovereign right to civilian nuclear technology.</w:t>
      </w:r>
    </w:p>
    <w:p>
      <w:pPr>
        <w:pStyle w:val="Heading2"/>
        <w:keepNext w:val="true"/>
        <w:keepLines/>
        <w:bidi w:val="0"/>
        <w:spacing w:before="360" w:after="160"/>
        <w:rPr/>
      </w:pPr>
      <w:r>
        <w:rPr>
          <w:szCs w:val="24"/>
          <w:lang w:val="en-US" w:eastAsia="zh-CN" w:bidi="hi-IN"/>
          <w:rFonts w:ascii="Cambria" w:hAnsi="Cambria" w:eastAsia="Microsoft YaHei" w:cs="Cambria"/>
          <w:b/>
          <w:color w:val="2C3E5E"/>
          <w:sz w:val="30"/>
        </w:rPr>
        <w:t>Section 4.2 - Regional Security Dialogue</w:t>
      </w:r>
    </w:p>
    <w:p>
      <w:pPr>
        <w:pStyle w:val="Normal"/>
        <w:bidi w:val="0"/>
        <w:spacing w:before="0" w:after="180"/>
        <w:rPr/>
      </w:pPr>
      <w:r>
        <w:rPr>
          <w:rFonts w:ascii="Cambria" w:hAnsi="Cambria" w:eastAsia="Microsoft YaHei" w:cs="FreeSans"/>
          <w:color w:val="1E2530"/>
          <w:sz w:val="22"/>
          <w:szCs w:val="24"/>
          <w:lang w:val="en-US" w:eastAsia="zh-CN" w:bidi="hi-IN"/>
        </w:rPr>
        <w:t>The Parties establish a permanent Regional Security Dialogue that includes all Gulf states. The Dialogue addresses maritime security, missile proliferation, proxy force de-escalation, and counter-terrorism cooperation. The Dialogue operates independently of the nuclear track.</w:t>
      </w:r>
    </w:p>
    <w:p>
      <w:pPr>
        <w:pStyle w:val="Heading2"/>
        <w:keepNext w:val="true"/>
        <w:keepLines/>
        <w:bidi w:val="0"/>
        <w:spacing w:before="360" w:after="160"/>
        <w:rPr/>
      </w:pPr>
      <w:r>
        <w:rPr>
          <w:szCs w:val="24"/>
          <w:lang w:val="en-US" w:eastAsia="zh-CN" w:bidi="hi-IN"/>
          <w:rFonts w:ascii="Cambria" w:hAnsi="Cambria" w:eastAsia="Microsoft YaHei" w:cs="Cambria"/>
          <w:b/>
          <w:color w:val="2C3E5E"/>
          <w:sz w:val="30"/>
        </w:rPr>
        <w:t>Section 4.3 - Economic Normalization Pathway</w:t>
      </w:r>
    </w:p>
    <w:p>
      <w:pPr>
        <w:pStyle w:val="Normal"/>
        <w:bidi w:val="0"/>
        <w:spacing w:before="0" w:after="180"/>
        <w:rPr/>
      </w:pPr>
      <w:r>
        <w:rPr>
          <w:rFonts w:ascii="Cambria" w:hAnsi="Cambria" w:eastAsia="Microsoft YaHei" w:cs="FreeSans"/>
          <w:color w:val="1E2530"/>
          <w:sz w:val="22"/>
          <w:szCs w:val="24"/>
          <w:lang w:val="en-US" w:eastAsia="zh-CN" w:bidi="hi-IN"/>
        </w:rPr>
        <w:t>The United States supports Iran's economic reintegration into the global economy through phased removal of remaining sanctions, access to international financial institutions, and technical assistance for economic modernization. Iran implements financial transparency reforms consistent with international standards.</w:t>
      </w:r>
    </w:p>
    <w:p>
      <w:pPr>
        <w:pStyle w:val="Heading2"/>
        <w:keepNext w:val="true"/>
        <w:keepLines/>
        <w:bidi w:val="0"/>
        <w:spacing w:before="360" w:after="160"/>
        <w:rPr/>
      </w:pPr>
      <w:r>
        <w:rPr>
          <w:szCs w:val="24"/>
          <w:lang w:val="en-US" w:eastAsia="zh-CN" w:bidi="hi-IN"/>
          <w:rFonts w:ascii="Cambria" w:hAnsi="Cambria" w:eastAsia="Microsoft YaHei" w:cs="Cambria"/>
          <w:b/>
          <w:color w:val="2C3E5E"/>
          <w:sz w:val="30"/>
        </w:rPr>
        <w:t>Section 4.4 - Diplomatic Relations</w:t>
      </w:r>
    </w:p>
    <w:p>
      <w:pPr>
        <w:pStyle w:val="Normal"/>
        <w:bidi w:val="0"/>
        <w:spacing w:before="0" w:after="180"/>
        <w:rPr/>
      </w:pPr>
      <w:r>
        <w:rPr>
          <w:rFonts w:ascii="Cambria" w:hAnsi="Cambria" w:eastAsia="Microsoft YaHei" w:cs="FreeSans"/>
          <w:color w:val="1E2530"/>
          <w:sz w:val="22"/>
          <w:szCs w:val="24"/>
          <w:lang w:val="en-US" w:eastAsia="zh-CN" w:bidi="hi-IN"/>
        </w:rPr>
        <w:t>By Day 90 of Phase Three, both Parties establish Interests Sections in third-country embassies in each other's capitals. These Sections provide consular services and diplomatic liaison. By Day 180, the Parties evaluate upgrading to full diplomatic relations based on overall Compact performance.</w:t>
      </w:r>
    </w:p>
    <w:p>
      <w:pPr>
        <w:pStyle w:val="Heading1"/>
        <w:keepNext w:val="true"/>
        <w:keepLines/>
        <w:bidi w:val="0"/>
        <w:spacing w:before="480" w:after="240"/>
        <w:rPr/>
      </w:pPr>
      <w:bookmarkStart w:id="6" w:name="_Toc006"/>
      <w:r>
        <w:rPr>
          <w:szCs w:val="24"/>
          <w:lang w:val="en-US" w:eastAsia="zh-CN" w:bidi="hi-IN"/>
          <w:rFonts w:ascii="Cambria" w:hAnsi="Cambria" w:eastAsia="Microsoft YaHei" w:cs="Cambria"/>
          <w:b/>
          <w:color w:val="1A2744"/>
          <w:sz w:val="40"/>
        </w:rPr>
        <w:t>Article V: Verification and Telemetry Architecture</w:t>
      </w:r>
      <w:bookmarkEnd w:id="6"/>
    </w:p>
    <w:p>
      <w:pPr>
        <w:pStyle w:val="Normal"/>
        <w:bidi w:val="0"/>
        <w:spacing w:before="0" w:after="180"/>
        <w:rPr/>
      </w:pPr>
      <w:r>
        <w:rPr>
          <w:rFonts w:ascii="Cambria" w:hAnsi="Cambria" w:eastAsia="Microsoft YaHei" w:cs="FreeSans"/>
          <w:color w:val="1E2530"/>
          <w:sz w:val="22"/>
          <w:szCs w:val="24"/>
          <w:lang w:val="en-US" w:eastAsia="zh-CN" w:bidi="hi-IN"/>
        </w:rPr>
        <w:t>This article establishes the verification system that confirms every commitment in this Compact through objective, tamper-resistant telemetry supplemented by human observation.</w:t>
      </w:r>
    </w:p>
    <w:p>
      <w:pPr>
        <w:pStyle w:val="Heading2"/>
        <w:keepNext w:val="true"/>
        <w:keepLines/>
        <w:bidi w:val="0"/>
        <w:spacing w:before="360" w:after="160"/>
        <w:rPr/>
      </w:pPr>
      <w:r>
        <w:rPr>
          <w:szCs w:val="24"/>
          <w:lang w:val="en-US" w:eastAsia="zh-CN" w:bidi="hi-IN"/>
          <w:rFonts w:ascii="Cambria" w:hAnsi="Cambria" w:eastAsia="Microsoft YaHei" w:cs="Cambria"/>
          <w:b/>
          <w:color w:val="2C3E5E"/>
          <w:sz w:val="30"/>
        </w:rPr>
        <w:t>Section 5.1 - Swiss-Hosted Digital Dashboard</w:t>
      </w:r>
    </w:p>
    <w:p>
      <w:pPr>
        <w:pStyle w:val="Normal"/>
        <w:bidi w:val="0"/>
        <w:spacing w:before="0" w:after="180"/>
        <w:rPr/>
      </w:pPr>
      <w:r>
        <w:rPr>
          <w:rFonts w:ascii="Cambria" w:hAnsi="Cambria" w:eastAsia="Microsoft YaHei" w:cs="FreeSans"/>
          <w:color w:val="1E2530"/>
          <w:sz w:val="22"/>
          <w:szCs w:val="24"/>
          <w:lang w:val="en-US" w:eastAsia="zh-CN" w:bidi="hi-IN"/>
        </w:rPr>
        <w:t>All telemetry data, compliance confirmations, and dispute flags are displayed on a single Swiss-hosted digital dashboard accessible to both Parties in real time. No commitment activates or suspends without dashboard confirmation. The dashboard serves as the sole authoritative interface for tracking Compact implementation status.</w:t>
      </w:r>
    </w:p>
    <w:p>
      <w:pPr>
        <w:pStyle w:val="Normal"/>
        <w:bidi w:val="0"/>
        <w:spacing w:before="0" w:after="180"/>
        <w:rPr/>
      </w:pPr>
      <w:r>
        <w:rPr>
          <w:rFonts w:ascii="Cambria" w:hAnsi="Cambria" w:eastAsia="Microsoft YaHei" w:cs="FreeSans"/>
          <w:color w:val="1E2530"/>
          <w:sz w:val="22"/>
          <w:szCs w:val="24"/>
          <w:lang w:val="en-US" w:eastAsia="zh-CN" w:bidi="hi-IN"/>
        </w:rPr>
        <w:t>The dashboard displays: IAEA verification status for all sealed material; maritime traffic data through the Strait of Hormuz; sanctions relief implementation status; asset release confirmations; and any active dispute flags or Step-Back notifications. Both Parties receive automated alerts for any status change.</w:t>
      </w:r>
    </w:p>
    <w:p>
      <w:pPr>
        <w:pStyle w:val="Heading2"/>
        <w:keepNext w:val="true"/>
        <w:keepLines/>
        <w:bidi w:val="0"/>
        <w:spacing w:before="360" w:after="160"/>
        <w:rPr/>
      </w:pPr>
      <w:r>
        <w:rPr>
          <w:szCs w:val="24"/>
          <w:lang w:val="en-US" w:eastAsia="zh-CN" w:bidi="hi-IN"/>
          <w:rFonts w:ascii="Cambria" w:hAnsi="Cambria" w:eastAsia="Microsoft YaHei" w:cs="Cambria"/>
          <w:b/>
          <w:color w:val="2C3E5E"/>
          <w:sz w:val="30"/>
        </w:rPr>
        <w:t>Section 5.2 - Telemetry Types by Commitment</w:t>
      </w:r>
    </w:p>
    <w:tbl>
      <w:tblPr>
        <w:tblW w:w="5000" w:type="pct"/>
        <w:jc w:val="start"/>
        <w:tblInd w:w="0" w:type="dxa"/>
        <w:tblLayout w:type="fixed"/>
        <w:tblCellMar>
          <w:top w:w="0" w:type="dxa"/>
          <w:start w:w="108" w:type="dxa"/>
          <w:bottom w:w="0" w:type="dxa"/>
          <w:end w:w="108" w:type="dxa"/>
        </w:tblCellMar>
      </w:tblPr>
      <w:tblGrid>
        <w:gridCol w:w="2407"/>
        <w:gridCol w:w="2607"/>
        <w:gridCol w:w="4012"/>
      </w:tblGrid>
      <w:tr>
        <w:trPr>
          <w:tblHeader w:val="1"/>
        </w:trPr>
        <w:tc>
          <w:tcPr>
            <w:tcW w:w="2407" w:type="dxa"/>
            <w:tcBorders>
              <w:top w:val="single" w:sz="12" w:space="0" w:color="1A2744"/>
              <w:bottom w:val="single" w:sz="4" w:space="0" w:color="C8C4B8"/>
            </w:tcBorders>
            <w:shd w:fill="E8E6E0" w:val="clear" w:color="auto"/>
          </w:tcPr>
          <w:p>
            <w:pPr>
              <w:pStyle w:val="Normal"/>
              <w:widowControl w:val="false"/>
              <w:bidi w:val="0"/>
              <w:spacing w:before="60" w:after="60"/>
              <w:rPr/>
            </w:pPr>
            <w:r>
              <w:rPr>
                <w:b/>
                <w:color w:val="1E2530"/>
                <w:sz w:val="20"/>
                <w:rFonts w:ascii="Cambria" w:hAnsi="Cambria" w:eastAsia="Microsoft YaHei" w:cs="FreeSans"/>
                <w:szCs w:val="24"/>
                <w:lang w:val="en-US" w:eastAsia="zh-CN" w:bidi="hi-IN"/>
              </w:rPr>
              <w:t>Commitment</w:t>
            </w:r>
          </w:p>
        </w:tc>
        <w:tc>
          <w:tcPr>
            <w:tcW w:w="2607" w:type="dxa"/>
            <w:tcBorders>
              <w:top w:val="single" w:sz="12" w:space="0" w:color="1A2744"/>
              <w:bottom w:val="single" w:sz="4" w:space="0" w:color="C8C4B8"/>
            </w:tcBorders>
            <w:shd w:fill="E8E6E0" w:val="clear" w:color="auto"/>
          </w:tcPr>
          <w:p>
            <w:pPr>
              <w:pStyle w:val="Normal"/>
              <w:widowControl w:val="false"/>
              <w:bidi w:val="0"/>
              <w:spacing w:before="60" w:after="60"/>
              <w:rPr/>
            </w:pPr>
            <w:r>
              <w:rPr>
                <w:b/>
                <w:color w:val="1E2530"/>
                <w:sz w:val="20"/>
                <w:rFonts w:ascii="Cambria" w:hAnsi="Cambria" w:eastAsia="Microsoft YaHei" w:cs="FreeSans"/>
                <w:szCs w:val="24"/>
                <w:lang w:val="en-US" w:eastAsia="zh-CN" w:bidi="hi-IN"/>
              </w:rPr>
              <w:t>Telemetry Type</w:t>
            </w:r>
          </w:p>
        </w:tc>
        <w:tc>
          <w:tcPr>
            <w:tcW w:w="4012" w:type="dxa"/>
            <w:tcBorders>
              <w:top w:val="single" w:sz="12" w:space="0" w:color="1A2744"/>
              <w:bottom w:val="single" w:sz="4" w:space="0" w:color="C8C4B8"/>
            </w:tcBorders>
            <w:shd w:fill="E8E6E0" w:val="clear" w:color="auto"/>
          </w:tcPr>
          <w:p>
            <w:pPr>
              <w:pStyle w:val="Normal"/>
              <w:widowControl w:val="false"/>
              <w:bidi w:val="0"/>
              <w:spacing w:before="60" w:after="60"/>
              <w:rPr/>
            </w:pPr>
            <w:r>
              <w:rPr>
                <w:b/>
                <w:color w:val="1E2530"/>
                <w:sz w:val="20"/>
                <w:rFonts w:ascii="Cambria" w:hAnsi="Cambria" w:eastAsia="Microsoft YaHei" w:cs="FreeSans"/>
                <w:szCs w:val="24"/>
                <w:lang w:val="en-US" w:eastAsia="zh-CN" w:bidi="hi-IN"/>
              </w:rPr>
              <w:t>Verification Method</w:t>
            </w:r>
          </w:p>
        </w:tc>
      </w:tr>
      <w:tr>
        <w:trPr/>
        <w:tc>
          <w:tcPr>
            <w:tcW w:w="2407"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Uranium IAEA Seals</w:t>
            </w:r>
          </w:p>
        </w:tc>
        <w:tc>
          <w:tcPr>
            <w:tcW w:w="2607"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Sensor + Physical</w:t>
            </w:r>
          </w:p>
        </w:tc>
        <w:tc>
          <w:tcPr>
            <w:tcW w:w="4012"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IAEA seals, online monitors, chain-of-custody logs</w:t>
            </w:r>
          </w:p>
        </w:tc>
      </w:tr>
      <w:tr>
        <w:trPr/>
        <w:tc>
          <w:tcPr>
            <w:tcW w:w="2407"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Enrichment Level</w:t>
            </w:r>
          </w:p>
        </w:tc>
        <w:tc>
          <w:tcPr>
            <w:tcW w:w="2607"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Sensor</w:t>
            </w:r>
          </w:p>
        </w:tc>
        <w:tc>
          <w:tcPr>
            <w:tcW w:w="4012"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Online enrichment monitors, IAEA remote surveillance</w:t>
            </w:r>
          </w:p>
        </w:tc>
      </w:tr>
      <w:tr>
        <w:trPr/>
        <w:tc>
          <w:tcPr>
            <w:tcW w:w="2407"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Strait Reopening</w:t>
            </w:r>
          </w:p>
        </w:tc>
        <w:tc>
          <w:tcPr>
            <w:tcW w:w="2607"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Maritime AIS + Visual</w:t>
            </w:r>
          </w:p>
        </w:tc>
        <w:tc>
          <w:tcPr>
            <w:tcW w:w="4012"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Neutral vessel tracking, port authority records</w:t>
            </w:r>
          </w:p>
        </w:tc>
      </w:tr>
      <w:tr>
        <w:trPr/>
        <w:tc>
          <w:tcPr>
            <w:tcW w:w="2407"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Sanctions Relief</w:t>
            </w:r>
          </w:p>
        </w:tc>
        <w:tc>
          <w:tcPr>
            <w:tcW w:w="2607"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Financial Records</w:t>
            </w:r>
          </w:p>
        </w:tc>
        <w:tc>
          <w:tcPr>
            <w:tcW w:w="4012"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SWIFT transaction logs, bank reconciliation</w:t>
            </w:r>
          </w:p>
        </w:tc>
      </w:tr>
      <w:tr>
        <w:trPr/>
        <w:tc>
          <w:tcPr>
            <w:tcW w:w="2407"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Asset Release</w:t>
            </w:r>
          </w:p>
        </w:tc>
        <w:tc>
          <w:tcPr>
            <w:tcW w:w="2607"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Financial Records</w:t>
            </w:r>
          </w:p>
        </w:tc>
        <w:tc>
          <w:tcPr>
            <w:tcW w:w="4012"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Escrow account statements, dashboard confirmation</w:t>
            </w:r>
          </w:p>
        </w:tc>
      </w:tr>
      <w:tr>
        <w:trPr/>
        <w:tc>
          <w:tcPr>
            <w:tcW w:w="2407"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Ceasefire Compliance</w:t>
            </w:r>
          </w:p>
        </w:tc>
        <w:tc>
          <w:tcPr>
            <w:tcW w:w="2607"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Satellite + Ground</w:t>
            </w:r>
          </w:p>
        </w:tc>
        <w:tc>
          <w:tcPr>
            <w:tcW w:w="4012"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Commercial SAR imagery, JCC patrol reports</w:t>
            </w:r>
          </w:p>
        </w:tc>
      </w:tr>
      <w:tr>
        <w:trPr/>
        <w:tc>
          <w:tcPr>
            <w:tcW w:w="2407" w:type="dxa"/>
            <w:tcBorders>
              <w:top w:val="single" w:sz="4" w:space="0" w:color="C8C4B8"/>
              <w:bottom w:val="single" w:sz="12" w:space="0" w:color="1A2744"/>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Prisoner Exchange</w:t>
            </w:r>
          </w:p>
        </w:tc>
        <w:tc>
          <w:tcPr>
            <w:tcW w:w="2607" w:type="dxa"/>
            <w:tcBorders>
              <w:top w:val="single" w:sz="4" w:space="0" w:color="C8C4B8"/>
              <w:bottom w:val="single" w:sz="12" w:space="0" w:color="1A2744"/>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Physical Count</w:t>
            </w:r>
          </w:p>
        </w:tc>
        <w:tc>
          <w:tcPr>
            <w:tcW w:w="4012" w:type="dxa"/>
            <w:tcBorders>
              <w:top w:val="single" w:sz="4" w:space="0" w:color="C8C4B8"/>
              <w:bottom w:val="single" w:sz="12" w:space="0" w:color="1A2744"/>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ICRC witness certification, roster cross-check</w:t>
            </w:r>
          </w:p>
        </w:tc>
      </w:tr>
    </w:tbl>
    <w:p>
      <w:pPr>
        <w:pStyle w:val="Heading2"/>
        <w:keepNext w:val="true"/>
        <w:keepLines/>
        <w:bidi w:val="0"/>
        <w:spacing w:before="360" w:after="160"/>
        <w:rPr/>
      </w:pPr>
      <w:r>
        <w:rPr>
          <w:szCs w:val="24"/>
          <w:lang w:val="en-US" w:eastAsia="zh-CN" w:bidi="hi-IN"/>
          <w:rFonts w:ascii="Cambria" w:hAnsi="Cambria" w:eastAsia="Microsoft YaHei" w:cs="Cambria"/>
          <w:b/>
          <w:color w:val="2C3E5E"/>
          <w:sz w:val="30"/>
        </w:rPr>
        <w:t>Section 5.3 - IAEA Role and Mandate</w:t>
      </w:r>
    </w:p>
    <w:p>
      <w:pPr>
        <w:pStyle w:val="Normal"/>
        <w:bidi w:val="0"/>
        <w:spacing w:before="0" w:after="180"/>
        <w:rPr/>
      </w:pPr>
      <w:r>
        <w:rPr>
          <w:rFonts w:ascii="Cambria" w:hAnsi="Cambria" w:eastAsia="Microsoft YaHei" w:cs="FreeSans"/>
          <w:color w:val="1E2530"/>
          <w:sz w:val="22"/>
          <w:szCs w:val="24"/>
          <w:lang w:val="en-US" w:eastAsia="zh-CN" w:bidi="hi-IN"/>
        </w:rPr>
        <w:t>The IAEA serves as the primary technical verification body for all nuclear-related commitments. Iran grants the IAEA continuous monitoring access at all declared facilities. IAEA inspectors operate under standard safeguards protocols. Iran cooperates with the IAEA to resolve all outstanding questions regarding past nuclear activities through a structured, time-bound process.</w:t>
      </w:r>
    </w:p>
    <w:p>
      <w:pPr>
        <w:pStyle w:val="Heading2"/>
        <w:keepNext w:val="true"/>
        <w:keepLines/>
        <w:bidi w:val="0"/>
        <w:spacing w:before="360" w:after="160"/>
        <w:rPr/>
      </w:pPr>
      <w:r>
        <w:rPr>
          <w:szCs w:val="24"/>
          <w:lang w:val="en-US" w:eastAsia="zh-CN" w:bidi="hi-IN"/>
          <w:rFonts w:ascii="Cambria" w:hAnsi="Cambria" w:eastAsia="Microsoft YaHei" w:cs="Cambria"/>
          <w:b/>
          <w:color w:val="2C3E5E"/>
          <w:sz w:val="30"/>
        </w:rPr>
        <w:t>Section 5.4 - Neutral Verification Teams</w:t>
      </w:r>
    </w:p>
    <w:p>
      <w:pPr>
        <w:pStyle w:val="Normal"/>
        <w:bidi w:val="0"/>
        <w:spacing w:before="0" w:after="180"/>
        <w:rPr/>
      </w:pPr>
      <w:r>
        <w:rPr>
          <w:rFonts w:ascii="Cambria" w:hAnsi="Cambria" w:eastAsia="Microsoft YaHei" w:cs="FreeSans"/>
          <w:color w:val="1E2530"/>
          <w:sz w:val="22"/>
          <w:szCs w:val="24"/>
          <w:lang w:val="en-US" w:eastAsia="zh-CN" w:bidi="hi-IN"/>
        </w:rPr>
        <w:t>For non-nuclear commitments, the Neutral Guarantor deploys verification teams comprising personnel from neutral nations with relevant technical expertise. These teams monitor: maritime traffic through the Strait, sanctions relief implementation, asset release transfers, and ceasefire compliance.</w:t>
      </w:r>
    </w:p>
    <w:p>
      <w:pPr>
        <w:pStyle w:val="Heading2"/>
        <w:keepNext w:val="true"/>
        <w:keepLines/>
        <w:bidi w:val="0"/>
        <w:spacing w:before="360" w:after="160"/>
        <w:rPr/>
      </w:pPr>
      <w:r>
        <w:rPr>
          <w:szCs w:val="24"/>
          <w:lang w:val="en-US" w:eastAsia="zh-CN" w:bidi="hi-IN"/>
          <w:rFonts w:ascii="Cambria" w:hAnsi="Cambria" w:eastAsia="Microsoft YaHei" w:cs="Cambria"/>
          <w:b/>
          <w:color w:val="2C3E5E"/>
          <w:sz w:val="30"/>
        </w:rPr>
        <w:t>Section 5.5 - Data Sharing Protocol</w:t>
      </w:r>
    </w:p>
    <w:p>
      <w:pPr>
        <w:pStyle w:val="Normal"/>
        <w:bidi w:val="0"/>
        <w:spacing w:before="0" w:after="180"/>
        <w:rPr/>
      </w:pPr>
      <w:r>
        <w:rPr>
          <w:rFonts w:ascii="Cambria" w:hAnsi="Cambria" w:eastAsia="Microsoft YaHei" w:cs="FreeSans"/>
          <w:color w:val="1E2530"/>
          <w:sz w:val="22"/>
          <w:szCs w:val="24"/>
          <w:lang w:val="en-US" w:eastAsia="zh-CN" w:bidi="hi-IN"/>
        </w:rPr>
        <w:t>All telemetry data flows to the Joint Coordination Center in Muscat and to the Swiss-hosted dashboard in real time. Both Parties possess equal access to all data. Neither Party unilaterally classifies or withholds data from the other. Disputes over data interpretation proceed to the Human-in-the-Loop Review.</w:t>
      </w:r>
    </w:p>
    <w:p>
      <w:pPr>
        <w:pStyle w:val="Heading1"/>
        <w:keepNext w:val="true"/>
        <w:keepLines/>
        <w:bidi w:val="0"/>
        <w:spacing w:before="480" w:after="240"/>
        <w:rPr/>
      </w:pPr>
      <w:bookmarkStart w:id="7" w:name="_Toc007"/>
      <w:r>
        <w:rPr>
          <w:szCs w:val="24"/>
          <w:lang w:val="en-US" w:eastAsia="zh-CN" w:bidi="hi-IN"/>
          <w:rFonts w:ascii="Cambria" w:hAnsi="Cambria" w:eastAsia="Microsoft YaHei" w:cs="Cambria"/>
          <w:b/>
          <w:color w:val="1A2744"/>
          <w:sz w:val="40"/>
        </w:rPr>
        <w:t>Article VI: Compliance Framework - Step-Back, Earn-Back, and Exit</w:t>
      </w:r>
      <w:bookmarkEnd w:id="7"/>
    </w:p>
    <w:p>
      <w:pPr>
        <w:pStyle w:val="Normal"/>
        <w:bidi w:val="0"/>
        <w:spacing w:before="0" w:after="180"/>
        <w:rPr/>
      </w:pPr>
      <w:r>
        <w:rPr>
          <w:rFonts w:ascii="Cambria" w:hAnsi="Cambria" w:eastAsia="Microsoft YaHei" w:cs="FreeSans"/>
          <w:color w:val="1E2530"/>
          <w:sz w:val="22"/>
          <w:szCs w:val="24"/>
          <w:lang w:val="en-US" w:eastAsia="zh-CN" w:bidi="hi-IN"/>
        </w:rPr>
        <w:t>This article replaces the snapback mechanism with a graduated, human-mediated compliance system that incentivizes correction rather than punishment. It also provides a clean break exit ramp that removes fear of entrapment.</w:t>
      </w:r>
    </w:p>
    <w:p>
      <w:pPr>
        <w:pStyle w:val="Heading2"/>
        <w:keepNext w:val="true"/>
        <w:keepLines/>
        <w:bidi w:val="0"/>
        <w:spacing w:before="360" w:after="160"/>
        <w:rPr/>
      </w:pPr>
      <w:r>
        <w:rPr>
          <w:szCs w:val="24"/>
          <w:lang w:val="en-US" w:eastAsia="zh-CN" w:bidi="hi-IN"/>
          <w:rFonts w:ascii="Cambria" w:hAnsi="Cambria" w:eastAsia="Microsoft YaHei" w:cs="Cambria"/>
          <w:b/>
          <w:color w:val="2C3E5E"/>
          <w:sz w:val="30"/>
        </w:rPr>
        <w:t>Section 6.1 - Step-Back Mechanics</w:t>
      </w:r>
    </w:p>
    <w:p>
      <w:pPr>
        <w:pStyle w:val="Normal"/>
        <w:bidi w:val="0"/>
        <w:spacing w:before="0" w:after="180"/>
        <w:rPr/>
      </w:pPr>
      <w:r>
        <w:rPr>
          <w:rFonts w:ascii="Cambria" w:hAnsi="Cambria" w:eastAsia="Microsoft YaHei" w:cs="FreeSans"/>
          <w:color w:val="1E2530"/>
          <w:sz w:val="22"/>
          <w:szCs w:val="24"/>
          <w:lang w:val="en-US" w:eastAsia="zh-CN" w:bidi="hi-IN"/>
        </w:rPr>
        <w:t>When either Party identifies a concern regarding compliance, the following sequence activates:</w:t>
      </w:r>
    </w:p>
    <w:p>
      <w:pPr>
        <w:pStyle w:val="Normal"/>
        <w:numPr>
          <w:ilvl w:val="0"/>
          <w:numId w:val="1"/>
        </w:numPr>
        <w:bidi w:val="0"/>
        <w:spacing w:before="0" w:after="160"/>
        <w:rPr/>
      </w:pPr>
      <w:r>
        <w:rPr>
          <w:b/>
          <w:color w:val="1E2530"/>
          <w:rFonts w:ascii="Cambria" w:hAnsi="Cambria" w:eastAsia="Microsoft YaHei" w:cs="FreeSans"/>
          <w:sz w:val="22"/>
          <w:szCs w:val="24"/>
          <w:lang w:val="en-US" w:eastAsia="zh-CN" w:bidi="hi-IN"/>
        </w:rPr>
        <w:t>Step One: Consultation -</w:t>
      </w:r>
      <w:r>
        <w:rPr>
          <w:rFonts w:ascii="Cambria" w:hAnsi="Cambria" w:eastAsia="Microsoft YaHei" w:cs="FreeSans"/>
          <w:color w:val="1E2530"/>
          <w:sz w:val="22"/>
          <w:szCs w:val="24"/>
          <w:lang w:val="en-US" w:eastAsia="zh-CN" w:bidi="hi-IN"/>
        </w:rPr>
        <w:t>The concerned Party submits a written notice to the Joint Coordination Center describing the specific concern and citing the relevant Compact provision. The other Party responds within 48 hours.</w:t>
      </w:r>
    </w:p>
    <w:p>
      <w:pPr>
        <w:pStyle w:val="Normal"/>
        <w:numPr>
          <w:ilvl w:val="0"/>
          <w:numId w:val="1"/>
        </w:numPr>
        <w:bidi w:val="0"/>
        <w:spacing w:before="0" w:after="160"/>
        <w:rPr/>
      </w:pPr>
      <w:r>
        <w:rPr>
          <w:b/>
          <w:color w:val="1E2530"/>
          <w:rFonts w:ascii="Cambria" w:hAnsi="Cambria" w:eastAsia="Microsoft YaHei" w:cs="FreeSans"/>
          <w:sz w:val="22"/>
          <w:szCs w:val="24"/>
          <w:lang w:val="en-US" w:eastAsia="zh-CN" w:bidi="hi-IN"/>
        </w:rPr>
        <w:t>Step Two: Human-in-the-Loop Review -</w:t>
      </w:r>
      <w:r>
        <w:rPr>
          <w:rFonts w:ascii="Cambria" w:hAnsi="Cambria" w:eastAsia="Microsoft YaHei" w:cs="FreeSans"/>
          <w:color w:val="1E2530"/>
          <w:sz w:val="22"/>
          <w:szCs w:val="24"/>
          <w:lang w:val="en-US" w:eastAsia="zh-CN" w:bidi="hi-IN"/>
        </w:rPr>
        <w:t>If the consultation does not resolve the concern, the matter proceeds to the Human-in-the-Loop Review described in Article VII. The Review Panel convenes within 72 hours.</w:t>
      </w:r>
    </w:p>
    <w:p>
      <w:pPr>
        <w:pStyle w:val="Normal"/>
        <w:numPr>
          <w:ilvl w:val="0"/>
          <w:numId w:val="1"/>
        </w:numPr>
        <w:bidi w:val="0"/>
        <w:spacing w:before="0" w:after="160"/>
        <w:rPr/>
      </w:pPr>
      <w:r>
        <w:rPr>
          <w:b/>
          <w:color w:val="1E2530"/>
          <w:rFonts w:ascii="Cambria" w:hAnsi="Cambria" w:eastAsia="Microsoft YaHei" w:cs="FreeSans"/>
          <w:sz w:val="22"/>
          <w:szCs w:val="24"/>
          <w:lang w:val="en-US" w:eastAsia="zh-CN" w:bidi="hi-IN"/>
        </w:rPr>
        <w:t>Step Three: Proportional Step-Back -</w:t>
      </w:r>
      <w:r>
        <w:rPr>
          <w:rFonts w:ascii="Cambria" w:hAnsi="Cambria" w:eastAsia="Microsoft YaHei" w:cs="FreeSans"/>
          <w:color w:val="1E2530"/>
          <w:sz w:val="22"/>
          <w:szCs w:val="24"/>
          <w:lang w:val="en-US" w:eastAsia="zh-CN" w:bidi="hi-IN"/>
        </w:rPr>
        <w:t>If the Review Panel confirms a breach, the aggrieved Party implements a proportional step-back: suspension of one or more reciprocity units commensurate with the severity of the breach. The step-back affects only the relevant annex or subsection; other Compact provisions continue operating.</w:t>
      </w:r>
    </w:p>
    <w:p>
      <w:pPr>
        <w:pStyle w:val="Normal"/>
        <w:numPr>
          <w:ilvl w:val="0"/>
          <w:numId w:val="1"/>
        </w:numPr>
        <w:bidi w:val="0"/>
        <w:spacing w:before="0" w:after="160"/>
        <w:rPr/>
      </w:pPr>
      <w:r>
        <w:rPr>
          <w:b/>
          <w:color w:val="1E2530"/>
          <w:rFonts w:ascii="Cambria" w:hAnsi="Cambria" w:eastAsia="Microsoft YaHei" w:cs="FreeSans"/>
          <w:sz w:val="22"/>
          <w:szCs w:val="24"/>
          <w:lang w:val="en-US" w:eastAsia="zh-CN" w:bidi="hi-IN"/>
        </w:rPr>
        <w:t>Step Four: Correction Window -</w:t>
      </w:r>
      <w:r>
        <w:rPr>
          <w:rFonts w:ascii="Cambria" w:hAnsi="Cambria" w:eastAsia="Microsoft YaHei" w:cs="FreeSans"/>
          <w:color w:val="1E2530"/>
          <w:sz w:val="22"/>
          <w:szCs w:val="24"/>
          <w:lang w:val="en-US" w:eastAsia="zh-CN" w:bidi="hi-IN"/>
        </w:rPr>
        <w:t>The breaching Party possesses 14 days to correct the deficiency. During this window, both Parties continue all other Compact operations.</w:t>
      </w:r>
    </w:p>
    <w:p>
      <w:pPr>
        <w:pStyle w:val="Normal"/>
        <w:numPr>
          <w:ilvl w:val="0"/>
          <w:numId w:val="1"/>
        </w:numPr>
        <w:bidi w:val="0"/>
        <w:spacing w:before="0" w:after="160"/>
        <w:rPr/>
      </w:pPr>
      <w:r>
        <w:rPr>
          <w:b/>
          <w:color w:val="1E2530"/>
          <w:rFonts w:ascii="Cambria" w:hAnsi="Cambria" w:eastAsia="Microsoft YaHei" w:cs="FreeSans"/>
          <w:sz w:val="22"/>
          <w:szCs w:val="24"/>
          <w:lang w:val="en-US" w:eastAsia="zh-CN" w:bidi="hi-IN"/>
        </w:rPr>
        <w:t>Step Five: Earn-Back -</w:t>
      </w:r>
      <w:r>
        <w:rPr>
          <w:rFonts w:ascii="Cambria" w:hAnsi="Cambria" w:eastAsia="Microsoft YaHei" w:cs="FreeSans"/>
          <w:color w:val="1E2530"/>
          <w:sz w:val="22"/>
          <w:szCs w:val="24"/>
          <w:lang w:val="en-US" w:eastAsia="zh-CN" w:bidi="hi-IN"/>
        </w:rPr>
        <w:t>Upon correction of the deficiency, the suspended reciprocity units reactivate automatically. No additional negotiation or compensation payment is required. The earn-back restores the status quo ante.</w:t>
      </w:r>
    </w:p>
    <w:p>
      <w:pPr>
        <w:pStyle w:val="Heading2"/>
        <w:keepNext w:val="true"/>
        <w:keepLines/>
        <w:bidi w:val="0"/>
        <w:spacing w:before="360" w:after="160"/>
        <w:rPr/>
      </w:pPr>
      <w:r>
        <w:rPr>
          <w:szCs w:val="24"/>
          <w:lang w:val="en-US" w:eastAsia="zh-CN" w:bidi="hi-IN"/>
          <w:rFonts w:ascii="Cambria" w:hAnsi="Cambria" w:eastAsia="Microsoft YaHei" w:cs="Cambria"/>
          <w:b/>
          <w:color w:val="2C3E5E"/>
          <w:sz w:val="30"/>
        </w:rPr>
        <w:t>Section 6.2 - Graduated Response Scale</w:t>
      </w:r>
    </w:p>
    <w:p>
      <w:pPr>
        <w:pStyle w:val="Normal"/>
        <w:bidi w:val="0"/>
        <w:spacing w:before="0" w:after="180"/>
        <w:rPr/>
      </w:pPr>
      <w:r>
        <w:rPr>
          <w:rFonts w:ascii="Cambria" w:hAnsi="Cambria" w:eastAsia="Microsoft YaHei" w:cs="FreeSans"/>
          <w:color w:val="1E2530"/>
          <w:sz w:val="22"/>
          <w:szCs w:val="24"/>
          <w:lang w:val="en-US" w:eastAsia="zh-CN" w:bidi="hi-IN"/>
        </w:rPr>
        <w:t>The Review Panel selects the step-back level based on the following graduated scale:</w:t>
      </w:r>
    </w:p>
    <w:p>
      <w:pPr>
        <w:pStyle w:val="Normal"/>
        <w:bidi w:val="0"/>
        <w:spacing w:before="0" w:after="180"/>
        <w:rPr/>
      </w:pPr>
      <w:r>
        <w:rPr>
          <w:rFonts w:ascii="Cambria" w:hAnsi="Cambria" w:eastAsia="Microsoft YaHei" w:cs="FreeSans"/>
          <w:color w:val="1E2530"/>
          <w:sz w:val="22"/>
          <w:szCs w:val="24"/>
          <w:lang w:val="en-US" w:eastAsia="zh-CN" w:bidi="hi-IN"/>
        </w:rPr>
        <w:t>Level One - Technical Delay: A delay of up to 72 hours in implementing a commitment due to logistical or administrative factors. No step-back occurs. The Joint Coordination Center documents the delay and adjusts timelines.</w:t>
      </w:r>
    </w:p>
    <w:p>
      <w:pPr>
        <w:pStyle w:val="Normal"/>
        <w:bidi w:val="0"/>
        <w:spacing w:before="0" w:after="180"/>
        <w:rPr/>
      </w:pPr>
      <w:r>
        <w:rPr>
          <w:rFonts w:ascii="Cambria" w:hAnsi="Cambria" w:eastAsia="Microsoft YaHei" w:cs="FreeSans"/>
          <w:color w:val="1E2530"/>
          <w:sz w:val="22"/>
          <w:szCs w:val="24"/>
          <w:lang w:val="en-US" w:eastAsia="zh-CN" w:bidi="hi-IN"/>
        </w:rPr>
        <w:t>Level Two - Partial Non-Performance: Failure to implement one or more specific elements of a commitment. The step-back suspends the corresponding reciprocity unit until correction.</w:t>
      </w:r>
    </w:p>
    <w:p>
      <w:pPr>
        <w:pStyle w:val="Normal"/>
        <w:bidi w:val="0"/>
        <w:spacing w:before="0" w:after="180"/>
        <w:rPr/>
      </w:pPr>
      <w:r>
        <w:rPr>
          <w:rFonts w:ascii="Cambria" w:hAnsi="Cambria" w:eastAsia="Microsoft YaHei" w:cs="FreeSans"/>
          <w:color w:val="1E2530"/>
          <w:sz w:val="22"/>
          <w:szCs w:val="24"/>
          <w:lang w:val="en-US" w:eastAsia="zh-CN" w:bidi="hi-IN"/>
        </w:rPr>
        <w:t>Level Three - Systemic Breach: A pattern of non-performance across multiple commitments or a single material breach that fundamentally alters the equilibrium of the Compact. The step-back suspends all reciprocity units in the affected annex. The Parties convene an emergency session within 72 hours.</w:t>
      </w:r>
    </w:p>
    <w:p>
      <w:pPr>
        <w:pStyle w:val="Normal"/>
        <w:bidi w:val="0"/>
        <w:spacing w:before="0" w:after="180"/>
        <w:rPr/>
      </w:pPr>
      <w:r>
        <w:rPr>
          <w:rFonts w:ascii="Cambria" w:hAnsi="Cambria" w:eastAsia="Microsoft YaHei" w:cs="FreeSans"/>
          <w:color w:val="1E2530"/>
          <w:sz w:val="22"/>
          <w:szCs w:val="24"/>
          <w:lang w:val="en-US" w:eastAsia="zh-CN" w:bidi="hi-IN"/>
        </w:rPr>
        <w:t>Level Four - Fundamental Violation: A breach that strikes at the core purpose of the Compact, such as renewed weapons-grade enrichment or military attack. This level terminates the Compact unless both Parties agree to emergency remediation within 48 hours.</w:t>
      </w:r>
    </w:p>
    <w:p>
      <w:pPr>
        <w:pStyle w:val="Heading2"/>
        <w:keepNext w:val="true"/>
        <w:keepLines/>
        <w:bidi w:val="0"/>
        <w:spacing w:before="360" w:after="160"/>
        <w:rPr/>
      </w:pPr>
      <w:r>
        <w:rPr>
          <w:szCs w:val="24"/>
          <w:lang w:val="en-US" w:eastAsia="zh-CN" w:bidi="hi-IN"/>
          <w:rFonts w:ascii="Cambria" w:hAnsi="Cambria" w:eastAsia="Microsoft YaHei" w:cs="Cambria"/>
          <w:b/>
          <w:color w:val="2C3E5E"/>
          <w:sz w:val="30"/>
        </w:rPr>
        <w:t>Section 6.3 - Clean Break Exit Ramp</w:t>
      </w:r>
    </w:p>
    <w:p>
      <w:pPr>
        <w:pStyle w:val="Normal"/>
        <w:bidi w:val="0"/>
        <w:spacing w:before="0" w:after="180"/>
        <w:rPr/>
      </w:pPr>
      <w:r>
        <w:rPr>
          <w:rFonts w:ascii="Cambria" w:hAnsi="Cambria" w:eastAsia="Microsoft YaHei" w:cs="FreeSans"/>
          <w:color w:val="1E2530"/>
          <w:sz w:val="22"/>
          <w:szCs w:val="24"/>
          <w:lang w:val="en-US" w:eastAsia="zh-CN" w:bidi="hi-IN"/>
        </w:rPr>
        <w:t>Either Party withdraws from this Compact with 14 days' written notice to the Neutral Guarantor. Withdrawal does not constitute a breach and does not trigger any penalty.</w:t>
      </w:r>
    </w:p>
    <w:p>
      <w:pPr>
        <w:pStyle w:val="Normal"/>
        <w:bidi w:val="0"/>
        <w:spacing w:before="0" w:after="180"/>
        <w:rPr/>
      </w:pPr>
      <w:r>
        <w:rPr>
          <w:rFonts w:ascii="Cambria" w:hAnsi="Cambria" w:eastAsia="Microsoft YaHei" w:cs="FreeSans"/>
          <w:color w:val="1E2530"/>
          <w:sz w:val="22"/>
          <w:szCs w:val="24"/>
          <w:lang w:val="en-US" w:eastAsia="zh-CN" w:bidi="hi-IN"/>
        </w:rPr>
        <w:t>Upon withdrawal, the following provisions remain in effect for 180 days under UN mandate: the Strait of Hormuz remains open for all commercial and humanitarian vessels; all funds already released from escrow are retained by the receiving Party; sanctions relief already delivered before the withdrawal notice - including oil waivers, general licenses, and banking reconnections - does not reimpose; and both Parties refrain from military escalation for the 180-day transition period.</w:t>
      </w:r>
    </w:p>
    <w:p>
      <w:pPr>
        <w:pStyle w:val="Normal"/>
        <w:bidi w:val="0"/>
        <w:spacing w:before="0" w:after="180"/>
        <w:rPr/>
      </w:pPr>
      <w:r>
        <w:rPr>
          <w:rFonts w:ascii="Cambria" w:hAnsi="Cambria" w:eastAsia="Microsoft YaHei" w:cs="FreeSans"/>
          <w:color w:val="1E2530"/>
          <w:sz w:val="22"/>
          <w:szCs w:val="24"/>
          <w:lang w:val="en-US" w:eastAsia="zh-CN" w:bidi="hi-IN"/>
        </w:rPr>
        <w:t>Withdrawal does not preclude future negotiations. Either Party re-enters the Compact at any time by providing written notice of intent to resume, subject to mutual agreement on any adjustments to reciprocity units.</w:t>
      </w:r>
    </w:p>
    <w:p>
      <w:pPr>
        <w:pStyle w:val="Heading2"/>
        <w:keepNext w:val="true"/>
        <w:keepLines/>
        <w:bidi w:val="0"/>
        <w:spacing w:before="360" w:after="160"/>
        <w:rPr/>
      </w:pPr>
      <w:r>
        <w:rPr>
          <w:szCs w:val="24"/>
          <w:lang w:val="en-US" w:eastAsia="zh-CN" w:bidi="hi-IN"/>
          <w:rFonts w:ascii="Cambria" w:hAnsi="Cambria" w:eastAsia="Microsoft YaHei" w:cs="Cambria"/>
          <w:b/>
          <w:color w:val="2C3E5E"/>
          <w:sz w:val="30"/>
        </w:rPr>
        <w:t>Section 6.4 - Lebanon-Only Exit</w:t>
      </w:r>
    </w:p>
    <w:p>
      <w:pPr>
        <w:pStyle w:val="Normal"/>
        <w:bidi w:val="0"/>
        <w:spacing w:before="0" w:after="180"/>
        <w:rPr/>
      </w:pPr>
      <w:r>
        <w:rPr>
          <w:rFonts w:ascii="Cambria" w:hAnsi="Cambria" w:eastAsia="Microsoft YaHei" w:cs="FreeSans"/>
          <w:color w:val="1E2530"/>
          <w:sz w:val="22"/>
          <w:szCs w:val="24"/>
          <w:lang w:val="en-US" w:eastAsia="zh-CN" w:bidi="hi-IN"/>
        </w:rPr>
        <w:t>Notwithstanding the general exit provisions, either Party invokes a Lebanon-only exit by giving 14 days' notice to the Neutral Guarantor. Upon such notice, the Lebanon unit (Annex B) terminates, but all other articles and annexes remain in full force. The Party invoking the Lebanon-only exit retains full participation rights in the nuclear, maritime, and economic tracks. The Lebanon-only exit does not constitute a breach of the Compact.</w:t>
      </w:r>
    </w:p>
    <w:p>
      <w:pPr>
        <w:pStyle w:val="Heading1"/>
        <w:keepNext w:val="true"/>
        <w:keepLines/>
        <w:bidi w:val="0"/>
        <w:spacing w:before="480" w:after="240"/>
        <w:rPr/>
      </w:pPr>
      <w:bookmarkStart w:id="8" w:name="_Toc008"/>
      <w:r>
        <w:rPr>
          <w:szCs w:val="24"/>
          <w:lang w:val="en-US" w:eastAsia="zh-CN" w:bidi="hi-IN"/>
          <w:rFonts w:ascii="Cambria" w:hAnsi="Cambria" w:eastAsia="Microsoft YaHei" w:cs="Cambria"/>
          <w:b/>
          <w:color w:val="1A2744"/>
          <w:sz w:val="40"/>
        </w:rPr>
        <w:t>Article VII: The Human-in-the-Loop Review</w:t>
      </w:r>
      <w:bookmarkEnd w:id="8"/>
    </w:p>
    <w:p>
      <w:pPr>
        <w:pStyle w:val="Normal"/>
        <w:bidi w:val="0"/>
        <w:spacing w:before="0" w:after="180"/>
        <w:rPr/>
      </w:pPr>
      <w:r>
        <w:rPr>
          <w:rFonts w:ascii="Cambria" w:hAnsi="Cambria" w:eastAsia="Microsoft YaHei" w:cs="FreeSans"/>
          <w:color w:val="1E2530"/>
          <w:sz w:val="22"/>
          <w:szCs w:val="24"/>
          <w:lang w:val="en-US" w:eastAsia="zh-CN" w:bidi="hi-IN"/>
        </w:rPr>
        <w:t>This article establishes the dispute resolution mechanism that replaces automated penalties with human judgment, diplomacy, and proportional response calibration.</w:t>
      </w:r>
    </w:p>
    <w:p>
      <w:pPr>
        <w:pStyle w:val="Heading2"/>
        <w:keepNext w:val="true"/>
        <w:keepLines/>
        <w:bidi w:val="0"/>
        <w:spacing w:before="360" w:after="160"/>
        <w:rPr/>
      </w:pPr>
      <w:r>
        <w:rPr>
          <w:szCs w:val="24"/>
          <w:lang w:val="en-US" w:eastAsia="zh-CN" w:bidi="hi-IN"/>
          <w:rFonts w:ascii="Cambria" w:hAnsi="Cambria" w:eastAsia="Microsoft YaHei" w:cs="Cambria"/>
          <w:b/>
          <w:color w:val="2C3E5E"/>
          <w:sz w:val="30"/>
        </w:rPr>
        <w:t>Section 7.1 - Review Panel Composition</w:t>
      </w:r>
    </w:p>
    <w:p>
      <w:pPr>
        <w:pStyle w:val="Normal"/>
        <w:bidi w:val="0"/>
        <w:spacing w:before="0" w:after="180"/>
        <w:rPr/>
      </w:pPr>
      <w:r>
        <w:rPr>
          <w:rFonts w:ascii="Cambria" w:hAnsi="Cambria" w:eastAsia="Microsoft YaHei" w:cs="FreeSans"/>
          <w:color w:val="1E2530"/>
          <w:sz w:val="22"/>
          <w:szCs w:val="24"/>
          <w:lang w:val="en-US" w:eastAsia="zh-CN" w:bidi="hi-IN"/>
        </w:rPr>
        <w:t>The Human-in-the-Loop Review Panel comprises five members: one representative appointed by the United States, one representative appointed by Iran, and three neutral members appointed by the Neutral Guarantor from nations acceptable to both Parties. The neutral members include one legal expert, one technical expert, and one diplomatic expert.</w:t>
      </w:r>
    </w:p>
    <w:p>
      <w:pPr>
        <w:pStyle w:val="Heading2"/>
        <w:keepNext w:val="true"/>
        <w:keepLines/>
        <w:bidi w:val="0"/>
        <w:spacing w:before="360" w:after="160"/>
        <w:rPr/>
      </w:pPr>
      <w:r>
        <w:rPr>
          <w:szCs w:val="24"/>
          <w:lang w:val="en-US" w:eastAsia="zh-CN" w:bidi="hi-IN"/>
          <w:rFonts w:ascii="Cambria" w:hAnsi="Cambria" w:eastAsia="Microsoft YaHei" w:cs="Cambria"/>
          <w:b/>
          <w:color w:val="2C3E5E"/>
          <w:sz w:val="30"/>
        </w:rPr>
        <w:t>Section 7.2 - Review Process</w:t>
      </w:r>
    </w:p>
    <w:p>
      <w:pPr>
        <w:pStyle w:val="Normal"/>
        <w:bidi w:val="0"/>
        <w:spacing w:before="0" w:after="180"/>
        <w:rPr/>
      </w:pPr>
      <w:r>
        <w:rPr>
          <w:rFonts w:ascii="Cambria" w:hAnsi="Cambria" w:eastAsia="Microsoft YaHei" w:cs="FreeSans"/>
          <w:color w:val="1E2530"/>
          <w:sz w:val="22"/>
          <w:szCs w:val="24"/>
          <w:lang w:val="en-US" w:eastAsia="zh-CN" w:bidi="hi-IN"/>
        </w:rPr>
        <w:t>Upon referral from the Joint Coordination Center, the Review Panel convenes within 72 hours. The Panel examines all telemetry data, hears presentations from both Parties, and issues a binding determination within 10 days. The determination identifies the factual status of the dispute, classifies the concern under the graduated scale in Article VI, and prescribes the proportional response.</w:t>
      </w:r>
    </w:p>
    <w:p>
      <w:pPr>
        <w:pStyle w:val="Heading2"/>
        <w:keepNext w:val="true"/>
        <w:keepLines/>
        <w:bidi w:val="0"/>
        <w:spacing w:before="360" w:after="160"/>
        <w:rPr/>
      </w:pPr>
      <w:r>
        <w:rPr>
          <w:szCs w:val="24"/>
          <w:lang w:val="en-US" w:eastAsia="zh-CN" w:bidi="hi-IN"/>
          <w:rFonts w:ascii="Cambria" w:hAnsi="Cambria" w:eastAsia="Microsoft YaHei" w:cs="Cambria"/>
          <w:b/>
          <w:color w:val="2C3E5E"/>
          <w:sz w:val="30"/>
        </w:rPr>
        <w:t>Section 7.3 - Emergency Review</w:t>
      </w:r>
    </w:p>
    <w:p>
      <w:pPr>
        <w:pStyle w:val="Normal"/>
        <w:bidi w:val="0"/>
        <w:spacing w:before="0" w:after="180"/>
        <w:rPr/>
      </w:pPr>
      <w:r>
        <w:rPr>
          <w:rFonts w:ascii="Cambria" w:hAnsi="Cambria" w:eastAsia="Microsoft YaHei" w:cs="FreeSans"/>
          <w:color w:val="1E2530"/>
          <w:sz w:val="22"/>
          <w:szCs w:val="24"/>
          <w:lang w:val="en-US" w:eastAsia="zh-CN" w:bidi="hi-IN"/>
        </w:rPr>
        <w:t>Either Party triggers an emergency review by providing credible evidence of an imminent threat to regional security or Compact integrity. Emergency reviews convene within 24 hours. The Panel possesses authority to order immediate temporary measures pending full review.</w:t>
      </w:r>
    </w:p>
    <w:p>
      <w:pPr>
        <w:pStyle w:val="Heading2"/>
        <w:keepNext w:val="true"/>
        <w:keepLines/>
        <w:bidi w:val="0"/>
        <w:spacing w:before="360" w:after="160"/>
        <w:rPr/>
      </w:pPr>
      <w:r>
        <w:rPr>
          <w:szCs w:val="24"/>
          <w:lang w:val="en-US" w:eastAsia="zh-CN" w:bidi="hi-IN"/>
          <w:rFonts w:ascii="Cambria" w:hAnsi="Cambria" w:eastAsia="Microsoft YaHei" w:cs="Cambria"/>
          <w:b/>
          <w:color w:val="2C3E5E"/>
          <w:sz w:val="30"/>
        </w:rPr>
        <w:t>Section 7.4 - Binding Nature</w:t>
      </w:r>
    </w:p>
    <w:p>
      <w:pPr>
        <w:pStyle w:val="Normal"/>
        <w:bidi w:val="0"/>
        <w:spacing w:before="0" w:after="180"/>
        <w:rPr/>
      </w:pPr>
      <w:r>
        <w:rPr>
          <w:rFonts w:ascii="Cambria" w:hAnsi="Cambria" w:eastAsia="Microsoft YaHei" w:cs="FreeSans"/>
          <w:color w:val="1E2530"/>
          <w:sz w:val="22"/>
          <w:szCs w:val="24"/>
          <w:lang w:val="en-US" w:eastAsia="zh-CN" w:bidi="hi-IN"/>
        </w:rPr>
        <w:t>All parties to this Compact accept the determinations of the Review Panel as binding. Either Party holds the right to appeal a determination to the full Compact Council - comprising senior representatives from both Parties and the Neutral Guarantor - within 7 days. The Council renders a final decision within 14 days of appeal.</w:t>
      </w:r>
    </w:p>
    <w:p>
      <w:pPr>
        <w:pStyle w:val="Heading1"/>
        <w:keepNext w:val="true"/>
        <w:keepLines/>
        <w:bidi w:val="0"/>
        <w:spacing w:before="480" w:after="240"/>
        <w:rPr/>
      </w:pPr>
      <w:bookmarkStart w:id="9" w:name="_Toc009"/>
      <w:r>
        <w:rPr>
          <w:szCs w:val="24"/>
          <w:lang w:val="en-US" w:eastAsia="zh-CN" w:bidi="hi-IN"/>
          <w:rFonts w:ascii="Cambria" w:hAnsi="Cambria" w:eastAsia="Microsoft YaHei" w:cs="Cambria"/>
          <w:b/>
          <w:color w:val="1A2744"/>
          <w:sz w:val="40"/>
        </w:rPr>
        <w:t>Article VIII: Neutral Guarantor Structure</w:t>
      </w:r>
      <w:bookmarkEnd w:id="9"/>
    </w:p>
    <w:p>
      <w:pPr>
        <w:pStyle w:val="Normal"/>
        <w:bidi w:val="0"/>
        <w:spacing w:before="0" w:after="180"/>
        <w:rPr/>
      </w:pPr>
      <w:r>
        <w:rPr>
          <w:rFonts w:ascii="Cambria" w:hAnsi="Cambria" w:eastAsia="Microsoft YaHei" w:cs="FreeSans"/>
          <w:color w:val="1E2530"/>
          <w:sz w:val="22"/>
          <w:szCs w:val="24"/>
          <w:lang w:val="en-US" w:eastAsia="zh-CN" w:bidi="hi-IN"/>
        </w:rPr>
        <w:t>This article establishes the institutional framework for neutral third-party facilitation of this Compact.</w:t>
      </w:r>
    </w:p>
    <w:p>
      <w:pPr>
        <w:pStyle w:val="Heading2"/>
        <w:keepNext w:val="true"/>
        <w:keepLines/>
        <w:bidi w:val="0"/>
        <w:spacing w:before="360" w:after="160"/>
        <w:rPr/>
      </w:pPr>
      <w:r>
        <w:rPr>
          <w:szCs w:val="24"/>
          <w:lang w:val="en-US" w:eastAsia="zh-CN" w:bidi="hi-IN"/>
          <w:rFonts w:ascii="Cambria" w:hAnsi="Cambria" w:eastAsia="Microsoft YaHei" w:cs="Cambria"/>
          <w:b/>
          <w:color w:val="2C3E5E"/>
          <w:sz w:val="30"/>
        </w:rPr>
        <w:t>Section 8.1 - Guarantor Selection</w:t>
      </w:r>
    </w:p>
    <w:p>
      <w:pPr>
        <w:pStyle w:val="Normal"/>
        <w:bidi w:val="0"/>
        <w:spacing w:before="0" w:after="180"/>
        <w:rPr/>
      </w:pPr>
      <w:r>
        <w:rPr>
          <w:rFonts w:ascii="Cambria" w:hAnsi="Cambria" w:eastAsia="Microsoft YaHei" w:cs="FreeSans"/>
          <w:color w:val="1E2530"/>
          <w:sz w:val="22"/>
          <w:szCs w:val="24"/>
          <w:lang w:val="en-US" w:eastAsia="zh-CN" w:bidi="hi-IN"/>
        </w:rPr>
        <w:t>The Sultanate of Oman serves as the primary Neutral Guarantor. Oman hosts the Joint Coordination Center in Muscat, provides diplomatic backchannels, and facilitates all neutral verification activities. Oman accepts this role based on its history of constructive engagement with both Parties and its established credibility as a regional mediator.</w:t>
      </w:r>
    </w:p>
    <w:p>
      <w:pPr>
        <w:pStyle w:val="Heading2"/>
        <w:keepNext w:val="true"/>
        <w:keepLines/>
        <w:bidi w:val="0"/>
        <w:spacing w:before="360" w:after="160"/>
        <w:rPr/>
      </w:pPr>
      <w:r>
        <w:rPr>
          <w:szCs w:val="24"/>
          <w:lang w:val="en-US" w:eastAsia="zh-CN" w:bidi="hi-IN"/>
          <w:rFonts w:ascii="Cambria" w:hAnsi="Cambria" w:eastAsia="Microsoft YaHei" w:cs="Cambria"/>
          <w:b/>
          <w:color w:val="2C3E5E"/>
          <w:sz w:val="30"/>
        </w:rPr>
        <w:t>Section 8.2 - Guarantor Responsibilities</w:t>
      </w:r>
    </w:p>
    <w:p>
      <w:pPr>
        <w:pStyle w:val="Normal"/>
        <w:bidi w:val="0"/>
        <w:spacing w:before="0" w:after="180"/>
        <w:rPr/>
      </w:pPr>
      <w:r>
        <w:rPr>
          <w:rFonts w:ascii="Cambria" w:hAnsi="Cambria" w:eastAsia="Microsoft YaHei" w:cs="FreeSans"/>
          <w:color w:val="1E2530"/>
          <w:sz w:val="22"/>
          <w:szCs w:val="24"/>
          <w:lang w:val="en-US" w:eastAsia="zh-CN" w:bidi="hi-IN"/>
        </w:rPr>
        <w:t>The Neutral Guarantor performs the following functions: operates the Joint Coordination Center; deploys and manages verification teams; holds escrow accounts for transit fees and asset releases; convenes the Human-in-the-Loop Review Panel; maintains secure communication channels between the Parties; and publishes monthly public reports on Compact implementation status.</w:t>
      </w:r>
    </w:p>
    <w:p>
      <w:pPr>
        <w:pStyle w:val="Heading2"/>
        <w:keepNext w:val="true"/>
        <w:keepLines/>
        <w:bidi w:val="0"/>
        <w:spacing w:before="360" w:after="160"/>
        <w:rPr/>
      </w:pPr>
      <w:r>
        <w:rPr>
          <w:szCs w:val="24"/>
          <w:lang w:val="en-US" w:eastAsia="zh-CN" w:bidi="hi-IN"/>
          <w:rFonts w:ascii="Cambria" w:hAnsi="Cambria" w:eastAsia="Microsoft YaHei" w:cs="Cambria"/>
          <w:b/>
          <w:color w:val="2C3E5E"/>
          <w:sz w:val="30"/>
        </w:rPr>
        <w:t>Section 8.3 - Secondary Guarantors</w:t>
      </w:r>
    </w:p>
    <w:p>
      <w:pPr>
        <w:pStyle w:val="Normal"/>
        <w:bidi w:val="0"/>
        <w:spacing w:before="0" w:after="180"/>
        <w:rPr/>
      </w:pPr>
      <w:r>
        <w:rPr>
          <w:rFonts w:ascii="Cambria" w:hAnsi="Cambria" w:eastAsia="Microsoft YaHei" w:cs="FreeSans"/>
          <w:color w:val="1E2530"/>
          <w:sz w:val="22"/>
          <w:szCs w:val="24"/>
          <w:lang w:val="en-US" w:eastAsia="zh-CN" w:bidi="hi-IN"/>
        </w:rPr>
        <w:t>The Parties jointly invite Qatar and Switzerland to serve as secondary guarantors. Qatar provides additional regional diplomatic support and hosts emergency meetings. Switzerland manages financial escrow accounts, hosts the digital dashboard described in Article V, and provides legal expertise for sanctions relief implementation.</w:t>
      </w:r>
    </w:p>
    <w:p>
      <w:pPr>
        <w:pStyle w:val="Heading2"/>
        <w:keepNext w:val="true"/>
        <w:keepLines/>
        <w:bidi w:val="0"/>
        <w:spacing w:before="360" w:after="160"/>
        <w:rPr/>
      </w:pPr>
      <w:r>
        <w:rPr>
          <w:szCs w:val="24"/>
          <w:lang w:val="en-US" w:eastAsia="zh-CN" w:bidi="hi-IN"/>
          <w:rFonts w:ascii="Cambria" w:hAnsi="Cambria" w:eastAsia="Microsoft YaHei" w:cs="Cambria"/>
          <w:b/>
          <w:color w:val="2C3E5E"/>
          <w:sz w:val="30"/>
        </w:rPr>
        <w:t>Section 8.4 - Guarantor Replacement</w:t>
      </w:r>
    </w:p>
    <w:p>
      <w:pPr>
        <w:pStyle w:val="Normal"/>
        <w:bidi w:val="0"/>
        <w:spacing w:before="0" w:after="180"/>
        <w:rPr/>
      </w:pPr>
      <w:r>
        <w:rPr>
          <w:rFonts w:ascii="Cambria" w:hAnsi="Cambria" w:eastAsia="Microsoft YaHei" w:cs="FreeSans"/>
          <w:color w:val="1E2530"/>
          <w:sz w:val="22"/>
          <w:szCs w:val="24"/>
          <w:lang w:val="en-US" w:eastAsia="zh-CN" w:bidi="hi-IN"/>
        </w:rPr>
        <w:t>Either Party proposes replacement of a guarantor by submitting written justification to the Joint Coordination Center. Replacement requires mutual consent. The Parties complete any transition to a replacement guarantor within 30 days to prevent operational gaps.</w:t>
      </w:r>
    </w:p>
    <w:p>
      <w:pPr>
        <w:pStyle w:val="Heading1"/>
        <w:keepNext w:val="true"/>
        <w:keepLines/>
        <w:bidi w:val="0"/>
        <w:spacing w:before="480" w:after="240"/>
        <w:rPr/>
      </w:pPr>
      <w:bookmarkStart w:id="10" w:name="_Toc010"/>
      <w:r>
        <w:rPr>
          <w:szCs w:val="24"/>
          <w:lang w:val="en-US" w:eastAsia="zh-CN" w:bidi="hi-IN"/>
          <w:rFonts w:ascii="Cambria" w:hAnsi="Cambria" w:eastAsia="Microsoft YaHei" w:cs="Cambria"/>
          <w:b/>
          <w:color w:val="1A2744"/>
          <w:sz w:val="40"/>
        </w:rPr>
        <w:t>Annex A: Implementation Timelines and Reciprocity Matrix</w:t>
      </w:r>
      <w:bookmarkEnd w:id="10"/>
    </w:p>
    <w:p>
      <w:pPr>
        <w:pStyle w:val="Normal"/>
        <w:bidi w:val="0"/>
        <w:spacing w:before="0" w:after="180"/>
        <w:rPr/>
      </w:pPr>
      <w:r>
        <w:rPr>
          <w:rFonts w:ascii="Cambria" w:hAnsi="Cambria" w:eastAsia="Microsoft YaHei" w:cs="FreeSans"/>
          <w:color w:val="1E2530"/>
          <w:sz w:val="22"/>
          <w:szCs w:val="24"/>
          <w:lang w:val="en-US" w:eastAsia="zh-CN" w:bidi="hi-IN"/>
        </w:rPr>
        <w:t>This annex provides the detailed timeline for every commitment in this Compact, organized by day and paired by reciprocity unit.</w:t>
      </w:r>
    </w:p>
    <w:tbl>
      <w:tblPr>
        <w:tblW w:w="5000" w:type="pct"/>
        <w:jc w:val="start"/>
        <w:tblInd w:w="0" w:type="dxa"/>
        <w:tblLayout w:type="fixed"/>
        <w:tblCellMar>
          <w:top w:w="0" w:type="dxa"/>
          <w:start w:w="108" w:type="dxa"/>
          <w:bottom w:w="0" w:type="dxa"/>
          <w:end w:w="108" w:type="dxa"/>
        </w:tblCellMar>
      </w:tblPr>
      <w:tblGrid>
        <w:gridCol w:w="1102"/>
        <w:gridCol w:w="4012"/>
        <w:gridCol w:w="3912"/>
      </w:tblGrid>
      <w:tr>
        <w:trPr>
          <w:tblHeader w:val="1"/>
        </w:trPr>
        <w:tc>
          <w:tcPr>
            <w:tcW w:w="1102" w:type="dxa"/>
            <w:tcBorders>
              <w:top w:val="single" w:sz="12" w:space="0" w:color="1A2744"/>
              <w:bottom w:val="single" w:sz="4" w:space="0" w:color="C8C4B8"/>
            </w:tcBorders>
            <w:shd w:fill="E8E6E0" w:val="clear" w:color="auto"/>
          </w:tcPr>
          <w:p>
            <w:pPr>
              <w:pStyle w:val="Normal"/>
              <w:widowControl w:val="false"/>
              <w:bidi w:val="0"/>
              <w:spacing w:before="60" w:after="60"/>
              <w:rPr/>
            </w:pPr>
            <w:r>
              <w:rPr>
                <w:b/>
                <w:color w:val="1E2530"/>
                <w:sz w:val="20"/>
                <w:rFonts w:ascii="Cambria" w:hAnsi="Cambria" w:eastAsia="Microsoft YaHei" w:cs="FreeSans"/>
                <w:szCs w:val="24"/>
                <w:lang w:val="en-US" w:eastAsia="zh-CN" w:bidi="hi-IN"/>
              </w:rPr>
              <w:t>Day</w:t>
            </w:r>
          </w:p>
        </w:tc>
        <w:tc>
          <w:tcPr>
            <w:tcW w:w="4012" w:type="dxa"/>
            <w:tcBorders>
              <w:top w:val="single" w:sz="12" w:space="0" w:color="1A2744"/>
              <w:bottom w:val="single" w:sz="4" w:space="0" w:color="C8C4B8"/>
            </w:tcBorders>
            <w:shd w:fill="E8E6E0" w:val="clear" w:color="auto"/>
          </w:tcPr>
          <w:p>
            <w:pPr>
              <w:pStyle w:val="Normal"/>
              <w:widowControl w:val="false"/>
              <w:bidi w:val="0"/>
              <w:spacing w:before="60" w:after="60"/>
              <w:rPr/>
            </w:pPr>
            <w:r>
              <w:rPr>
                <w:b/>
                <w:color w:val="1E2530"/>
                <w:sz w:val="20"/>
                <w:rFonts w:ascii="Cambria" w:hAnsi="Cambria" w:eastAsia="Microsoft YaHei" w:cs="FreeSans"/>
                <w:szCs w:val="24"/>
                <w:lang w:val="en-US" w:eastAsia="zh-CN" w:bidi="hi-IN"/>
              </w:rPr>
              <w:t>US Commitment</w:t>
            </w:r>
          </w:p>
        </w:tc>
        <w:tc>
          <w:tcPr>
            <w:tcW w:w="3912" w:type="dxa"/>
            <w:tcBorders>
              <w:top w:val="single" w:sz="12" w:space="0" w:color="1A2744"/>
              <w:bottom w:val="single" w:sz="4" w:space="0" w:color="C8C4B8"/>
            </w:tcBorders>
            <w:shd w:fill="E8E6E0" w:val="clear" w:color="auto"/>
          </w:tcPr>
          <w:p>
            <w:pPr>
              <w:pStyle w:val="Normal"/>
              <w:widowControl w:val="false"/>
              <w:bidi w:val="0"/>
              <w:spacing w:before="60" w:after="60"/>
              <w:rPr/>
            </w:pPr>
            <w:r>
              <w:rPr>
                <w:b/>
                <w:color w:val="1E2530"/>
                <w:sz w:val="20"/>
                <w:rFonts w:ascii="Cambria" w:hAnsi="Cambria" w:eastAsia="Microsoft YaHei" w:cs="FreeSans"/>
                <w:szCs w:val="24"/>
                <w:lang w:val="en-US" w:eastAsia="zh-CN" w:bidi="hi-IN"/>
              </w:rPr>
              <w:t>Iran Commitment</w:t>
            </w:r>
          </w:p>
        </w:tc>
      </w:tr>
      <w:tr>
        <w:trPr/>
        <w:tc>
          <w:tcPr>
            <w:tcW w:w="1102"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1</w:t>
            </w:r>
          </w:p>
        </w:tc>
        <w:tc>
          <w:tcPr>
            <w:tcW w:w="4012"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Ceasefire + General licenses (humanitarian)</w:t>
            </w:r>
          </w:p>
        </w:tc>
        <w:tc>
          <w:tcPr>
            <w:tcW w:w="3912"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Ceasefire + IAEA baseline access</w:t>
            </w:r>
          </w:p>
        </w:tc>
      </w:tr>
      <w:tr>
        <w:trPr/>
        <w:tc>
          <w:tcPr>
            <w:tcW w:w="1102"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1</w:t>
            </w:r>
          </w:p>
        </w:tc>
        <w:tc>
          <w:tcPr>
            <w:tcW w:w="4012"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$250M humanitarian asset release</w:t>
            </w:r>
          </w:p>
        </w:tc>
        <w:tc>
          <w:tcPr>
            <w:tcW w:w="3912"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Humanitarian Hormuz transit</w:t>
            </w:r>
          </w:p>
        </w:tc>
      </w:tr>
      <w:tr>
        <w:trPr/>
        <w:tc>
          <w:tcPr>
            <w:tcW w:w="1102"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2</w:t>
            </w:r>
          </w:p>
        </w:tc>
        <w:tc>
          <w:tcPr>
            <w:tcW w:w="4012"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Halt offensive naval operations</w:t>
            </w:r>
          </w:p>
        </w:tc>
        <w:tc>
          <w:tcPr>
            <w:tcW w:w="3912"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Full prisoner exchange</w:t>
            </w:r>
          </w:p>
        </w:tc>
      </w:tr>
      <w:tr>
        <w:trPr/>
        <w:tc>
          <w:tcPr>
            <w:tcW w:w="1102"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7</w:t>
            </w:r>
          </w:p>
        </w:tc>
        <w:tc>
          <w:tcPr>
            <w:tcW w:w="4012"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Fuel rod delivery (19.75% LEU, 200kg)</w:t>
            </w:r>
          </w:p>
        </w:tc>
        <w:tc>
          <w:tcPr>
            <w:tcW w:w="3912"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60% HEU transfer to Oman (50kg, IAEA custody)</w:t>
            </w:r>
          </w:p>
        </w:tc>
      </w:tr>
      <w:tr>
        <w:trPr/>
        <w:tc>
          <w:tcPr>
            <w:tcW w:w="1102"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14</w:t>
            </w:r>
          </w:p>
        </w:tc>
        <w:tc>
          <w:tcPr>
            <w:tcW w:w="4012"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60-day oil waiver suspension (1.0 mb/d)</w:t>
            </w:r>
          </w:p>
        </w:tc>
        <w:tc>
          <w:tcPr>
            <w:tcW w:w="3912"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All HEU + 20% LEU under IAEA seals in Iran</w:t>
            </w:r>
          </w:p>
        </w:tc>
      </w:tr>
      <w:tr>
        <w:trPr/>
        <w:tc>
          <w:tcPr>
            <w:tcW w:w="1102"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30</w:t>
            </w:r>
          </w:p>
        </w:tc>
        <w:tc>
          <w:tcPr>
            <w:tcW w:w="4012"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SWIFT reconnection support</w:t>
            </w:r>
          </w:p>
        </w:tc>
        <w:tc>
          <w:tcPr>
            <w:tcW w:w="3912"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Tier Two Hormuz reopening</w:t>
            </w:r>
          </w:p>
        </w:tc>
      </w:tr>
      <w:tr>
        <w:trPr/>
        <w:tc>
          <w:tcPr>
            <w:tcW w:w="1102"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45</w:t>
            </w:r>
          </w:p>
        </w:tc>
        <w:tc>
          <w:tcPr>
            <w:tcW w:w="4012"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Additional financial institution waivers</w:t>
            </w:r>
          </w:p>
        </w:tc>
        <w:tc>
          <w:tcPr>
            <w:tcW w:w="3912" w:type="dxa"/>
            <w:tcBorders>
              <w:top w:val="single" w:sz="4" w:space="0" w:color="C8C4B8"/>
              <w:bottom w:val="single" w:sz="4" w:space="0" w:color="C8C4B8"/>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Sustained compliance confirmation</w:t>
            </w:r>
          </w:p>
        </w:tc>
      </w:tr>
      <w:tr>
        <w:trPr/>
        <w:tc>
          <w:tcPr>
            <w:tcW w:w="1102" w:type="dxa"/>
            <w:tcBorders>
              <w:top w:val="single" w:sz="4" w:space="0" w:color="C8C4B8"/>
              <w:bottom w:val="single" w:sz="12" w:space="0" w:color="1A2744"/>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60</w:t>
            </w:r>
          </w:p>
        </w:tc>
        <w:tc>
          <w:tcPr>
            <w:tcW w:w="4012" w:type="dxa"/>
            <w:tcBorders>
              <w:top w:val="single" w:sz="4" w:space="0" w:color="C8C4B8"/>
              <w:bottom w:val="single" w:sz="12" w:space="0" w:color="1A2744"/>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Phase Three launch</w:t>
            </w:r>
          </w:p>
        </w:tc>
        <w:tc>
          <w:tcPr>
            <w:tcW w:w="3912" w:type="dxa"/>
            <w:tcBorders>
              <w:top w:val="single" w:sz="4" w:space="0" w:color="C8C4B8"/>
              <w:bottom w:val="single" w:sz="12" w:space="0" w:color="1A2744"/>
            </w:tcBorders>
          </w:tcPr>
          <w:p>
            <w:pPr>
              <w:pStyle w:val="Normal"/>
              <w:widowControl w:val="false"/>
              <w:bidi w:val="0"/>
              <w:spacing w:before="60" w:after="60"/>
              <w:rPr/>
            </w:pPr>
            <w:r>
              <w:rPr>
                <w:color w:val="4A5568"/>
                <w:sz w:val="19"/>
                <w:rFonts w:ascii="Cambria" w:hAnsi="Cambria" w:eastAsia="Microsoft YaHei" w:cs="FreeSans"/>
                <w:szCs w:val="24"/>
                <w:lang w:val="en-US" w:eastAsia="zh-CN" w:bidi="hi-IN"/>
              </w:rPr>
              <w:t>Phase Three launch</w:t>
            </w:r>
          </w:p>
        </w:tc>
      </w:tr>
    </w:tbl>
    <w:p>
      <w:pPr>
        <w:pStyle w:val="Normal"/>
        <w:bidi w:val="0"/>
        <w:spacing w:before="0" w:after="180"/>
        <w:rPr/>
      </w:pPr>
      <w:r>
        <w:rPr>
          <w:rFonts w:ascii="Cambria" w:hAnsi="Cambria" w:eastAsia="Microsoft YaHei" w:cs="FreeSans"/>
          <w:color w:val="1E2530"/>
          <w:sz w:val="22"/>
          <w:szCs w:val="24"/>
          <w:lang w:val="en-US" w:eastAsia="zh-CN" w:bidi="hi-IN"/>
        </w:rPr>
        <w:t>All material above 5% enrichment remains in Iran under IAEA seals throughout the 60-day period except the 50kg fuel swap quantity held under IAEA custody in Oman. No US personnel access the Oman facility without Iran's explicit, revocable, per-visit consent.</w:t>
      </w:r>
    </w:p>
    <w:p>
      <w:pPr>
        <w:pStyle w:val="Heading1"/>
        <w:keepNext w:val="true"/>
        <w:keepLines/>
        <w:bidi w:val="0"/>
        <w:spacing w:before="480" w:after="240"/>
        <w:rPr/>
      </w:pPr>
      <w:bookmarkStart w:id="11" w:name="_Toc011"/>
      <w:r>
        <w:rPr>
          <w:szCs w:val="24"/>
          <w:lang w:val="en-US" w:eastAsia="zh-CN" w:bidi="hi-IN"/>
          <w:rFonts w:ascii="Cambria" w:hAnsi="Cambria" w:eastAsia="Microsoft YaHei" w:cs="Cambria"/>
          <w:b/>
          <w:color w:val="1A2744"/>
          <w:sz w:val="40"/>
        </w:rPr>
        <w:t>Annex B: Lebanon Ceasefire and Firewall Protocol</w:t>
      </w:r>
      <w:bookmarkEnd w:id="11"/>
    </w:p>
    <w:p>
      <w:pPr>
        <w:pStyle w:val="Normal"/>
        <w:bidi w:val="0"/>
        <w:spacing w:before="0" w:after="180"/>
        <w:rPr/>
      </w:pPr>
      <w:r>
        <w:rPr>
          <w:rFonts w:ascii="Cambria" w:hAnsi="Cambria" w:eastAsia="Microsoft YaHei" w:cs="FreeSans"/>
          <w:color w:val="1E2530"/>
          <w:sz w:val="22"/>
          <w:szCs w:val="24"/>
          <w:lang w:val="en-US" w:eastAsia="zh-CN" w:bidi="hi-IN"/>
        </w:rPr>
        <w:t>This annex establishes a Day 1 ceasefire on the Lebanon front as a commitment of this Compact and firewalls it so that a lapse on the Lebanon front never cascades into the nuclear, maritime, or economic tracks. The framework includes Lebanon, and the firewall keeps the Lebanon commitment non-cascading.</w:t>
      </w:r>
    </w:p>
    <w:p>
      <w:pPr>
        <w:pStyle w:val="Heading2"/>
        <w:keepNext w:val="true"/>
        <w:keepLines/>
        <w:bidi w:val="0"/>
        <w:spacing w:before="360" w:after="160"/>
        <w:rPr/>
      </w:pPr>
      <w:r>
        <w:rPr>
          <w:szCs w:val="24"/>
          <w:lang w:val="en-US" w:eastAsia="zh-CN" w:bidi="hi-IN"/>
          <w:rFonts w:ascii="Cambria" w:hAnsi="Cambria" w:eastAsia="Microsoft YaHei" w:cs="Cambria"/>
          <w:b/>
          <w:color w:val="2C3E5E"/>
          <w:sz w:val="30"/>
        </w:rPr>
        <w:t>Section B.1 - Firewall Principle</w:t>
      </w:r>
    </w:p>
    <w:p>
      <w:pPr>
        <w:pStyle w:val="Normal"/>
        <w:bidi w:val="0"/>
        <w:spacing w:before="0" w:after="180"/>
        <w:rPr/>
      </w:pPr>
      <w:r>
        <w:rPr>
          <w:rFonts w:ascii="Cambria" w:hAnsi="Cambria" w:eastAsia="Microsoft YaHei" w:cs="FreeSans"/>
          <w:color w:val="1E2530"/>
          <w:sz w:val="22"/>
          <w:szCs w:val="24"/>
          <w:lang w:val="en-US" w:eastAsia="zh-CN" w:bidi="hi-IN"/>
        </w:rPr>
        <w:t>The Lebanon ceasefire operates as a firewalled reciprocity unit inside this Compact. A lapse on the Lebanon front suspends only the Lebanon unit under the proportionality scale of Annex N; the nuclear, maritime, and economic tracks continue operating without interruption. This firewall preserves the whole framework against a single regional incident, and it gives both Parties the confidence to include Lebanon rather than exclude it.</w:t>
      </w:r>
    </w:p>
    <w:p>
      <w:pPr>
        <w:pStyle w:val="Normal"/>
        <w:bidi w:val="0"/>
        <w:spacing w:before="0" w:after="180"/>
        <w:rPr/>
      </w:pPr>
      <w:r>
        <w:rPr>
          <w:rFonts w:ascii="Cambria" w:hAnsi="Cambria" w:eastAsia="Microsoft YaHei" w:cs="FreeSans"/>
          <w:color w:val="1E2530"/>
          <w:sz w:val="22"/>
          <w:szCs w:val="24"/>
          <w:lang w:val="en-US" w:eastAsia="zh-CN" w:bidi="hi-IN"/>
        </w:rPr>
        <w:t>A spontaneous local clash on the Israeli-Lebanese border does not constitute a breach. Such an incident routes to the crisis-communication consultation of Annex I, where the verification record and the no-surprise commitment establish the facts. Only a sustained, attributed, offensive resumption that the consultation confirms suspends the Lebanon unit, and verified de-escalation restores it through Earn-Back.</w:t>
      </w:r>
    </w:p>
    <w:p>
      <w:pPr>
        <w:pStyle w:val="Normal"/>
        <w:bidi w:val="0"/>
        <w:spacing w:before="0" w:after="180"/>
        <w:rPr/>
      </w:pPr>
      <w:r>
        <w:rPr>
          <w:rFonts w:ascii="Cambria" w:hAnsi="Cambria" w:eastAsia="Microsoft YaHei" w:cs="FreeSans"/>
          <w:color w:val="1E2530"/>
          <w:sz w:val="22"/>
          <w:szCs w:val="24"/>
          <w:lang w:val="en-US" w:eastAsia="zh-CN" w:bidi="hi-IN"/>
        </w:rPr>
        <w:t>Three quantitative thresholds define a sustained, attributed, offensive resumption under this Compact: a single military operation causes more than 10 documented fatalities on either side; ground operations expand beyond a 5-kilometer buffer zone from the current line of contact; or three or more cross-border attacks occur within 24 hours. Confirmation by the Joint Coordination Center triggers an emergency Human-in-the-Loop Review within 24 hours.</w:t>
      </w:r>
    </w:p>
    <w:p>
      <w:pPr>
        <w:pStyle w:val="Normal"/>
        <w:bidi w:val="0"/>
        <w:spacing w:before="0" w:after="180"/>
        <w:rPr/>
      </w:pPr>
      <w:r>
        <w:rPr>
          <w:rFonts w:ascii="Cambria" w:hAnsi="Cambria" w:eastAsia="Microsoft YaHei" w:cs="FreeSans"/>
          <w:color w:val="1E2530"/>
          <w:sz w:val="22"/>
          <w:szCs w:val="24"/>
          <w:lang w:val="en-US" w:eastAsia="zh-CN" w:bidi="hi-IN"/>
        </w:rPr>
        <w:t>A finding of sustained, attributed, offensive resumption on the Lebanon front is not final unless at least three independent sources confirm it. The three sources come from the following categories: IAEA-type telemetry or sensor data where applicable; at least two neutral-nation ground observer reports coordinated by the Neutral Guarantor; satellite imagery analyzed by a neutral technical team; or intelligence shared voluntarily by either Party that another source corroborates. A single-source finding, including unilateral national intelligence, does not trigger Step-Back or suspension of the Lebanon unit.</w:t>
      </w:r>
    </w:p>
    <w:p>
      <w:pPr>
        <w:pStyle w:val="Normal"/>
        <w:bidi w:val="0"/>
        <w:spacing w:before="0" w:after="180"/>
        <w:rPr/>
      </w:pPr>
      <w:r>
        <w:rPr>
          <w:rFonts w:ascii="Cambria" w:hAnsi="Cambria" w:eastAsia="Microsoft YaHei" w:cs="FreeSans"/>
          <w:color w:val="1E2530"/>
          <w:sz w:val="22"/>
          <w:szCs w:val="24"/>
          <w:lang w:val="en-US" w:eastAsia="zh-CN" w:bidi="hi-IN"/>
        </w:rPr>
        <w:t>Within 72 hours of any Lebanon-related incident that triggers the crisis protocol, the Joint Coordination Center issues a confidential factual report to both Parties, attributing responsibility based on telemetry, open-source intelligence, and any shared national data. The report itself does not constitute a finding of breach but serves as evidence in subsequent Step-Back or Earn-Back proceedings. The report's attribution section binds neither Party unless both Parties agree to elevate it to the Human-in-the-Loop Review.</w:t>
      </w:r>
    </w:p>
    <w:p>
      <w:pPr>
        <w:pStyle w:val="Normal"/>
        <w:bidi w:val="0"/>
        <w:spacing w:before="0" w:after="180"/>
        <w:rPr/>
      </w:pPr>
      <w:r>
        <w:rPr>
          <w:rFonts w:ascii="Cambria" w:hAnsi="Cambria" w:eastAsia="Microsoft YaHei" w:cs="FreeSans"/>
          <w:color w:val="1E2530"/>
          <w:sz w:val="22"/>
          <w:szCs w:val="24"/>
          <w:lang w:val="en-US" w:eastAsia="zh-CN" w:bidi="hi-IN"/>
        </w:rPr>
        <w:t>The Lebanon ceasefire and firewalled architecture address only the circumstances of June 2026 and the unique relationship between Hezbollah and Iran. The framework architecture creates no precedent and establishes no expectation for any similar arrangement concerning Iranian influence over any other non-state actor in the region, including but not limited to groups in Iraq, Syria, or Yemen. Future discussions of such actors proceed on a voluntary basis, and the framework architecture links no such discussions to compliance with this Compact.</w:t>
      </w:r>
    </w:p>
    <w:p>
      <w:pPr>
        <w:pStyle w:val="Heading2"/>
        <w:keepNext w:val="true"/>
        <w:keepLines/>
        <w:bidi w:val="0"/>
        <w:spacing w:before="360" w:after="160"/>
        <w:rPr/>
      </w:pPr>
      <w:r>
        <w:rPr>
          <w:szCs w:val="24"/>
          <w:lang w:val="en-US" w:eastAsia="zh-CN" w:bidi="hi-IN"/>
          <w:rFonts w:ascii="Cambria" w:hAnsi="Cambria" w:eastAsia="Microsoft YaHei" w:cs="Cambria"/>
          <w:b/>
          <w:color w:val="2C3E5E"/>
          <w:sz w:val="30"/>
        </w:rPr>
        <w:t>Section B.2 - Day 1 Ceasefire Commitment</w:t>
      </w:r>
    </w:p>
    <w:p>
      <w:pPr>
        <w:pStyle w:val="Normal"/>
        <w:bidi w:val="0"/>
        <w:spacing w:before="0" w:after="180"/>
        <w:rPr/>
      </w:pPr>
      <w:r>
        <w:rPr>
          <w:rFonts w:ascii="Cambria" w:hAnsi="Cambria" w:eastAsia="Microsoft YaHei" w:cs="FreeSans"/>
          <w:color w:val="1E2530"/>
          <w:sz w:val="22"/>
          <w:szCs w:val="24"/>
          <w:lang w:val="en-US" w:eastAsia="zh-CN" w:bidi="hi-IN"/>
        </w:rPr>
        <w:t>Within 24 hours of signature, both Parties commit to a ceasefire on the Lebanon front. Offensive operations halt, and defensive positions continue. The United States transmits a formal request through established military-to-military channels to the Government of Israel to cease all offensive operations in Lebanon. Iran commits to communicating with Hezbollah through its established channels to achieve a cessation of offensive operations. The Joint Coordination Center may request, on a confidential and non-attributable basis, a general confirmation that such communication has occurred. The framework architecture excludes the documentation or sharing of the communication's content or the identity of any recipient. Neither Party guarantees the conduct of its respective partner; the framework measures Iran's compliance by the observable outcome on the ground, verified by telemetry and neutral observers, not by the production of internal communications. Each Party commits to the action it undertakes and to the verification record that documents the outcome. The Lebanon ceasefire renews on the same self-renewing 72-hour module that governs the core ceasefire in Section 2.1.</w:t>
      </w:r>
    </w:p>
    <w:p>
      <w:pPr>
        <w:pStyle w:val="Normal"/>
        <w:bidi w:val="0"/>
        <w:spacing w:before="0" w:after="180"/>
        <w:rPr/>
      </w:pPr>
      <w:r>
        <w:rPr>
          <w:rFonts w:ascii="Cambria" w:hAnsi="Cambria" w:eastAsia="Microsoft YaHei" w:cs="FreeSans"/>
          <w:color w:val="1E2530"/>
          <w:sz w:val="22"/>
          <w:szCs w:val="24"/>
          <w:lang w:val="en-US" w:eastAsia="zh-CN" w:bidi="hi-IN"/>
        </w:rPr>
        <w:t>The United States uses its best efforts to notify the Joint Coordination Center within 72 hours of approving any new transfer of major offensive ground weapons systems to Israel. Such notification is voluntary and non-binding. A delay or failure to notify does not constitute a breach of any kind and triggers no Step-Back or other remedy under this Compact.</w:t>
      </w:r>
    </w:p>
    <w:p>
      <w:pPr>
        <w:pStyle w:val="Heading2"/>
        <w:keepNext w:val="true"/>
        <w:keepLines/>
        <w:bidi w:val="0"/>
        <w:spacing w:before="360" w:after="160"/>
        <w:rPr/>
      </w:pPr>
      <w:r>
        <w:rPr>
          <w:szCs w:val="24"/>
          <w:lang w:val="en-US" w:eastAsia="zh-CN" w:bidi="hi-IN"/>
          <w:rFonts w:ascii="Cambria" w:hAnsi="Cambria" w:eastAsia="Microsoft YaHei" w:cs="Cambria"/>
          <w:b/>
          <w:color w:val="2C3E5E"/>
          <w:sz w:val="30"/>
        </w:rPr>
        <w:t>Section B.3 - Non-Interference</w:t>
      </w:r>
    </w:p>
    <w:p>
      <w:pPr>
        <w:pStyle w:val="Normal"/>
        <w:bidi w:val="0"/>
        <w:spacing w:before="0" w:after="180"/>
        <w:rPr/>
      </w:pPr>
      <w:r>
        <w:rPr>
          <w:rFonts w:ascii="Cambria" w:hAnsi="Cambria" w:eastAsia="Microsoft YaHei" w:cs="FreeSans"/>
          <w:color w:val="1E2530"/>
          <w:sz w:val="22"/>
          <w:szCs w:val="24"/>
          <w:lang w:val="en-US" w:eastAsia="zh-CN" w:bidi="hi-IN"/>
        </w:rPr>
        <w:t>During the 60-day Phase Two period, neither Party introduces new military assets or personnel into Lebanon beyond existing deployments. Both Parties support a UN-facilitated dialogue between Lebanese factions. The Neutral Guarantor reports monthly on Lebanese developments without these reports affecting core Compact operations.</w:t>
      </w:r>
    </w:p>
    <w:p>
      <w:pPr>
        <w:pStyle w:val="Heading2"/>
        <w:keepNext w:val="true"/>
        <w:keepLines/>
        <w:bidi w:val="0"/>
        <w:spacing w:before="360" w:after="160"/>
        <w:rPr/>
      </w:pPr>
      <w:r>
        <w:rPr>
          <w:szCs w:val="24"/>
          <w:lang w:val="en-US" w:eastAsia="zh-CN" w:bidi="hi-IN"/>
          <w:rFonts w:ascii="Cambria" w:hAnsi="Cambria" w:eastAsia="Microsoft YaHei" w:cs="Cambria"/>
          <w:b/>
          <w:color w:val="2C3E5E"/>
          <w:sz w:val="30"/>
        </w:rPr>
        <w:t>Section B.4 - Good Faith Mediation for Lebanon-Specific Disputes</w:t>
      </w:r>
    </w:p>
    <w:p>
      <w:pPr>
        <w:pStyle w:val="Normal"/>
        <w:bidi w:val="0"/>
        <w:spacing w:before="0" w:after="180"/>
        <w:rPr/>
      </w:pPr>
      <w:r>
        <w:rPr>
          <w:rFonts w:ascii="Cambria" w:hAnsi="Cambria" w:eastAsia="Microsoft YaHei" w:cs="FreeSans"/>
          <w:color w:val="1E2530"/>
          <w:sz w:val="22"/>
          <w:szCs w:val="24"/>
          <w:lang w:val="en-US" w:eastAsia="zh-CN" w:bidi="hi-IN"/>
        </w:rPr>
        <w:t>Any dispute solely concerning interpretation or implementation of the Lebanon ceasefire routes first to the Neutral Guarantor for facilitated mediation for up to 14 days. During mediation, the Lebanon unit remains in its current status (active or suspended) unless both Parties agree otherwise. Mediation does not toll any deadlines for other reciprocity units. If mediation fails, the dispute routes to the Human-in-the-Loop Review, which treats the Lebanon dispute as a separate track.</w:t>
      </w:r>
    </w:p>
    <w:p>
      <w:pPr>
        <w:pStyle w:val="Heading2"/>
        <w:keepNext w:val="true"/>
        <w:keepLines/>
        <w:bidi w:val="0"/>
        <w:spacing w:before="360" w:after="160"/>
        <w:rPr/>
      </w:pPr>
      <w:r>
        <w:rPr>
          <w:szCs w:val="24"/>
          <w:lang w:val="en-US" w:eastAsia="zh-CN" w:bidi="hi-IN"/>
          <w:rFonts w:ascii="Cambria" w:hAnsi="Cambria" w:eastAsia="Microsoft YaHei" w:cs="Cambria"/>
          <w:b/>
          <w:color w:val="2C3E5E"/>
          <w:sz w:val="30"/>
        </w:rPr>
        <w:t>Section B.5 - Lebanon Status Dashboard</w:t>
      </w:r>
    </w:p>
    <w:p>
      <w:pPr>
        <w:pStyle w:val="Normal"/>
        <w:bidi w:val="0"/>
        <w:spacing w:before="0" w:after="180"/>
        <w:rPr/>
      </w:pPr>
      <w:r>
        <w:rPr>
          <w:rFonts w:ascii="Cambria" w:hAnsi="Cambria" w:eastAsia="Microsoft YaHei" w:cs="FreeSans"/>
          <w:color w:val="1E2530"/>
          <w:sz w:val="22"/>
          <w:szCs w:val="24"/>
          <w:lang w:val="en-US" w:eastAsia="zh-CN" w:bidi="hi-IN"/>
        </w:rPr>
        <w:t>The Joint Coordination Center maintains a distinct Lebanon Status Dashboard accessible to both Parties and the Neutral Guarantor. A suspension of the Lebanon unit appears only on this secondary dashboard. The framework architecture isolates the Lebanon dashboard from the main verification dashboard for nuclear, maritime, or economic tracks. Only a separate finding of material breach by the Human-in-the-Loop Review activates cascade beyond the Lebanon unit.</w:t>
      </w:r>
    </w:p>
    <w:p>
      <w:pPr>
        <w:pStyle w:val="Heading2"/>
        <w:keepNext w:val="true"/>
        <w:keepLines/>
        <w:bidi w:val="0"/>
        <w:spacing w:before="360" w:after="160"/>
        <w:rPr/>
      </w:pPr>
      <w:r>
        <w:rPr>
          <w:szCs w:val="24"/>
          <w:lang w:val="en-US" w:eastAsia="zh-CN" w:bidi="hi-IN"/>
          <w:rFonts w:ascii="Cambria" w:hAnsi="Cambria" w:eastAsia="Microsoft YaHei" w:cs="Cambria"/>
          <w:b/>
          <w:color w:val="2C3E5E"/>
          <w:sz w:val="30"/>
        </w:rPr>
        <w:t>Section B.6 - Partial Earn-Back for Lebanon</w:t>
      </w:r>
    </w:p>
    <w:p>
      <w:pPr>
        <w:pStyle w:val="Normal"/>
        <w:bidi w:val="0"/>
        <w:spacing w:before="0" w:after="180"/>
        <w:rPr/>
      </w:pPr>
      <w:r>
        <w:rPr>
          <w:rFonts w:ascii="Cambria" w:hAnsi="Cambria" w:eastAsia="Microsoft YaHei" w:cs="FreeSans"/>
          <w:color w:val="1E2530"/>
          <w:sz w:val="22"/>
          <w:szCs w:val="24"/>
          <w:lang w:val="en-US" w:eastAsia="zh-CN" w:bidi="hi-IN"/>
        </w:rPr>
        <w:t>A three-stage Earn-Back ladder restores a Step-Back of the Lebanon unit. Stage One: a 24-hour probationary cessation of fire lifts immediate sanctions suspensions. Stage Two: a 72-hour sustained halt restores full diplomatic liaison access. Stage Three: seven consecutive days of verified compliance restores the unit to full status. The Joint Coordination Center verifies each stage and posts the result to the Lebanon Dashboard.</w:t>
      </w:r>
    </w:p>
    <w:p>
      <w:pPr>
        <w:pStyle w:val="Heading2"/>
        <w:keepNext w:val="true"/>
        <w:keepLines/>
        <w:bidi w:val="0"/>
        <w:spacing w:before="360" w:after="160"/>
        <w:rPr/>
      </w:pPr>
      <w:r>
        <w:rPr>
          <w:szCs w:val="24"/>
          <w:lang w:val="en-US" w:eastAsia="zh-CN" w:bidi="hi-IN"/>
          <w:rFonts w:ascii="Microsoft YaHei" w:hAnsi="Microsoft YaHei" w:eastAsia="Microsoft YaHei" w:cs="Cambria"/>
          <w:b/>
          <w:color w:val="1E2530"/>
          <w:sz w:val="22"/>
          <w:i/>
        </w:rPr>
        <w:t>Section B.7 - Oman-Facilitated De-escalation Channel</w:t>
      </w:r>
    </w:p>
    <w:p>
      <w:pPr>
        <w:pStyle w:val="Normal"/>
        <w:bidi w:val="0"/>
        <w:spacing w:before="0" w:after="180"/>
        <w:rPr/>
      </w:pPr>
      <w:r>
        <w:rPr>
          <w:rFonts w:ascii="Cambria" w:hAnsi="Cambria" w:eastAsia="Microsoft YaHei" w:cs="FreeSans"/>
          <w:color w:val="1E2530"/>
          <w:sz w:val="22"/>
          <w:szCs w:val="24"/>
          <w:lang w:val="en-US" w:eastAsia="zh-CN" w:bidi="hi-IN"/>
        </w:rPr>
        <w:t>The Neutral Guarantor establishes a confidential de-escalation channel and makes it available to both Israel and Hezbollah. The United States commits to encouraging Israel to use the channel voluntarily. Iran commits to encouraging Hezbollah to use the channel voluntarily. No Party to this Compact forces its partner to participate. Use of the channel is at the sole discretion of Israel and Hezbollah respectively. Oman serves as the neutral relay. The channel addresses only: notification of an imminent military operation to avoid unintended escalation; clarification of ambiguous movements or signals; and requests for a temporary local ceasefire to extract wounded or de-conflict an area. Use of the channel does not constitute recognition or negotiation; the channel operates purely for operational purposes. Neither Party to this Compact discloses the content of channel communications, but both Parties commit to encouraging their respective partners to use the channel in good faith.</w:t>
      </w:r>
    </w:p>
    <w:p>
      <w:pPr>
        <w:pStyle w:val="Heading2"/>
        <w:keepNext w:val="true"/>
        <w:keepLines/>
        <w:bidi w:val="0"/>
        <w:spacing w:before="360" w:after="160"/>
        <w:rPr/>
      </w:pPr>
      <w:r>
        <w:rPr>
          <w:szCs w:val="24"/>
          <w:lang w:val="en-US" w:eastAsia="zh-CN" w:bidi="hi-IN"/>
          <w:rFonts w:ascii="Microsoft YaHei" w:hAnsi="Microsoft YaHei" w:eastAsia="Microsoft YaHei" w:cs="Cambria"/>
          <w:b/>
          <w:color w:val="1E2530"/>
          <w:sz w:val="22"/>
          <w:i/>
        </w:rPr>
        <w:t>Section B.8 - Lebanon Compliance Credits</w:t>
      </w:r>
    </w:p>
    <w:p>
      <w:pPr>
        <w:pStyle w:val="Normal"/>
        <w:bidi w:val="0"/>
        <w:spacing w:before="0" w:after="180"/>
        <w:rPr/>
      </w:pPr>
      <w:r>
        <w:rPr>
          <w:rFonts w:ascii="Cambria" w:hAnsi="Cambria" w:eastAsia="Microsoft YaHei" w:cs="FreeSans"/>
          <w:color w:val="1E2530"/>
          <w:sz w:val="22"/>
          <w:szCs w:val="24"/>
          <w:lang w:val="en-US" w:eastAsia="zh-CN" w:bidi="hi-IN"/>
        </w:rPr>
        <w:t>For every 30 consecutive days that the Lebanon front remains free of any dashboard-verified sustained, attributed, offensive resumption, the Joint Coordination Center registers a Lebanon Compliance Credit. A requesting Party applies such credits at its discretion to: extend any verification window for a nuclear milestone by up to 5 days without penalty; reduce the notice period for a humanitarian asset release by 24 hours; or accumulate credits for conversion into a one-time, non-reversible release of an additional $50 million from frozen assets held in escrow, capped at $250 million total over the life of the Compact. Credits are non-transferable to other compliance areas but may be used by either Party independently.</w:t>
      </w:r>
    </w:p>
    <w:p>
      <w:pPr>
        <w:pStyle w:val="Heading1"/>
        <w:keepNext w:val="true"/>
        <w:keepLines/>
        <w:bidi w:val="0"/>
        <w:spacing w:before="480" w:after="240"/>
        <w:rPr/>
      </w:pPr>
      <w:bookmarkStart w:id="12" w:name="_Toc012"/>
      <w:r>
        <w:rPr>
          <w:rFonts w:eastAsia="Microsoft YaHei" w:cs="Cambria" w:ascii="Microsoft YaHei" w:hAnsi="Microsoft YaHei"/>
          <w:b/>
          <w:color w:val="1A2744"/>
          <w:sz w:val="40"/>
          <w:szCs w:val="40"/>
          <w:lang w:val="en-US" w:eastAsia="zh-CN" w:bidi="hi-IN"/>
        </w:rPr>
        <w:t>Annex C: Frozen Asset Release Schedule</w:t>
      </w:r>
      <w:bookmarkEnd w:id="12"/>
    </w:p>
    <w:p>
      <w:pPr>
        <w:pStyle w:val="Normal"/>
        <w:bidi w:val="0"/>
        <w:spacing w:before="0" w:after="180"/>
        <w:rPr/>
      </w:pPr>
      <w:r>
        <w:rPr>
          <w:rFonts w:eastAsia="Microsoft YaHei" w:cs="Cambria" w:ascii="Microsoft YaHei" w:hAnsi="Microsoft YaHei"/>
          <w:color w:val="1E2530"/>
          <w:sz w:val="22"/>
          <w:szCs w:val="22"/>
          <w:lang w:val="en-US" w:eastAsia="zh-CN" w:bidi="hi-IN"/>
        </w:rPr>
        <w:t>This annex resolves the status of approximately $24 billion in frozen Iranian sovereign assets through a clear, time-bound, milestone-based release schedule that mirrors the phased reciprocal logic of the core Compact.</w:t>
      </w:r>
    </w:p>
    <w:p>
      <w:pPr>
        <w:pStyle w:val="Heading2"/>
        <w:keepNext w:val="true"/>
        <w:keepLines/>
        <w:bidi w:val="0"/>
        <w:spacing w:before="360" w:after="160"/>
        <w:rPr/>
      </w:pPr>
      <w:r>
        <w:rPr>
          <w:rFonts w:eastAsia="Microsoft YaHei" w:cs="Cambria" w:ascii="Microsoft YaHei" w:hAnsi="Microsoft YaHei"/>
          <w:b/>
          <w:color w:val="2C3E5E"/>
          <w:sz w:val="30"/>
          <w:szCs w:val="30"/>
          <w:lang w:val="en-US" w:eastAsia="zh-CN" w:bidi="hi-IN"/>
        </w:rPr>
        <w:t>Section C.1 - Inventory and Total Amount</w:t>
      </w:r>
    </w:p>
    <w:p>
      <w:pPr>
        <w:pStyle w:val="Normal"/>
        <w:bidi w:val="0"/>
        <w:spacing w:before="0" w:after="180"/>
        <w:rPr/>
      </w:pPr>
      <w:r>
        <w:rPr>
          <w:rFonts w:eastAsia="Microsoft YaHei" w:cs="Cambria" w:ascii="Microsoft YaHei" w:hAnsi="Microsoft YaHei"/>
          <w:color w:val="1E2530"/>
          <w:sz w:val="22"/>
          <w:szCs w:val="22"/>
          <w:lang w:val="en-US" w:eastAsia="zh-CN" w:bidi="hi-IN"/>
        </w:rPr>
        <w:t>The Parties acknowledge that Iranian sovereign assets frozen under US sanctions total approximately $24 billion. The exact amount and location of all assets are subject to joint verification by the Swiss-facilitated working group established in Section C.5 within 45 days of this Compact's signature.</w:t>
      </w:r>
    </w:p>
    <w:p>
      <w:pPr>
        <w:pStyle w:val="Heading2"/>
        <w:keepNext w:val="true"/>
        <w:keepLines/>
        <w:bidi w:val="0"/>
        <w:spacing w:before="360" w:after="160"/>
        <w:rPr/>
      </w:pPr>
      <w:r>
        <w:rPr>
          <w:rFonts w:eastAsia="Microsoft YaHei" w:cs="Cambria" w:ascii="Microsoft YaHei" w:hAnsi="Microsoft YaHei"/>
          <w:b/>
          <w:color w:val="2C3E5E"/>
          <w:sz w:val="30"/>
          <w:szCs w:val="30"/>
          <w:lang w:val="en-US" w:eastAsia="zh-CN" w:bidi="hi-IN"/>
        </w:rPr>
        <w:t>Section C.2 - The Two-Tranche Structure</w:t>
      </w:r>
    </w:p>
    <w:p>
      <w:pPr>
        <w:pStyle w:val="Normal"/>
        <w:bidi w:val="0"/>
        <w:spacing w:before="0" w:after="180"/>
        <w:rPr/>
      </w:pPr>
      <w:r>
        <w:rPr>
          <w:rFonts w:eastAsia="Microsoft YaHei" w:cs="Cambria" w:ascii="Microsoft YaHei" w:hAnsi="Microsoft YaHei"/>
          <w:color w:val="1E2530"/>
          <w:sz w:val="22"/>
          <w:szCs w:val="22"/>
          <w:lang w:val="en-US" w:eastAsia="zh-CN" w:bidi="hi-IN"/>
        </w:rPr>
        <w:t>The $24 billion divides into a Phase-Two Initial Compliance Unlock and two Phase-Three tranches:</w:t>
      </w:r>
    </w:p>
    <w:p>
      <w:pPr>
        <w:pStyle w:val="Normal"/>
        <w:numPr>
          <w:ilvl w:val="0"/>
          <w:numId w:val="1"/>
        </w:numPr>
        <w:bidi w:val="0"/>
        <w:spacing w:before="0" w:after="160"/>
        <w:rPr/>
      </w:pPr>
      <w:r>
        <w:rPr>
          <w:rFonts w:eastAsia="Microsoft YaHei" w:cs="Cambria" w:ascii="Microsoft YaHei" w:hAnsi="Microsoft YaHei"/>
          <w:b/>
          <w:color w:val="1E2530"/>
          <w:sz w:val="22"/>
          <w:szCs w:val="22"/>
          <w:lang w:val="en-US" w:eastAsia="zh-CN" w:bidi="hi-IN"/>
        </w:rPr>
        <w:t xml:space="preserve">Initial Compliance Unlock (Phase Two) - </w:t>
      </w:r>
      <w:r>
        <w:rPr>
          <w:rFonts w:eastAsia="Microsoft YaHei" w:cs="Cambria" w:ascii="Microsoft YaHei" w:hAnsi="Microsoft YaHei"/>
          <w:color w:val="1E2530"/>
          <w:sz w:val="22"/>
          <w:szCs w:val="22"/>
          <w:lang w:val="en-US" w:eastAsia="zh-CN" w:bidi="hi-IN"/>
        </w:rPr>
        <w:t>$2 billion of Iran’s own frozen assets releases through neutral Swiss escrow upon the verified Day 14 sealing of all material above 5 percent. No signing event triggers this release. This unlock gives Iran a tangible near-term return on a concrete, dashboard-verified compliance step, and it frames the movement as Iran’s own assets that respond to verified performance rather than as a payment for signing.</w:t>
      </w:r>
    </w:p>
    <w:p>
      <w:pPr>
        <w:pStyle w:val="Normal"/>
        <w:numPr>
          <w:ilvl w:val="0"/>
          <w:numId w:val="1"/>
        </w:numPr>
        <w:bidi w:val="0"/>
        <w:spacing w:before="0" w:after="160"/>
        <w:rPr/>
      </w:pPr>
      <w:r>
        <w:rPr>
          <w:rFonts w:eastAsia="Microsoft YaHei" w:cs="Cambria" w:ascii="Microsoft YaHei" w:hAnsi="Microsoft YaHei"/>
          <w:b/>
          <w:color w:val="1E2530"/>
          <w:sz w:val="22"/>
          <w:szCs w:val="22"/>
          <w:lang w:val="en-US" w:eastAsia="zh-CN" w:bidi="hi-IN"/>
        </w:rPr>
        <w:t xml:space="preserve">Tranche A (Verified-Milestone Release) - </w:t>
      </w:r>
      <w:r>
        <w:rPr>
          <w:rFonts w:eastAsia="Microsoft YaHei" w:cs="Cambria" w:ascii="Microsoft YaHei" w:hAnsi="Microsoft YaHei"/>
          <w:color w:val="1E2530"/>
          <w:sz w:val="22"/>
          <w:szCs w:val="22"/>
          <w:lang w:val="en-US" w:eastAsia="zh-CN" w:bidi="hi-IN"/>
        </w:rPr>
        <w:t>$10 billion releases in Phase Three upon a verified nuclear milestone — the IAEA-certified execution of the agreed disposition pathway — and no signing event triggers it. This structure delivers a substantial test-of-trust release while the United States receives verified nuclear performance first.</w:t>
      </w:r>
    </w:p>
    <w:p>
      <w:pPr>
        <w:pStyle w:val="Normal"/>
        <w:numPr>
          <w:ilvl w:val="0"/>
          <w:numId w:val="1"/>
        </w:numPr>
        <w:bidi w:val="0"/>
        <w:spacing w:before="0" w:after="160"/>
        <w:rPr/>
      </w:pPr>
      <w:r>
        <w:rPr>
          <w:rFonts w:eastAsia="Microsoft YaHei" w:cs="Cambria" w:ascii="Microsoft YaHei" w:hAnsi="Microsoft YaHei"/>
          <w:b/>
          <w:color w:val="1E2530"/>
          <w:sz w:val="22"/>
          <w:szCs w:val="22"/>
          <w:lang w:val="en-US" w:eastAsia="zh-CN" w:bidi="hi-IN"/>
        </w:rPr>
        <w:t xml:space="preserve">Tranche B (Milestone-Based Phased Release) - </w:t>
      </w:r>
      <w:r>
        <w:rPr>
          <w:rFonts w:eastAsia="Microsoft YaHei" w:cs="Cambria" w:ascii="Microsoft YaHei" w:hAnsi="Microsoft YaHei"/>
          <w:color w:val="1E2530"/>
          <w:sz w:val="22"/>
          <w:szCs w:val="22"/>
          <w:lang w:val="en-US" w:eastAsia="zh-CN" w:bidi="hi-IN"/>
        </w:rPr>
        <w:t>$12 billion releases in four equal installments of $3 billion each, tied to specific, verifiable milestones in Phase Three.</w:t>
      </w:r>
    </w:p>
    <w:p>
      <w:pPr>
        <w:pStyle w:val="Normal"/>
        <w:bidi w:val="0"/>
        <w:spacing w:before="0" w:after="180"/>
        <w:rPr/>
      </w:pPr>
      <w:r>
        <w:rPr>
          <w:rFonts w:eastAsia="Microsoft YaHei" w:cs="Cambria" w:ascii="Microsoft YaHei" w:hAnsi="Microsoft YaHei"/>
          <w:color w:val="1E2530"/>
          <w:sz w:val="22"/>
          <w:szCs w:val="22"/>
          <w:lang w:val="en-US" w:eastAsia="zh-CN" w:bidi="hi-IN"/>
        </w:rPr>
        <w:t>Only the Initial Compliance Unlock releases during the 60-day Phase Two period, and only upon the verified Day 14 sealing milestone. No other tranche releases during Phase Two. The humanitarian and working capital releases described in Articles II and III of this Compact proceed on their own timelines and do not count against the $24 billion total.</w:t>
      </w:r>
    </w:p>
    <w:p>
      <w:pPr>
        <w:pStyle w:val="Heading2"/>
        <w:keepNext w:val="true"/>
        <w:keepLines/>
        <w:bidi w:val="0"/>
        <w:spacing w:before="360" w:after="160"/>
        <w:rPr/>
      </w:pPr>
      <w:r>
        <w:rPr>
          <w:rFonts w:eastAsia="Microsoft YaHei" w:cs="Cambria" w:ascii="Microsoft YaHei" w:hAnsi="Microsoft YaHei"/>
          <w:b/>
          <w:color w:val="2C3E5E"/>
          <w:sz w:val="30"/>
          <w:szCs w:val="30"/>
          <w:lang w:val="en-US" w:eastAsia="zh-CN" w:bidi="hi-IN"/>
        </w:rPr>
        <w:t>Section C.3 - Release Schedule for Tranche A ($12 Billion)</w:t>
      </w:r>
    </w:p>
    <w:p>
      <w:pPr>
        <w:pStyle w:val="Normal"/>
        <w:bidi w:val="0"/>
        <w:spacing w:before="0" w:after="180"/>
        <w:rPr/>
      </w:pPr>
      <w:r>
        <w:rPr>
          <w:rFonts w:eastAsia="Microsoft YaHei" w:cs="Cambria" w:ascii="Microsoft YaHei" w:hAnsi="Microsoft YaHei"/>
          <w:color w:val="1E2530"/>
          <w:sz w:val="22"/>
          <w:szCs w:val="22"/>
          <w:lang w:val="en-US" w:eastAsia="zh-CN" w:bidi="hi-IN"/>
        </w:rPr>
        <w:t>Tranche A releases in Phase Three upon a verified nuclear milestone — the IAEA-certified execution of the agreed disposition pathway — and no signing event triggers it. Funds transfer to a neutral escrow account at the Central Bank of Oman and then to the Central Bank of Iran within 30 days of certification.</w:t>
      </w:r>
    </w:p>
    <w:tbl>
      <w:tblPr>
        <w:tblW w:w="5000" w:type="pct"/>
        <w:jc w:val="start"/>
        <w:tblInd w:w="0" w:type="dxa"/>
        <w:tblLayout w:type="fixed"/>
        <w:tblCellMar>
          <w:top w:w="0" w:type="dxa"/>
          <w:start w:w="108" w:type="dxa"/>
          <w:bottom w:w="0" w:type="dxa"/>
          <w:end w:w="108" w:type="dxa"/>
        </w:tblCellMar>
      </w:tblPr>
      <w:tblGrid>
        <w:gridCol w:w="3610"/>
        <w:gridCol w:w="1404"/>
        <w:gridCol w:w="4012"/>
      </w:tblGrid>
      <w:tr>
        <w:trPr>
          <w:tblHeader w:val="1"/>
        </w:trPr>
        <w:tc>
          <w:tcPr>
            <w:tcW w:w="3610" w:type="dxa"/>
            <w:tcBorders>
              <w:top w:val="single" w:sz="12" w:space="0" w:color="1A2744"/>
              <w:bottom w:val="single" w:sz="4" w:space="0" w:color="C8C4B8"/>
            </w:tcBorders>
            <w:shd w:color="auto" w:fill="E8E6E0" w:val="clear"/>
          </w:tcPr>
          <w:p>
            <w:pPr>
              <w:pStyle w:val="Normal"/>
              <w:widowControl w:val="false"/>
              <w:bidi w:val="0"/>
              <w:spacing w:before="60" w:after="60"/>
              <w:rPr/>
            </w:pPr>
            <w:r>
              <w:rPr>
                <w:rFonts w:eastAsia="Microsoft YaHei" w:cs="Cambria" w:ascii="Microsoft YaHei" w:hAnsi="Microsoft YaHei"/>
                <w:b/>
                <w:color w:val="1E2530"/>
                <w:sz w:val="20"/>
                <w:szCs w:val="20"/>
                <w:lang w:val="en-US" w:eastAsia="zh-CN" w:bidi="hi-IN"/>
              </w:rPr>
              <w:t>Milestone</w:t>
            </w:r>
          </w:p>
        </w:tc>
        <w:tc>
          <w:tcPr>
            <w:tcW w:w="1404" w:type="dxa"/>
            <w:tcBorders>
              <w:top w:val="single" w:sz="12" w:space="0" w:color="1A2744"/>
              <w:bottom w:val="single" w:sz="4" w:space="0" w:color="C8C4B8"/>
            </w:tcBorders>
            <w:shd w:color="auto" w:fill="E8E6E0" w:val="clear"/>
          </w:tcPr>
          <w:p>
            <w:pPr>
              <w:pStyle w:val="Normal"/>
              <w:widowControl w:val="false"/>
              <w:bidi w:val="0"/>
              <w:spacing w:before="60" w:after="60"/>
              <w:rPr/>
            </w:pPr>
            <w:r>
              <w:rPr>
                <w:rFonts w:eastAsia="Microsoft YaHei" w:cs="Cambria" w:ascii="Microsoft YaHei" w:hAnsi="Microsoft YaHei"/>
                <w:b/>
                <w:color w:val="1E2530"/>
                <w:sz w:val="20"/>
                <w:szCs w:val="20"/>
                <w:lang w:val="en-US" w:eastAsia="zh-CN" w:bidi="hi-IN"/>
              </w:rPr>
              <w:t>Amount</w:t>
            </w:r>
          </w:p>
        </w:tc>
        <w:tc>
          <w:tcPr>
            <w:tcW w:w="4012" w:type="dxa"/>
            <w:tcBorders>
              <w:top w:val="single" w:sz="12" w:space="0" w:color="1A2744"/>
              <w:bottom w:val="single" w:sz="4" w:space="0" w:color="C8C4B8"/>
            </w:tcBorders>
            <w:shd w:color="auto" w:fill="E8E6E0" w:val="clear"/>
          </w:tcPr>
          <w:p>
            <w:pPr>
              <w:pStyle w:val="Normal"/>
              <w:widowControl w:val="false"/>
              <w:bidi w:val="0"/>
              <w:spacing w:before="60" w:after="60"/>
              <w:rPr/>
            </w:pPr>
            <w:r>
              <w:rPr>
                <w:rFonts w:eastAsia="Microsoft YaHei" w:cs="Cambria" w:ascii="Microsoft YaHei" w:hAnsi="Microsoft YaHei"/>
                <w:b/>
                <w:color w:val="1E2530"/>
                <w:sz w:val="20"/>
                <w:szCs w:val="20"/>
                <w:lang w:val="en-US" w:eastAsia="zh-CN" w:bidi="hi-IN"/>
              </w:rPr>
              <w:t>Verification</w:t>
            </w:r>
          </w:p>
        </w:tc>
      </w:tr>
      <w:tr>
        <w:trPr/>
        <w:tc>
          <w:tcPr>
            <w:tcW w:w="3610" w:type="dxa"/>
            <w:tcBorders>
              <w:top w:val="single" w:sz="4" w:space="0" w:color="C8C4B8"/>
              <w:bottom w:val="single" w:sz="12" w:space="0" w:color="1A2744"/>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IAEA-certified execution of the disposition pathway (Phase Three)</w:t>
            </w:r>
          </w:p>
        </w:tc>
        <w:tc>
          <w:tcPr>
            <w:tcW w:w="1404" w:type="dxa"/>
            <w:tcBorders>
              <w:top w:val="single" w:sz="4" w:space="0" w:color="C8C4B8"/>
              <w:bottom w:val="single" w:sz="12" w:space="0" w:color="1A2744"/>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$10 billion</w:t>
            </w:r>
          </w:p>
        </w:tc>
        <w:tc>
          <w:tcPr>
            <w:tcW w:w="4012" w:type="dxa"/>
            <w:tcBorders>
              <w:top w:val="single" w:sz="4" w:space="0" w:color="C8C4B8"/>
              <w:bottom w:val="single" w:sz="12" w:space="0" w:color="1A2744"/>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Joint certification by the Neutral Guarantor and IAEA Director General that the agreement is signed and its core nuclear commitments are formally accepted by both Parties</w:t>
            </w:r>
          </w:p>
        </w:tc>
      </w:tr>
    </w:tbl>
    <w:p>
      <w:pPr>
        <w:pStyle w:val="Heading2"/>
        <w:keepNext w:val="true"/>
        <w:keepLines/>
        <w:bidi w:val="0"/>
        <w:spacing w:before="360" w:after="160"/>
        <w:rPr/>
      </w:pPr>
      <w:r>
        <w:rPr>
          <w:rFonts w:eastAsia="Microsoft YaHei" w:cs="Cambria" w:ascii="Microsoft YaHei" w:hAnsi="Microsoft YaHei"/>
          <w:b/>
          <w:color w:val="2C3E5E"/>
          <w:sz w:val="30"/>
          <w:szCs w:val="30"/>
          <w:lang w:val="en-US" w:eastAsia="zh-CN" w:bidi="hi-IN"/>
        </w:rPr>
        <w:t>Section C.4 - Release Schedule for Tranche B ($12 Billion)</w:t>
      </w:r>
    </w:p>
    <w:p>
      <w:pPr>
        <w:pStyle w:val="Normal"/>
        <w:bidi w:val="0"/>
        <w:spacing w:before="0" w:after="180"/>
        <w:rPr/>
      </w:pPr>
      <w:r>
        <w:rPr>
          <w:rFonts w:eastAsia="Microsoft YaHei" w:cs="Cambria" w:ascii="Microsoft YaHei" w:hAnsi="Microsoft YaHei"/>
          <w:color w:val="1E2530"/>
          <w:sz w:val="22"/>
          <w:szCs w:val="22"/>
          <w:lang w:val="en-US" w:eastAsia="zh-CN" w:bidi="hi-IN"/>
        </w:rPr>
        <w:t>The remaining $12 billion releases in four equal installments of $3 billion each, linked to verified milestones in Phase Three.</w:t>
      </w:r>
    </w:p>
    <w:tbl>
      <w:tblPr>
        <w:tblW w:w="5000" w:type="pct"/>
        <w:jc w:val="start"/>
        <w:tblInd w:w="0" w:type="dxa"/>
        <w:tblLayout w:type="fixed"/>
        <w:tblCellMar>
          <w:top w:w="0" w:type="dxa"/>
          <w:start w:w="108" w:type="dxa"/>
          <w:bottom w:w="0" w:type="dxa"/>
          <w:end w:w="108" w:type="dxa"/>
        </w:tblCellMar>
      </w:tblPr>
      <w:tblGrid>
        <w:gridCol w:w="802"/>
        <w:gridCol w:w="3610"/>
        <w:gridCol w:w="4614"/>
      </w:tblGrid>
      <w:tr>
        <w:trPr>
          <w:tblHeader w:val="1"/>
        </w:trPr>
        <w:tc>
          <w:tcPr>
            <w:tcW w:w="802" w:type="dxa"/>
            <w:tcBorders>
              <w:top w:val="single" w:sz="12" w:space="0" w:color="1A2744"/>
              <w:bottom w:val="single" w:sz="4" w:space="0" w:color="C8C4B8"/>
            </w:tcBorders>
            <w:shd w:color="auto" w:fill="E8E6E0" w:val="clear"/>
          </w:tcPr>
          <w:p>
            <w:pPr>
              <w:pStyle w:val="Normal"/>
              <w:widowControl w:val="false"/>
              <w:bidi w:val="0"/>
              <w:spacing w:before="60" w:after="60"/>
              <w:rPr/>
            </w:pPr>
            <w:r>
              <w:rPr>
                <w:rFonts w:eastAsia="Microsoft YaHei" w:cs="Cambria" w:ascii="Microsoft YaHei" w:hAnsi="Microsoft YaHei"/>
                <w:b/>
                <w:color w:val="1E2530"/>
                <w:sz w:val="20"/>
                <w:szCs w:val="20"/>
                <w:lang w:val="en-US" w:eastAsia="zh-CN" w:bidi="hi-IN"/>
              </w:rPr>
              <w:t>Installment</w:t>
            </w:r>
          </w:p>
        </w:tc>
        <w:tc>
          <w:tcPr>
            <w:tcW w:w="3610" w:type="dxa"/>
            <w:tcBorders>
              <w:top w:val="single" w:sz="12" w:space="0" w:color="1A2744"/>
              <w:bottom w:val="single" w:sz="4" w:space="0" w:color="C8C4B8"/>
            </w:tcBorders>
            <w:shd w:color="auto" w:fill="E8E6E0" w:val="clear"/>
          </w:tcPr>
          <w:p>
            <w:pPr>
              <w:pStyle w:val="Normal"/>
              <w:widowControl w:val="false"/>
              <w:bidi w:val="0"/>
              <w:spacing w:before="60" w:after="60"/>
              <w:rPr/>
            </w:pPr>
            <w:r>
              <w:rPr>
                <w:rFonts w:eastAsia="Microsoft YaHei" w:cs="Cambria" w:ascii="Microsoft YaHei" w:hAnsi="Microsoft YaHei"/>
                <w:b/>
                <w:color w:val="1E2530"/>
                <w:sz w:val="20"/>
                <w:szCs w:val="20"/>
                <w:lang w:val="en-US" w:eastAsia="zh-CN" w:bidi="hi-IN"/>
              </w:rPr>
              <w:t>Milestone</w:t>
            </w:r>
          </w:p>
        </w:tc>
        <w:tc>
          <w:tcPr>
            <w:tcW w:w="4614" w:type="dxa"/>
            <w:tcBorders>
              <w:top w:val="single" w:sz="12" w:space="0" w:color="1A2744"/>
              <w:bottom w:val="single" w:sz="4" w:space="0" w:color="C8C4B8"/>
            </w:tcBorders>
            <w:shd w:color="auto" w:fill="E8E6E0" w:val="clear"/>
          </w:tcPr>
          <w:p>
            <w:pPr>
              <w:pStyle w:val="Normal"/>
              <w:widowControl w:val="false"/>
              <w:bidi w:val="0"/>
              <w:spacing w:before="60" w:after="60"/>
              <w:rPr/>
            </w:pPr>
            <w:r>
              <w:rPr>
                <w:rFonts w:eastAsia="Microsoft YaHei" w:cs="Cambria" w:ascii="Microsoft YaHei" w:hAnsi="Microsoft YaHei"/>
                <w:b/>
                <w:color w:val="1E2530"/>
                <w:sz w:val="20"/>
                <w:szCs w:val="20"/>
                <w:lang w:val="en-US" w:eastAsia="zh-CN" w:bidi="hi-IN"/>
              </w:rPr>
              <w:t>Verification</w:t>
            </w:r>
          </w:p>
        </w:tc>
      </w:tr>
      <w:tr>
        <w:trPr/>
        <w:tc>
          <w:tcPr>
            <w:tcW w:w="80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B-1</w:t>
            </w:r>
          </w:p>
        </w:tc>
        <w:tc>
          <w:tcPr>
            <w:tcW w:w="3610"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IAEA certification that Iran has placed all enriched uranium above 5% under continuous IAEA seals at declared facilities inside Iran</w:t>
            </w:r>
          </w:p>
        </w:tc>
        <w:tc>
          <w:tcPr>
            <w:tcW w:w="4614"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IAEA Director General report to the Joint Commission</w:t>
            </w:r>
          </w:p>
        </w:tc>
      </w:tr>
      <w:tr>
        <w:trPr/>
        <w:tc>
          <w:tcPr>
            <w:tcW w:w="80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B-2</w:t>
            </w:r>
          </w:p>
        </w:tc>
        <w:tc>
          <w:tcPr>
            <w:tcW w:w="3610"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IAEA certification that Iran has completed downblending of all 60% enriched uranium to 20% or below (or has transferred it to the agreed disposition pathway)</w:t>
            </w:r>
          </w:p>
        </w:tc>
        <w:tc>
          <w:tcPr>
            <w:tcW w:w="4614"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IAEA mass spectrometry and continuous monitoring</w:t>
            </w:r>
          </w:p>
        </w:tc>
      </w:tr>
      <w:tr>
        <w:trPr/>
        <w:tc>
          <w:tcPr>
            <w:tcW w:w="80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B-3</w:t>
            </w:r>
          </w:p>
        </w:tc>
        <w:tc>
          <w:tcPr>
            <w:tcW w:w="3610"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Fordow conversion to a medical isotope research center under IAEA supervision (or alternative agreed disposition)</w:t>
            </w:r>
          </w:p>
        </w:tc>
        <w:tc>
          <w:tcPr>
            <w:tcW w:w="4614"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IAEA certification + Joint Commission confirmation</w:t>
            </w:r>
          </w:p>
        </w:tc>
      </w:tr>
      <w:tr>
        <w:trPr/>
        <w:tc>
          <w:tcPr>
            <w:tcW w:w="802" w:type="dxa"/>
            <w:tcBorders>
              <w:top w:val="single" w:sz="4" w:space="0" w:color="C8C4B8"/>
              <w:bottom w:val="single" w:sz="12" w:space="0" w:color="1A2744"/>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B-4</w:t>
            </w:r>
          </w:p>
        </w:tc>
        <w:tc>
          <w:tcPr>
            <w:tcW w:w="3610" w:type="dxa"/>
            <w:tcBorders>
              <w:top w:val="single" w:sz="4" w:space="0" w:color="C8C4B8"/>
              <w:bottom w:val="single" w:sz="12" w:space="0" w:color="1A2744"/>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12 consecutive months of sustained compliance with all core nuclear commitments: enrichment at or below 3.67%, no undeclared activities, full IAEA access</w:t>
            </w:r>
          </w:p>
        </w:tc>
        <w:tc>
          <w:tcPr>
            <w:tcW w:w="4614" w:type="dxa"/>
            <w:tcBorders>
              <w:top w:val="single" w:sz="4" w:space="0" w:color="C8C4B8"/>
              <w:bottom w:val="single" w:sz="12" w:space="0" w:color="1A2744"/>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IAEA quarterly reports + Joint Commission annual review</w:t>
            </w:r>
          </w:p>
        </w:tc>
      </w:tr>
    </w:tbl>
    <w:p>
      <w:pPr>
        <w:pStyle w:val="Normal"/>
        <w:bidi w:val="0"/>
        <w:spacing w:before="0" w:after="180"/>
        <w:rPr/>
      </w:pPr>
      <w:r>
        <w:rPr>
          <w:rFonts w:eastAsia="Microsoft YaHei" w:cs="Cambria" w:ascii="Microsoft YaHei" w:hAnsi="Microsoft YaHei"/>
          <w:color w:val="1E2530"/>
          <w:sz w:val="22"/>
          <w:szCs w:val="22"/>
          <w:lang w:val="en-US" w:eastAsia="zh-CN" w:bidi="hi-IN"/>
        </w:rPr>
        <w:t>The order of B-2, B-3, and B-4 is adjustable by mutual written agreement of the Parties through the Joint Commission. The total amount of Tranche B ($12 billion) is fixed. If any installment is delayed due to Iranian non-compliance, the remaining installments remain in escrow until compliance is restored through the Earn-Back process in Article VI.</w:t>
      </w:r>
    </w:p>
    <w:p>
      <w:pPr>
        <w:pStyle w:val="Heading2"/>
        <w:keepNext w:val="true"/>
        <w:keepLines/>
        <w:bidi w:val="0"/>
        <w:spacing w:before="360" w:after="160"/>
        <w:rPr/>
      </w:pPr>
      <w:r>
        <w:rPr>
          <w:rFonts w:eastAsia="Microsoft YaHei" w:cs="Cambria" w:ascii="Microsoft YaHei" w:hAnsi="Microsoft YaHei"/>
          <w:b/>
          <w:color w:val="2C3E5E"/>
          <w:sz w:val="30"/>
          <w:szCs w:val="30"/>
          <w:lang w:val="en-US" w:eastAsia="zh-CN" w:bidi="hi-IN"/>
        </w:rPr>
        <w:t>Section C.5 - Escrow and Transparency Mechanism</w:t>
      </w:r>
    </w:p>
    <w:p>
      <w:pPr>
        <w:pStyle w:val="Normal"/>
        <w:bidi w:val="0"/>
        <w:spacing w:before="0" w:after="180"/>
        <w:rPr/>
      </w:pPr>
      <w:r>
        <w:rPr>
          <w:rFonts w:eastAsia="Microsoft YaHei" w:cs="Cambria" w:ascii="Microsoft YaHei" w:hAnsi="Microsoft YaHei"/>
          <w:color w:val="1E2530"/>
          <w:sz w:val="22"/>
          <w:szCs w:val="22"/>
          <w:lang w:val="en-US" w:eastAsia="zh-CN" w:bidi="hi-IN"/>
        </w:rPr>
        <w:t>All funds released under this Annex transfer through the Swiss-hosted escrow account described in Article VIII. The Swiss facilitator executes each release automatically upon IAEA and Joint Commission certification. No further political approval is required.</w:t>
      </w:r>
    </w:p>
    <w:p>
      <w:pPr>
        <w:pStyle w:val="Normal"/>
        <w:bidi w:val="0"/>
        <w:spacing w:before="0" w:after="180"/>
        <w:rPr/>
      </w:pPr>
      <w:r>
        <w:rPr>
          <w:rFonts w:eastAsia="Microsoft YaHei" w:cs="Cambria" w:ascii="Microsoft YaHei" w:hAnsi="Microsoft YaHei"/>
          <w:color w:val="1E2530"/>
          <w:sz w:val="22"/>
          <w:szCs w:val="22"/>
          <w:lang w:val="en-US" w:eastAsia="zh-CN" w:bidi="hi-IN"/>
        </w:rPr>
        <w:t>The Parties establish a Joint Working Group on Frozen Assets, facilitated by Switzerland, with the following mandate: verify the exact total and location of all $24 billion in frozen assets within 45 days; resolve any disputes over asset valuation or accessibility; and report quarterly to the Joint Commission.</w:t>
      </w:r>
    </w:p>
    <w:p>
      <w:pPr>
        <w:pStyle w:val="Heading2"/>
        <w:keepNext w:val="true"/>
        <w:keepLines/>
        <w:bidi w:val="0"/>
        <w:spacing w:before="360" w:after="160"/>
        <w:rPr/>
      </w:pPr>
      <w:r>
        <w:rPr>
          <w:rFonts w:eastAsia="Microsoft YaHei" w:cs="Cambria" w:ascii="Microsoft YaHei" w:hAnsi="Microsoft YaHei"/>
          <w:b/>
          <w:color w:val="2C3E5E"/>
          <w:sz w:val="30"/>
          <w:szCs w:val="30"/>
          <w:lang w:val="en-US" w:eastAsia="zh-CN" w:bidi="hi-IN"/>
        </w:rPr>
        <w:t>Section C.6 - Safeguards Against Re-Freezing</w:t>
      </w:r>
    </w:p>
    <w:p>
      <w:pPr>
        <w:pStyle w:val="Normal"/>
        <w:bidi w:val="0"/>
        <w:spacing w:before="0" w:after="180"/>
        <w:rPr/>
      </w:pPr>
      <w:r>
        <w:rPr>
          <w:rFonts w:eastAsia="Microsoft YaHei" w:cs="Cambria" w:ascii="Microsoft YaHei" w:hAnsi="Microsoft YaHei"/>
          <w:color w:val="1E2530"/>
          <w:sz w:val="22"/>
          <w:szCs w:val="22"/>
          <w:lang w:val="en-US" w:eastAsia="zh-CN" w:bidi="hi-IN"/>
        </w:rPr>
        <w:t>Funds released under this Annex are not subject to re-freezing, re-designation, or new sanctions except through the Step-Back process in Article VI, which requires a Human-in-the-Loop finding of material breach. No unilateral executive order or legislative action claws back released funds.</w:t>
      </w:r>
    </w:p>
    <w:p>
      <w:pPr>
        <w:pStyle w:val="Heading2"/>
        <w:keepNext w:val="true"/>
        <w:keepLines/>
        <w:bidi w:val="0"/>
        <w:spacing w:before="360" w:after="160"/>
        <w:rPr/>
      </w:pPr>
      <w:r>
        <w:rPr>
          <w:rFonts w:eastAsia="Microsoft YaHei" w:cs="Cambria" w:ascii="Microsoft YaHei" w:hAnsi="Microsoft YaHei"/>
          <w:b/>
          <w:color w:val="2C3E5E"/>
          <w:sz w:val="30"/>
          <w:szCs w:val="30"/>
          <w:lang w:val="en-US" w:eastAsia="zh-CN" w:bidi="hi-IN"/>
        </w:rPr>
        <w:t>Section C.7 - Summary Table</w:t>
      </w:r>
    </w:p>
    <w:tbl>
      <w:tblPr>
        <w:tblW w:w="5000" w:type="pct"/>
        <w:jc w:val="start"/>
        <w:tblInd w:w="0" w:type="dxa"/>
        <w:tblLayout w:type="fixed"/>
        <w:tblCellMar>
          <w:top w:w="0" w:type="dxa"/>
          <w:start w:w="108" w:type="dxa"/>
          <w:bottom w:w="0" w:type="dxa"/>
          <w:end w:w="108" w:type="dxa"/>
        </w:tblCellMar>
      </w:tblPr>
      <w:tblGrid>
        <w:gridCol w:w="1404"/>
        <w:gridCol w:w="1403"/>
        <w:gridCol w:w="3611"/>
        <w:gridCol w:w="2607"/>
      </w:tblGrid>
      <w:tr>
        <w:trPr>
          <w:tblHeader w:val="1"/>
        </w:trPr>
        <w:tc>
          <w:tcPr>
            <w:tcW w:w="1404" w:type="dxa"/>
            <w:tcBorders>
              <w:top w:val="single" w:sz="12" w:space="0" w:color="1A2744"/>
              <w:bottom w:val="single" w:sz="4" w:space="0" w:color="C8C4B8"/>
            </w:tcBorders>
            <w:shd w:color="auto" w:fill="E8E6E0" w:val="clear"/>
          </w:tcPr>
          <w:p>
            <w:pPr>
              <w:pStyle w:val="Normal"/>
              <w:widowControl w:val="false"/>
              <w:bidi w:val="0"/>
              <w:spacing w:before="60" w:after="60"/>
              <w:rPr/>
            </w:pPr>
            <w:r>
              <w:rPr>
                <w:rFonts w:eastAsia="Microsoft YaHei" w:cs="Cambria" w:ascii="Microsoft YaHei" w:hAnsi="Microsoft YaHei"/>
                <w:b/>
                <w:color w:val="1E2530"/>
                <w:sz w:val="20"/>
                <w:szCs w:val="20"/>
                <w:lang w:val="en-US" w:eastAsia="zh-CN" w:bidi="hi-IN"/>
              </w:rPr>
              <w:t>Tranche</w:t>
            </w:r>
          </w:p>
        </w:tc>
        <w:tc>
          <w:tcPr>
            <w:tcW w:w="1403" w:type="dxa"/>
            <w:tcBorders>
              <w:top w:val="single" w:sz="12" w:space="0" w:color="1A2744"/>
              <w:bottom w:val="single" w:sz="4" w:space="0" w:color="C8C4B8"/>
            </w:tcBorders>
            <w:shd w:color="auto" w:fill="E8E6E0" w:val="clear"/>
          </w:tcPr>
          <w:p>
            <w:pPr>
              <w:pStyle w:val="Normal"/>
              <w:widowControl w:val="false"/>
              <w:bidi w:val="0"/>
              <w:spacing w:before="60" w:after="60"/>
              <w:rPr/>
            </w:pPr>
            <w:r>
              <w:rPr>
                <w:rFonts w:eastAsia="Microsoft YaHei" w:cs="Cambria" w:ascii="Microsoft YaHei" w:hAnsi="Microsoft YaHei"/>
                <w:b/>
                <w:color w:val="1E2530"/>
                <w:sz w:val="20"/>
                <w:szCs w:val="20"/>
                <w:lang w:val="en-US" w:eastAsia="zh-CN" w:bidi="hi-IN"/>
              </w:rPr>
              <w:t>Amount</w:t>
            </w:r>
          </w:p>
        </w:tc>
        <w:tc>
          <w:tcPr>
            <w:tcW w:w="3611" w:type="dxa"/>
            <w:tcBorders>
              <w:top w:val="single" w:sz="12" w:space="0" w:color="1A2744"/>
              <w:bottom w:val="single" w:sz="4" w:space="0" w:color="C8C4B8"/>
            </w:tcBorders>
            <w:shd w:color="auto" w:fill="E8E6E0" w:val="clear"/>
          </w:tcPr>
          <w:p>
            <w:pPr>
              <w:pStyle w:val="Normal"/>
              <w:widowControl w:val="false"/>
              <w:bidi w:val="0"/>
              <w:spacing w:before="60" w:after="60"/>
              <w:rPr/>
            </w:pPr>
            <w:r>
              <w:rPr>
                <w:rFonts w:eastAsia="Microsoft YaHei" w:cs="Cambria" w:ascii="Microsoft YaHei" w:hAnsi="Microsoft YaHei"/>
                <w:b/>
                <w:color w:val="1E2530"/>
                <w:sz w:val="20"/>
                <w:szCs w:val="20"/>
                <w:lang w:val="en-US" w:eastAsia="zh-CN" w:bidi="hi-IN"/>
              </w:rPr>
              <w:t>Trigger</w:t>
            </w:r>
          </w:p>
        </w:tc>
        <w:tc>
          <w:tcPr>
            <w:tcW w:w="2607" w:type="dxa"/>
            <w:tcBorders>
              <w:top w:val="single" w:sz="12" w:space="0" w:color="1A2744"/>
              <w:bottom w:val="single" w:sz="4" w:space="0" w:color="C8C4B8"/>
            </w:tcBorders>
            <w:shd w:color="auto" w:fill="E8E6E0" w:val="clear"/>
          </w:tcPr>
          <w:p>
            <w:pPr>
              <w:pStyle w:val="Normal"/>
              <w:widowControl w:val="false"/>
              <w:bidi w:val="0"/>
              <w:spacing w:before="60" w:after="60"/>
              <w:rPr/>
            </w:pPr>
            <w:r>
              <w:rPr>
                <w:rFonts w:eastAsia="Microsoft YaHei" w:cs="Cambria" w:ascii="Microsoft YaHei" w:hAnsi="Microsoft YaHei"/>
                <w:b/>
                <w:color w:val="1E2530"/>
                <w:sz w:val="20"/>
                <w:szCs w:val="20"/>
                <w:lang w:val="en-US" w:eastAsia="zh-CN" w:bidi="hi-IN"/>
              </w:rPr>
              <w:t>Timing</w:t>
            </w:r>
          </w:p>
        </w:tc>
      </w:tr>
      <w:tr>
        <w:trPr/>
        <w:tc>
          <w:tcPr>
            <w:tcW w:w="1404"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Init</w:t>
            </w:r>
          </w:p>
        </w:tc>
        <w:tc>
          <w:tcPr>
            <w:tcW w:w="1403"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$2B</w:t>
            </w:r>
          </w:p>
        </w:tc>
        <w:tc>
          <w:tcPr>
            <w:tcW w:w="3611"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Verified Day 14 sealing of all material above 5 percent (Phase Two)</w:t>
            </w:r>
          </w:p>
        </w:tc>
        <w:tc>
          <w:tcPr>
            <w:tcW w:w="2607"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Phase Two, on verified sealing</w:t>
            </w:r>
          </w:p>
        </w:tc>
      </w:tr>
      <w:tr>
        <w:trPr/>
        <w:tc>
          <w:tcPr>
            <w:tcW w:w="1404"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A</w:t>
            </w:r>
          </w:p>
        </w:tc>
        <w:tc>
          <w:tcPr>
            <w:tcW w:w="1403"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$10B</w:t>
            </w:r>
          </w:p>
        </w:tc>
        <w:tc>
          <w:tcPr>
            <w:tcW w:w="3611"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IAEA-certified execution of the disposition pathway (Phase Three)</w:t>
            </w:r>
          </w:p>
        </w:tc>
        <w:tc>
          <w:tcPr>
            <w:tcW w:w="2607"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On verified milestone</w:t>
            </w:r>
          </w:p>
        </w:tc>
      </w:tr>
      <w:tr>
        <w:trPr/>
        <w:tc>
          <w:tcPr>
            <w:tcW w:w="1404"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B-1</w:t>
            </w:r>
          </w:p>
        </w:tc>
        <w:tc>
          <w:tcPr>
            <w:tcW w:w="1403"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$3B</w:t>
            </w:r>
          </w:p>
        </w:tc>
        <w:tc>
          <w:tcPr>
            <w:tcW w:w="3611"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IAEA seals on all HEU/LEU in Iran</w:t>
            </w:r>
          </w:p>
        </w:tc>
        <w:tc>
          <w:tcPr>
            <w:tcW w:w="2607"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Phase Three, early</w:t>
            </w:r>
          </w:p>
        </w:tc>
      </w:tr>
      <w:tr>
        <w:trPr/>
        <w:tc>
          <w:tcPr>
            <w:tcW w:w="1404"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B-2</w:t>
            </w:r>
          </w:p>
        </w:tc>
        <w:tc>
          <w:tcPr>
            <w:tcW w:w="1403"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$3B</w:t>
            </w:r>
          </w:p>
        </w:tc>
        <w:tc>
          <w:tcPr>
            <w:tcW w:w="3611"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60% HEU downblended or transferred to disposition pathway</w:t>
            </w:r>
          </w:p>
        </w:tc>
        <w:tc>
          <w:tcPr>
            <w:tcW w:w="2607"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Phase Three, within 12 months</w:t>
            </w:r>
          </w:p>
        </w:tc>
      </w:tr>
      <w:tr>
        <w:trPr/>
        <w:tc>
          <w:tcPr>
            <w:tcW w:w="1404"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B-3</w:t>
            </w:r>
          </w:p>
        </w:tc>
        <w:tc>
          <w:tcPr>
            <w:tcW w:w="1403"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$3B</w:t>
            </w:r>
          </w:p>
        </w:tc>
        <w:tc>
          <w:tcPr>
            <w:tcW w:w="3611"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Fordow conversion (or agreed alternative)</w:t>
            </w:r>
          </w:p>
        </w:tc>
        <w:tc>
          <w:tcPr>
            <w:tcW w:w="2607"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Phase Three, within 24 months</w:t>
            </w:r>
          </w:p>
        </w:tc>
      </w:tr>
      <w:tr>
        <w:trPr/>
        <w:tc>
          <w:tcPr>
            <w:tcW w:w="1404"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B-4</w:t>
            </w:r>
          </w:p>
        </w:tc>
        <w:tc>
          <w:tcPr>
            <w:tcW w:w="1403"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$3B</w:t>
            </w:r>
          </w:p>
        </w:tc>
        <w:tc>
          <w:tcPr>
            <w:tcW w:w="3611"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12 months sustained compliance</w:t>
            </w:r>
          </w:p>
        </w:tc>
        <w:tc>
          <w:tcPr>
            <w:tcW w:w="2607"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Phase Three, after 12 months</w:t>
            </w:r>
          </w:p>
        </w:tc>
      </w:tr>
      <w:tr>
        <w:trPr/>
        <w:tc>
          <w:tcPr>
            <w:tcW w:w="1404" w:type="dxa"/>
            <w:tcBorders>
              <w:top w:val="single" w:sz="4" w:space="0" w:color="C8C4B8"/>
              <w:bottom w:val="single" w:sz="12" w:space="0" w:color="1A2744"/>
            </w:tcBorders>
            <w:shd w:color="auto" w:fill="E8E6E0" w:val="clear"/>
          </w:tcPr>
          <w:p>
            <w:pPr>
              <w:pStyle w:val="Normal"/>
              <w:widowControl w:val="false"/>
              <w:bidi w:val="0"/>
              <w:spacing w:before="60" w:after="60"/>
              <w:rPr/>
            </w:pPr>
            <w:r>
              <w:rPr>
                <w:rFonts w:eastAsia="Microsoft YaHei" w:cs="Cambria" w:ascii="Microsoft YaHei" w:hAnsi="Microsoft YaHei"/>
                <w:b/>
                <w:color w:val="1E2530"/>
                <w:sz w:val="20"/>
                <w:szCs w:val="20"/>
                <w:lang w:val="en-US" w:eastAsia="zh-CN" w:bidi="hi-IN"/>
              </w:rPr>
              <w:t>Total</w:t>
            </w:r>
          </w:p>
        </w:tc>
        <w:tc>
          <w:tcPr>
            <w:tcW w:w="1403" w:type="dxa"/>
            <w:tcBorders>
              <w:top w:val="single" w:sz="4" w:space="0" w:color="C8C4B8"/>
              <w:bottom w:val="single" w:sz="12" w:space="0" w:color="1A2744"/>
            </w:tcBorders>
            <w:shd w:color="auto" w:fill="E8E6E0" w:val="clear"/>
          </w:tcPr>
          <w:p>
            <w:pPr>
              <w:pStyle w:val="Normal"/>
              <w:widowControl w:val="false"/>
              <w:bidi w:val="0"/>
              <w:spacing w:before="60" w:after="60"/>
              <w:rPr/>
            </w:pPr>
            <w:r>
              <w:rPr>
                <w:rFonts w:eastAsia="Microsoft YaHei" w:cs="Cambria" w:ascii="Microsoft YaHei" w:hAnsi="Microsoft YaHei"/>
                <w:b/>
                <w:color w:val="1E2530"/>
                <w:sz w:val="20"/>
                <w:szCs w:val="20"/>
                <w:lang w:val="en-US" w:eastAsia="zh-CN" w:bidi="hi-IN"/>
              </w:rPr>
              <w:t>$24B</w:t>
            </w:r>
          </w:p>
        </w:tc>
        <w:tc>
          <w:tcPr>
            <w:tcW w:w="3611" w:type="dxa"/>
            <w:tcBorders>
              <w:top w:val="single" w:sz="4" w:space="0" w:color="C8C4B8"/>
              <w:bottom w:val="single" w:sz="12" w:space="0" w:color="1A2744"/>
            </w:tcBorders>
            <w:shd w:color="auto" w:fill="E8E6E0" w:val="clear"/>
          </w:tcPr>
          <w:p>
            <w:pPr>
              <w:pStyle w:val="Normal"/>
              <w:widowControl w:val="false"/>
              <w:bidi w:val="0"/>
              <w:spacing w:before="60" w:after="60"/>
              <w:rPr/>
            </w:pPr>
          </w:p>
        </w:tc>
        <w:tc>
          <w:tcPr>
            <w:tcW w:w="2607" w:type="dxa"/>
            <w:tcBorders>
              <w:top w:val="single" w:sz="4" w:space="0" w:color="C8C4B8"/>
              <w:bottom w:val="single" w:sz="12" w:space="0" w:color="1A2744"/>
            </w:tcBorders>
            <w:shd w:color="auto" w:fill="E8E6E0" w:val="clear"/>
          </w:tcPr>
          <w:p>
            <w:pPr>
              <w:pStyle w:val="Normal"/>
              <w:widowControl w:val="false"/>
              <w:bidi w:val="0"/>
              <w:spacing w:before="60" w:after="60"/>
              <w:rPr/>
            </w:pPr>
          </w:p>
        </w:tc>
      </w:tr>
    </w:tbl>
    <w:p>
      <w:pPr>
        <w:pStyle w:val="Heading1"/>
        <w:keepNext w:val="true"/>
        <w:keepLines/>
        <w:bidi w:val="0"/>
        <w:spacing w:before="480" w:after="240"/>
        <w:rPr/>
      </w:pPr>
      <w:bookmarkStart w:id="13" w:name="_Toc013"/>
      <w:r>
        <w:rPr>
          <w:rFonts w:eastAsia="Microsoft YaHei" w:cs="Cambria" w:ascii="Microsoft YaHei" w:hAnsi="Microsoft YaHei"/>
          <w:b/>
          <w:color w:val="1A2744"/>
          <w:sz w:val="40"/>
          <w:szCs w:val="40"/>
          <w:lang w:val="en-US" w:eastAsia="zh-CN" w:bidi="hi-IN"/>
        </w:rPr>
        <w:t>Annex D: Definitions and Interpretive Notes</w:t>
      </w:r>
      <w:bookmarkEnd w:id="13"/>
    </w:p>
    <w:p>
      <w:pPr>
        <w:pStyle w:val="Normal"/>
        <w:bidi w:val="0"/>
        <w:spacing w:before="0" w:after="180"/>
        <w:rPr/>
      </w:pPr>
      <w:r>
        <w:rPr>
          <w:rFonts w:eastAsia="Microsoft YaHei" w:cs="Cambria" w:ascii="Microsoft YaHei" w:hAnsi="Microsoft YaHei"/>
          <w:color w:val="1E2530"/>
          <w:sz w:val="22"/>
          <w:szCs w:val="22"/>
          <w:lang w:val="en-US" w:eastAsia="zh-CN" w:bidi="hi-IN"/>
        </w:rPr>
        <w:t>This annex provides definitions for terms used throughout this Compact to prevent interpretive disputes.</w:t>
      </w:r>
    </w:p>
    <w:tbl>
      <w:tblPr>
        <w:tblW w:w="5000" w:type="pct"/>
        <w:jc w:val="start"/>
        <w:tblInd w:w="0" w:type="dxa"/>
        <w:tblLayout w:type="fixed"/>
        <w:tblCellMar>
          <w:top w:w="0" w:type="dxa"/>
          <w:start w:w="108" w:type="dxa"/>
          <w:bottom w:w="0" w:type="dxa"/>
          <w:end w:w="108" w:type="dxa"/>
        </w:tblCellMar>
      </w:tblPr>
      <w:tblGrid>
        <w:gridCol w:w="2807"/>
        <w:gridCol w:w="6218"/>
      </w:tblGrid>
      <w:tr>
        <w:trPr>
          <w:tblHeader w:val="1"/>
        </w:trPr>
        <w:tc>
          <w:tcPr>
            <w:tcW w:w="2807" w:type="dxa"/>
            <w:tcBorders>
              <w:top w:val="single" w:sz="12" w:space="0" w:color="1A2744"/>
              <w:bottom w:val="single" w:sz="4" w:space="0" w:color="C8C4B8"/>
            </w:tcBorders>
            <w:shd w:color="auto" w:fill="E8E6E0" w:val="clear"/>
          </w:tcPr>
          <w:p>
            <w:pPr>
              <w:pStyle w:val="Normal"/>
              <w:widowControl w:val="false"/>
              <w:bidi w:val="0"/>
              <w:spacing w:before="60" w:after="60"/>
              <w:rPr/>
            </w:pPr>
            <w:r>
              <w:rPr>
                <w:rFonts w:eastAsia="Microsoft YaHei" w:cs="Cambria" w:ascii="Microsoft YaHei" w:hAnsi="Microsoft YaHei"/>
                <w:b/>
                <w:color w:val="1E2530"/>
                <w:sz w:val="20"/>
                <w:szCs w:val="20"/>
                <w:lang w:val="en-US" w:eastAsia="zh-CN" w:bidi="hi-IN"/>
              </w:rPr>
              <w:t>Term</w:t>
            </w:r>
          </w:p>
        </w:tc>
        <w:tc>
          <w:tcPr>
            <w:tcW w:w="6218" w:type="dxa"/>
            <w:tcBorders>
              <w:top w:val="single" w:sz="12" w:space="0" w:color="1A2744"/>
              <w:bottom w:val="single" w:sz="4" w:space="0" w:color="C8C4B8"/>
            </w:tcBorders>
            <w:shd w:color="auto" w:fill="E8E6E0" w:val="clear"/>
          </w:tcPr>
          <w:p>
            <w:pPr>
              <w:pStyle w:val="Normal"/>
              <w:widowControl w:val="false"/>
              <w:bidi w:val="0"/>
              <w:spacing w:before="60" w:after="60"/>
              <w:rPr/>
            </w:pPr>
            <w:r>
              <w:rPr>
                <w:rFonts w:eastAsia="Microsoft YaHei" w:cs="Cambria" w:ascii="Microsoft YaHei" w:hAnsi="Microsoft YaHei"/>
                <w:b/>
                <w:color w:val="1E2530"/>
                <w:sz w:val="20"/>
                <w:szCs w:val="20"/>
                <w:lang w:val="en-US" w:eastAsia="zh-CN" w:bidi="hi-IN"/>
              </w:rPr>
              <w:t>Definition</w:t>
            </w:r>
          </w:p>
        </w:tc>
      </w:tr>
      <w:tr>
        <w:trPr/>
        <w:tc>
          <w:tcPr>
            <w:tcW w:w="2807"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Transit Toll</w:t>
            </w:r>
          </w:p>
        </w:tc>
        <w:tc>
          <w:tcPr>
            <w:tcW w:w="6218"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A charge that a coastal state places on a vessel for the act of passage itself. The framework architecture excludes transit tolls.</w:t>
            </w:r>
          </w:p>
        </w:tc>
      </w:tr>
      <w:tr>
        <w:trPr/>
        <w:tc>
          <w:tcPr>
            <w:tcW w:w="2807"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Service Fee</w:t>
            </w:r>
          </w:p>
        </w:tc>
        <w:tc>
          <w:tcPr>
            <w:tcW w:w="6218"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A capped, transparent, non-discriminatory charge that compensates a defined marine service the coastal state renders. The framework permits it under Annex M, Section M.1.4, and the charge never conditions passage.</w:t>
            </w:r>
          </w:p>
        </w:tc>
      </w:tr>
      <w:tr>
        <w:trPr/>
        <w:tc>
          <w:tcPr>
            <w:tcW w:w="2807"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Reciprocity Unit</w:t>
            </w:r>
          </w:p>
        </w:tc>
        <w:tc>
          <w:tcPr>
            <w:tcW w:w="6218"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A paired set of commitments, one from each Party, that activate simultaneously.</w:t>
            </w:r>
          </w:p>
        </w:tc>
      </w:tr>
      <w:tr>
        <w:trPr/>
        <w:tc>
          <w:tcPr>
            <w:tcW w:w="2807"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Synchronized Activation</w:t>
            </w:r>
          </w:p>
        </w:tc>
        <w:tc>
          <w:tcPr>
            <w:tcW w:w="6218"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The process by which both commitments in a reciprocity unit begin implementation at the same moment.</w:t>
            </w:r>
          </w:p>
        </w:tc>
      </w:tr>
      <w:tr>
        <w:trPr/>
        <w:tc>
          <w:tcPr>
            <w:tcW w:w="2807"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Step-Back</w:t>
            </w:r>
          </w:p>
        </w:tc>
        <w:tc>
          <w:tcPr>
            <w:tcW w:w="6218"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A proportional suspension of reciprocity units in response to a confirmed breach, excluding snapback.</w:t>
            </w:r>
          </w:p>
        </w:tc>
      </w:tr>
      <w:tr>
        <w:trPr/>
        <w:tc>
          <w:tcPr>
            <w:tcW w:w="2807"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Earn-Back</w:t>
            </w:r>
          </w:p>
        </w:tc>
        <w:tc>
          <w:tcPr>
            <w:tcW w:w="6218"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The automatic restoration of suspended reciprocity units upon correction of the underlying deficiency.</w:t>
            </w:r>
          </w:p>
        </w:tc>
      </w:tr>
      <w:tr>
        <w:trPr/>
        <w:tc>
          <w:tcPr>
            <w:tcW w:w="2807"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Neutral Guarantor</w:t>
            </w:r>
          </w:p>
        </w:tc>
        <w:tc>
          <w:tcPr>
            <w:tcW w:w="6218"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The Sultanate of Oman and designated secondary guarantors providing impartial facilitation.</w:t>
            </w:r>
          </w:p>
        </w:tc>
      </w:tr>
      <w:tr>
        <w:trPr/>
        <w:tc>
          <w:tcPr>
            <w:tcW w:w="2807"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Telemetry</w:t>
            </w:r>
          </w:p>
        </w:tc>
        <w:tc>
          <w:tcPr>
            <w:tcW w:w="6218"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Objective, mechanical data including sensor readings, financial records, and physical confirmations.</w:t>
            </w:r>
          </w:p>
        </w:tc>
      </w:tr>
      <w:tr>
        <w:trPr/>
        <w:tc>
          <w:tcPr>
            <w:tcW w:w="2807"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Human-in-the-Loop</w:t>
            </w:r>
          </w:p>
        </w:tc>
        <w:tc>
          <w:tcPr>
            <w:tcW w:w="6218"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The dispute resolution process involving human judgment rather than automated penalties.</w:t>
            </w:r>
          </w:p>
        </w:tc>
      </w:tr>
      <w:tr>
        <w:trPr/>
        <w:tc>
          <w:tcPr>
            <w:tcW w:w="2807"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Coastal State Rights</w:t>
            </w:r>
          </w:p>
        </w:tc>
        <w:tc>
          <w:tcPr>
            <w:tcW w:w="6218"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Iran's rights and responsibilities under international maritime law regarding the Strait of Hormuz.</w:t>
            </w:r>
          </w:p>
        </w:tc>
      </w:tr>
      <w:tr>
        <w:trPr/>
        <w:tc>
          <w:tcPr>
            <w:tcW w:w="2807"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Firewall</w:t>
            </w:r>
          </w:p>
        </w:tc>
        <w:tc>
          <w:tcPr>
            <w:tcW w:w="6218"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The operational separation between the core Compact and standalone annexes such as the Lebanon Protocol.</w:t>
            </w:r>
          </w:p>
        </w:tc>
      </w:tr>
      <w:tr>
        <w:trPr/>
        <w:tc>
          <w:tcPr>
            <w:tcW w:w="2807"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Breakout Timeline</w:t>
            </w:r>
          </w:p>
        </w:tc>
        <w:tc>
          <w:tcPr>
            <w:tcW w:w="6218"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The estimated time required for Iran to produce sufficient fissile material for a nuclear weapon. Not fixed by this Compact.</w:t>
            </w:r>
          </w:p>
        </w:tc>
      </w:tr>
      <w:tr>
        <w:trPr/>
        <w:tc>
          <w:tcPr>
            <w:tcW w:w="2807" w:type="dxa"/>
            <w:tcBorders>
              <w:top w:val="single" w:sz="4" w:space="0" w:color="C8C4B8"/>
              <w:bottom w:val="single" w:sz="12" w:space="0" w:color="1A2744"/>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Swiss Dashboard</w:t>
            </w:r>
          </w:p>
        </w:tc>
        <w:tc>
          <w:tcPr>
            <w:tcW w:w="6218" w:type="dxa"/>
            <w:tcBorders>
              <w:top w:val="single" w:sz="4" w:space="0" w:color="C8C4B8"/>
              <w:bottom w:val="single" w:sz="12" w:space="0" w:color="1A2744"/>
            </w:tcBorders>
          </w:tcPr>
          <w:p>
            <w:pPr>
              <w:pStyle w:val="Normal"/>
              <w:widowControl w:val="false"/>
              <w:bidi w:val="0"/>
              <w:spacing w:before="60" w:after="60"/>
              <w:rPr/>
            </w:pPr>
            <w:r>
              <w:rPr>
                <w:rFonts w:eastAsia="Microsoft YaHei" w:cs="Cambria" w:ascii="Microsoft YaHei" w:hAnsi="Microsoft YaHei"/>
                <w:color w:val="4A5568"/>
                <w:sz w:val="19"/>
                <w:szCs w:val="19"/>
                <w:lang w:val="en-US" w:eastAsia="zh-CN" w:bidi="hi-IN"/>
              </w:rPr>
              <w:t>The single Swiss-hosted digital interface displaying all Compact telemetry and compliance status.</w:t>
            </w:r>
          </w:p>
        </w:tc>
      </w:tr>
    </w:tbl>
    <w:p>
      <w:pPr>
        <w:sectPr>
          <w:headerReference w:type="default" r:id="rId3"/>
          <w:footerReference w:type="default" r:id="rId4"/>
          <w:type w:val="nextPage"/>
          <w:pgSz w:w="11906" w:h="16838"/>
          <w:pgMar w:left="1440" w:right="1440" w:gutter="0" w:header="720" w:top="1800" w:footer="720" w:bottom="1440"/>
          <w:pgNumType w:fmt="decimal"/>
          <w:formProt w:val="false"/>
          <w:textDirection w:val="lrTb"/>
          <w:docGrid w:type="default" w:linePitch="100" w:charSpace="0"/>
        </w:sectPr>
      </w:pPr>
    </w:p>
    <w:p>
      <w:pPr>
        <w:pStyle w:val="Heading1"/>
        <w:bidi w:val="0"/>
        <w:rPr/>
      </w:pPr>
      <w:r>
        <w:rPr>
          <w:rFonts w:eastAsia="Microsoft YaHei" w:cs="Cambria"/>
          <w:b/>
          <w:color w:val="1A2744"/>
          <w:sz w:val="40"/>
          <w:szCs w:val="40"/>
        </w:rPr>
        <w:t>Article IX: Trigger Architecture</w:t>
      </w:r>
    </w:p>
    <w:p>
      <w:pPr>
        <w:pStyle w:val="Normal"/>
        <w:bidi w:val="0"/>
        <w:spacing w:before="0" w:after="180"/>
        <w:rPr/>
      </w:pPr>
      <w:r>
        <w:rPr>
          <w:rFonts w:eastAsia="Microsoft YaHei" w:cs="Cambria"/>
          <w:color w:val="1E2530"/>
          <w:sz w:val="22"/>
          <w:szCs w:val="22"/>
        </w:rPr>
        <w:t>This article establishes the exact moment when deferred commitments activate. Without this trigger architecture, the sequencing loop remains unresolved and neither side moves. This article solves the single biggest obstacle to agreement: the trigger point.</w:t>
      </w:r>
    </w:p>
    <w:p>
      <w:pPr>
        <w:pStyle w:val="Heading2"/>
        <w:keepNext w:val="true"/>
        <w:keepLines/>
        <w:bidi w:val="0"/>
        <w:spacing w:before="360" w:after="160"/>
        <w:rPr/>
      </w:pPr>
      <w:r>
        <w:rPr>
          <w:rFonts w:eastAsia="Microsoft YaHei" w:cs="Cambria"/>
          <w:b/>
          <w:color w:val="2C3E5E"/>
          <w:sz w:val="30"/>
          <w:szCs w:val="30"/>
        </w:rPr>
        <w:t>Section 9.1 - The Single-Sentence Trigger Point</w:t>
      </w:r>
    </w:p>
    <w:p>
      <w:pPr>
        <w:pStyle w:val="Normal"/>
        <w:bidi w:val="0"/>
        <w:spacing w:before="0" w:after="180"/>
        <w:rPr/>
      </w:pPr>
      <w:r>
        <w:rPr>
          <w:rFonts w:eastAsia="Microsoft YaHei" w:cs="Cambria"/>
          <w:color w:val="1E2530"/>
          <w:sz w:val="22"/>
          <w:szCs w:val="22"/>
        </w:rPr>
        <w:t>The following sentence is the operational heart of this Compact. It activates Phase Three and all deferred commitments:</w:t>
      </w:r>
    </w:p>
    <w:p>
      <w:pPr>
        <w:pStyle w:val="Normal"/>
        <w:shd w:val="clear" w:fill="F5F0E8"/>
        <w:bidi w:val="0"/>
        <w:spacing w:before="200" w:after="200"/>
        <w:ind w:start="360" w:end="360" w:hanging="0"/>
        <w:jc w:val="both"/>
        <w:rPr/>
      </w:pPr>
      <w:r>
        <w:rPr>
          <w:rFonts w:eastAsia="Microsoft YaHei" w:cs="Cambria"/>
          <w:i/>
          <w:color w:val="1E2530"/>
          <w:sz w:val="22"/>
          <w:szCs w:val="22"/>
        </w:rPr>
        <w:t>"Upon confirmation by the technical channel that each side has completed its initial parallel measures, Phase Three activates automatically."</w:t>
      </w:r>
    </w:p>
    <w:p>
      <w:pPr>
        <w:pStyle w:val="Normal"/>
        <w:bidi w:val="0"/>
        <w:spacing w:before="0" w:after="180"/>
        <w:rPr/>
      </w:pPr>
      <w:r>
        <w:rPr>
          <w:rFonts w:eastAsia="Microsoft YaHei" w:cs="Cambria"/>
          <w:color w:val="1E2530"/>
          <w:sz w:val="22"/>
          <w:szCs w:val="22"/>
        </w:rPr>
        <w:t>This trigger operates through the following mechanics. Both sides complete initial parallel measures — not identical measures, but simultaneous ones. The technical channel confirms both completions. Phase Three activates without further political negotiation. The trigger removes the "who goes first" problem entirely.</w:t>
      </w:r>
    </w:p>
    <w:p>
      <w:pPr>
        <w:pStyle w:val="Normal"/>
        <w:bidi w:val="0"/>
        <w:spacing w:before="0" w:after="180"/>
        <w:rPr/>
      </w:pPr>
      <w:r>
        <w:rPr>
          <w:rFonts w:eastAsia="Microsoft YaHei" w:cs="Cambria"/>
          <w:color w:val="1E2530"/>
          <w:sz w:val="22"/>
          <w:szCs w:val="22"/>
        </w:rPr>
        <w:t>Iran describes this trigger as simultaneous mutual confirmation, not Iranian concession. The United States describes this trigger as verification-gated activation, not American relief before performance. Both descriptions are accurate because the framework architecture itself performs the activation, not either Party unilaterally.</w:t>
      </w:r>
    </w:p>
    <w:p>
      <w:pPr>
        <w:pStyle w:val="Heading2"/>
        <w:keepNext w:val="true"/>
        <w:keepLines/>
        <w:bidi w:val="0"/>
        <w:spacing w:before="360" w:after="160"/>
        <w:rPr/>
      </w:pPr>
      <w:r>
        <w:rPr>
          <w:rFonts w:eastAsia="Microsoft YaHei" w:cs="Cambria"/>
          <w:b/>
          <w:color w:val="2C3E5E"/>
          <w:sz w:val="30"/>
          <w:szCs w:val="30"/>
        </w:rPr>
        <w:t>Section 9.2 - What Counts as Initial Parallel Measures</w:t>
      </w:r>
    </w:p>
    <w:p>
      <w:pPr>
        <w:pStyle w:val="Normal"/>
        <w:bidi w:val="0"/>
        <w:spacing w:before="0" w:after="180"/>
        <w:rPr/>
      </w:pPr>
      <w:r>
        <w:rPr>
          <w:rFonts w:eastAsia="Microsoft YaHei" w:cs="Cambria"/>
          <w:color w:val="1E2530"/>
          <w:sz w:val="22"/>
          <w:szCs w:val="22"/>
        </w:rPr>
        <w:t>These are small, reversible, low-risk steps that neither side fears. They create the conditions for Phase Three without exposing either Party to unreciprocated compliance.</w:t>
      </w:r>
    </w:p>
    <w:p>
      <w:pPr>
        <w:pStyle w:val="Heading3"/>
        <w:keepNext w:val="true"/>
        <w:keepLines/>
        <w:bidi w:val="0"/>
        <w:spacing w:before="280" w:after="120"/>
        <w:rPr/>
      </w:pPr>
      <w:r>
        <w:rPr>
          <w:rFonts w:eastAsia="Microsoft YaHei" w:cs="Cambria"/>
          <w:b/>
          <w:color w:val="4A5568"/>
          <w:sz w:val="26"/>
          <w:szCs w:val="26"/>
        </w:rPr>
        <w:t>Iran's Initial Measures</w:t>
      </w:r>
    </w:p>
    <w:p>
      <w:pPr>
        <w:pStyle w:val="Normal"/>
        <w:numPr>
          <w:ilvl w:val="0"/>
          <w:numId w:val="1"/>
        </w:numPr>
        <w:bidi w:val="0"/>
        <w:spacing w:before="0" w:after="160"/>
        <w:rPr/>
      </w:pPr>
      <w:r>
        <w:rPr>
          <w:rFonts w:eastAsia="Microsoft YaHei" w:cs="Cambria"/>
          <w:b/>
          <w:color w:val="1E2530"/>
          <w:sz w:val="22"/>
          <w:szCs w:val="22"/>
        </w:rPr>
        <w:t xml:space="preserve">Stabilization step - </w:t>
      </w:r>
      <w:r>
        <w:rPr>
          <w:rFonts w:eastAsia="Microsoft YaHei" w:cs="Cambria"/>
          <w:color w:val="1E2530"/>
          <w:sz w:val="22"/>
          <w:szCs w:val="22"/>
        </w:rPr>
        <w:t>Iran maintains the enrichment freeze at or below 3.67% and sustains IAEA seal integrity on all stockpiled material above 5% enrichment. No new enrichment activity above 3.67% occurs during the initial measures period.</w:t>
      </w:r>
    </w:p>
    <w:p>
      <w:pPr>
        <w:pStyle w:val="Normal"/>
        <w:numPr>
          <w:ilvl w:val="0"/>
          <w:numId w:val="1"/>
        </w:numPr>
        <w:bidi w:val="0"/>
        <w:spacing w:before="0" w:after="160"/>
        <w:rPr/>
      </w:pPr>
      <w:r>
        <w:rPr>
          <w:rFonts w:eastAsia="Microsoft YaHei" w:cs="Cambria"/>
          <w:b/>
          <w:color w:val="1E2530"/>
          <w:sz w:val="22"/>
          <w:szCs w:val="22"/>
        </w:rPr>
        <w:t xml:space="preserve">Freeze on escalation - </w:t>
      </w:r>
      <w:r>
        <w:rPr>
          <w:rFonts w:eastAsia="Microsoft YaHei" w:cs="Cambria"/>
          <w:color w:val="1E2530"/>
          <w:sz w:val="22"/>
          <w:szCs w:val="22"/>
        </w:rPr>
        <w:t>Iran refrains from installing new centrifuges, expanding enrichment capacity, or relocating sealed material without IAEA notification. The framework architecture excludes any centrifuge installation during the initial measures window.</w:t>
      </w:r>
    </w:p>
    <w:p>
      <w:pPr>
        <w:pStyle w:val="Normal"/>
        <w:numPr>
          <w:ilvl w:val="0"/>
          <w:numId w:val="1"/>
        </w:numPr>
        <w:bidi w:val="0"/>
        <w:spacing w:before="0" w:after="160"/>
        <w:rPr/>
      </w:pPr>
      <w:r>
        <w:rPr>
          <w:rFonts w:eastAsia="Microsoft YaHei" w:cs="Cambria"/>
          <w:b/>
          <w:color w:val="1E2530"/>
          <w:sz w:val="22"/>
          <w:szCs w:val="22"/>
        </w:rPr>
        <w:t xml:space="preserve">Cooperation with verification setup - </w:t>
      </w:r>
      <w:r>
        <w:rPr>
          <w:rFonts w:eastAsia="Microsoft YaHei" w:cs="Cambria"/>
          <w:color w:val="1E2530"/>
          <w:sz w:val="22"/>
          <w:szCs w:val="22"/>
        </w:rPr>
        <w:t>Iran facilitates IAEA installation of continuous monitoring equipment at declared facilities and provides access for baseline telemetry readings. This cooperation does not constitute a full inspection regime; it establishes the verification baseline from which Phase Three operates.</w:t>
      </w:r>
    </w:p>
    <w:p>
      <w:pPr>
        <w:pStyle w:val="Heading3"/>
        <w:keepNext w:val="true"/>
        <w:keepLines/>
        <w:bidi w:val="0"/>
        <w:spacing w:before="280" w:after="120"/>
        <w:rPr/>
      </w:pPr>
      <w:r>
        <w:rPr>
          <w:rFonts w:eastAsia="Microsoft YaHei" w:cs="Cambria"/>
          <w:b/>
          <w:color w:val="4A5568"/>
          <w:sz w:val="26"/>
          <w:szCs w:val="26"/>
        </w:rPr>
        <w:t>United States Initial Measures</w:t>
      </w:r>
    </w:p>
    <w:p>
      <w:pPr>
        <w:pStyle w:val="Normal"/>
        <w:numPr>
          <w:ilvl w:val="0"/>
          <w:numId w:val="1"/>
        </w:numPr>
        <w:bidi w:val="0"/>
        <w:spacing w:before="0" w:after="160"/>
        <w:rPr/>
      </w:pPr>
      <w:r>
        <w:rPr>
          <w:rFonts w:eastAsia="Microsoft YaHei" w:cs="Cambria"/>
          <w:b/>
          <w:color w:val="1E2530"/>
          <w:sz w:val="22"/>
          <w:szCs w:val="22"/>
        </w:rPr>
        <w:t xml:space="preserve">Limited, reversible sanctions adjustment - </w:t>
      </w:r>
      <w:r>
        <w:rPr>
          <w:rFonts w:eastAsia="Microsoft YaHei" w:cs="Cambria"/>
          <w:color w:val="1E2530"/>
          <w:sz w:val="22"/>
          <w:szCs w:val="22"/>
        </w:rPr>
        <w:t>The United States expands the existing humanitarian general license to cover additional agricultural commodities and civilian aviation parts. This expansion is reversible within 30 days through standard OFAC procedures.</w:t>
      </w:r>
    </w:p>
    <w:p>
      <w:pPr>
        <w:pStyle w:val="Normal"/>
        <w:numPr>
          <w:ilvl w:val="0"/>
          <w:numId w:val="1"/>
        </w:numPr>
        <w:bidi w:val="0"/>
        <w:spacing w:before="0" w:after="160"/>
        <w:rPr/>
      </w:pPr>
      <w:r>
        <w:rPr>
          <w:rFonts w:eastAsia="Microsoft YaHei" w:cs="Cambria"/>
          <w:b/>
          <w:color w:val="1E2530"/>
          <w:sz w:val="22"/>
          <w:szCs w:val="22"/>
        </w:rPr>
        <w:t xml:space="preserve">Freeze on new designations - </w:t>
      </w:r>
      <w:r>
        <w:rPr>
          <w:rFonts w:eastAsia="Microsoft YaHei" w:cs="Cambria"/>
          <w:color w:val="1E2530"/>
          <w:sz w:val="22"/>
          <w:szCs w:val="22"/>
        </w:rPr>
        <w:t>The United States refrains from imposing new nuclear-related sanctions designations on Iranian entities during the initial measures period. Existing non-nuclear sanctions designations (terrorism, human rights) remain fully enforceable and are not affected by this freeze.</w:t>
      </w:r>
    </w:p>
    <w:p>
      <w:pPr>
        <w:pStyle w:val="Normal"/>
        <w:numPr>
          <w:ilvl w:val="0"/>
          <w:numId w:val="1"/>
        </w:numPr>
        <w:bidi w:val="0"/>
        <w:spacing w:before="0" w:after="160"/>
        <w:rPr/>
      </w:pPr>
      <w:r>
        <w:rPr>
          <w:rFonts w:eastAsia="Microsoft YaHei" w:cs="Cambria"/>
          <w:b/>
          <w:color w:val="1E2530"/>
          <w:sz w:val="22"/>
          <w:szCs w:val="22"/>
        </w:rPr>
        <w:t xml:space="preserve">Humanitarian channel activation - </w:t>
      </w:r>
      <w:r>
        <w:rPr>
          <w:rFonts w:eastAsia="Microsoft YaHei" w:cs="Cambria"/>
          <w:color w:val="1E2530"/>
          <w:sz w:val="22"/>
          <w:szCs w:val="22"/>
        </w:rPr>
        <w:t>The United States supports the processing of the $250 million humanitarian tranche through the Swiss escrow and confirms that no blocking action affects this tranche. This activation proceeds in parallel with Iranian verification cooperation.</w:t>
      </w:r>
    </w:p>
    <w:p>
      <w:pPr>
        <w:pStyle w:val="Heading2"/>
        <w:keepNext w:val="true"/>
        <w:keepLines/>
        <w:bidi w:val="0"/>
        <w:spacing w:before="360" w:after="160"/>
        <w:rPr/>
      </w:pPr>
      <w:r>
        <w:rPr>
          <w:rFonts w:eastAsia="Microsoft YaHei" w:cs="Cambria"/>
          <w:b/>
          <w:color w:val="2C3E5E"/>
          <w:sz w:val="30"/>
          <w:szCs w:val="30"/>
        </w:rPr>
        <w:t>Section 9.3 - Nuclear Trigger Clause</w:t>
      </w:r>
    </w:p>
    <w:p>
      <w:pPr>
        <w:pStyle w:val="Normal"/>
        <w:bidi w:val="0"/>
        <w:spacing w:before="0" w:after="180"/>
        <w:rPr/>
      </w:pPr>
      <w:r>
        <w:rPr>
          <w:rFonts w:eastAsia="Microsoft YaHei" w:cs="Cambria"/>
          <w:color w:val="1E2530"/>
          <w:sz w:val="22"/>
          <w:szCs w:val="22"/>
        </w:rPr>
        <w:t>The nuclear trigger ties the seal regime and enrichment pause to the same automatic activation mechanism. The following provisions govern nuclear-specific triggers:</w:t>
      </w:r>
    </w:p>
    <w:p>
      <w:pPr>
        <w:pStyle w:val="Normal"/>
        <w:numPr>
          <w:ilvl w:val="0"/>
          <w:numId w:val="1"/>
        </w:numPr>
        <w:bidi w:val="0"/>
        <w:spacing w:before="0" w:after="160"/>
        <w:rPr/>
      </w:pPr>
      <w:r>
        <w:rPr>
          <w:rFonts w:eastAsia="Microsoft YaHei" w:cs="Cambria"/>
          <w:b/>
          <w:color w:val="1E2530"/>
          <w:sz w:val="22"/>
          <w:szCs w:val="22"/>
        </w:rPr>
        <w:t xml:space="preserve">Seal regime trigger - </w:t>
      </w:r>
      <w:r>
        <w:rPr>
          <w:rFonts w:eastAsia="Microsoft YaHei" w:cs="Cambria"/>
          <w:color w:val="1E2530"/>
          <w:sz w:val="22"/>
          <w:szCs w:val="22"/>
        </w:rPr>
        <w:t>IAEA confirmation that tamper-evident seals are applied to all enriched uranium stockpiles above 5% and that continuous monitoring equipment is operational at declared facilities activates the Tier Two sanctions relief track automatically. No seal verification means no Tier Two relief.</w:t>
      </w:r>
    </w:p>
    <w:p>
      <w:pPr>
        <w:pStyle w:val="Normal"/>
        <w:numPr>
          <w:ilvl w:val="0"/>
          <w:numId w:val="1"/>
        </w:numPr>
        <w:bidi w:val="0"/>
        <w:spacing w:before="0" w:after="160"/>
        <w:rPr/>
      </w:pPr>
      <w:r>
        <w:rPr>
          <w:rFonts w:eastAsia="Microsoft YaHei" w:cs="Cambria"/>
          <w:b/>
          <w:color w:val="1E2530"/>
          <w:sz w:val="22"/>
          <w:szCs w:val="22"/>
        </w:rPr>
        <w:t xml:space="preserve">Enrichment pause trigger - </w:t>
      </w:r>
      <w:r>
        <w:rPr>
          <w:rFonts w:eastAsia="Microsoft YaHei" w:cs="Cambria"/>
          <w:color w:val="1E2530"/>
          <w:sz w:val="22"/>
          <w:szCs w:val="22"/>
        </w:rPr>
        <w:t>Online enrichment monitor confirmation that no enrichment above 3.67% is occurring at any declared facility activates the Tier Three sanctions relief track automatically. Any enrichment monitor reading above 3.67% suspends the Tier Three track pending IAEA investigation.</w:t>
      </w:r>
    </w:p>
    <w:p>
      <w:pPr>
        <w:pStyle w:val="Normal"/>
        <w:numPr>
          <w:ilvl w:val="0"/>
          <w:numId w:val="1"/>
        </w:numPr>
        <w:bidi w:val="0"/>
        <w:spacing w:before="0" w:after="160"/>
        <w:rPr/>
      </w:pPr>
      <w:r>
        <w:rPr>
          <w:rFonts w:eastAsia="Microsoft YaHei" w:cs="Cambria"/>
          <w:b/>
          <w:color w:val="1E2530"/>
          <w:sz w:val="22"/>
          <w:szCs w:val="22"/>
        </w:rPr>
        <w:t xml:space="preserve">Disposition milestone trigger - </w:t>
      </w:r>
      <w:r>
        <w:rPr>
          <w:rFonts w:eastAsia="Microsoft YaHei" w:cs="Cambria"/>
          <w:color w:val="1E2530"/>
          <w:sz w:val="22"/>
          <w:szCs w:val="22"/>
        </w:rPr>
        <w:t>IAEA certification that Iran has completed the first verified 50% reduction of the 60% HEU stockpile through downblending or transfer to the agreed disposition pathway activates the good-faith fast lane and structural-relief conversion. This is the disposition milestone defined in the operative provisions.</w:t>
      </w:r>
    </w:p>
    <w:p>
      <w:pPr>
        <w:pStyle w:val="Heading2"/>
        <w:keepNext w:val="true"/>
        <w:keepLines/>
        <w:bidi w:val="0"/>
        <w:spacing w:before="360" w:after="160"/>
        <w:rPr/>
      </w:pPr>
      <w:r>
        <w:rPr>
          <w:rFonts w:eastAsia="Microsoft YaHei" w:cs="Cambria"/>
          <w:b/>
          <w:color w:val="2C3E5E"/>
          <w:sz w:val="30"/>
          <w:szCs w:val="30"/>
        </w:rPr>
        <w:t>Section 9.4 - Verification Trigger Clause</w:t>
      </w:r>
    </w:p>
    <w:p>
      <w:pPr>
        <w:pStyle w:val="Normal"/>
        <w:bidi w:val="0"/>
        <w:spacing w:before="0" w:after="180"/>
        <w:rPr/>
      </w:pPr>
      <w:r>
        <w:rPr>
          <w:rFonts w:eastAsia="Microsoft YaHei" w:cs="Cambria"/>
          <w:color w:val="1E2530"/>
          <w:sz w:val="22"/>
          <w:szCs w:val="22"/>
        </w:rPr>
        <w:t>Verification activates immediately upon signature of this Compact. The following provisions govern verification-specific triggers:</w:t>
      </w:r>
    </w:p>
    <w:p>
      <w:pPr>
        <w:pStyle w:val="Normal"/>
        <w:numPr>
          <w:ilvl w:val="0"/>
          <w:numId w:val="1"/>
        </w:numPr>
        <w:bidi w:val="0"/>
        <w:spacing w:before="0" w:after="160"/>
        <w:rPr/>
      </w:pPr>
      <w:r>
        <w:rPr>
          <w:rFonts w:eastAsia="Microsoft YaHei" w:cs="Cambria"/>
          <w:b/>
          <w:color w:val="1E2530"/>
          <w:sz w:val="22"/>
          <w:szCs w:val="22"/>
        </w:rPr>
        <w:t xml:space="preserve">Immediate activation - </w:t>
      </w:r>
      <w:r>
        <w:rPr>
          <w:rFonts w:eastAsia="Microsoft YaHei" w:cs="Cambria"/>
          <w:color w:val="1E2530"/>
          <w:sz w:val="22"/>
          <w:szCs w:val="22"/>
        </w:rPr>
        <w:t>The Swiss-hosted digital dashboard goes live within 24 hours of signature. Both Parties receive login credentials simultaneously. No Party receives access before the other. The dashboard displays all telemetry data from the moment the first sensor comes online.</w:t>
      </w:r>
    </w:p>
    <w:p>
      <w:pPr>
        <w:pStyle w:val="Normal"/>
        <w:numPr>
          <w:ilvl w:val="0"/>
          <w:numId w:val="1"/>
        </w:numPr>
        <w:bidi w:val="0"/>
        <w:spacing w:before="0" w:after="160"/>
        <w:rPr/>
      </w:pPr>
      <w:r>
        <w:rPr>
          <w:rFonts w:eastAsia="Microsoft YaHei" w:cs="Cambria"/>
          <w:b/>
          <w:color w:val="1E2530"/>
          <w:sz w:val="22"/>
          <w:szCs w:val="22"/>
        </w:rPr>
        <w:t xml:space="preserve">Baseline establishment trigger - </w:t>
      </w:r>
      <w:r>
        <w:rPr>
          <w:rFonts w:eastAsia="Microsoft YaHei" w:cs="Cambria"/>
          <w:color w:val="1E2530"/>
          <w:sz w:val="22"/>
          <w:szCs w:val="22"/>
        </w:rPr>
        <w:t>The IAEA completes baseline verification readings within 72 hours of signature and posts the baseline report to the dashboard. This baseline report constitutes the reference point against which all subsequent compliance measurements occur.</w:t>
      </w:r>
    </w:p>
    <w:p>
      <w:pPr>
        <w:pStyle w:val="Normal"/>
        <w:numPr>
          <w:ilvl w:val="0"/>
          <w:numId w:val="1"/>
        </w:numPr>
        <w:bidi w:val="0"/>
        <w:spacing w:before="0" w:after="160"/>
        <w:rPr/>
      </w:pPr>
      <w:r>
        <w:rPr>
          <w:rFonts w:eastAsia="Microsoft YaHei" w:cs="Cambria"/>
          <w:b/>
          <w:color w:val="1E2530"/>
          <w:sz w:val="22"/>
          <w:szCs w:val="22"/>
        </w:rPr>
        <w:t xml:space="preserve">Continuous monitoring trigger - </w:t>
      </w:r>
      <w:r>
        <w:rPr>
          <w:rFonts w:eastAsia="Microsoft YaHei" w:cs="Cambria"/>
          <w:color w:val="1E2530"/>
          <w:sz w:val="22"/>
          <w:szCs w:val="22"/>
        </w:rPr>
        <w:t>All continuous monitoring equipment — online enrichment monitors, remote camera surveillance, tamper-indicating seals — becomes binding on the moment the IAEA certifies it operational. From that moment, sensor data governs compliance determinations, not political interpretation.</w:t>
      </w:r>
    </w:p>
    <w:p>
      <w:pPr>
        <w:pStyle w:val="Heading2"/>
        <w:keepNext w:val="true"/>
        <w:keepLines/>
        <w:bidi w:val="0"/>
        <w:spacing w:before="360" w:after="160"/>
        <w:rPr/>
      </w:pPr>
      <w:r>
        <w:rPr>
          <w:rFonts w:eastAsia="Microsoft YaHei" w:cs="Cambria"/>
          <w:b/>
          <w:color w:val="2C3E5E"/>
          <w:sz w:val="30"/>
          <w:szCs w:val="30"/>
        </w:rPr>
        <w:t>Section 9.5 - Micro-Fallback Clause</w:t>
      </w:r>
    </w:p>
    <w:p>
      <w:pPr>
        <w:pStyle w:val="Normal"/>
        <w:bidi w:val="0"/>
        <w:spacing w:before="0" w:after="180"/>
        <w:rPr/>
      </w:pPr>
      <w:r>
        <w:rPr>
          <w:rFonts w:eastAsia="Microsoft YaHei" w:cs="Cambria"/>
          <w:color w:val="1E2530"/>
          <w:sz w:val="22"/>
          <w:szCs w:val="22"/>
        </w:rPr>
        <w:t>The following 24-hour pause and consultation mechanism protects synchronization without breaking it. This micro-fallback operates below the threshold of the Step-Back procedures in Article VI:</w:t>
      </w:r>
    </w:p>
    <w:p>
      <w:pPr>
        <w:pStyle w:val="Normal"/>
        <w:numPr>
          <w:ilvl w:val="0"/>
          <w:numId w:val="1"/>
        </w:numPr>
        <w:bidi w:val="0"/>
        <w:spacing w:before="0" w:after="160"/>
        <w:rPr/>
      </w:pPr>
      <w:r>
        <w:rPr>
          <w:rFonts w:eastAsia="Microsoft YaHei" w:cs="Cambria"/>
          <w:b/>
          <w:color w:val="1E2530"/>
          <w:sz w:val="22"/>
          <w:szCs w:val="22"/>
        </w:rPr>
        <w:t xml:space="preserve">24-hour consultation pause - </w:t>
      </w:r>
      <w:r>
        <w:rPr>
          <w:rFonts w:eastAsia="Microsoft YaHei" w:cs="Cambria"/>
          <w:color w:val="1E2530"/>
          <w:sz w:val="22"/>
          <w:szCs w:val="22"/>
        </w:rPr>
        <w:t>If either Party identifies a concern regarding the other Party's initial parallel measures, that Party notifies the Joint Coordination Center in writing. All reciprocity units related to Phase Three activation pause for 24 hours. Other reciprocity units continue operating without interruption.</w:t>
      </w:r>
    </w:p>
    <w:p>
      <w:pPr>
        <w:pStyle w:val="Normal"/>
        <w:numPr>
          <w:ilvl w:val="0"/>
          <w:numId w:val="1"/>
        </w:numPr>
        <w:bidi w:val="0"/>
        <w:spacing w:before="0" w:after="160"/>
        <w:rPr/>
      </w:pPr>
      <w:r>
        <w:rPr>
          <w:rFonts w:eastAsia="Microsoft YaHei" w:cs="Cambria"/>
          <w:b/>
          <w:color w:val="1E2530"/>
          <w:sz w:val="22"/>
          <w:szCs w:val="22"/>
        </w:rPr>
        <w:t xml:space="preserve">Technical consultation - </w:t>
      </w:r>
      <w:r>
        <w:rPr>
          <w:rFonts w:eastAsia="Microsoft YaHei" w:cs="Cambria"/>
          <w:color w:val="1E2530"/>
          <w:sz w:val="22"/>
          <w:szCs w:val="22"/>
        </w:rPr>
        <w:t>During the 24-hour pause, technical liaisons from both Parties meet via the Joint Coordination Center to review the specific concern. The Neutral Guarantor facilitates. The consultation focuses on factual verification, not political negotiation.</w:t>
      </w:r>
    </w:p>
    <w:p>
      <w:pPr>
        <w:pStyle w:val="Normal"/>
        <w:numPr>
          <w:ilvl w:val="0"/>
          <w:numId w:val="1"/>
        </w:numPr>
        <w:bidi w:val="0"/>
        <w:spacing w:before="0" w:after="160"/>
        <w:rPr/>
      </w:pPr>
      <w:r>
        <w:rPr>
          <w:rFonts w:eastAsia="Microsoft YaHei" w:cs="Cambria"/>
          <w:b/>
          <w:color w:val="1E2530"/>
          <w:sz w:val="22"/>
          <w:szCs w:val="22"/>
        </w:rPr>
        <w:t xml:space="preserve">Automatic resumption - </w:t>
      </w:r>
      <w:r>
        <w:rPr>
          <w:rFonts w:eastAsia="Microsoft YaHei" w:cs="Cambria"/>
          <w:color w:val="1E2530"/>
          <w:sz w:val="22"/>
          <w:szCs w:val="22"/>
        </w:rPr>
        <w:t>If the concern resolves through technical explanation or corrected action, the paused reciprocity units resume automatically. No formal finding is required. The resumption restores the synchronized timeline where it paused, with adjusted deadlines proportional to the pause duration.</w:t>
      </w:r>
    </w:p>
    <w:p>
      <w:pPr>
        <w:pStyle w:val="Normal"/>
        <w:numPr>
          <w:ilvl w:val="0"/>
          <w:numId w:val="1"/>
        </w:numPr>
        <w:bidi w:val="0"/>
        <w:spacing w:before="0" w:after="160"/>
        <w:rPr/>
        <w:sectPr>
          <w:headerReference w:type="default" r:id="rId5"/>
          <w:footerReference w:type="default" r:id="rId6"/>
          <w:type w:val="nextPage"/>
          <w:pgSz w:w="11906" w:h="16838"/>
          <w:pgMar w:left="1440" w:right="1440" w:gutter="0" w:header="720" w:top="1800" w:footer="720" w:bottom="1440"/>
          <w:pgNumType w:fmt="decimal"/>
          <w:formProt w:val="false"/>
          <w:textDirection w:val="lrTb"/>
          <w:docGrid w:type="default" w:linePitch="100" w:charSpace="0"/>
        </w:sectPr>
      </w:pPr>
      <w:r>
        <w:rPr>
          <w:rFonts w:eastAsia="Microsoft YaHei" w:cs="Cambria"/>
          <w:b/>
          <w:color w:val="1E2530"/>
          <w:sz w:val="22"/>
          <w:szCs w:val="22"/>
        </w:rPr>
        <w:t xml:space="preserve">Escalation path - </w:t>
      </w:r>
      <w:r>
        <w:rPr>
          <w:rFonts w:eastAsia="Microsoft YaHei" w:cs="Cambria"/>
          <w:color w:val="1E2530"/>
          <w:sz w:val="22"/>
          <w:szCs w:val="22"/>
        </w:rPr>
        <w:t>If the concern does not resolve within 24 hours, the matter proceeds to the Human-in-the-Loop Review described in Article VII. The micro-fallback does not block escalation to the full compliance framework; it simply prevents minor technical issues from derailing the entire synchronization sequence.</w:t>
      </w:r>
    </w:p>
    <w:p>
      <w:pPr>
        <w:pStyle w:val="Heading1"/>
        <w:bidi w:val="0"/>
        <w:rPr/>
      </w:pPr>
      <w:r>
        <w:rPr>
          <w:rFonts w:eastAsia="Microsoft YaHei" w:cs="Cambria"/>
          <w:b/>
          <w:color w:val="1A2744"/>
          <w:sz w:val="40"/>
          <w:szCs w:val="40"/>
        </w:rPr>
        <w:t>Article X: Public Wins and Domestic Framing Architecture</w:t>
      </w:r>
    </w:p>
    <w:p>
      <w:pPr>
        <w:pStyle w:val="Normal"/>
        <w:bidi w:val="0"/>
        <w:spacing w:before="0" w:after="180"/>
        <w:rPr/>
      </w:pPr>
      <w:r>
        <w:rPr>
          <w:rFonts w:eastAsia="Microsoft YaHei" w:cs="Cambria"/>
          <w:color w:val="1E2530"/>
          <w:sz w:val="22"/>
          <w:szCs w:val="22"/>
        </w:rPr>
        <w:t>This article establishes the principle that each Party secures demonstrable, near-term wins for its own public, and it anchors the detailed messaging mechanics that Annex G and Annex J carry. The article states the governing principle; the annexes operate it.</w:t>
      </w:r>
    </w:p>
    <w:p>
      <w:pPr>
        <w:pStyle w:val="Heading2"/>
        <w:keepNext w:val="true"/>
        <w:keepLines/>
        <w:bidi w:val="0"/>
        <w:spacing w:before="360" w:after="160"/>
        <w:rPr/>
      </w:pPr>
      <w:r>
        <w:rPr>
          <w:szCs w:val="24"/>
          <w:rFonts w:ascii="Cambria" w:hAnsi="Cambria" w:eastAsia="Microsoft YaHei" w:cs="Cambria"/>
          <w:b/>
          <w:color w:val="2C3E5E"/>
          <w:sz w:val="30"/>
        </w:rPr>
        <w:t>Section 10.1 - Reciprocal Public Wins</w:t>
      </w:r>
    </w:p>
    <w:p>
      <w:pPr>
        <w:pStyle w:val="Normal"/>
        <w:bidi w:val="0"/>
        <w:spacing w:before="0" w:after="180"/>
        <w:rPr/>
      </w:pPr>
      <w:r>
        <w:rPr>
          <w:rFonts w:eastAsia="Microsoft YaHei" w:cs="Cambria"/>
          <w:color w:val="1E2530"/>
          <w:sz w:val="22"/>
          <w:szCs w:val="22"/>
        </w:rPr>
        <w:t>Each phase delivers a concrete, verifiable win to each Party at the same moment, so that neither Party faces its public empty-handed. The Day 1 ceasefire, the Strait reopening, the humanitarian release, and the prisoner exchange supply the immediate wins. The verified-milestone asset unlocks and the calibrated sanctions relief supply the sustained wins. Each win pairs with a reciprocal win for the other Party under the Synchronized Reciprocal Motion principle.</w:t>
      </w:r>
    </w:p>
    <w:p>
      <w:pPr>
        <w:pStyle w:val="Heading2"/>
        <w:keepNext w:val="true"/>
        <w:keepLines/>
        <w:bidi w:val="0"/>
        <w:spacing w:before="360" w:after="160"/>
        <w:rPr/>
      </w:pPr>
      <w:r>
        <w:rPr>
          <w:szCs w:val="24"/>
          <w:rFonts w:ascii="Cambria" w:hAnsi="Cambria" w:eastAsia="Microsoft YaHei" w:cs="Cambria"/>
          <w:b/>
          <w:color w:val="2C3E5E"/>
          <w:sz w:val="30"/>
        </w:rPr>
        <w:t>Section 10.2 - Domestic Framing Autonomy in Practice</w:t>
      </w:r>
    </w:p>
    <w:p>
      <w:pPr>
        <w:pStyle w:val="Normal"/>
        <w:bidi w:val="0"/>
        <w:spacing w:before="0" w:after="180"/>
        <w:rPr/>
      </w:pPr>
      <w:r>
        <w:rPr>
          <w:rFonts w:eastAsia="Microsoft YaHei" w:cs="Cambria"/>
          <w:color w:val="1E2530"/>
          <w:sz w:val="22"/>
          <w:szCs w:val="22"/>
        </w:rPr>
        <w:t>Each Party characterizes the Compact to its own public in its own terms, consistent with the Domestic Framing Autonomy principle. The framework supplies a shared factual floor, which Annex J, Section J.4 defines, and the two narratives rest on that floor. The architecture excludes any official characterization that contradicts the shared factual floor or that depicts the other Party’s commitments as a surrender.</w:t>
      </w:r>
    </w:p>
    <w:p>
      <w:pPr>
        <w:pStyle w:val="Heading2"/>
        <w:keepNext w:val="true"/>
        <w:keepLines/>
        <w:bidi w:val="0"/>
        <w:spacing w:before="360" w:after="160"/>
        <w:rPr/>
      </w:pPr>
      <w:r>
        <w:rPr>
          <w:szCs w:val="24"/>
          <w:rFonts w:ascii="Cambria" w:hAnsi="Cambria" w:eastAsia="Microsoft YaHei" w:cs="Cambria"/>
          <w:b/>
          <w:color w:val="2C3E5E"/>
          <w:sz w:val="30"/>
        </w:rPr>
        <w:t>Section 10.3 - Messaging Mechanics by Reference</w:t>
      </w:r>
    </w:p>
    <w:p>
      <w:pPr>
        <w:pStyle w:val="Normal"/>
        <w:bidi w:val="0"/>
        <w:spacing w:before="0" w:after="180"/>
        <w:rPr/>
      </w:pPr>
      <w:r>
        <w:rPr>
          <w:rFonts w:eastAsia="Microsoft YaHei" w:cs="Cambria"/>
          <w:color w:val="1E2530"/>
          <w:sz w:val="22"/>
          <w:szCs w:val="22"/>
        </w:rPr>
        <w:t>The operative messaging instruments reside in Annex G, which carries the public statements, talking points, and response frameworks, and in Annex J, Section J.4, which carries the public messaging mandate and the messaging compatibility rule. This article incorporates those instruments by reference and adds no separate messaging text, which keeps the entire messaging architecture in one location.</w:t>
      </w:r>
    </w:p>
    <w:p>
      <w:pPr>
        <w:pStyle w:val="Heading1"/>
        <w:bidi w:val="0"/>
        <w:rPr/>
      </w:pPr>
      <w:r>
        <w:rPr>
          <w:rFonts w:eastAsia="Microsoft YaHei" w:cs="Cambria"/>
          <w:b/>
          <w:color w:val="1A2744"/>
          <w:sz w:val="40"/>
          <w:szCs w:val="40"/>
        </w:rPr>
        <w:t>Article XI: Prisoner Exchange and Humanitarian Protocol</w:t>
      </w:r>
    </w:p>
    <w:p>
      <w:pPr>
        <w:pStyle w:val="Normal"/>
        <w:bidi w:val="0"/>
        <w:spacing w:before="0" w:after="180"/>
        <w:rPr/>
      </w:pPr>
      <w:r>
        <w:rPr>
          <w:rFonts w:eastAsia="Microsoft YaHei" w:cs="Cambria"/>
          <w:color w:val="1E2530"/>
          <w:sz w:val="22"/>
          <w:szCs w:val="22"/>
        </w:rPr>
        <w:t>This article addresses the timing, sequencing, and political framing of prisoner releases and humanitarian measures. Even with deferred nuclear steps, the order of prisoner releases matters politically. Neither side releases too early, too late, or in a manner that loses leverage or domestic political credit.</w:t>
      </w:r>
    </w:p>
    <w:p>
      <w:pPr>
        <w:pStyle w:val="Heading2"/>
        <w:keepNext w:val="true"/>
        <w:keepLines/>
        <w:bidi w:val="0"/>
        <w:spacing w:before="360" w:after="160"/>
        <w:rPr/>
      </w:pPr>
      <w:r>
        <w:rPr>
          <w:rFonts w:eastAsia="Microsoft YaHei" w:cs="Cambria"/>
          <w:b/>
          <w:color w:val="2C3E5E"/>
          <w:sz w:val="30"/>
          <w:szCs w:val="30"/>
        </w:rPr>
        <w:t>Section 11.1 - Two-Stage Prisoner Exchange Protocol</w:t>
      </w:r>
    </w:p>
    <w:p>
      <w:pPr>
        <w:pStyle w:val="Normal"/>
        <w:bidi w:val="0"/>
        <w:spacing w:before="0" w:after="180"/>
        <w:rPr/>
      </w:pPr>
      <w:r>
        <w:rPr>
          <w:rFonts w:eastAsia="Microsoft YaHei" w:cs="Cambria"/>
          <w:color w:val="1E2530"/>
          <w:sz w:val="22"/>
          <w:szCs w:val="22"/>
        </w:rPr>
        <w:t>The prisoner exchange proceeds in two stages. Stage One is symbolic and immediate. Stage Two ties to the Phase Three trigger. This sequencing gives both sides an early humanitarian win while preserving leverage for the critical transition period.</w:t>
      </w:r>
    </w:p>
    <w:p>
      <w:pPr>
        <w:pStyle w:val="Heading3"/>
        <w:keepNext w:val="true"/>
        <w:keepLines/>
        <w:bidi w:val="0"/>
        <w:spacing w:before="280" w:after="120"/>
        <w:rPr/>
      </w:pPr>
      <w:r>
        <w:rPr>
          <w:rFonts w:eastAsia="Microsoft YaHei" w:cs="Cambria"/>
          <w:b/>
          <w:color w:val="1E2530"/>
          <w:sz w:val="20"/>
          <w:szCs w:val="20"/>
        </w:rPr>
        <w:t>Stage One: Symbolic Exchange (Days 1-3)</w:t>
      </w:r>
    </w:p>
    <w:p>
      <w:pPr>
        <w:pStyle w:val="Normal"/>
        <w:bidi w:val="0"/>
        <w:spacing w:before="0" w:after="180"/>
        <w:rPr/>
      </w:pPr>
      <w:r>
        <w:rPr>
          <w:rFonts w:eastAsia="Microsoft YaHei" w:cs="Cambria"/>
          <w:color w:val="1E2530"/>
          <w:sz w:val="22"/>
          <w:szCs w:val="22"/>
        </w:rPr>
        <w:t>Within 72 hours of signature, both Parties exchange a symbolic tranche of prisoners and civilian detainees. This tranche comprises:</w:t>
      </w:r>
    </w:p>
    <w:p>
      <w:pPr>
        <w:pStyle w:val="Normal"/>
        <w:numPr>
          <w:ilvl w:val="0"/>
          <w:numId w:val="1"/>
        </w:numPr>
        <w:bidi w:val="0"/>
        <w:spacing w:before="0" w:after="160"/>
        <w:rPr/>
      </w:pPr>
      <w:r>
        <w:rPr>
          <w:rFonts w:eastAsia="Microsoft YaHei" w:cs="Cambria"/>
          <w:b/>
          <w:color w:val="1E2530"/>
          <w:sz w:val="22"/>
          <w:szCs w:val="22"/>
        </w:rPr>
        <w:t xml:space="preserve">Humanitarian priority cases - </w:t>
      </w:r>
      <w:r>
        <w:rPr>
          <w:rFonts w:eastAsia="Microsoft YaHei" w:cs="Cambria"/>
          <w:color w:val="1E2530"/>
          <w:sz w:val="22"/>
          <w:szCs w:val="22"/>
        </w:rPr>
        <w:t>Detainees with serious medical conditions, detainees over the age of 60, and detainees held longest receive priority for Stage One release. The International Committee of the Red Cross identifies priority cases based on established humanitarian criteria.</w:t>
      </w:r>
    </w:p>
    <w:p>
      <w:pPr>
        <w:pStyle w:val="Normal"/>
        <w:numPr>
          <w:ilvl w:val="0"/>
          <w:numId w:val="1"/>
        </w:numPr>
        <w:bidi w:val="0"/>
        <w:spacing w:before="0" w:after="160"/>
        <w:rPr/>
      </w:pPr>
      <w:r>
        <w:rPr>
          <w:rFonts w:eastAsia="Microsoft YaHei" w:cs="Cambria"/>
          <w:b/>
          <w:color w:val="1E2530"/>
          <w:sz w:val="22"/>
          <w:szCs w:val="22"/>
        </w:rPr>
        <w:t xml:space="preserve">Number and composition - </w:t>
      </w:r>
      <w:r>
        <w:rPr>
          <w:rFonts w:eastAsia="Microsoft YaHei" w:cs="Cambria"/>
          <w:color w:val="1E2530"/>
          <w:sz w:val="22"/>
          <w:szCs w:val="22"/>
        </w:rPr>
        <w:t>Stage One releases up to 20 detainees from each side, or the total number of detainees if fewer than 20 are held. The exact number and identities remain confidential until the physical transfer is complete. Neither side announces names before transfer.</w:t>
      </w:r>
    </w:p>
    <w:p>
      <w:pPr>
        <w:pStyle w:val="Normal"/>
        <w:numPr>
          <w:ilvl w:val="0"/>
          <w:numId w:val="1"/>
        </w:numPr>
        <w:bidi w:val="0"/>
        <w:spacing w:before="0" w:after="160"/>
        <w:rPr/>
      </w:pPr>
      <w:r>
        <w:rPr>
          <w:rFonts w:eastAsia="Microsoft YaHei" w:cs="Cambria"/>
          <w:b/>
          <w:color w:val="1E2530"/>
          <w:sz w:val="22"/>
          <w:szCs w:val="22"/>
        </w:rPr>
        <w:t xml:space="preserve">Transfer mechanism - </w:t>
      </w:r>
      <w:r>
        <w:rPr>
          <w:rFonts w:eastAsia="Microsoft YaHei" w:cs="Cambria"/>
          <w:color w:val="1E2530"/>
          <w:sz w:val="22"/>
          <w:szCs w:val="22"/>
        </w:rPr>
        <w:t>The Neutral Guarantor facilitates the physical transfer at a neutral location designated by mutual agreement. ICRC witnesses the transfer and certifies completion on the Swiss-hosted dashboard. The transfer occurs simultaneously: neither side releases before the other.</w:t>
      </w:r>
    </w:p>
    <w:p>
      <w:pPr>
        <w:pStyle w:val="Normal"/>
        <w:numPr>
          <w:ilvl w:val="0"/>
          <w:numId w:val="1"/>
        </w:numPr>
        <w:bidi w:val="0"/>
        <w:spacing w:before="0" w:after="160"/>
        <w:rPr/>
      </w:pPr>
      <w:r>
        <w:rPr>
          <w:rFonts w:eastAsia="Microsoft YaHei" w:cs="Cambria"/>
          <w:b/>
          <w:color w:val="1E2530"/>
          <w:sz w:val="22"/>
          <w:szCs w:val="22"/>
        </w:rPr>
        <w:t xml:space="preserve">Narrative framing - </w:t>
      </w:r>
      <w:r>
        <w:rPr>
          <w:rFonts w:eastAsia="Microsoft YaHei" w:cs="Cambria"/>
          <w:color w:val="1E2530"/>
          <w:sz w:val="22"/>
          <w:szCs w:val="22"/>
        </w:rPr>
        <w:t>Both sides describe Stage One as a humanitarian gesture, not a concession. Iran frames it as Iran's humanitarian initiative, matched simultaneously by the United States. The United States frames it as American humanitarian leadership, matched simultaneously by Iran. The simultaneous nature is the narrative.</w:t>
      </w:r>
    </w:p>
    <w:p>
      <w:pPr>
        <w:pStyle w:val="Heading3"/>
        <w:keepNext w:val="true"/>
        <w:keepLines/>
        <w:bidi w:val="0"/>
        <w:spacing w:before="280" w:after="120"/>
        <w:rPr/>
      </w:pPr>
      <w:r>
        <w:rPr>
          <w:rFonts w:eastAsia="Microsoft YaHei" w:cs="Cambria"/>
          <w:b/>
          <w:color w:val="1E2530"/>
          <w:sz w:val="20"/>
          <w:szCs w:val="20"/>
        </w:rPr>
        <w:t>Stage Two: Full Exchange (Tied to Phase Three Trigger)</w:t>
      </w:r>
    </w:p>
    <w:p>
      <w:pPr>
        <w:pStyle w:val="Normal"/>
        <w:bidi w:val="0"/>
        <w:spacing w:before="0" w:after="180"/>
        <w:rPr/>
      </w:pPr>
      <w:r>
        <w:rPr>
          <w:rFonts w:eastAsia="Microsoft YaHei" w:cs="Cambria"/>
          <w:color w:val="1E2530"/>
          <w:sz w:val="22"/>
          <w:szCs w:val="22"/>
        </w:rPr>
        <w:t>Upon activation of the Phase Three trigger described in Article IX, both Parties exchange all remaining prisoners and civilian detainees held in connection with the current conflict. Stage Two operates as follows:</w:t>
      </w:r>
    </w:p>
    <w:p>
      <w:pPr>
        <w:pStyle w:val="Normal"/>
        <w:numPr>
          <w:ilvl w:val="0"/>
          <w:numId w:val="1"/>
        </w:numPr>
        <w:bidi w:val="0"/>
        <w:spacing w:before="0" w:after="160"/>
        <w:rPr/>
      </w:pPr>
      <w:r>
        <w:rPr>
          <w:rFonts w:eastAsia="Microsoft YaHei" w:cs="Cambria"/>
          <w:b/>
          <w:color w:val="1E2530"/>
          <w:sz w:val="22"/>
          <w:szCs w:val="22"/>
        </w:rPr>
        <w:t xml:space="preserve">Trigger linkage - </w:t>
      </w:r>
      <w:r>
        <w:rPr>
          <w:rFonts w:eastAsia="Microsoft YaHei" w:cs="Cambria"/>
          <w:color w:val="1E2530"/>
          <w:sz w:val="22"/>
          <w:szCs w:val="22"/>
        </w:rPr>
        <w:t>Stage Two proceeds only after the technical channel confirms both sides have completed their initial parallel measures and Phase Three activates automatically. The prisoner exchange is part of the Phase Three activation package, not a separate prerequisite.</w:t>
      </w:r>
    </w:p>
    <w:p>
      <w:pPr>
        <w:pStyle w:val="Normal"/>
        <w:numPr>
          <w:ilvl w:val="0"/>
          <w:numId w:val="1"/>
        </w:numPr>
        <w:bidi w:val="0"/>
        <w:spacing w:before="0" w:after="160"/>
        <w:rPr/>
      </w:pPr>
      <w:r>
        <w:rPr>
          <w:rFonts w:eastAsia="Microsoft YaHei" w:cs="Cambria"/>
          <w:b/>
          <w:color w:val="1E2530"/>
          <w:sz w:val="22"/>
          <w:szCs w:val="22"/>
        </w:rPr>
        <w:t xml:space="preserve">Roster verification - </w:t>
      </w:r>
      <w:r>
        <w:rPr>
          <w:rFonts w:eastAsia="Microsoft YaHei" w:cs="Cambria"/>
          <w:color w:val="1E2530"/>
          <w:sz w:val="22"/>
          <w:szCs w:val="22"/>
        </w:rPr>
        <w:t>The Neutral Guarantor verifies the complete roster of remaining detainees from both sides within 48 hours of trigger activation. The ICRC confirms the location and condition of all listed individuals.</w:t>
      </w:r>
    </w:p>
    <w:p>
      <w:pPr>
        <w:pStyle w:val="Normal"/>
        <w:numPr>
          <w:ilvl w:val="0"/>
          <w:numId w:val="1"/>
        </w:numPr>
        <w:bidi w:val="0"/>
        <w:spacing w:before="0" w:after="160"/>
        <w:rPr/>
      </w:pPr>
      <w:r>
        <w:rPr>
          <w:rFonts w:eastAsia="Microsoft YaHei" w:cs="Cambria"/>
          <w:b/>
          <w:color w:val="1E2530"/>
          <w:sz w:val="22"/>
          <w:szCs w:val="22"/>
        </w:rPr>
        <w:t xml:space="preserve">Physical transfer - </w:t>
      </w:r>
      <w:r>
        <w:rPr>
          <w:rFonts w:eastAsia="Microsoft YaHei" w:cs="Cambria"/>
          <w:color w:val="1E2530"/>
          <w:sz w:val="22"/>
          <w:szCs w:val="22"/>
        </w:rPr>
        <w:t>All remaining detainees transfer at the same neutral location used for Stage One, or at an alternative location designated by mutual agreement. The transfer completes within 72 hours of roster verification.</w:t>
      </w:r>
    </w:p>
    <w:p>
      <w:pPr>
        <w:pStyle w:val="Normal"/>
        <w:numPr>
          <w:ilvl w:val="0"/>
          <w:numId w:val="1"/>
        </w:numPr>
        <w:bidi w:val="0"/>
        <w:spacing w:before="0" w:after="160"/>
        <w:rPr/>
      </w:pPr>
      <w:r>
        <w:rPr>
          <w:rFonts w:eastAsia="Microsoft YaHei" w:cs="Cambria"/>
          <w:b/>
          <w:color w:val="1E2530"/>
          <w:sz w:val="22"/>
          <w:szCs w:val="22"/>
        </w:rPr>
        <w:t xml:space="preserve">Simultaneous release - </w:t>
      </w:r>
      <w:r>
        <w:rPr>
          <w:rFonts w:eastAsia="Microsoft YaHei" w:cs="Cambria"/>
          <w:color w:val="1E2530"/>
          <w:sz w:val="22"/>
          <w:szCs w:val="22"/>
        </w:rPr>
        <w:t>Both sides release their detainees at the same moment, witnessed by the ICRC and verified on the Swiss-hosted dashboard. Neither side releases before the other. The simultaneous release is the political protection.</w:t>
      </w:r>
    </w:p>
    <w:p>
      <w:pPr>
        <w:pStyle w:val="Heading2"/>
        <w:keepNext w:val="true"/>
        <w:keepLines/>
        <w:bidi w:val="0"/>
        <w:spacing w:before="360" w:after="160"/>
        <w:rPr/>
      </w:pPr>
      <w:r>
        <w:rPr>
          <w:rFonts w:eastAsia="Microsoft YaHei" w:cs="Cambria"/>
          <w:b/>
          <w:color w:val="2C3E5E"/>
          <w:sz w:val="30"/>
          <w:szCs w:val="30"/>
        </w:rPr>
        <w:t>Section 11.2 - Humanitarian Messaging Package</w:t>
      </w:r>
    </w:p>
    <w:p>
      <w:pPr>
        <w:pStyle w:val="Normal"/>
        <w:bidi w:val="0"/>
        <w:spacing w:before="0" w:after="180"/>
        <w:rPr/>
      </w:pPr>
      <w:r>
        <w:rPr>
          <w:rFonts w:eastAsia="Microsoft YaHei" w:cs="Cambria"/>
          <w:color w:val="1E2530"/>
          <w:sz w:val="22"/>
          <w:szCs w:val="22"/>
        </w:rPr>
        <w:t>The following messaging guidance governs how each side frames humanitarian wins to its domestic audience and to the international community.</w:t>
      </w:r>
    </w:p>
    <w:p>
      <w:pPr>
        <w:pStyle w:val="Heading3"/>
        <w:keepNext w:val="true"/>
        <w:keepLines/>
        <w:bidi w:val="0"/>
        <w:spacing w:before="280" w:after="120"/>
        <w:rPr/>
      </w:pPr>
      <w:r>
        <w:rPr>
          <w:rFonts w:eastAsia="Microsoft YaHei" w:cs="Cambria"/>
          <w:b/>
          <w:color w:val="1E2530"/>
          <w:sz w:val="20"/>
          <w:szCs w:val="20"/>
        </w:rPr>
        <w:t>Iran's Humanitarian Narrative</w:t>
      </w:r>
    </w:p>
    <w:p>
      <w:pPr>
        <w:pStyle w:val="Normal"/>
        <w:bidi w:val="0"/>
        <w:spacing w:before="0" w:after="180"/>
        <w:rPr/>
      </w:pPr>
      <w:r>
        <w:rPr>
          <w:rFonts w:eastAsia="Microsoft YaHei" w:cs="Cambria"/>
          <w:color w:val="1E2530"/>
          <w:sz w:val="22"/>
          <w:szCs w:val="22"/>
        </w:rPr>
        <w:t>Iran frames the humanitarian provisions as follows:</w:t>
      </w:r>
    </w:p>
    <w:p>
      <w:pPr>
        <w:pStyle w:val="Normal"/>
        <w:numPr>
          <w:ilvl w:val="0"/>
          <w:numId w:val="1"/>
        </w:numPr>
        <w:bidi w:val="0"/>
        <w:spacing w:before="0" w:after="160"/>
        <w:rPr/>
      </w:pPr>
      <w:r>
        <w:rPr>
          <w:rFonts w:eastAsia="Microsoft YaHei" w:cs="Cambria"/>
          <w:b/>
          <w:color w:val="1E2530"/>
          <w:sz w:val="22"/>
          <w:szCs w:val="22"/>
        </w:rPr>
        <w:t xml:space="preserve">The $250 million humanitarian tranche - </w:t>
      </w:r>
      <w:r>
        <w:rPr>
          <w:rFonts w:eastAsia="Microsoft YaHei" w:cs="Cambria"/>
          <w:color w:val="1E2530"/>
          <w:sz w:val="22"/>
          <w:szCs w:val="22"/>
        </w:rPr>
        <w:t>"Frozen Iranian assets, illegally withheld for years, now flow to Iranian hospitals, pharmacies, and food security programs. This is not American charity. This is the restoration of what was always Iran's."</w:t>
      </w:r>
    </w:p>
    <w:p>
      <w:pPr>
        <w:pStyle w:val="Normal"/>
        <w:numPr>
          <w:ilvl w:val="0"/>
          <w:numId w:val="1"/>
        </w:numPr>
        <w:bidi w:val="0"/>
        <w:spacing w:before="0" w:after="160"/>
        <w:rPr/>
      </w:pPr>
      <w:r>
        <w:rPr>
          <w:rFonts w:eastAsia="Microsoft YaHei" w:cs="Cambria"/>
          <w:b/>
          <w:color w:val="1E2530"/>
          <w:sz w:val="22"/>
          <w:szCs w:val="22"/>
        </w:rPr>
        <w:t xml:space="preserve">The prisoner exchange - </w:t>
      </w:r>
      <w:r>
        <w:rPr>
          <w:rFonts w:eastAsia="Microsoft YaHei" w:cs="Cambria"/>
          <w:color w:val="1E2530"/>
          <w:sz w:val="22"/>
          <w:szCs w:val="22"/>
        </w:rPr>
        <w:t>"Iranian citizens unjustly detained abroad return home. Iran negotiated their release from strength, not weakness. Every Iranian released corresponds to a simultaneous release by the other side."</w:t>
      </w:r>
    </w:p>
    <w:p>
      <w:pPr>
        <w:pStyle w:val="Normal"/>
        <w:numPr>
          <w:ilvl w:val="0"/>
          <w:numId w:val="1"/>
        </w:numPr>
        <w:bidi w:val="0"/>
        <w:spacing w:before="0" w:after="160"/>
        <w:rPr/>
      </w:pPr>
      <w:r>
        <w:rPr>
          <w:rFonts w:eastAsia="Microsoft YaHei" w:cs="Cambria"/>
          <w:b/>
          <w:color w:val="1E2530"/>
          <w:sz w:val="22"/>
          <w:szCs w:val="22"/>
        </w:rPr>
        <w:t xml:space="preserve">The ceasefire - </w:t>
      </w:r>
      <w:r>
        <w:rPr>
          <w:rFonts w:eastAsia="Microsoft YaHei" w:cs="Cambria"/>
          <w:color w:val="1E2530"/>
          <w:sz w:val="22"/>
          <w:szCs w:val="22"/>
        </w:rPr>
        <w:t>"The bombing stops. Iranian civilians are safe. Iranian infrastructure is no longer under threat. This is what resistance achieves: security without surrender."</w:t>
      </w:r>
    </w:p>
    <w:p>
      <w:pPr>
        <w:pStyle w:val="Heading3"/>
        <w:keepNext w:val="true"/>
        <w:keepLines/>
        <w:bidi w:val="0"/>
        <w:spacing w:before="280" w:after="120"/>
        <w:rPr/>
      </w:pPr>
      <w:r>
        <w:rPr>
          <w:rFonts w:eastAsia="Microsoft YaHei" w:cs="Cambria"/>
          <w:b/>
          <w:color w:val="1E2530"/>
          <w:sz w:val="20"/>
          <w:szCs w:val="20"/>
        </w:rPr>
        <w:t>United States Humanitarian Narrative</w:t>
      </w:r>
    </w:p>
    <w:p>
      <w:pPr>
        <w:pStyle w:val="Normal"/>
        <w:bidi w:val="0"/>
        <w:spacing w:before="0" w:after="180"/>
        <w:rPr/>
      </w:pPr>
      <w:r>
        <w:rPr>
          <w:rFonts w:eastAsia="Microsoft YaHei" w:cs="Cambria"/>
          <w:color w:val="1E2530"/>
          <w:sz w:val="22"/>
          <w:szCs w:val="22"/>
        </w:rPr>
        <w:t>The United States frames the humanitarian provisions as follows:</w:t>
      </w:r>
    </w:p>
    <w:p>
      <w:pPr>
        <w:pStyle w:val="Normal"/>
        <w:numPr>
          <w:ilvl w:val="0"/>
          <w:numId w:val="1"/>
        </w:numPr>
        <w:bidi w:val="0"/>
        <w:spacing w:before="0" w:after="160"/>
        <w:rPr/>
      </w:pPr>
      <w:r>
        <w:rPr>
          <w:rFonts w:eastAsia="Microsoft YaHei" w:cs="Cambria"/>
          <w:b/>
          <w:color w:val="1E2530"/>
          <w:sz w:val="22"/>
          <w:szCs w:val="22"/>
        </w:rPr>
        <w:t xml:space="preserve">The $250 million humanitarian tranche - </w:t>
      </w:r>
      <w:r>
        <w:rPr>
          <w:rFonts w:eastAsia="Microsoft YaHei" w:cs="Cambria"/>
          <w:color w:val="1E2530"/>
          <w:sz w:val="22"/>
          <w:szCs w:val="22"/>
        </w:rPr>
        <w:t>"Humanitarian funds for medicine and food reach the Iranian people directly. These are not payments to the Iranian government. These are humanitarian goods for ordinary Iranians who are not our enemy."</w:t>
      </w:r>
    </w:p>
    <w:p>
      <w:pPr>
        <w:pStyle w:val="Normal"/>
        <w:numPr>
          <w:ilvl w:val="0"/>
          <w:numId w:val="1"/>
        </w:numPr>
        <w:bidi w:val="0"/>
        <w:spacing w:before="0" w:after="160"/>
        <w:rPr/>
      </w:pPr>
      <w:r>
        <w:rPr>
          <w:rFonts w:eastAsia="Microsoft YaHei" w:cs="Cambria"/>
          <w:b/>
          <w:color w:val="1E2530"/>
          <w:sz w:val="22"/>
          <w:szCs w:val="22"/>
        </w:rPr>
        <w:t xml:space="preserve">The prisoner exchange - </w:t>
      </w:r>
      <w:r>
        <w:rPr>
          <w:rFonts w:eastAsia="Microsoft YaHei" w:cs="Cambria"/>
          <w:color w:val="1E2530"/>
          <w:sz w:val="22"/>
          <w:szCs w:val="22"/>
        </w:rPr>
        <w:t>"American citizens and allies unjustly detained in Iran come home. This exchange is simultaneous and reciprocal, not a concession. The United States does not pay ransom; the United States secures release through diplomatic strength."</w:t>
      </w:r>
    </w:p>
    <w:p>
      <w:pPr>
        <w:pStyle w:val="Normal"/>
        <w:numPr>
          <w:ilvl w:val="0"/>
          <w:numId w:val="1"/>
        </w:numPr>
        <w:bidi w:val="0"/>
        <w:spacing w:before="0" w:after="160"/>
        <w:rPr/>
      </w:pPr>
      <w:r>
        <w:rPr>
          <w:rFonts w:eastAsia="Microsoft YaHei" w:cs="Cambria"/>
          <w:b/>
          <w:color w:val="1E2530"/>
          <w:sz w:val="22"/>
          <w:szCs w:val="22"/>
        </w:rPr>
        <w:t xml:space="preserve">The ceasefire - </w:t>
      </w:r>
      <w:r>
        <w:rPr>
          <w:rFonts w:eastAsia="Microsoft YaHei" w:cs="Cambria"/>
          <w:color w:val="1E2530"/>
          <w:sz w:val="22"/>
          <w:szCs w:val="22"/>
        </w:rPr>
        <w:t>"American forces are no longer at risk of Iranian retaliation. The region stabilizes. American diplomatic leadership achieves what military escalation could not: verified constraints on Iran's nuclear program without a single American casualty."</w:t>
      </w:r>
    </w:p>
    <w:p>
      <w:pPr>
        <w:pStyle w:val="Heading2"/>
        <w:keepNext w:val="true"/>
        <w:keepLines/>
        <w:bidi w:val="0"/>
        <w:spacing w:before="360" w:after="160"/>
        <w:rPr/>
      </w:pPr>
      <w:r>
        <w:rPr>
          <w:rFonts w:eastAsia="Microsoft YaHei" w:cs="Cambria"/>
          <w:b/>
          <w:color w:val="2C3E5E"/>
          <w:sz w:val="30"/>
          <w:szCs w:val="30"/>
        </w:rPr>
        <w:t>Section 11.3 - Humanitarian Firewall</w:t>
      </w:r>
    </w:p>
    <w:p>
      <w:pPr>
        <w:pStyle w:val="Normal"/>
        <w:bidi w:val="0"/>
        <w:spacing w:before="0" w:after="180"/>
        <w:rPr/>
      </w:pPr>
      <w:r>
        <w:rPr>
          <w:rFonts w:eastAsia="Microsoft YaHei" w:cs="Cambria"/>
          <w:color w:val="1E2530"/>
          <w:sz w:val="22"/>
          <w:szCs w:val="22"/>
        </w:rPr>
        <w:t>Humanitarian provisions operate under an absolute firewall. No Step-Back, no compliance dispute, and no political disagreement affects humanitarian flows once released. The firewall protects the following:</w:t>
      </w:r>
    </w:p>
    <w:p>
      <w:pPr>
        <w:pStyle w:val="Normal"/>
        <w:numPr>
          <w:ilvl w:val="0"/>
          <w:numId w:val="1"/>
        </w:numPr>
        <w:bidi w:val="0"/>
        <w:spacing w:before="0" w:after="160"/>
        <w:rPr/>
      </w:pPr>
      <w:r>
        <w:rPr>
          <w:rFonts w:eastAsia="Microsoft YaHei" w:cs="Cambria"/>
          <w:b/>
          <w:color w:val="1E2530"/>
          <w:sz w:val="22"/>
          <w:szCs w:val="22"/>
        </w:rPr>
        <w:t xml:space="preserve">Released humanitarian funds - </w:t>
      </w:r>
      <w:r>
        <w:rPr>
          <w:rFonts w:eastAsia="Microsoft YaHei" w:cs="Cambria"/>
          <w:color w:val="1E2530"/>
          <w:sz w:val="22"/>
          <w:szCs w:val="22"/>
        </w:rPr>
        <w:t>Funds already disbursed from the $250 million humanitarian tranche and any subsequent humanitarian releases are not subject to clawback, freezing, or reversal under any circumstances.</w:t>
      </w:r>
    </w:p>
    <w:p>
      <w:pPr>
        <w:pStyle w:val="Normal"/>
        <w:numPr>
          <w:ilvl w:val="0"/>
          <w:numId w:val="1"/>
        </w:numPr>
        <w:bidi w:val="0"/>
        <w:spacing w:before="0" w:after="160"/>
        <w:rPr/>
      </w:pPr>
      <w:r>
        <w:rPr>
          <w:rFonts w:eastAsia="Microsoft YaHei" w:cs="Cambria"/>
          <w:b/>
          <w:color w:val="1E2530"/>
          <w:sz w:val="22"/>
          <w:szCs w:val="22"/>
        </w:rPr>
        <w:t xml:space="preserve">Humanitarian transit - </w:t>
      </w:r>
      <w:r>
        <w:rPr>
          <w:rFonts w:eastAsia="Microsoft YaHei" w:cs="Cambria"/>
          <w:color w:val="1E2530"/>
          <w:sz w:val="22"/>
          <w:szCs w:val="22"/>
        </w:rPr>
        <w:t>Commercial vessels carrying humanitarian goods — medicine, food, medical equipment — transit the Strait of Hormuz with zero toll and zero inspection delay regardless of Compact status.</w:t>
      </w:r>
    </w:p>
    <w:p>
      <w:pPr>
        <w:pStyle w:val="Normal"/>
        <w:numPr>
          <w:ilvl w:val="0"/>
          <w:numId w:val="1"/>
        </w:numPr>
        <w:bidi w:val="0"/>
        <w:spacing w:before="0" w:after="160"/>
        <w:rPr/>
      </w:pPr>
      <w:r>
        <w:rPr>
          <w:rFonts w:eastAsia="Microsoft YaHei" w:cs="Cambria"/>
          <w:b/>
          <w:color w:val="1E2530"/>
          <w:sz w:val="22"/>
          <w:szCs w:val="22"/>
        </w:rPr>
        <w:t xml:space="preserve">Prisoner releases - </w:t>
      </w:r>
      <w:r>
        <w:rPr>
          <w:rFonts w:eastAsia="Microsoft YaHei" w:cs="Cambria"/>
          <w:color w:val="1E2530"/>
          <w:sz w:val="22"/>
          <w:szCs w:val="22"/>
        </w:rPr>
        <w:t>Prisoners already transferred through Stage One or Stage Two exchanges are not subject to recall, reversal, or re-detention under any Compact mechanism.</w:t>
      </w:r>
    </w:p>
    <w:p>
      <w:pPr>
        <w:pStyle w:val="Normal"/>
        <w:numPr>
          <w:ilvl w:val="0"/>
          <w:numId w:val="1"/>
        </w:numPr>
        <w:bidi w:val="0"/>
        <w:spacing w:before="0" w:after="160"/>
        <w:rPr/>
        <w:sectPr>
          <w:headerReference w:type="default" r:id="rId7"/>
          <w:footerReference w:type="default" r:id="rId8"/>
          <w:type w:val="nextPage"/>
          <w:pgSz w:w="11906" w:h="16838"/>
          <w:pgMar w:left="1440" w:right="1440" w:gutter="0" w:header="720" w:top="1800" w:footer="720" w:bottom="1440"/>
          <w:pgNumType w:fmt="decimal"/>
          <w:formProt w:val="false"/>
          <w:textDirection w:val="lrTb"/>
          <w:docGrid w:type="default" w:linePitch="100" w:charSpace="0"/>
        </w:sectPr>
      </w:pPr>
      <w:r>
        <w:rPr>
          <w:rFonts w:eastAsia="Microsoft YaHei" w:cs="Cambria"/>
          <w:b/>
          <w:color w:val="1E2530"/>
          <w:sz w:val="22"/>
          <w:szCs w:val="22"/>
        </w:rPr>
        <w:t xml:space="preserve">Medical and food security programs - </w:t>
      </w:r>
      <w:r>
        <w:rPr>
          <w:rFonts w:eastAsia="Microsoft YaHei" w:cs="Cambria"/>
          <w:color w:val="1E2530"/>
          <w:sz w:val="22"/>
          <w:szCs w:val="22"/>
        </w:rPr>
        <w:t>Programs funded by released humanitarian tranches continue regardless of any Step-Back, dispute, or withdrawal. The humanitarian firewall is absolute and non-waivable.</w:t>
      </w:r>
    </w:p>
    <w:p>
      <w:pPr>
        <w:pStyle w:val="Heading1"/>
        <w:bidi w:val="0"/>
        <w:rPr/>
      </w:pPr>
      <w:r>
        <w:rPr>
          <w:rFonts w:eastAsia="Microsoft YaHei" w:cs="Cambria"/>
          <w:b/>
          <w:color w:val="1A2744"/>
          <w:sz w:val="40"/>
          <w:szCs w:val="40"/>
        </w:rPr>
        <w:t>Annex E: Nuclear Reciprocity Matrix and Sequencing Map</w:t>
      </w:r>
    </w:p>
    <w:p>
      <w:pPr>
        <w:pStyle w:val="Normal"/>
        <w:bidi w:val="0"/>
        <w:spacing w:before="0" w:after="180"/>
        <w:rPr/>
      </w:pPr>
      <w:r>
        <w:rPr>
          <w:rFonts w:eastAsia="Microsoft YaHei" w:cs="Cambria"/>
          <w:color w:val="1E2530"/>
          <w:sz w:val="22"/>
          <w:szCs w:val="22"/>
        </w:rPr>
        <w:t>This annex provides the nuclear-specific reciprocity architecture. It maps Iranian nuclear steps against American reciprocal measures on a precise timeline. This is the nuclear engine of the Compact.</w:t>
      </w:r>
    </w:p>
    <w:p>
      <w:pPr>
        <w:pStyle w:val="Heading2"/>
        <w:keepNext w:val="true"/>
        <w:keepLines/>
        <w:bidi w:val="0"/>
        <w:spacing w:before="360" w:after="160"/>
        <w:rPr/>
      </w:pPr>
      <w:r>
        <w:rPr>
          <w:rFonts w:eastAsia="Microsoft YaHei" w:cs="Cambria"/>
          <w:b/>
          <w:color w:val="2C3E5E"/>
          <w:sz w:val="30"/>
          <w:szCs w:val="30"/>
        </w:rPr>
        <w:t>E.1 Nuclear Reciprocity Matrix</w:t>
      </w:r>
    </w:p>
    <w:p>
      <w:pPr>
        <w:pStyle w:val="Normal"/>
        <w:bidi w:val="0"/>
        <w:spacing w:before="0" w:after="180"/>
        <w:rPr/>
      </w:pPr>
      <w:r>
        <w:rPr>
          <w:rFonts w:eastAsia="Microsoft YaHei" w:cs="Cambria"/>
          <w:color w:val="1E2530"/>
          <w:sz w:val="22"/>
          <w:szCs w:val="22"/>
        </w:rPr>
        <w:t>The following matrix maps every Iranian nuclear step against its American reciprocal counterpart. Each row is a reciprocity unit. Each unit activates upon IAEA certification of the Iranian step.</w:t>
      </w:r>
    </w:p>
    <w:tbl>
      <w:tblPr>
        <w:tblW w:w="5000" w:type="pct"/>
        <w:jc w:val="start"/>
        <w:tblInd w:w="0" w:type="dxa"/>
        <w:tblLayout w:type="fixed"/>
        <w:tblCellMar>
          <w:top w:w="0" w:type="dxa"/>
          <w:start w:w="108" w:type="dxa"/>
          <w:bottom w:w="0" w:type="dxa"/>
          <w:end w:w="108" w:type="dxa"/>
        </w:tblCellMar>
      </w:tblPr>
      <w:tblGrid>
        <w:gridCol w:w="2499"/>
        <w:gridCol w:w="972"/>
        <w:gridCol w:w="2777"/>
        <w:gridCol w:w="2777"/>
      </w:tblGrid>
      <w:tr>
        <w:trPr>
          <w:tblHeader w:val="true"/>
        </w:trPr>
        <w:tc>
          <w:tcPr>
            <w:tcW w:w="2499" w:type="dxa"/>
            <w:tcBorders>
              <w:top w:val="single" w:sz="12" w:space="0" w:color="1A2744"/>
              <w:bottom w:val="single" w:sz="4" w:space="0" w:color="C8C4B8"/>
            </w:tcBorders>
            <w:shd w:color="auto" w:fill="E8E6E0" w:val="clear"/>
          </w:tcPr>
          <w:p>
            <w:pPr>
              <w:pStyle w:val="Normal"/>
              <w:widowControl w:val="false"/>
              <w:bidi w:val="0"/>
              <w:spacing w:before="60" w:after="60"/>
              <w:rPr/>
            </w:pPr>
            <w:r>
              <w:rPr>
                <w:rFonts w:eastAsia="Microsoft YaHei" w:cs="Cambria"/>
                <w:b/>
                <w:color w:val="1E2530"/>
                <w:sz w:val="20"/>
                <w:szCs w:val="20"/>
              </w:rPr>
              <w:t>Timeline</w:t>
            </w:r>
          </w:p>
        </w:tc>
        <w:tc>
          <w:tcPr>
            <w:tcW w:w="972" w:type="dxa"/>
            <w:tcBorders>
              <w:top w:val="single" w:sz="12" w:space="0" w:color="1A2744"/>
              <w:bottom w:val="single" w:sz="4" w:space="0" w:color="C8C4B8"/>
            </w:tcBorders>
            <w:shd w:color="auto" w:fill="E8E6E0" w:val="clear"/>
          </w:tcPr>
          <w:p>
            <w:pPr>
              <w:pStyle w:val="Normal"/>
              <w:widowControl w:val="false"/>
              <w:bidi w:val="0"/>
              <w:spacing w:before="60" w:after="60"/>
              <w:rPr/>
            </w:pPr>
            <w:r>
              <w:rPr>
                <w:rFonts w:eastAsia="Microsoft YaHei" w:cs="Cambria"/>
                <w:b/>
                <w:color w:val="1E2530"/>
                <w:sz w:val="20"/>
                <w:szCs w:val="20"/>
              </w:rPr>
              <w:t>Iranian Step</w:t>
            </w:r>
          </w:p>
        </w:tc>
        <w:tc>
          <w:tcPr>
            <w:tcW w:w="2777" w:type="dxa"/>
            <w:tcBorders>
              <w:top w:val="single" w:sz="12" w:space="0" w:color="1A2744"/>
              <w:bottom w:val="single" w:sz="4" w:space="0" w:color="C8C4B8"/>
            </w:tcBorders>
            <w:shd w:color="auto" w:fill="E8E6E0" w:val="clear"/>
          </w:tcPr>
          <w:p>
            <w:pPr>
              <w:pStyle w:val="Normal"/>
              <w:widowControl w:val="false"/>
              <w:bidi w:val="0"/>
              <w:spacing w:before="60" w:after="60"/>
              <w:rPr/>
            </w:pPr>
            <w:r>
              <w:rPr>
                <w:rFonts w:eastAsia="Microsoft YaHei" w:cs="Cambria"/>
                <w:b/>
                <w:color w:val="1E2530"/>
                <w:sz w:val="20"/>
                <w:szCs w:val="20"/>
              </w:rPr>
              <w:t>IAEA Certification Required</w:t>
            </w:r>
          </w:p>
        </w:tc>
        <w:tc>
          <w:tcPr>
            <w:tcW w:w="2777" w:type="dxa"/>
            <w:tcBorders>
              <w:top w:val="single" w:sz="12" w:space="0" w:color="1A2744"/>
              <w:bottom w:val="single" w:sz="4" w:space="0" w:color="C8C4B8"/>
            </w:tcBorders>
            <w:shd w:color="auto" w:fill="E8E6E0" w:val="clear"/>
          </w:tcPr>
          <w:p>
            <w:pPr>
              <w:pStyle w:val="Normal"/>
              <w:widowControl w:val="false"/>
              <w:bidi w:val="0"/>
              <w:spacing w:before="60" w:after="60"/>
              <w:rPr/>
            </w:pPr>
            <w:r>
              <w:rPr>
                <w:rFonts w:eastAsia="Microsoft YaHei" w:cs="Cambria"/>
                <w:b/>
                <w:color w:val="1E2530"/>
                <w:sz w:val="20"/>
                <w:szCs w:val="20"/>
              </w:rPr>
              <w:t>U.S. Reciprocal Measure</w:t>
            </w:r>
          </w:p>
        </w:tc>
      </w:tr>
      <w:tr>
        <w:trPr/>
        <w:tc>
          <w:tcPr>
            <w:tcW w:w="2499"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4A5568"/>
                <w:sz w:val="19"/>
                <w:szCs w:val="19"/>
              </w:rPr>
              <w:t>Day 1 (upon signature)</w:t>
            </w:r>
          </w:p>
        </w:tc>
        <w:tc>
          <w:tcPr>
            <w:tcW w:w="97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4A5568"/>
                <w:sz w:val="19"/>
                <w:szCs w:val="19"/>
              </w:rPr>
              <w:t>Maintain enrichment at or below 3.67%; sustain seal integrity on all material above 5%</w:t>
            </w:r>
          </w:p>
        </w:tc>
        <w:tc>
          <w:tcPr>
            <w:tcW w:w="2777"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4A5568"/>
                <w:sz w:val="19"/>
                <w:szCs w:val="19"/>
              </w:rPr>
              <w:t>IAEA confirms no enrichment above 3.67% is occurring at declared facilities</w:t>
            </w:r>
          </w:p>
        </w:tc>
        <w:tc>
          <w:tcPr>
            <w:tcW w:w="2777"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4A5568"/>
                <w:sz w:val="19"/>
                <w:szCs w:val="19"/>
              </w:rPr>
              <w:t>$250 million humanitarian tranche releases from Swiss escrow; oil export processing begins</w:t>
            </w:r>
          </w:p>
        </w:tc>
      </w:tr>
      <w:tr>
        <w:trPr/>
        <w:tc>
          <w:tcPr>
            <w:tcW w:w="2499"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4A5568"/>
                <w:sz w:val="19"/>
                <w:szCs w:val="19"/>
              </w:rPr>
              <w:t>Day 3</w:t>
            </w:r>
          </w:p>
        </w:tc>
        <w:tc>
          <w:tcPr>
            <w:tcW w:w="97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4A5568"/>
                <w:sz w:val="19"/>
                <w:szCs w:val="19"/>
              </w:rPr>
              <w:t>Facilitate IAEA installation of continuous monitoring equipment at all declared facilities</w:t>
            </w:r>
          </w:p>
        </w:tc>
        <w:tc>
          <w:tcPr>
            <w:tcW w:w="2777"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4A5568"/>
                <w:sz w:val="19"/>
                <w:szCs w:val="19"/>
              </w:rPr>
              <w:t>IAEA certifies monitoring equipment is operational and transmitting data</w:t>
            </w:r>
          </w:p>
        </w:tc>
        <w:tc>
          <w:tcPr>
            <w:tcW w:w="2777"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4A5568"/>
                <w:sz w:val="19"/>
                <w:szCs w:val="19"/>
              </w:rPr>
              <w:t>Humanitarian general license expands to cover agricultural commodities and civilian aviation parts</w:t>
            </w:r>
          </w:p>
        </w:tc>
      </w:tr>
      <w:tr>
        <w:trPr/>
        <w:tc>
          <w:tcPr>
            <w:tcW w:w="2499"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4A5568"/>
                <w:sz w:val="19"/>
                <w:szCs w:val="19"/>
              </w:rPr>
              <w:t>Day 7</w:t>
            </w:r>
          </w:p>
        </w:tc>
        <w:tc>
          <w:tcPr>
            <w:tcW w:w="97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4A5568"/>
                <w:sz w:val="19"/>
                <w:szCs w:val="19"/>
              </w:rPr>
              <w:t>Provide complete declaration of all enriched uranium stockpiles, including locations, quantities, and enrichment levels</w:t>
            </w:r>
          </w:p>
        </w:tc>
        <w:tc>
          <w:tcPr>
            <w:tcW w:w="2777"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4A5568"/>
                <w:sz w:val="19"/>
                <w:szCs w:val="19"/>
              </w:rPr>
              <w:t>IAEA confirms the declaration is consistent with available data or identifies and explains discrepancies</w:t>
            </w:r>
          </w:p>
        </w:tc>
        <w:tc>
          <w:tcPr>
            <w:tcW w:w="2777"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4A5568"/>
                <w:sz w:val="19"/>
                <w:szCs w:val="19"/>
              </w:rPr>
              <w:t>Treasury publishes licensing guidance; SWIFT engagement guidance issued to European banks</w:t>
            </w:r>
          </w:p>
        </w:tc>
      </w:tr>
      <w:tr>
        <w:trPr/>
        <w:tc>
          <w:tcPr>
            <w:tcW w:w="2499"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4A5568"/>
                <w:sz w:val="19"/>
                <w:szCs w:val="19"/>
              </w:rPr>
              <w:t>Day 14</w:t>
            </w:r>
          </w:p>
        </w:tc>
        <w:tc>
          <w:tcPr>
            <w:tcW w:w="97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4A5568"/>
                <w:sz w:val="19"/>
                <w:szCs w:val="19"/>
              </w:rPr>
              <w:t>Apply tamper-evident IAEA seals to all enriched uranium stockpiles above 5%; confirm seal integrity on dashboard</w:t>
            </w:r>
          </w:p>
        </w:tc>
        <w:tc>
          <w:tcPr>
            <w:tcW w:w="2777"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4A5568"/>
                <w:sz w:val="19"/>
                <w:szCs w:val="19"/>
              </w:rPr>
              <w:t>IAEA certifies all seals applied and intact; dashboard shows green status for all sealed material</w:t>
            </w:r>
          </w:p>
        </w:tc>
        <w:tc>
          <w:tcPr>
            <w:tcW w:w="2777"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4A5568"/>
                <w:sz w:val="19"/>
                <w:szCs w:val="19"/>
              </w:rPr>
              <w:t>Tier Two sanctions relief activates: direct agricultural licensing, OFAC case management streamlines</w:t>
            </w:r>
          </w:p>
        </w:tc>
      </w:tr>
      <w:tr>
        <w:trPr/>
        <w:tc>
          <w:tcPr>
            <w:tcW w:w="2499"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4A5568"/>
                <w:sz w:val="19"/>
                <w:szCs w:val="19"/>
              </w:rPr>
              <w:t>Day 14 (parallel)</w:t>
            </w:r>
          </w:p>
        </w:tc>
        <w:tc>
          <w:tcPr>
            <w:tcW w:w="97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4A5568"/>
                <w:sz w:val="19"/>
                <w:szCs w:val="19"/>
              </w:rPr>
              <w:t>Agree disposition pathway for 60% HEU stockpile: downblending to 3.67% or transfer to IAEA monitored storage</w:t>
            </w:r>
          </w:p>
        </w:tc>
        <w:tc>
          <w:tcPr>
            <w:tcW w:w="2777"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4A5568"/>
                <w:sz w:val="19"/>
                <w:szCs w:val="19"/>
              </w:rPr>
              <w:t>IAEA confirms disposition plan is technically sound and monitors first disposition operations</w:t>
            </w:r>
          </w:p>
        </w:tc>
        <w:tc>
          <w:tcPr>
            <w:tcW w:w="2777"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4A5568"/>
                <w:sz w:val="19"/>
                <w:szCs w:val="19"/>
              </w:rPr>
              <w:t>Initial Compliance Unlock: $2 billion of Iran’s own frozen assets releases through neutral Swiss escrow. The verified Day 14 sealing of all material above 5 percent activates this release, and no signing event triggers it. The remaining frozen assets stay in escrow pending verified Phase Three nuclear milestones (Annex C).</w:t>
            </w:r>
          </w:p>
        </w:tc>
      </w:tr>
      <w:tr>
        <w:trPr/>
        <w:tc>
          <w:tcPr>
            <w:tcW w:w="2499"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4A5568"/>
                <w:sz w:val="19"/>
                <w:szCs w:val="19"/>
              </w:rPr>
              <w:t>Day 30</w:t>
            </w:r>
          </w:p>
        </w:tc>
        <w:tc>
          <w:tcPr>
            <w:tcW w:w="97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4A5568"/>
                <w:sz w:val="19"/>
                <w:szCs w:val="19"/>
              </w:rPr>
              <w:t>Complete 25% of agreed 60% HEU disposition; provide IAEA full access for verification</w:t>
            </w:r>
          </w:p>
        </w:tc>
        <w:tc>
          <w:tcPr>
            <w:tcW w:w="2777"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4A5568"/>
                <w:sz w:val="19"/>
                <w:szCs w:val="19"/>
              </w:rPr>
              <w:t>IAEA certifies 25% disposition milestone achieved and material accountancy is complete</w:t>
            </w:r>
          </w:p>
        </w:tc>
        <w:tc>
          <w:tcPr>
            <w:tcW w:w="2777"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4A5568"/>
                <w:sz w:val="19"/>
                <w:szCs w:val="19"/>
              </w:rPr>
              <w:t>Front-loaded tranche #2 releases; bilateral technical working groups on nuclear cooperation activate</w:t>
            </w:r>
          </w:p>
        </w:tc>
      </w:tr>
      <w:tr>
        <w:trPr/>
        <w:tc>
          <w:tcPr>
            <w:tcW w:w="2499"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4A5568"/>
                <w:sz w:val="19"/>
                <w:szCs w:val="19"/>
              </w:rPr>
              <w:t>Day 45</w:t>
            </w:r>
          </w:p>
        </w:tc>
        <w:tc>
          <w:tcPr>
            <w:tcW w:w="97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4A5568"/>
                <w:sz w:val="19"/>
                <w:szCs w:val="19"/>
              </w:rPr>
              <w:t>Complete 50% of agreed 60% HEU disposition; all remaining material above 20% under IAEA dual-key custody</w:t>
            </w:r>
          </w:p>
        </w:tc>
        <w:tc>
          <w:tcPr>
            <w:tcW w:w="2777"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4A5568"/>
                <w:sz w:val="19"/>
                <w:szCs w:val="19"/>
              </w:rPr>
              <w:t>IAEA certifies the Disposition Milestone; good-faith fast lane activates; structural relief converts to renewable five-year licenses</w:t>
            </w:r>
          </w:p>
        </w:tc>
        <w:tc>
          <w:tcPr>
            <w:tcW w:w="2777"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4A5568"/>
                <w:sz w:val="19"/>
                <w:szCs w:val="19"/>
              </w:rPr>
              <w:t>Tier Three relief begins: SWIFT reconnection, foreign subsidiary licensing, third-party bank guidance, JCPOA-equivalent oil/insurance licensing, pharmaceutical IP licensing</w:t>
            </w:r>
          </w:p>
        </w:tc>
      </w:tr>
      <w:tr>
        <w:trPr/>
        <w:tc>
          <w:tcPr>
            <w:tcW w:w="2499"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4A5568"/>
                <w:sz w:val="19"/>
                <w:szCs w:val="19"/>
              </w:rPr>
              <w:t>Day 60</w:t>
            </w:r>
          </w:p>
        </w:tc>
        <w:tc>
          <w:tcPr>
            <w:tcW w:w="97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4A5568"/>
                <w:sz w:val="19"/>
                <w:szCs w:val="19"/>
              </w:rPr>
              <w:t>Complete 75% of agreed 60% HEU disposition; all material above 5% either downblended, transferred, or under dual-key custody</w:t>
            </w:r>
          </w:p>
        </w:tc>
        <w:tc>
          <w:tcPr>
            <w:tcW w:w="2777"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4A5568"/>
                <w:sz w:val="19"/>
                <w:szCs w:val="19"/>
              </w:rPr>
              <w:t>IAEA certifies 75% disposition and confirms remaining material is fully secured</w:t>
            </w:r>
          </w:p>
        </w:tc>
        <w:tc>
          <w:tcPr>
            <w:tcW w:w="2777"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4A5568"/>
                <w:sz w:val="19"/>
                <w:szCs w:val="19"/>
              </w:rPr>
              <w:t>Comprehensive Joint Nuclear Cooperation Dialogue launches; framework renewal activates</w:t>
            </w:r>
          </w:p>
        </w:tc>
      </w:tr>
      <w:tr>
        <w:trPr/>
        <w:tc>
          <w:tcPr>
            <w:tcW w:w="2499" w:type="dxa"/>
            <w:tcBorders>
              <w:top w:val="single" w:sz="4" w:space="0" w:color="C8C4B8"/>
              <w:bottom w:val="single" w:sz="12" w:space="0" w:color="1A2744"/>
            </w:tcBorders>
          </w:tcPr>
          <w:p>
            <w:pPr>
              <w:pStyle w:val="Normal"/>
              <w:widowControl w:val="false"/>
              <w:bidi w:val="0"/>
              <w:spacing w:before="60" w:after="60"/>
              <w:rPr/>
            </w:pPr>
            <w:r>
              <w:rPr>
                <w:rFonts w:eastAsia="Microsoft YaHei" w:cs="Cambria"/>
                <w:b/>
                <w:color w:val="4A5568"/>
                <w:sz w:val="19"/>
                <w:szCs w:val="19"/>
              </w:rPr>
              <w:t>Day 90 (framework renewal)</w:t>
            </w:r>
          </w:p>
        </w:tc>
        <w:tc>
          <w:tcPr>
            <w:tcW w:w="972" w:type="dxa"/>
            <w:tcBorders>
              <w:top w:val="single" w:sz="4" w:space="0" w:color="C8C4B8"/>
              <w:bottom w:val="single" w:sz="12" w:space="0" w:color="1A2744"/>
            </w:tcBorders>
          </w:tcPr>
          <w:p>
            <w:pPr>
              <w:pStyle w:val="Normal"/>
              <w:widowControl w:val="false"/>
              <w:bidi w:val="0"/>
              <w:spacing w:before="60" w:after="60"/>
              <w:rPr/>
            </w:pPr>
            <w:r>
              <w:rPr>
                <w:rFonts w:eastAsia="Microsoft YaHei" w:cs="Cambria"/>
                <w:b/>
                <w:color w:val="4A5568"/>
                <w:sz w:val="19"/>
                <w:szCs w:val="19"/>
              </w:rPr>
              <w:t>Complete 100% of agreed 60% HEU disposition; all material at or below 5% except IAEA-monitored research quantities</w:t>
            </w:r>
          </w:p>
        </w:tc>
        <w:tc>
          <w:tcPr>
            <w:tcW w:w="2777" w:type="dxa"/>
            <w:tcBorders>
              <w:top w:val="single" w:sz="4" w:space="0" w:color="C8C4B8"/>
              <w:bottom w:val="single" w:sz="12" w:space="0" w:color="1A2744"/>
            </w:tcBorders>
          </w:tcPr>
          <w:p>
            <w:pPr>
              <w:pStyle w:val="Normal"/>
              <w:widowControl w:val="false"/>
              <w:bidi w:val="0"/>
              <w:spacing w:before="60" w:after="60"/>
              <w:rPr/>
            </w:pPr>
            <w:r>
              <w:rPr>
                <w:rFonts w:eastAsia="Microsoft YaHei" w:cs="Cambria"/>
                <w:b/>
                <w:color w:val="4A5568"/>
                <w:sz w:val="19"/>
                <w:szCs w:val="19"/>
              </w:rPr>
              <w:t>IAEA certifies full disposition and issues final compliance report</w:t>
            </w:r>
          </w:p>
        </w:tc>
        <w:tc>
          <w:tcPr>
            <w:tcW w:w="2777" w:type="dxa"/>
            <w:tcBorders>
              <w:top w:val="single" w:sz="4" w:space="0" w:color="C8C4B8"/>
              <w:bottom w:val="single" w:sz="12" w:space="0" w:color="1A2744"/>
            </w:tcBorders>
          </w:tcPr>
          <w:p>
            <w:pPr>
              <w:pStyle w:val="Normal"/>
              <w:widowControl w:val="false"/>
              <w:bidi w:val="0"/>
              <w:spacing w:before="60" w:after="60"/>
              <w:rPr/>
            </w:pPr>
            <w:r>
              <w:rPr>
                <w:rFonts w:eastAsia="Microsoft YaHei" w:cs="Cambria"/>
                <w:b/>
                <w:color w:val="4A5568"/>
                <w:sz w:val="19"/>
                <w:szCs w:val="19"/>
              </w:rPr>
              <w:t>Permanent resolution working group activates; comprehensive sanctions architecture review begins; JCPOA implementation declared</w:t>
            </w:r>
          </w:p>
        </w:tc>
      </w:tr>
    </w:tbl>
    <w:p>
      <w:pPr>
        <w:pStyle w:val="Heading2"/>
        <w:keepNext w:val="true"/>
        <w:keepLines/>
        <w:bidi w:val="0"/>
        <w:spacing w:before="360" w:after="160"/>
        <w:rPr/>
      </w:pPr>
      <w:r>
        <w:rPr>
          <w:rFonts w:eastAsia="Microsoft YaHei" w:cs="Cambria"/>
          <w:b/>
          <w:color w:val="2C3E5E"/>
          <w:sz w:val="30"/>
          <w:szCs w:val="30"/>
        </w:rPr>
        <w:t>E.2 Nuclear Public-Wins Summary</w:t>
      </w:r>
    </w:p>
    <w:p>
      <w:pPr>
        <w:pStyle w:val="Normal"/>
        <w:bidi w:val="0"/>
        <w:spacing w:before="0" w:after="180"/>
        <w:rPr/>
      </w:pPr>
      <w:r>
        <w:rPr>
          <w:rFonts w:eastAsia="Microsoft YaHei" w:cs="Cambria"/>
          <w:color w:val="1E2530"/>
          <w:sz w:val="22"/>
          <w:szCs w:val="22"/>
        </w:rPr>
        <w:t>The following headline-ready statements describe what the nuclear provisions achieve for each side. These are not legal commitments; they are the narrative each side uses to explain the nuclear outcome to its domestic audience.</w:t>
      </w:r>
    </w:p>
    <w:p>
      <w:pPr>
        <w:pStyle w:val="Heading3"/>
        <w:keepNext w:val="true"/>
        <w:keepLines/>
        <w:bidi w:val="0"/>
        <w:spacing w:before="280" w:after="120"/>
        <w:rPr/>
      </w:pPr>
      <w:r>
        <w:rPr>
          <w:rFonts w:eastAsia="Microsoft YaHei" w:cs="Cambria"/>
          <w:b/>
          <w:color w:val="1E2530"/>
          <w:sz w:val="20"/>
          <w:szCs w:val="20"/>
        </w:rPr>
        <w:t>Iran's Nuclear Narrative</w:t>
      </w:r>
    </w:p>
    <w:p>
      <w:pPr>
        <w:pStyle w:val="Normal"/>
        <w:numPr>
          <w:ilvl w:val="0"/>
          <w:numId w:val="1"/>
        </w:numPr>
        <w:bidi w:val="0"/>
        <w:spacing w:before="0" w:after="160"/>
        <w:rPr/>
      </w:pPr>
      <w:r>
        <w:rPr>
          <w:rFonts w:eastAsia="Microsoft YaHei" w:cs="Cambria"/>
          <w:b/>
          <w:color w:val="1E2530"/>
          <w:sz w:val="22"/>
          <w:szCs w:val="22"/>
        </w:rPr>
        <w:t xml:space="preserve">"Material stays in Iran" - </w:t>
      </w:r>
      <w:r>
        <w:rPr>
          <w:rFonts w:eastAsia="Microsoft YaHei" w:cs="Cambria"/>
          <w:color w:val="1E2530"/>
          <w:sz w:val="22"/>
          <w:szCs w:val="22"/>
        </w:rPr>
        <w:t>Iran's enriched uranium never leaves Iranian territory. IAEA seals and monitors the material where it sits. Iran retains custodial presence. The material is under joint supervision, not confiscation.</w:t>
      </w:r>
    </w:p>
    <w:p>
      <w:pPr>
        <w:pStyle w:val="Normal"/>
        <w:numPr>
          <w:ilvl w:val="0"/>
          <w:numId w:val="1"/>
        </w:numPr>
        <w:bidi w:val="0"/>
        <w:spacing w:before="0" w:after="160"/>
        <w:rPr/>
      </w:pPr>
      <w:r>
        <w:rPr>
          <w:rFonts w:eastAsia="Microsoft YaHei" w:cs="Cambria"/>
          <w:b/>
          <w:color w:val="1E2530"/>
          <w:sz w:val="22"/>
          <w:szCs w:val="22"/>
        </w:rPr>
        <w:t xml:space="preserve">"IAEA visibility restores — on Iran's terms" - </w:t>
      </w:r>
      <w:r>
        <w:rPr>
          <w:rFonts w:eastAsia="Microsoft YaHei" w:cs="Cambria"/>
          <w:color w:val="1E2530"/>
          <w:sz w:val="22"/>
          <w:szCs w:val="22"/>
        </w:rPr>
        <w:t>International inspectors return to Iranian facilities because Iran agreed to their return as part of a reciprocal framework that benefits Iran. Iran is not submitting to inspection; Iran is orchestrating a managed transparency that serves Iranian interests.</w:t>
      </w:r>
    </w:p>
    <w:p>
      <w:pPr>
        <w:pStyle w:val="Normal"/>
        <w:numPr>
          <w:ilvl w:val="0"/>
          <w:numId w:val="1"/>
        </w:numPr>
        <w:bidi w:val="0"/>
        <w:spacing w:before="0" w:after="160"/>
        <w:rPr/>
      </w:pPr>
      <w:r>
        <w:rPr>
          <w:rFonts w:eastAsia="Microsoft YaHei" w:cs="Cambria"/>
          <w:b/>
          <w:color w:val="1E2530"/>
          <w:sz w:val="22"/>
          <w:szCs w:val="22"/>
        </w:rPr>
        <w:t xml:space="preserve">"Enrichment rights preserved" - </w:t>
      </w:r>
      <w:r>
        <w:rPr>
          <w:rFonts w:eastAsia="Microsoft YaHei" w:cs="Cambria"/>
          <w:color w:val="1E2530"/>
          <w:sz w:val="22"/>
          <w:szCs w:val="22"/>
        </w:rPr>
        <w:t>Iran continues enriching uranium to 3.67% for civilian purposes. Iran retains all enrichment infrastructure. Iran's research and development program continues. No facility closes. No capability is abandoned.</w:t>
      </w:r>
    </w:p>
    <w:p>
      <w:pPr>
        <w:pStyle w:val="Normal"/>
        <w:numPr>
          <w:ilvl w:val="0"/>
          <w:numId w:val="1"/>
        </w:numPr>
        <w:bidi w:val="0"/>
        <w:spacing w:before="0" w:after="160"/>
        <w:rPr/>
      </w:pPr>
      <w:r>
        <w:rPr>
          <w:rFonts w:eastAsia="Microsoft YaHei" w:cs="Cambria"/>
          <w:b/>
          <w:color w:val="1E2530"/>
          <w:sz w:val="22"/>
          <w:szCs w:val="22"/>
        </w:rPr>
        <w:t xml:space="preserve">"No dismantlement" - </w:t>
      </w:r>
      <w:r>
        <w:rPr>
          <w:rFonts w:eastAsia="Microsoft YaHei" w:cs="Cambria"/>
          <w:color w:val="1E2530"/>
          <w:sz w:val="22"/>
          <w:szCs w:val="22"/>
        </w:rPr>
        <w:t>No Iranian centrifuge is destroyed under this Compact. No Iranian facility is converted. No Iranian scientist is excluded. The physical infrastructure of Iran's nuclear program remains exactly as it was, under Iranian management and IAEA monitoring.</w:t>
      </w:r>
    </w:p>
    <w:p>
      <w:pPr>
        <w:pStyle w:val="Heading3"/>
        <w:keepNext w:val="true"/>
        <w:keepLines/>
        <w:bidi w:val="0"/>
        <w:spacing w:before="280" w:after="120"/>
        <w:rPr/>
      </w:pPr>
      <w:r>
        <w:rPr>
          <w:rFonts w:eastAsia="Microsoft YaHei" w:cs="Cambria"/>
          <w:b/>
          <w:color w:val="1E2530"/>
          <w:sz w:val="20"/>
          <w:szCs w:val="20"/>
        </w:rPr>
        <w:t>United States Nuclear Narrative</w:t>
      </w:r>
    </w:p>
    <w:p>
      <w:pPr>
        <w:pStyle w:val="Normal"/>
        <w:numPr>
          <w:ilvl w:val="0"/>
          <w:numId w:val="1"/>
        </w:numPr>
        <w:bidi w:val="0"/>
        <w:spacing w:before="0" w:after="160"/>
        <w:rPr/>
      </w:pPr>
      <w:r>
        <w:rPr>
          <w:rFonts w:eastAsia="Microsoft YaHei" w:cs="Cambria"/>
          <w:b/>
          <w:color w:val="1E2530"/>
          <w:sz w:val="22"/>
          <w:szCs w:val="22"/>
        </w:rPr>
        <w:t xml:space="preserve">"Weapons-grade material neutralized" - </w:t>
      </w:r>
      <w:r>
        <w:rPr>
          <w:rFonts w:eastAsia="Microsoft YaHei" w:cs="Cambria"/>
          <w:color w:val="1E2530"/>
          <w:sz w:val="22"/>
          <w:szCs w:val="22"/>
        </w:rPr>
        <w:t>All 60% enriched uranium — the stockpile capable of rapid weapons-grade conversion — comes under IAEA verified custody or is downblended to non-weapons-usable levels. The breakout timeline extends from weeks to months.</w:t>
      </w:r>
    </w:p>
    <w:p>
      <w:pPr>
        <w:pStyle w:val="Normal"/>
        <w:numPr>
          <w:ilvl w:val="0"/>
          <w:numId w:val="1"/>
        </w:numPr>
        <w:bidi w:val="0"/>
        <w:spacing w:before="0" w:after="160"/>
        <w:rPr/>
      </w:pPr>
      <w:r>
        <w:rPr>
          <w:rFonts w:eastAsia="Microsoft YaHei" w:cs="Cambria"/>
          <w:b/>
          <w:color w:val="1E2530"/>
          <w:sz w:val="22"/>
          <w:szCs w:val="22"/>
        </w:rPr>
        <w:t xml:space="preserve">"Verification before relief, every time" - </w:t>
      </w:r>
      <w:r>
        <w:rPr>
          <w:rFonts w:eastAsia="Microsoft YaHei" w:cs="Cambria"/>
          <w:color w:val="1E2530"/>
          <w:sz w:val="22"/>
          <w:szCs w:val="22"/>
        </w:rPr>
        <w:t>No sanctions relief tranche activates before IAEA certifies the corresponding Iranian nuclear step. The escrow architecture ensures this. The dashboard confirms it. The sequence is locked: verify first, relieve second.</w:t>
      </w:r>
    </w:p>
    <w:p>
      <w:pPr>
        <w:pStyle w:val="Normal"/>
        <w:numPr>
          <w:ilvl w:val="0"/>
          <w:numId w:val="1"/>
        </w:numPr>
        <w:bidi w:val="0"/>
        <w:spacing w:before="0" w:after="160"/>
        <w:rPr/>
      </w:pPr>
      <w:r>
        <w:rPr>
          <w:rFonts w:eastAsia="Microsoft YaHei" w:cs="Cambria"/>
          <w:b/>
          <w:color w:val="1E2530"/>
          <w:sz w:val="22"/>
          <w:szCs w:val="22"/>
        </w:rPr>
        <w:t xml:space="preserve">"Continuous monitoring prevents breakout" - </w:t>
      </w:r>
      <w:r>
        <w:rPr>
          <w:rFonts w:eastAsia="Microsoft YaHei" w:cs="Cambria"/>
          <w:color w:val="1E2530"/>
          <w:sz w:val="22"/>
          <w:szCs w:val="22"/>
        </w:rPr>
        <w:t>Online enrichment monitors, tamper-indicating seals, and remote surveillance operate 24/7 at all declared facilities. Any deviation triggers automatic suspension of the corresponding relief tranche. Sensors, not politics, govern the process.</w:t>
      </w:r>
    </w:p>
    <w:p>
      <w:pPr>
        <w:pStyle w:val="Normal"/>
        <w:numPr>
          <w:ilvl w:val="0"/>
          <w:numId w:val="1"/>
        </w:numPr>
        <w:bidi w:val="0"/>
        <w:spacing w:before="0" w:after="160"/>
        <w:rPr/>
      </w:pPr>
      <w:r>
        <w:rPr>
          <w:rFonts w:eastAsia="Microsoft YaHei" w:cs="Cambria"/>
          <w:b/>
          <w:color w:val="1E2530"/>
          <w:sz w:val="22"/>
          <w:szCs w:val="22"/>
        </w:rPr>
        <w:t xml:space="preserve">"Reversible at every stage" - </w:t>
      </w:r>
      <w:r>
        <w:rPr>
          <w:rFonts w:eastAsia="Microsoft YaHei" w:cs="Cambria"/>
          <w:color w:val="1E2530"/>
          <w:sz w:val="22"/>
          <w:szCs w:val="22"/>
        </w:rPr>
        <w:t>Until the final tranche, every relief measure is reversible through the step-back mechanism. The United States retains full leverage throughout the process. Iran knows that cheating ends the relief.</w:t>
      </w:r>
    </w:p>
    <w:p>
      <w:pPr>
        <w:pStyle w:val="Heading2"/>
        <w:keepNext w:val="true"/>
        <w:keepLines/>
        <w:bidi w:val="0"/>
        <w:spacing w:before="360" w:after="160"/>
        <w:rPr/>
      </w:pPr>
      <w:r>
        <w:rPr>
          <w:rFonts w:eastAsia="Microsoft YaHei" w:cs="Cambria"/>
          <w:b/>
          <w:color w:val="2C3E5E"/>
          <w:sz w:val="30"/>
          <w:szCs w:val="30"/>
        </w:rPr>
        <w:t>E.3 Explicit Nuclear Trigger Language</w:t>
      </w:r>
    </w:p>
    <w:p>
      <w:pPr>
        <w:pStyle w:val="Normal"/>
        <w:bidi w:val="0"/>
        <w:spacing w:before="0" w:after="180"/>
        <w:rPr/>
      </w:pPr>
      <w:r>
        <w:rPr>
          <w:rFonts w:eastAsia="Microsoft YaHei" w:cs="Cambria"/>
          <w:color w:val="1E2530"/>
          <w:sz w:val="22"/>
          <w:szCs w:val="22"/>
        </w:rPr>
        <w:t>The following provisions tie every nuclear step to its corresponding reciprocal activation. This language ensures that no nuclear step proceeds without its matched American measure, and no American measure activates without prior IAEA certification of the Iranian step.</w:t>
      </w:r>
    </w:p>
    <w:p>
      <w:pPr>
        <w:pStyle w:val="Normal"/>
        <w:shd w:val="clear" w:fill="F5F0E8"/>
        <w:bidi w:val="0"/>
        <w:spacing w:before="200" w:after="200"/>
        <w:ind w:start="360" w:end="360" w:hanging="0"/>
        <w:jc w:val="both"/>
        <w:rPr/>
      </w:pPr>
      <w:r>
        <w:rPr>
          <w:rFonts w:eastAsia="Microsoft YaHei" w:cs="Cambria"/>
          <w:i/>
          <w:color w:val="1E2530"/>
          <w:sz w:val="22"/>
          <w:szCs w:val="22"/>
        </w:rPr>
        <w:t>"The IAEA certifies the Iranian nuclear step. The certification posts to the Swiss-hosted dashboard. Both Parties receive simultaneous notification. The corresponding U.S. reciprocal measure activates automatically within 24 hours of certification posting. No certification means no activation. No certification means no relief."</w:t>
      </w:r>
    </w:p>
    <w:p>
      <w:pPr>
        <w:pStyle w:val="Normal"/>
        <w:bidi w:val="0"/>
        <w:spacing w:before="0" w:after="180"/>
        <w:rPr/>
      </w:pPr>
      <w:r>
        <w:rPr>
          <w:rFonts w:eastAsia="Microsoft YaHei" w:cs="Cambria"/>
          <w:color w:val="1E2530"/>
          <w:sz w:val="22"/>
          <w:szCs w:val="22"/>
        </w:rPr>
        <w:t>This trigger language operates for every row in the Nuclear Reciprocity Matrix. It is not renegotiable on a case-by-case basis. The framework performs the activation, not human negotiators.</w:t>
      </w:r>
    </w:p>
    <w:p>
      <w:pPr>
        <w:pStyle w:val="Heading2"/>
        <w:keepNext w:val="true"/>
        <w:keepLines/>
        <w:bidi w:val="0"/>
        <w:spacing w:before="360" w:after="160"/>
        <w:rPr/>
      </w:pPr>
      <w:r>
        <w:rPr>
          <w:rFonts w:eastAsia="Microsoft YaHei" w:cs="Cambria"/>
          <w:b/>
          <w:color w:val="2C3E5E"/>
          <w:sz w:val="30"/>
          <w:szCs w:val="30"/>
        </w:rPr>
        <w:t>E.4 Clarification Mechanism for IAEA Disputes</w:t>
      </w:r>
    </w:p>
    <w:p>
      <w:pPr>
        <w:pStyle w:val="Normal"/>
        <w:bidi w:val="0"/>
        <w:spacing w:before="0" w:after="180"/>
        <w:rPr/>
      </w:pPr>
      <w:r>
        <w:rPr>
          <w:rFonts w:eastAsia="Microsoft YaHei" w:cs="Cambria"/>
          <w:color w:val="1E2530"/>
          <w:sz w:val="22"/>
          <w:szCs w:val="22"/>
        </w:rPr>
        <w:t>Technical disagreements between the IAEA and Iran about nuclear activities do not escalate to political crises under this mechanism. The following protocol prevents technical disputes from derailing the Compact:</w:t>
      </w:r>
    </w:p>
    <w:p>
      <w:pPr>
        <w:pStyle w:val="Normal"/>
        <w:numPr>
          <w:ilvl w:val="0"/>
          <w:numId w:val="1"/>
        </w:numPr>
        <w:bidi w:val="0"/>
        <w:spacing w:before="0" w:after="160"/>
        <w:rPr/>
      </w:pPr>
      <w:r>
        <w:rPr>
          <w:rFonts w:eastAsia="Microsoft YaHei" w:cs="Cambria"/>
          <w:b/>
          <w:color w:val="1E2530"/>
          <w:sz w:val="22"/>
          <w:szCs w:val="22"/>
        </w:rPr>
        <w:t xml:space="preserve">Technical consultation priority - </w:t>
      </w:r>
      <w:r>
        <w:rPr>
          <w:rFonts w:eastAsia="Microsoft YaHei" w:cs="Cambria"/>
          <w:color w:val="1E2530"/>
          <w:sz w:val="22"/>
          <w:szCs w:val="22"/>
        </w:rPr>
        <w:t>Any IAEA finding that Iran disputes triggers a 72-hour technical consultation between Iranian nuclear officials, IAEA technical staff, and the Neutral Guarantor's scientific advisor. The consultation addresses the technical facts, not the political implications.</w:t>
      </w:r>
    </w:p>
    <w:p>
      <w:pPr>
        <w:pStyle w:val="Normal"/>
        <w:numPr>
          <w:ilvl w:val="0"/>
          <w:numId w:val="1"/>
        </w:numPr>
        <w:bidi w:val="0"/>
        <w:spacing w:before="0" w:after="160"/>
        <w:rPr/>
      </w:pPr>
      <w:r>
        <w:rPr>
          <w:rFonts w:eastAsia="Microsoft YaHei" w:cs="Cambria"/>
          <w:b/>
          <w:color w:val="1E2530"/>
          <w:sz w:val="22"/>
          <w:szCs w:val="22"/>
        </w:rPr>
        <w:t xml:space="preserve">Dashboard transparency - </w:t>
      </w:r>
      <w:r>
        <w:rPr>
          <w:rFonts w:eastAsia="Microsoft YaHei" w:cs="Cambria"/>
          <w:color w:val="1E2530"/>
          <w:sz w:val="22"/>
          <w:szCs w:val="22"/>
        </w:rPr>
        <w:t>Both Parties post their respective technical positions on the Swiss-hosted dashboard within 12 hours of the dispute arising. The public sees both positions simultaneously. Neither side controls the narrative exclusively.</w:t>
      </w:r>
    </w:p>
    <w:p>
      <w:pPr>
        <w:pStyle w:val="Normal"/>
        <w:numPr>
          <w:ilvl w:val="0"/>
          <w:numId w:val="1"/>
        </w:numPr>
        <w:bidi w:val="0"/>
        <w:spacing w:before="0" w:after="160"/>
        <w:rPr/>
      </w:pPr>
      <w:r>
        <w:rPr>
          <w:rFonts w:eastAsia="Microsoft YaHei" w:cs="Cambria"/>
          <w:b/>
          <w:color w:val="1E2530"/>
          <w:sz w:val="22"/>
          <w:szCs w:val="22"/>
        </w:rPr>
        <w:t xml:space="preserve">Independent expert panel - </w:t>
      </w:r>
      <w:r>
        <w:rPr>
          <w:rFonts w:eastAsia="Microsoft YaHei" w:cs="Cambria"/>
          <w:color w:val="1E2530"/>
          <w:sz w:val="22"/>
          <w:szCs w:val="22"/>
        </w:rPr>
        <w:t>If the technical consultation does not resolve the dispute within 72 hours, the Neutral Guarantor convenes a panel of three independent nuclear scientists — one nominated by Iran, one by the IAEA, one by the Neutral Guarantor. The panel issues a technical finding within 7 days.</w:t>
      </w:r>
    </w:p>
    <w:p>
      <w:pPr>
        <w:pStyle w:val="Normal"/>
        <w:numPr>
          <w:ilvl w:val="0"/>
          <w:numId w:val="1"/>
        </w:numPr>
        <w:bidi w:val="0"/>
        <w:spacing w:before="0" w:after="160"/>
        <w:rPr/>
      </w:pPr>
      <w:r>
        <w:rPr>
          <w:rFonts w:eastAsia="Microsoft YaHei" w:cs="Cambria"/>
          <w:b/>
          <w:color w:val="1E2530"/>
          <w:sz w:val="22"/>
          <w:szCs w:val="22"/>
        </w:rPr>
        <w:t xml:space="preserve">Finding is advisory, not binding - </w:t>
      </w:r>
      <w:r>
        <w:rPr>
          <w:rFonts w:eastAsia="Microsoft YaHei" w:cs="Cambria"/>
          <w:color w:val="1E2530"/>
          <w:sz w:val="22"/>
          <w:szCs w:val="22"/>
        </w:rPr>
        <w:t>The independent panel's finding is technically authoritative but does not automatically trigger compliance consequences. The Joint Coordination Center determines whether the finding constitutes material non-compliance warranting Step-Back or a technical discrepancy resolvable through corrective action.</w:t>
      </w:r>
    </w:p>
    <w:p>
      <w:pPr>
        <w:pStyle w:val="Normal"/>
        <w:numPr>
          <w:ilvl w:val="0"/>
          <w:numId w:val="1"/>
        </w:numPr>
        <w:bidi w:val="0"/>
        <w:spacing w:before="0" w:after="160"/>
        <w:rPr/>
        <w:sectPr>
          <w:headerReference w:type="default" r:id="rId9"/>
          <w:footerReference w:type="default" r:id="rId10"/>
          <w:type w:val="nextPage"/>
          <w:pgSz w:w="11906" w:h="16838"/>
          <w:pgMar w:left="1440" w:right="1440" w:gutter="0" w:header="720" w:top="1800" w:footer="720" w:bottom="1440"/>
          <w:pgNumType w:fmt="decimal"/>
          <w:formProt w:val="false"/>
          <w:textDirection w:val="lrTb"/>
          <w:docGrid w:type="default" w:linePitch="100" w:charSpace="0"/>
        </w:sectPr>
      </w:pPr>
      <w:r>
        <w:rPr>
          <w:rFonts w:eastAsia="Microsoft YaHei" w:cs="Cambria"/>
          <w:b/>
          <w:color w:val="1E2530"/>
          <w:sz w:val="22"/>
          <w:szCs w:val="22"/>
        </w:rPr>
        <w:t xml:space="preserve">No relief suspension during clarification - </w:t>
      </w:r>
      <w:r>
        <w:rPr>
          <w:rFonts w:eastAsia="Microsoft YaHei" w:cs="Cambria"/>
          <w:color w:val="1E2530"/>
          <w:sz w:val="22"/>
          <w:szCs w:val="22"/>
        </w:rPr>
        <w:t>Relief tranches corresponding to unrelated reciprocity units continue operating during the clarification process. Only the tranche directly tied to the disputed finding suspends pending resolution. The synchronization of unrelated units is not affected.</w:t>
      </w:r>
    </w:p>
    <w:p>
      <w:pPr>
        <w:pStyle w:val="Heading1"/>
        <w:bidi w:val="0"/>
        <w:rPr/>
      </w:pPr>
      <w:r>
        <w:rPr>
          <w:rFonts w:eastAsia="Microsoft YaHei" w:cs="Cambria"/>
          <w:b/>
          <w:color w:val="1E2530"/>
          <w:sz w:val="20"/>
          <w:szCs w:val="40"/>
        </w:rPr>
        <w:t>Annex F: Verification Sequencing Map and Telemetry Protocol</w:t>
      </w:r>
    </w:p>
    <w:p>
      <w:pPr>
        <w:pStyle w:val="Normal"/>
        <w:bidi w:val="0"/>
        <w:spacing w:before="0" w:after="180"/>
        <w:rPr/>
      </w:pPr>
      <w:r>
        <w:rPr>
          <w:rFonts w:eastAsia="Microsoft YaHei" w:cs="Cambria"/>
          <w:color w:val="1E2530"/>
          <w:sz w:val="22"/>
          <w:szCs w:val="22"/>
        </w:rPr>
        <w:t>This annex maps the verification architecture from baseline through continuous monitoring to pause verification. It establishes the telemetry override rule and defines how sensor data governs compliance determinations.</w:t>
      </w:r>
    </w:p>
    <w:p>
      <w:pPr>
        <w:pStyle w:val="Heading2"/>
        <w:keepNext w:val="true"/>
        <w:keepLines/>
        <w:bidi w:val="0"/>
        <w:spacing w:before="360" w:after="160"/>
        <w:rPr/>
      </w:pPr>
      <w:r>
        <w:rPr>
          <w:rFonts w:eastAsia="Microsoft YaHei" w:cs="Cambria"/>
          <w:b/>
          <w:color w:val="2C3E5E"/>
          <w:sz w:val="30"/>
          <w:szCs w:val="30"/>
        </w:rPr>
        <w:t>F.1 Verification Sequencing Map</w:t>
      </w:r>
    </w:p>
    <w:p>
      <w:pPr>
        <w:pStyle w:val="Normal"/>
        <w:bidi w:val="0"/>
        <w:spacing w:before="0" w:after="180"/>
        <w:rPr/>
      </w:pPr>
      <w:r>
        <w:rPr>
          <w:rFonts w:eastAsia="Microsoft YaHei" w:cs="Cambria"/>
          <w:color w:val="1E2530"/>
          <w:sz w:val="22"/>
          <w:szCs w:val="22"/>
        </w:rPr>
        <w:t>The following sequence governs verification from signature through framework renewal. Each stage builds on the previous. No stage skips.</w:t>
      </w:r>
    </w:p>
    <w:p>
      <w:pPr>
        <w:pStyle w:val="Heading3"/>
        <w:keepNext w:val="true"/>
        <w:keepLines/>
        <w:bidi w:val="0"/>
        <w:spacing w:before="280" w:after="120"/>
        <w:rPr/>
      </w:pPr>
      <w:r>
        <w:rPr>
          <w:rFonts w:eastAsia="Microsoft YaHei" w:cs="Cambria"/>
          <w:b/>
          <w:color w:val="4A5568"/>
          <w:sz w:val="26"/>
          <w:szCs w:val="20"/>
        </w:rPr>
        <w:t>Stage One: Baseline Establishment (Days 1-3)</w:t>
      </w:r>
    </w:p>
    <w:p>
      <w:pPr>
        <w:pStyle w:val="Normal"/>
        <w:numPr>
          <w:ilvl w:val="0"/>
          <w:numId w:val="1"/>
        </w:numPr>
        <w:bidi w:val="0"/>
        <w:spacing w:before="0" w:after="160"/>
        <w:rPr/>
      </w:pPr>
      <w:r>
        <w:rPr>
          <w:rFonts w:eastAsia="Microsoft YaHei" w:cs="Cambria"/>
          <w:b/>
          <w:color w:val="4A5568"/>
          <w:sz w:val="19"/>
          <w:szCs w:val="22"/>
        </w:rPr>
        <w:t xml:space="preserve">IAEA inspection team deployment - </w:t>
      </w:r>
      <w:r>
        <w:rPr>
          <w:rFonts w:eastAsia="Microsoft YaHei" w:cs="Cambria"/>
          <w:color w:val="1E2530"/>
          <w:sz w:val="22"/>
          <w:szCs w:val="22"/>
        </w:rPr>
        <w:t>The IAEA deploys a core inspection team to Iran within 24 hours of signature. The team comprises no more than 12 inspectors, including the team leader and deputy. All inspectors hold valid Iranian visas or enter under the IAEA's standing visa waiver.</w:t>
      </w:r>
    </w:p>
    <w:p>
      <w:pPr>
        <w:pStyle w:val="Normal"/>
        <w:numPr>
          <w:ilvl w:val="0"/>
          <w:numId w:val="1"/>
        </w:numPr>
        <w:bidi w:val="0"/>
        <w:spacing w:before="0" w:after="160"/>
        <w:rPr/>
      </w:pPr>
      <w:r>
        <w:rPr>
          <w:rFonts w:eastAsia="Microsoft YaHei" w:cs="Cambria"/>
          <w:b/>
          <w:color w:val="4A5568"/>
          <w:sz w:val="19"/>
          <w:szCs w:val="22"/>
        </w:rPr>
        <w:t xml:space="preserve">Dashboard activation - </w:t>
      </w:r>
      <w:r>
        <w:rPr>
          <w:rFonts w:eastAsia="Microsoft YaHei" w:cs="Cambria"/>
          <w:color w:val="1E2530"/>
          <w:sz w:val="22"/>
          <w:szCs w:val="22"/>
        </w:rPr>
        <w:t>The Swiss-hosted digital dashboard goes live within 24 hours of signature. Both Parties receive login credentials simultaneously. The IAEA receives inspector-level access. The Neutral Guarantor receives administrator access.</w:t>
      </w:r>
    </w:p>
    <w:p>
      <w:pPr>
        <w:pStyle w:val="Normal"/>
        <w:numPr>
          <w:ilvl w:val="0"/>
          <w:numId w:val="1"/>
        </w:numPr>
        <w:bidi w:val="0"/>
        <w:spacing w:before="0" w:after="160"/>
        <w:rPr/>
      </w:pPr>
      <w:r>
        <w:rPr>
          <w:rFonts w:eastAsia="Microsoft YaHei" w:cs="Cambria"/>
          <w:b/>
          <w:color w:val="4A5568"/>
          <w:sz w:val="19"/>
          <w:szCs w:val="22"/>
        </w:rPr>
        <w:t xml:space="preserve">Baseline readings - </w:t>
      </w:r>
      <w:r>
        <w:rPr>
          <w:rFonts w:eastAsia="Microsoft YaHei" w:cs="Cambria"/>
          <w:color w:val="1E2530"/>
          <w:sz w:val="22"/>
          <w:szCs w:val="22"/>
        </w:rPr>
        <w:t>IAEA inspectors conduct baseline readings at all declared facilities within 72 hours of signature. These readings establish the reference point for all subsequent compliance measurements. The baseline report posts to the dashboard within 96 hours of signature.</w:t>
      </w:r>
    </w:p>
    <w:p>
      <w:pPr>
        <w:pStyle w:val="Normal"/>
        <w:numPr>
          <w:ilvl w:val="0"/>
          <w:numId w:val="1"/>
        </w:numPr>
        <w:bidi w:val="0"/>
        <w:spacing w:before="0" w:after="160"/>
        <w:rPr/>
      </w:pPr>
      <w:r>
        <w:rPr>
          <w:rFonts w:eastAsia="Microsoft YaHei" w:cs="Cambria"/>
          <w:b/>
          <w:color w:val="4A5568"/>
          <w:sz w:val="19"/>
          <w:szCs w:val="22"/>
        </w:rPr>
        <w:t xml:space="preserve">Equipment inventory - </w:t>
      </w:r>
      <w:r>
        <w:rPr>
          <w:rFonts w:eastAsia="Microsoft YaHei" w:cs="Cambria"/>
          <w:color w:val="1E2530"/>
          <w:sz w:val="22"/>
          <w:szCs w:val="22"/>
        </w:rPr>
        <w:t>The IAEA inventories all declared centrifuges, enrichment equipment, and nuclear material storage containers. The inventory posts to the dashboard as the master equipment register. Any subsequent equipment movement requires notification through the dashboard.</w:t>
      </w:r>
    </w:p>
    <w:p>
      <w:pPr>
        <w:pStyle w:val="Heading3"/>
        <w:keepNext w:val="true"/>
        <w:keepLines/>
        <w:bidi w:val="0"/>
        <w:spacing w:before="280" w:after="120"/>
        <w:rPr/>
      </w:pPr>
      <w:r>
        <w:rPr>
          <w:rFonts w:eastAsia="Microsoft YaHei" w:cs="Cambria"/>
          <w:b/>
          <w:color w:val="4A5568"/>
          <w:sz w:val="26"/>
          <w:szCs w:val="20"/>
        </w:rPr>
        <w:t>Stage Two: Seal Installation and Monitoring Activation (Days 3-14)</w:t>
      </w:r>
    </w:p>
    <w:p>
      <w:pPr>
        <w:pStyle w:val="Normal"/>
        <w:numPr>
          <w:ilvl w:val="0"/>
          <w:numId w:val="1"/>
        </w:numPr>
        <w:bidi w:val="0"/>
        <w:spacing w:before="0" w:after="160"/>
        <w:rPr/>
      </w:pPr>
      <w:r>
        <w:rPr>
          <w:rFonts w:eastAsia="Microsoft YaHei" w:cs="Cambria"/>
          <w:b/>
          <w:color w:val="4A5568"/>
          <w:sz w:val="19"/>
          <w:szCs w:val="22"/>
        </w:rPr>
        <w:t xml:space="preserve">Seal installation - </w:t>
      </w:r>
      <w:r>
        <w:rPr>
          <w:rFonts w:eastAsia="Microsoft YaHei" w:cs="Cambria"/>
          <w:color w:val="1E2530"/>
          <w:sz w:val="22"/>
          <w:szCs w:val="22"/>
        </w:rPr>
        <w:t>The IAEA installs tamper-evident seals on all enriched uranium stockpiles above 5% enrichment. Each seal carries a unique identifier that posts to the dashboard in real time. Seal installation proceeds facility by facility, with daily dashboard updates.</w:t>
      </w:r>
    </w:p>
    <w:p>
      <w:pPr>
        <w:pStyle w:val="Normal"/>
        <w:numPr>
          <w:ilvl w:val="0"/>
          <w:numId w:val="1"/>
        </w:numPr>
        <w:bidi w:val="0"/>
        <w:spacing w:before="0" w:after="160"/>
        <w:rPr/>
      </w:pPr>
      <w:r>
        <w:rPr>
          <w:rFonts w:eastAsia="Microsoft YaHei" w:cs="Cambria"/>
          <w:b/>
          <w:color w:val="4A5568"/>
          <w:sz w:val="19"/>
          <w:szCs w:val="22"/>
        </w:rPr>
        <w:t xml:space="preserve">Continuous monitoring equipment - </w:t>
      </w:r>
      <w:r>
        <w:rPr>
          <w:rFonts w:eastAsia="Microsoft YaHei" w:cs="Cambria"/>
          <w:color w:val="1E2530"/>
          <w:sz w:val="22"/>
          <w:szCs w:val="22"/>
        </w:rPr>
        <w:t>Online enrichment monitors install at the inlet and outlet of declared enrichment cascades. Remote camera surveillance activates at material storage locations. Environmental sampling equipment deploys at declared facilities. All equipment transmits data to the dashboard continuously.</w:t>
      </w:r>
    </w:p>
    <w:p>
      <w:pPr>
        <w:pStyle w:val="Normal"/>
        <w:numPr>
          <w:ilvl w:val="0"/>
          <w:numId w:val="1"/>
        </w:numPr>
        <w:bidi w:val="0"/>
        <w:spacing w:before="0" w:after="160"/>
        <w:rPr/>
      </w:pPr>
      <w:r>
        <w:rPr>
          <w:rFonts w:eastAsia="Microsoft YaHei" w:cs="Cambria"/>
          <w:b/>
          <w:color w:val="4A5568"/>
          <w:sz w:val="19"/>
          <w:szCs w:val="22"/>
        </w:rPr>
        <w:t xml:space="preserve">Seal integrity verification - </w:t>
      </w:r>
      <w:r>
        <w:rPr>
          <w:rFonts w:eastAsia="Microsoft YaHei" w:cs="Cambria"/>
          <w:color w:val="1E2530"/>
          <w:sz w:val="22"/>
          <w:szCs w:val="22"/>
        </w:rPr>
        <w:t>The IAEA verifies seal integrity at each facility and posts green/amber/red status to the dashboard. Green means intact. Amber means inspection required within 48 hours. Red means potential tamper — immediate investigation and automatic suspension of corresponding relief tranche.</w:t>
      </w:r>
    </w:p>
    <w:p>
      <w:pPr>
        <w:pStyle w:val="Normal"/>
        <w:numPr>
          <w:ilvl w:val="0"/>
          <w:numId w:val="1"/>
        </w:numPr>
        <w:bidi w:val="0"/>
        <w:spacing w:before="0" w:after="160"/>
        <w:rPr/>
      </w:pPr>
      <w:r>
        <w:rPr>
          <w:rFonts w:eastAsia="Microsoft YaHei" w:cs="Cambria"/>
          <w:b/>
          <w:color w:val="4A5568"/>
          <w:sz w:val="19"/>
          <w:szCs w:val="22"/>
        </w:rPr>
        <w:t xml:space="preserve">Monitoring certification - </w:t>
      </w:r>
      <w:r>
        <w:rPr>
          <w:rFonts w:eastAsia="Microsoft YaHei" w:cs="Cambria"/>
          <w:color w:val="1E2530"/>
          <w:sz w:val="22"/>
          <w:szCs w:val="22"/>
        </w:rPr>
        <w:t>Upon installation and successful testing of all continuous monitoring equipment, the IAEA certifies the monitoring regime operational. This certification is the trigger for Tier Three relief eligibility. No certification means no Tier Three.</w:t>
      </w:r>
    </w:p>
    <w:p>
      <w:pPr>
        <w:pStyle w:val="Heading3"/>
        <w:keepNext w:val="true"/>
        <w:keepLines/>
        <w:bidi w:val="0"/>
        <w:spacing w:before="280" w:after="120"/>
        <w:rPr/>
      </w:pPr>
      <w:r>
        <w:rPr>
          <w:rFonts w:eastAsia="Microsoft YaHei" w:cs="Cambria"/>
          <w:b/>
          <w:color w:val="4A5568"/>
          <w:sz w:val="26"/>
          <w:szCs w:val="20"/>
        </w:rPr>
        <w:t>Stage Three: Continuous Monitoring and Verification Milestones (Days 14-60)</w:t>
      </w:r>
    </w:p>
    <w:p>
      <w:pPr>
        <w:pStyle w:val="Normal"/>
        <w:numPr>
          <w:ilvl w:val="0"/>
          <w:numId w:val="1"/>
        </w:numPr>
        <w:bidi w:val="0"/>
        <w:spacing w:before="0" w:after="160"/>
        <w:rPr/>
      </w:pPr>
      <w:r>
        <w:rPr>
          <w:rFonts w:eastAsia="Microsoft YaHei" w:cs="Cambria"/>
          <w:b/>
          <w:color w:val="4A5568"/>
          <w:sz w:val="19"/>
          <w:szCs w:val="22"/>
        </w:rPr>
        <w:t xml:space="preserve">24/7 monitoring - </w:t>
      </w:r>
      <w:r>
        <w:rPr>
          <w:rFonts w:eastAsia="Microsoft YaHei" w:cs="Cambria"/>
          <w:color w:val="1E2530"/>
          <w:sz w:val="22"/>
          <w:szCs w:val="22"/>
        </w:rPr>
        <w:t>All continuous monitoring equipment operates without interruption. Data streams to the dashboard in real time. Both Parties view the same data simultaneously. The Neutral Guarantor monitors for data integrity and system availability.</w:t>
      </w:r>
    </w:p>
    <w:p>
      <w:pPr>
        <w:pStyle w:val="Normal"/>
        <w:numPr>
          <w:ilvl w:val="0"/>
          <w:numId w:val="1"/>
        </w:numPr>
        <w:bidi w:val="0"/>
        <w:spacing w:before="0" w:after="160"/>
        <w:rPr/>
      </w:pPr>
      <w:r>
        <w:rPr>
          <w:rFonts w:eastAsia="Microsoft YaHei" w:cs="Cambria"/>
          <w:b/>
          <w:color w:val="4A5568"/>
          <w:sz w:val="19"/>
          <w:szCs w:val="22"/>
        </w:rPr>
        <w:t xml:space="preserve">Weekly summary reports - </w:t>
      </w:r>
      <w:r>
        <w:rPr>
          <w:rFonts w:eastAsia="Microsoft YaHei" w:cs="Cambria"/>
          <w:color w:val="1E2530"/>
          <w:sz w:val="22"/>
          <w:szCs w:val="22"/>
        </w:rPr>
        <w:t>The IAEA issues weekly summary reports posting all verification activities, seal status changes, monitoring data anomalies, and inspector observations. Both Parties receive the reports simultaneously through the dashboard.</w:t>
      </w:r>
    </w:p>
    <w:p>
      <w:pPr>
        <w:pStyle w:val="Normal"/>
        <w:numPr>
          <w:ilvl w:val="0"/>
          <w:numId w:val="1"/>
        </w:numPr>
        <w:bidi w:val="0"/>
        <w:spacing w:before="0" w:after="160"/>
        <w:rPr/>
      </w:pPr>
      <w:r>
        <w:rPr>
          <w:rFonts w:eastAsia="Microsoft YaHei" w:cs="Cambria"/>
          <w:b/>
          <w:color w:val="4A5568"/>
          <w:sz w:val="19"/>
          <w:szCs w:val="22"/>
        </w:rPr>
        <w:t xml:space="preserve">Verification Milestone assessments - </w:t>
      </w:r>
      <w:r>
        <w:rPr>
          <w:rFonts w:eastAsia="Microsoft YaHei" w:cs="Cambria"/>
          <w:color w:val="1E2530"/>
          <w:sz w:val="22"/>
          <w:szCs w:val="22"/>
        </w:rPr>
        <w:t>At each Verification Milestone (Day 30, Day 45, Day 60), the IAEA conducts a comprehensive assessment and issues a compliance determination. Green status means on track. Amber means corrective action required within 14 days. Red means Step-Back consideration.</w:t>
      </w:r>
    </w:p>
    <w:p>
      <w:pPr>
        <w:pStyle w:val="Normal"/>
        <w:numPr>
          <w:ilvl w:val="0"/>
          <w:numId w:val="1"/>
        </w:numPr>
        <w:bidi w:val="0"/>
        <w:spacing w:before="0" w:after="160"/>
        <w:rPr/>
      </w:pPr>
      <w:r>
        <w:rPr>
          <w:rFonts w:eastAsia="Microsoft YaHei" w:cs="Cambria"/>
          <w:b/>
          <w:color w:val="4A5568"/>
          <w:sz w:val="19"/>
          <w:szCs w:val="22"/>
        </w:rPr>
        <w:t xml:space="preserve">Ad hoc inspections - </w:t>
      </w:r>
      <w:r>
        <w:rPr>
          <w:rFonts w:eastAsia="Microsoft YaHei" w:cs="Cambria"/>
          <w:color w:val="1E2530"/>
          <w:sz w:val="22"/>
          <w:szCs w:val="22"/>
        </w:rPr>
        <w:t>The IAEA conducts ad hoc inspections based on monitoring data anomalies, tip-offs, or either Party's request through the Joint Coordination Center. Ad hoc inspections do not require 14 days' advance notice; they operate on the 72-hour notification standard for routine inspections under this Compact.</w:t>
      </w:r>
    </w:p>
    <w:p>
      <w:pPr>
        <w:pStyle w:val="Heading3"/>
        <w:keepNext w:val="true"/>
        <w:keepLines/>
        <w:bidi w:val="0"/>
        <w:spacing w:before="280" w:after="120"/>
        <w:rPr/>
      </w:pPr>
      <w:r>
        <w:rPr>
          <w:rFonts w:eastAsia="Microsoft YaHei" w:cs="Cambria"/>
          <w:b/>
          <w:color w:val="4A5568"/>
          <w:sz w:val="26"/>
          <w:szCs w:val="20"/>
        </w:rPr>
        <w:t>Stage Four: Pause Verification and Disposition Monitoring (Days 60-90)</w:t>
      </w:r>
    </w:p>
    <w:p>
      <w:pPr>
        <w:pStyle w:val="Normal"/>
        <w:numPr>
          <w:ilvl w:val="0"/>
          <w:numId w:val="1"/>
        </w:numPr>
        <w:bidi w:val="0"/>
        <w:spacing w:before="0" w:after="160"/>
        <w:rPr/>
      </w:pPr>
      <w:r>
        <w:rPr>
          <w:rFonts w:eastAsia="Microsoft YaHei" w:cs="Cambria"/>
          <w:b/>
          <w:color w:val="4A5568"/>
          <w:sz w:val="19"/>
          <w:szCs w:val="22"/>
        </w:rPr>
        <w:t xml:space="preserve">Pause confirmation - </w:t>
      </w:r>
      <w:r>
        <w:rPr>
          <w:rFonts w:eastAsia="Microsoft YaHei" w:cs="Cambria"/>
          <w:color w:val="1E2530"/>
          <w:sz w:val="22"/>
          <w:szCs w:val="22"/>
        </w:rPr>
        <w:t>The IAEA confirms that the enrichment pause is holding: no enrichment above 3.67% at any declared facility for the preceding 30-day period. This confirmation is the structural relief conversion trigger.</w:t>
      </w:r>
    </w:p>
    <w:p>
      <w:pPr>
        <w:pStyle w:val="Normal"/>
        <w:numPr>
          <w:ilvl w:val="0"/>
          <w:numId w:val="1"/>
        </w:numPr>
        <w:bidi w:val="0"/>
        <w:spacing w:before="0" w:after="160"/>
        <w:rPr/>
      </w:pPr>
      <w:r>
        <w:rPr>
          <w:rFonts w:eastAsia="Microsoft YaHei" w:cs="Cambria"/>
          <w:b/>
          <w:color w:val="4A5568"/>
          <w:sz w:val="19"/>
          <w:szCs w:val="22"/>
        </w:rPr>
        <w:t xml:space="preserve">Disposition verification - </w:t>
      </w:r>
      <w:r>
        <w:rPr>
          <w:rFonts w:eastAsia="Microsoft YaHei" w:cs="Cambria"/>
          <w:color w:val="1E2530"/>
          <w:sz w:val="22"/>
          <w:szCs w:val="22"/>
        </w:rPr>
        <w:t>The IAEA verifies each disposition batch of 60% HEU as it occurs: weighing, sampling, and confirming the downblending or transfer. Each verified batch posts to the dashboard with material accountancy records.</w:t>
      </w:r>
    </w:p>
    <w:p>
      <w:pPr>
        <w:pStyle w:val="Normal"/>
        <w:numPr>
          <w:ilvl w:val="0"/>
          <w:numId w:val="1"/>
        </w:numPr>
        <w:bidi w:val="0"/>
        <w:spacing w:before="0" w:after="160"/>
        <w:rPr/>
      </w:pPr>
      <w:r>
        <w:rPr>
          <w:rFonts w:eastAsia="Microsoft YaHei" w:cs="Cambria"/>
          <w:b/>
          <w:color w:val="4A5568"/>
          <w:sz w:val="19"/>
          <w:szCs w:val="22"/>
        </w:rPr>
        <w:t xml:space="preserve">Final accounting - </w:t>
      </w:r>
      <w:r>
        <w:rPr>
          <w:rFonts w:eastAsia="Microsoft YaHei" w:cs="Cambria"/>
          <w:color w:val="1E2530"/>
          <w:sz w:val="22"/>
          <w:szCs w:val="22"/>
        </w:rPr>
        <w:t>At framework renewal (Day 90), the IAEA issues a final material accountancy report showing the complete disposition of all previously declared 60% HEU. This report is the permanent resolution working group trigger.</w:t>
      </w:r>
    </w:p>
    <w:p>
      <w:pPr>
        <w:pStyle w:val="Heading2"/>
        <w:keepNext w:val="true"/>
        <w:keepLines/>
        <w:bidi w:val="0"/>
        <w:spacing w:before="360" w:after="160"/>
        <w:rPr/>
      </w:pPr>
      <w:r>
        <w:rPr>
          <w:rFonts w:eastAsia="Microsoft YaHei" w:cs="Cambria"/>
          <w:b/>
          <w:color w:val="2C3E5E"/>
          <w:sz w:val="30"/>
          <w:szCs w:val="30"/>
        </w:rPr>
        <w:t>F.2 Verification Trigger Clause</w:t>
      </w:r>
    </w:p>
    <w:p>
      <w:pPr>
        <w:pStyle w:val="Normal"/>
        <w:bidi w:val="0"/>
        <w:spacing w:before="0" w:after="180"/>
        <w:rPr/>
      </w:pPr>
      <w:r>
        <w:rPr>
          <w:rFonts w:eastAsia="Microsoft YaHei" w:cs="Cambria"/>
          <w:color w:val="1E2530"/>
          <w:sz w:val="22"/>
          <w:szCs w:val="22"/>
        </w:rPr>
        <w:t>Verification activates immediately upon signature of this Compact. The following trigger language governs all verification activities:</w:t>
      </w:r>
    </w:p>
    <w:p>
      <w:pPr>
        <w:pStyle w:val="Normal"/>
        <w:shd w:val="clear" w:fill="F5F0E8"/>
        <w:bidi w:val="0"/>
        <w:spacing w:before="200" w:after="200"/>
        <w:ind w:start="360" w:end="360" w:hanging="0"/>
        <w:jc w:val="both"/>
        <w:rPr/>
      </w:pPr>
      <w:r>
        <w:rPr>
          <w:rFonts w:eastAsia="Microsoft YaHei" w:cs="Cambria"/>
          <w:i/>
          <w:color w:val="1E2530"/>
          <w:sz w:val="22"/>
          <w:szCs w:val="22"/>
        </w:rPr>
        <w:t>"Verification activates immediately upon signature. The IAEA deploys within 24 hours. The dashboard goes live within 24 hours. Baseline readings complete within 72 hours. From the moment of signature, the verification architecture operates continuously and automatically. Verification is not a precondition for anything; verification is the first thing that happens."</w:t>
      </w:r>
    </w:p>
    <w:p>
      <w:pPr>
        <w:pStyle w:val="Heading2"/>
        <w:keepNext w:val="true"/>
        <w:keepLines/>
        <w:bidi w:val="0"/>
        <w:spacing w:before="360" w:after="160"/>
        <w:rPr/>
      </w:pPr>
      <w:r>
        <w:rPr>
          <w:rFonts w:eastAsia="Microsoft YaHei" w:cs="Cambria"/>
          <w:b/>
          <w:color w:val="2C3E5E"/>
          <w:sz w:val="30"/>
          <w:szCs w:val="30"/>
        </w:rPr>
        <w:t>F.3 Public-Facing Verification Wins</w:t>
      </w:r>
    </w:p>
    <w:p>
      <w:pPr>
        <w:pStyle w:val="Normal"/>
        <w:bidi w:val="0"/>
        <w:spacing w:before="0" w:after="180"/>
        <w:rPr/>
      </w:pPr>
      <w:r>
        <w:rPr>
          <w:rFonts w:eastAsia="Microsoft YaHei" w:cs="Cambria"/>
          <w:color w:val="1E2530"/>
          <w:sz w:val="22"/>
          <w:szCs w:val="22"/>
        </w:rPr>
        <w:t>Each side frames the verification architecture according to its domestic political requirements. Both framings describe the same facts.</w:t>
      </w:r>
    </w:p>
    <w:p>
      <w:pPr>
        <w:pStyle w:val="Heading3"/>
        <w:keepNext w:val="true"/>
        <w:keepLines/>
        <w:bidi w:val="0"/>
        <w:spacing w:before="280" w:after="120"/>
        <w:rPr/>
      </w:pPr>
      <w:r>
        <w:rPr>
          <w:rFonts w:eastAsia="Microsoft YaHei" w:cs="Cambria"/>
          <w:b/>
          <w:color w:val="4A5568"/>
          <w:sz w:val="26"/>
          <w:szCs w:val="20"/>
        </w:rPr>
        <w:t>Iran's Verification Narrative</w:t>
      </w:r>
    </w:p>
    <w:p>
      <w:pPr>
        <w:pStyle w:val="Normal"/>
        <w:numPr>
          <w:ilvl w:val="0"/>
          <w:numId w:val="1"/>
        </w:numPr>
        <w:bidi w:val="0"/>
        <w:spacing w:before="0" w:after="160"/>
        <w:rPr/>
      </w:pPr>
      <w:r>
        <w:rPr>
          <w:rFonts w:eastAsia="Microsoft YaHei" w:cs="Cambria"/>
          <w:b/>
          <w:color w:val="4A5568"/>
          <w:sz w:val="19"/>
          <w:szCs w:val="22"/>
        </w:rPr>
        <w:t xml:space="preserve">"Managed transparency, not submission" - </w:t>
      </w:r>
      <w:r>
        <w:rPr>
          <w:rFonts w:eastAsia="Microsoft YaHei" w:cs="Cambria"/>
          <w:color w:val="1E2530"/>
          <w:sz w:val="22"/>
          <w:szCs w:val="22"/>
        </w:rPr>
        <w:t>Iran agreed to specific verification measures as part of a reciprocal deal that brings Iran concrete benefits. The verification is limited in scope, focused on declared facilities, and operates under Iranian sovereignty. Iran is not submitting to an open-ended inspection regime; Iran is implementing a managed transparency that Iran designed.</w:t>
      </w:r>
    </w:p>
    <w:p>
      <w:pPr>
        <w:pStyle w:val="Normal"/>
        <w:numPr>
          <w:ilvl w:val="0"/>
          <w:numId w:val="1"/>
        </w:numPr>
        <w:bidi w:val="0"/>
        <w:spacing w:before="0" w:after="160"/>
        <w:rPr/>
      </w:pPr>
      <w:r>
        <w:rPr>
          <w:rFonts w:eastAsia="Microsoft YaHei" w:cs="Cambria"/>
          <w:b/>
          <w:color w:val="4A5568"/>
          <w:sz w:val="19"/>
          <w:szCs w:val="22"/>
        </w:rPr>
        <w:t xml:space="preserve">"Iranian data, international observation" - </w:t>
      </w:r>
      <w:r>
        <w:rPr>
          <w:rFonts w:eastAsia="Microsoft YaHei" w:cs="Cambria"/>
          <w:color w:val="1E2530"/>
          <w:sz w:val="22"/>
          <w:szCs w:val="22"/>
        </w:rPr>
        <w:t>Iran provides the data. The IAEA observes. The dashboard displays both. Iran is not being investigated; Iran is demonstrating compliance on Iran's terms as part of a deal Iran negotiated.</w:t>
      </w:r>
    </w:p>
    <w:p>
      <w:pPr>
        <w:pStyle w:val="Normal"/>
        <w:numPr>
          <w:ilvl w:val="0"/>
          <w:numId w:val="1"/>
        </w:numPr>
        <w:bidi w:val="0"/>
        <w:spacing w:before="0" w:after="160"/>
        <w:rPr/>
      </w:pPr>
      <w:r>
        <w:rPr>
          <w:rFonts w:eastAsia="Microsoft YaHei" w:cs="Cambria"/>
          <w:b/>
          <w:color w:val="4A5568"/>
          <w:sz w:val="19"/>
          <w:szCs w:val="22"/>
        </w:rPr>
        <w:t xml:space="preserve">"Verification protects Iran too" - </w:t>
      </w:r>
      <w:r>
        <w:rPr>
          <w:rFonts w:eastAsia="Microsoft YaHei" w:cs="Cambria"/>
          <w:color w:val="1E2530"/>
          <w:sz w:val="22"/>
          <w:szCs w:val="22"/>
        </w:rPr>
        <w:t>The same verification that protects American concerns about Iran's nuclear program also protects Iran's claim that the program is peaceful. Verified compliance is Iran's best argument against accusations of weapons intent.</w:t>
      </w:r>
    </w:p>
    <w:p>
      <w:pPr>
        <w:pStyle w:val="Heading3"/>
        <w:keepNext w:val="true"/>
        <w:keepLines/>
        <w:bidi w:val="0"/>
        <w:spacing w:before="280" w:after="120"/>
        <w:rPr/>
      </w:pPr>
      <w:r>
        <w:rPr>
          <w:rFonts w:eastAsia="Microsoft YaHei" w:cs="Cambria"/>
          <w:b/>
          <w:color w:val="4A5568"/>
          <w:sz w:val="26"/>
          <w:szCs w:val="20"/>
        </w:rPr>
        <w:t>United States Verification Narrative</w:t>
      </w:r>
    </w:p>
    <w:p>
      <w:pPr>
        <w:pStyle w:val="Normal"/>
        <w:numPr>
          <w:ilvl w:val="0"/>
          <w:numId w:val="1"/>
        </w:numPr>
        <w:bidi w:val="0"/>
        <w:spacing w:before="0" w:after="160"/>
        <w:rPr/>
      </w:pPr>
      <w:r>
        <w:rPr>
          <w:rFonts w:eastAsia="Microsoft YaHei" w:cs="Cambria"/>
          <w:b/>
          <w:color w:val="4A5568"/>
          <w:sz w:val="19"/>
          <w:szCs w:val="22"/>
        </w:rPr>
        <w:t xml:space="preserve">"Sensors, not trust" - </w:t>
      </w:r>
      <w:r>
        <w:rPr>
          <w:rFonts w:eastAsia="Microsoft YaHei" w:cs="Cambria"/>
          <w:color w:val="1E2530"/>
          <w:sz w:val="22"/>
          <w:szCs w:val="22"/>
        </w:rPr>
        <w:t>American security does not depend on Iranian promises. It depends on sensors, seals, cameras, and online monitors that operate 24/7 and transmit data to a neutral Swiss-hosted dashboard that both sides view simultaneously. Trust is not the currency. Verification is.</w:t>
      </w:r>
    </w:p>
    <w:p>
      <w:pPr>
        <w:pStyle w:val="Normal"/>
        <w:numPr>
          <w:ilvl w:val="0"/>
          <w:numId w:val="1"/>
        </w:numPr>
        <w:bidi w:val="0"/>
        <w:spacing w:before="0" w:after="160"/>
        <w:rPr/>
      </w:pPr>
      <w:r>
        <w:rPr>
          <w:rFonts w:eastAsia="Microsoft YaHei" w:cs="Cambria"/>
          <w:b/>
          <w:color w:val="4A5568"/>
          <w:sz w:val="19"/>
          <w:szCs w:val="22"/>
        </w:rPr>
        <w:t xml:space="preserve">"No relief before certification" - </w:t>
      </w:r>
      <w:r>
        <w:rPr>
          <w:rFonts w:eastAsia="Microsoft YaHei" w:cs="Cambria"/>
          <w:color w:val="1E2530"/>
          <w:sz w:val="22"/>
          <w:szCs w:val="22"/>
        </w:rPr>
        <w:t>Every sanctions relief tranche activates only after the IAEA certifies the corresponding Iranian step. The escrow architecture enforces this. The dashboard confirms it. There is no relief for promises; there is only relief for verified performance.</w:t>
      </w:r>
    </w:p>
    <w:p>
      <w:pPr>
        <w:pStyle w:val="Normal"/>
        <w:numPr>
          <w:ilvl w:val="0"/>
          <w:numId w:val="1"/>
        </w:numPr>
        <w:bidi w:val="0"/>
        <w:spacing w:before="0" w:after="160"/>
        <w:rPr/>
      </w:pPr>
      <w:r>
        <w:rPr>
          <w:rFonts w:eastAsia="Microsoft YaHei" w:cs="Cambria"/>
          <w:b/>
          <w:color w:val="4A5568"/>
          <w:sz w:val="19"/>
          <w:szCs w:val="22"/>
        </w:rPr>
        <w:t xml:space="preserve">"Automatic suspension protects American interests" - </w:t>
      </w:r>
      <w:r>
        <w:rPr>
          <w:rFonts w:eastAsia="Microsoft YaHei" w:cs="Cambria"/>
          <w:color w:val="1E2530"/>
          <w:sz w:val="22"/>
          <w:szCs w:val="22"/>
        </w:rPr>
        <w:t>If sensors detect enrichment above 3.67%, the corresponding relief tranche suspends automatically. No political negotiation required. No Iranian veto. The framework protects American interests even when political commitment wavers.</w:t>
      </w:r>
    </w:p>
    <w:p>
      <w:pPr>
        <w:pStyle w:val="Heading2"/>
        <w:keepNext w:val="true"/>
        <w:keepLines/>
        <w:bidi w:val="0"/>
        <w:spacing w:before="360" w:after="160"/>
        <w:rPr/>
      </w:pPr>
      <w:r>
        <w:rPr>
          <w:rFonts w:eastAsia="Microsoft YaHei" w:cs="Cambria"/>
          <w:b/>
          <w:color w:val="2C3E5E"/>
          <w:sz w:val="30"/>
          <w:szCs w:val="30"/>
        </w:rPr>
        <w:t>F.4 Telemetry Override Rule</w:t>
      </w:r>
    </w:p>
    <w:p>
      <w:pPr>
        <w:pStyle w:val="Normal"/>
        <w:bidi w:val="0"/>
        <w:spacing w:before="0" w:after="180"/>
        <w:rPr/>
      </w:pPr>
      <w:r>
        <w:rPr>
          <w:rFonts w:eastAsia="Microsoft YaHei" w:cs="Cambria"/>
          <w:color w:val="1E2530"/>
          <w:sz w:val="22"/>
          <w:szCs w:val="22"/>
        </w:rPr>
        <w:t>The following rule governs all compliance determinations under this Compact. It is absolute and non-waivable.</w:t>
      </w:r>
    </w:p>
    <w:p>
      <w:pPr>
        <w:pStyle w:val="Normal"/>
        <w:shd w:val="clear" w:fill="F5F0E8"/>
        <w:bidi w:val="0"/>
        <w:spacing w:before="200" w:after="200"/>
        <w:ind w:start="360" w:end="360" w:hanging="0"/>
        <w:jc w:val="both"/>
        <w:rPr/>
      </w:pPr>
      <w:r>
        <w:rPr>
          <w:rFonts w:eastAsia="Microsoft YaHei" w:cs="Cambria"/>
          <w:i/>
          <w:color w:val="1E2530"/>
          <w:sz w:val="22"/>
          <w:szCs w:val="22"/>
        </w:rPr>
        <w:t>"Sensor data prevails over political interpretation. When telemetry data, seal readings, or online enrichment monitor outputs conflict with any Party's political statement, diplomatic claim, or media narrative, the sensor data governs. Compliance determinations derive from mechanical confirmation, not from human judgment alone. Human judgment supplements but does not override mechanical confirmation."</w:t>
      </w:r>
    </w:p>
    <w:p>
      <w:pPr>
        <w:pStyle w:val="Normal"/>
        <w:bidi w:val="0"/>
        <w:spacing w:before="0" w:after="180"/>
        <w:rPr/>
      </w:pPr>
      <w:r>
        <w:rPr>
          <w:rFonts w:eastAsia="Microsoft YaHei" w:cs="Cambria"/>
          <w:color w:val="1E2530"/>
          <w:sz w:val="22"/>
          <w:szCs w:val="22"/>
        </w:rPr>
        <w:t>The telemetry override rule operates through the following mechanics:</w:t>
      </w:r>
    </w:p>
    <w:p>
      <w:pPr>
        <w:pStyle w:val="Normal"/>
        <w:numPr>
          <w:ilvl w:val="0"/>
          <w:numId w:val="1"/>
        </w:numPr>
        <w:bidi w:val="0"/>
        <w:spacing w:before="0" w:after="160"/>
        <w:rPr/>
      </w:pPr>
      <w:r>
        <w:rPr>
          <w:rFonts w:eastAsia="Microsoft YaHei" w:cs="Cambria"/>
          <w:b/>
          <w:color w:val="4A5568"/>
          <w:sz w:val="19"/>
          <w:szCs w:val="22"/>
        </w:rPr>
        <w:t xml:space="preserve">Dashboard primacy - </w:t>
      </w:r>
      <w:r>
        <w:rPr>
          <w:rFonts w:eastAsia="Microsoft YaHei" w:cs="Cambria"/>
          <w:color w:val="1E2530"/>
          <w:sz w:val="22"/>
          <w:szCs w:val="22"/>
        </w:rPr>
        <w:t>The Swiss-hosted dashboard is the single source of truth for all verification data. Any Party claiming compliance or non-compliance cites dashboard data. Claims without dashboard data are not recognized by the Joint Coordination Center.</w:t>
      </w:r>
    </w:p>
    <w:p>
      <w:pPr>
        <w:pStyle w:val="Normal"/>
        <w:numPr>
          <w:ilvl w:val="0"/>
          <w:numId w:val="1"/>
        </w:numPr>
        <w:bidi w:val="0"/>
        <w:spacing w:before="0" w:after="160"/>
        <w:rPr/>
      </w:pPr>
      <w:r>
        <w:rPr>
          <w:rFonts w:eastAsia="Microsoft YaHei" w:cs="Cambria"/>
          <w:b/>
          <w:color w:val="4A5568"/>
          <w:sz w:val="19"/>
          <w:szCs w:val="22"/>
        </w:rPr>
        <w:t xml:space="preserve">Sensor calibration - </w:t>
      </w:r>
      <w:r>
        <w:rPr>
          <w:rFonts w:eastAsia="Microsoft YaHei" w:cs="Cambria"/>
          <w:color w:val="1E2530"/>
          <w:sz w:val="22"/>
          <w:szCs w:val="22"/>
        </w:rPr>
        <w:t>All monitoring equipment calibrates against IAEA reference standards before deployment. Calibration records post to the dashboard. Recalibration occurs at 30-day intervals or upon detection of anomalous readings. Either Party requests independent equipment verification by the Neutral Guarantor's technical team.</w:t>
      </w:r>
    </w:p>
    <w:p>
      <w:pPr>
        <w:pStyle w:val="Normal"/>
        <w:numPr>
          <w:ilvl w:val="0"/>
          <w:numId w:val="1"/>
        </w:numPr>
        <w:bidi w:val="0"/>
        <w:spacing w:before="0" w:after="160"/>
        <w:rPr/>
      </w:pPr>
      <w:r>
        <w:rPr>
          <w:rFonts w:eastAsia="Microsoft YaHei" w:cs="Cambria"/>
          <w:b/>
          <w:color w:val="4A5568"/>
          <w:sz w:val="19"/>
          <w:szCs w:val="22"/>
        </w:rPr>
        <w:t xml:space="preserve">Data integrity verification - </w:t>
      </w:r>
      <w:r>
        <w:rPr>
          <w:rFonts w:eastAsia="Microsoft YaHei" w:cs="Cambria"/>
          <w:color w:val="1E2530"/>
          <w:sz w:val="22"/>
          <w:szCs w:val="22"/>
        </w:rPr>
        <w:t>The Neutral Guarantor's technical team verifies data transmission integrity from sensor to dashboard. Any data interruption triggers an automatic alert to both Parties and the IAEA. Data gaps do not constitute evidence of non-compliance, but they do trigger investigation requirements.</w:t>
      </w:r>
    </w:p>
    <w:p>
      <w:pPr>
        <w:pStyle w:val="Normal"/>
        <w:numPr>
          <w:ilvl w:val="0"/>
          <w:numId w:val="1"/>
        </w:numPr>
        <w:bidi w:val="0"/>
        <w:spacing w:before="0" w:after="160"/>
        <w:rPr/>
        <w:sectPr>
          <w:headerReference w:type="default" r:id="rId11"/>
          <w:footerReference w:type="default" r:id="rId12"/>
          <w:type w:val="nextPage"/>
          <w:pgSz w:w="11906" w:h="16838"/>
          <w:pgMar w:left="1440" w:right="1440" w:gutter="0" w:header="720" w:top="1800" w:footer="720" w:bottom="1440"/>
          <w:pgNumType w:fmt="decimal"/>
          <w:formProt w:val="false"/>
          <w:textDirection w:val="lrTb"/>
          <w:docGrid w:type="default" w:linePitch="100" w:charSpace="0"/>
        </w:sectPr>
      </w:pPr>
      <w:r>
        <w:rPr>
          <w:rFonts w:eastAsia="Microsoft YaHei" w:cs="Cambria"/>
          <w:b/>
          <w:color w:val="4A5568"/>
          <w:sz w:val="19"/>
          <w:szCs w:val="22"/>
        </w:rPr>
        <w:t xml:space="preserve">Override is non-waivable - </w:t>
      </w:r>
      <w:r>
        <w:rPr>
          <w:rFonts w:eastAsia="Microsoft YaHei" w:cs="Cambria"/>
          <w:color w:val="1E2530"/>
          <w:sz w:val="22"/>
          <w:szCs w:val="22"/>
        </w:rPr>
        <w:t>Neither Party negotiates away the telemetry override rule. Neither the Joint Coordination Center, the Neutral Guarantor, nor any dispute resolution panel authorizes human judgment to supersede sensor data in a compliance determination. The rule is structural, not optional.</w:t>
      </w:r>
    </w:p>
    <w:p>
      <w:pPr>
        <w:pStyle w:val="Heading1"/>
        <w:bidi w:val="0"/>
        <w:rPr/>
      </w:pPr>
      <w:r>
        <w:rPr>
          <w:rFonts w:eastAsia="Microsoft YaHei" w:cs="Cambria"/>
          <w:b/>
          <w:color w:val="1E2530"/>
          <w:sz w:val="20"/>
          <w:szCs w:val="40"/>
        </w:rPr>
        <w:t>Annex G: Public Messaging Annex</w:t>
      </w:r>
    </w:p>
    <w:p>
      <w:pPr>
        <w:pStyle w:val="Normal"/>
        <w:bidi w:val="0"/>
        <w:spacing w:before="0" w:after="180"/>
        <w:rPr/>
      </w:pPr>
      <w:r>
        <w:rPr>
          <w:rFonts w:eastAsia="Microsoft YaHei" w:cs="Cambria"/>
          <w:color w:val="1E2530"/>
          <w:sz w:val="22"/>
          <w:szCs w:val="22"/>
        </w:rPr>
        <w:t>This annex provides the complete public messaging infrastructure for both Parties. It includes parallel public statements, podium templates, social media guidance, and narrative response frameworks for anticipated criticism.</w:t>
      </w:r>
    </w:p>
    <w:p>
      <w:pPr>
        <w:pStyle w:val="Heading2"/>
        <w:keepNext w:val="true"/>
        <w:keepLines/>
        <w:bidi w:val="0"/>
        <w:spacing w:before="360" w:after="160"/>
        <w:rPr/>
      </w:pPr>
      <w:r>
        <w:rPr>
          <w:rFonts w:eastAsia="Microsoft YaHei" w:cs="Cambria"/>
          <w:b/>
          <w:color w:val="2C3E5E"/>
          <w:sz w:val="30"/>
          <w:szCs w:val="30"/>
        </w:rPr>
        <w:t>G.1 Podium Statements for Day of Signature</w:t>
      </w:r>
    </w:p>
    <w:p>
      <w:pPr>
        <w:pStyle w:val="Normal"/>
        <w:bidi w:val="0"/>
        <w:spacing w:before="0" w:after="180"/>
        <w:rPr/>
      </w:pPr>
      <w:r>
        <w:rPr>
          <w:rFonts w:eastAsia="Microsoft YaHei" w:cs="Cambria"/>
          <w:color w:val="1E2530"/>
          <w:sz w:val="22"/>
          <w:szCs w:val="22"/>
        </w:rPr>
        <w:t>The following statements are released simultaneously by both Parties at the moment of signature. Identical joint statement first. Separate national framing statements follow. No unilateral statement precedes the joint statement.</w:t>
      </w:r>
    </w:p>
    <w:p>
      <w:pPr>
        <w:pStyle w:val="Heading3"/>
        <w:keepNext w:val="true"/>
        <w:keepLines/>
        <w:bidi w:val="0"/>
        <w:spacing w:before="280" w:after="120"/>
        <w:rPr/>
      </w:pPr>
      <w:r>
        <w:rPr>
          <w:rFonts w:eastAsia="Microsoft YaHei" w:cs="Cambria"/>
          <w:b/>
          <w:color w:val="1A2744"/>
          <w:sz w:val="40"/>
          <w:szCs w:val="20"/>
        </w:rPr>
        <w:t>Joint Statement (released simultaneously by both Parties)</w:t>
      </w:r>
    </w:p>
    <w:p>
      <w:pPr>
        <w:pStyle w:val="Normal"/>
        <w:shd w:val="clear" w:fill="F5F0E8"/>
        <w:bidi w:val="0"/>
        <w:spacing w:before="200" w:after="200"/>
        <w:ind w:start="360" w:end="360" w:hanging="0"/>
        <w:jc w:val="both"/>
        <w:rPr/>
      </w:pPr>
      <w:r>
        <w:rPr>
          <w:rFonts w:eastAsia="Microsoft YaHei" w:cs="Cambria"/>
          <w:i/>
          <w:color w:val="1E2530"/>
          <w:sz w:val="22"/>
          <w:szCs w:val="22"/>
        </w:rPr>
        <w:t>"The United States and the Islamic Republic of Iran have today signed the Hormuz Synchronization Compact, a framework for reciprocal nuclear stabilization, maritime security, and phased economic normalization. Every provision operates through synchronized activation: both sides move together, verification drives every step, and neither side acts alone. The Strait of Hormuz reopens to unrestricted commercial transit. Iran's enriched uranium stockpile comes under IAEA verified custody. Sanctions relief proceeds in measured, reversible tranches tied to verified compliance. Both Parties retain full sovereignty, full dignity, and full exit rights. This Compact creates no precedent beyond its own terms. The path to sustainable peace opens through verified reciprocity, not through unilateral concession."</w:t>
      </w:r>
    </w:p>
    <w:p>
      <w:pPr>
        <w:pStyle w:val="Heading3"/>
        <w:keepNext w:val="true"/>
        <w:keepLines/>
        <w:bidi w:val="0"/>
        <w:spacing w:before="280" w:after="120"/>
        <w:rPr/>
      </w:pPr>
      <w:r>
        <w:rPr>
          <w:rFonts w:eastAsia="Microsoft YaHei" w:cs="Cambria"/>
          <w:b/>
          <w:color w:val="1A2744"/>
          <w:sz w:val="40"/>
          <w:szCs w:val="20"/>
        </w:rPr>
        <w:t>United States National Framing Statement</w:t>
      </w:r>
    </w:p>
    <w:p>
      <w:pPr>
        <w:pStyle w:val="Normal"/>
        <w:shd w:val="clear" w:fill="F5F0E8"/>
        <w:bidi w:val="0"/>
        <w:spacing w:before="200" w:after="200"/>
        <w:ind w:start="360" w:end="360" w:hanging="0"/>
        <w:jc w:val="both"/>
        <w:rPr/>
      </w:pPr>
      <w:r>
        <w:rPr>
          <w:rFonts w:eastAsia="Microsoft YaHei" w:cs="Cambria"/>
          <w:i/>
          <w:color w:val="1E2530"/>
          <w:sz w:val="22"/>
          <w:szCs w:val="22"/>
        </w:rPr>
        <w:t>"Today the United States secured a verified framework that constrains Iran's nuclear program, reopens the Strait of Hormuz, and protects American interests without a single dollar of upfront concession. Every sanctions relief tranche requires prior IAEA certification of Iranian compliance. Iran's weapons-grade material comes under international lock and key. Continuous monitoring operates 24/7 at all declared facilities. If Iran cheats, the relief stops automatically. If Iran complies, the relief flows as verified. This is American diplomatic strength achieving what military escalation could not: a safer region, a constrained Iranian nuclear program, and American citizens coming home."</w:t>
      </w:r>
    </w:p>
    <w:p>
      <w:pPr>
        <w:pStyle w:val="Heading3"/>
        <w:keepNext w:val="true"/>
        <w:keepLines/>
        <w:bidi w:val="0"/>
        <w:spacing w:before="280" w:after="120"/>
        <w:rPr/>
      </w:pPr>
      <w:r>
        <w:rPr>
          <w:rFonts w:eastAsia="Microsoft YaHei" w:cs="Cambria"/>
          <w:b/>
          <w:color w:val="1A2744"/>
          <w:sz w:val="40"/>
          <w:szCs w:val="20"/>
        </w:rPr>
        <w:t>Iran National Framing Statement</w:t>
      </w:r>
    </w:p>
    <w:p>
      <w:pPr>
        <w:pStyle w:val="Normal"/>
        <w:shd w:val="clear" w:fill="F5F0E8"/>
        <w:bidi w:val="0"/>
        <w:spacing w:before="200" w:after="200"/>
        <w:ind w:start="360" w:end="360" w:hanging="0"/>
        <w:jc w:val="both"/>
        <w:rPr/>
      </w:pPr>
      <w:r>
        <w:rPr>
          <w:rFonts w:eastAsia="Microsoft YaHei" w:cs="Cambria"/>
          <w:i/>
          <w:color w:val="1E2530"/>
          <w:sz w:val="22"/>
          <w:szCs w:val="22"/>
        </w:rPr>
        <w:t>"Today the Islamic Republic of Iran secured a framework that preserves Iran's sovereign right to peaceful nuclear technology, releases illegally frozen Iranian assets, reopens the Strait of Hormuz under a governance structure that recognizes Iran's coastal-state rights, and brings Iranian citizens home. Iran's nuclear infrastructure remains intact. Iran's enrichment facilities continue operating at 3.67% under IAEA monitoring. No facility closes. No centrifuge is destroyed. Sanctions relief begins immediately through verified reciprocity. Iran negotiated this agreement from strength, not weakness. Iran's dignity is intact. Iran's sovereignty is preserved. The path to regional stability opens through mutual respect, not through submission."</w:t>
      </w:r>
    </w:p>
    <w:p>
      <w:pPr>
        <w:pStyle w:val="Heading2"/>
        <w:keepNext w:val="true"/>
        <w:keepLines/>
        <w:bidi w:val="0"/>
        <w:spacing w:before="360" w:after="160"/>
        <w:rPr/>
      </w:pPr>
      <w:r>
        <w:rPr>
          <w:rFonts w:eastAsia="Microsoft YaHei" w:cs="Cambria"/>
          <w:b/>
          <w:color w:val="2C3E5E"/>
          <w:sz w:val="30"/>
          <w:szCs w:val="30"/>
        </w:rPr>
        <w:t>G.2 Anticipated Criticism and Response Framework</w:t>
      </w:r>
    </w:p>
    <w:p>
      <w:pPr>
        <w:pStyle w:val="Normal"/>
        <w:bidi w:val="0"/>
        <w:spacing w:before="0" w:after="180"/>
        <w:rPr/>
      </w:pPr>
      <w:r>
        <w:rPr>
          <w:rFonts w:eastAsia="Microsoft YaHei" w:cs="Cambria"/>
          <w:color w:val="1E2530"/>
          <w:sz w:val="22"/>
          <w:szCs w:val="22"/>
        </w:rPr>
        <w:t>Both Parties face domestic criticism for any agreement with the other. The following table provides fact-based responses to anticipated criticism.</w:t>
      </w:r>
    </w:p>
    <w:tbl>
      <w:tblPr>
        <w:tblW w:w="5000" w:type="pct"/>
        <w:jc w:val="start"/>
        <w:tblInd w:w="0" w:type="dxa"/>
        <w:tblLayout w:type="fixed"/>
        <w:tblCellMar>
          <w:top w:w="0" w:type="dxa"/>
          <w:start w:w="108" w:type="dxa"/>
          <w:bottom w:w="0" w:type="dxa"/>
          <w:end w:w="108" w:type="dxa"/>
        </w:tblCellMar>
      </w:tblPr>
      <w:tblGrid>
        <w:gridCol w:w="3610"/>
        <w:gridCol w:w="1404"/>
        <w:gridCol w:w="4012"/>
      </w:tblGrid>
      <w:tr>
        <w:trPr>
          <w:tblHeader w:val="true"/>
        </w:trPr>
        <w:tc>
          <w:tcPr>
            <w:tcW w:w="3610" w:type="dxa"/>
            <w:tcBorders>
              <w:top w:val="single" w:sz="12" w:space="0" w:color="1A2744"/>
              <w:bottom w:val="single" w:sz="4" w:space="0" w:color="C8C4B8"/>
            </w:tcBorders>
            <w:shd w:color="auto" w:fill="E8E6E0" w:val="clear"/>
          </w:tcPr>
          <w:p>
            <w:pPr>
              <w:pStyle w:val="Normal"/>
              <w:widowControl w:val="false"/>
              <w:bidi w:val="0"/>
              <w:spacing w:before="60" w:after="60"/>
              <w:rPr/>
            </w:pPr>
            <w:r>
              <w:rPr>
                <w:rFonts w:eastAsia="Microsoft YaHei" w:cs="Cambria"/>
                <w:b/>
                <w:color w:val="4A5568"/>
                <w:sz w:val="19"/>
                <w:szCs w:val="19"/>
              </w:rPr>
              <w:t>Anticipated Criticism</w:t>
            </w:r>
          </w:p>
        </w:tc>
        <w:tc>
          <w:tcPr>
            <w:tcW w:w="1404" w:type="dxa"/>
            <w:tcBorders>
              <w:top w:val="single" w:sz="12" w:space="0" w:color="1A2744"/>
              <w:bottom w:val="single" w:sz="4" w:space="0" w:color="C8C4B8"/>
            </w:tcBorders>
            <w:shd w:color="auto" w:fill="E8E6E0" w:val="clear"/>
          </w:tcPr>
          <w:p>
            <w:pPr>
              <w:pStyle w:val="Normal"/>
              <w:widowControl w:val="false"/>
              <w:bidi w:val="0"/>
              <w:spacing w:before="60" w:after="60"/>
              <w:rPr/>
            </w:pPr>
            <w:r>
              <w:rPr>
                <w:rFonts w:eastAsia="Microsoft YaHei" w:cs="Cambria"/>
                <w:b/>
                <w:color w:val="4A5568"/>
                <w:sz w:val="19"/>
                <w:szCs w:val="19"/>
              </w:rPr>
              <w:t>U.S. Response</w:t>
            </w:r>
          </w:p>
        </w:tc>
        <w:tc>
          <w:tcPr>
            <w:tcW w:w="4012" w:type="dxa"/>
            <w:tcBorders>
              <w:top w:val="single" w:sz="12" w:space="0" w:color="1A2744"/>
              <w:bottom w:val="single" w:sz="4" w:space="0" w:color="C8C4B8"/>
            </w:tcBorders>
            <w:shd w:color="auto" w:fill="E8E6E0" w:val="clear"/>
          </w:tcPr>
          <w:p>
            <w:pPr>
              <w:pStyle w:val="Normal"/>
              <w:widowControl w:val="false"/>
              <w:bidi w:val="0"/>
              <w:spacing w:before="60" w:after="60"/>
              <w:rPr/>
            </w:pPr>
            <w:r>
              <w:rPr>
                <w:rFonts w:eastAsia="Microsoft YaHei" w:cs="Cambria"/>
                <w:b/>
                <w:color w:val="4A5568"/>
                <w:sz w:val="19"/>
                <w:szCs w:val="19"/>
              </w:rPr>
              <w:t>Iranian Response</w:t>
            </w:r>
          </w:p>
        </w:tc>
      </w:tr>
      <w:tr>
        <w:trPr/>
        <w:tc>
          <w:tcPr>
            <w:tcW w:w="3610"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22"/>
              </w:rPr>
              <w:t>"You gave away too much"</w:t>
            </w:r>
          </w:p>
        </w:tc>
        <w:tc>
          <w:tcPr>
            <w:tcW w:w="1404"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22"/>
              </w:rPr>
              <w:t>"Every relief tranche is reversible until the final tranche. Iran's weapons-grade material is under IAEA lock and key. We gave nothing that Iran cannot earn back through verified compliance."</w:t>
            </w:r>
          </w:p>
        </w:tc>
        <w:tc>
          <w:tcPr>
            <w:tcW w:w="401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22"/>
              </w:rPr>
              <w:t>"Every Iranian commitment is matched by a simultaneous American reciprocal step. Iran retains all nuclear infrastructure. Iran's enrichment rights are preserved. We conceded nothing that was not matched."</w:t>
            </w:r>
          </w:p>
        </w:tc>
      </w:tr>
      <w:tr>
        <w:trPr/>
        <w:tc>
          <w:tcPr>
            <w:tcW w:w="3610"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22"/>
              </w:rPr>
              <w:t>"The other side can't be trusted"</w:t>
            </w:r>
          </w:p>
        </w:tc>
        <w:tc>
          <w:tcPr>
            <w:tcW w:w="1404"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22"/>
              </w:rPr>
              <w:t>"Trust is not the currency. Verification is. Sensors operate 24/7. The dashboard shows everything. If Iran cheats, the relief stops automatically. We do not trust Iran. We verify Iran."</w:t>
            </w:r>
          </w:p>
        </w:tc>
        <w:tc>
          <w:tcPr>
            <w:tcW w:w="401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22"/>
              </w:rPr>
              <w:t>"Trust is not the currency. Reciprocity is. Every American step activates simultaneously with an Iranian step. If America reneges, Iran has full exit rights on 14 days' notice. We do not trust America. We synchronize with America."</w:t>
            </w:r>
          </w:p>
        </w:tc>
      </w:tr>
      <w:tr>
        <w:trPr/>
        <w:tc>
          <w:tcPr>
            <w:tcW w:w="3610"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22"/>
              </w:rPr>
              <w:t>"You should have held out for more"</w:t>
            </w:r>
          </w:p>
        </w:tc>
        <w:tc>
          <w:tcPr>
            <w:tcW w:w="1404"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22"/>
              </w:rPr>
              <w:t>"We achieved our core security objectives: weapons-grade material under lock and key, continuous monitoring, full reversibility. This is more than the previous agreement delivered. Holding out meant continued risk of military escalation."</w:t>
            </w:r>
          </w:p>
        </w:tc>
        <w:tc>
          <w:tcPr>
            <w:tcW w:w="401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22"/>
              </w:rPr>
              <w:t>"We achieved our core sovereignty objectives: enrichment rights preserved, no dismantlement, frozen assets releasing, coastal-state rights recognized. This is more than the previous agreement delivered. Holding out meant continued economic pressure."</w:t>
            </w:r>
          </w:p>
        </w:tc>
      </w:tr>
      <w:tr>
        <w:trPr/>
        <w:tc>
          <w:tcPr>
            <w:tcW w:w="3610"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22"/>
              </w:rPr>
              <w:t>"This rewards the other side's bad behavior"</w:t>
            </w:r>
          </w:p>
        </w:tc>
        <w:tc>
          <w:tcPr>
            <w:tcW w:w="1404"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22"/>
              </w:rPr>
              <w:t>"Relief rewards verified compliance, not past behavior. Every tranche requires IAEA certification first. Iran earns every benefit through performance. This is not a reward; it is a purchase of verified constraints."</w:t>
            </w:r>
          </w:p>
        </w:tc>
        <w:tc>
          <w:tcPr>
            <w:tcW w:w="401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22"/>
              </w:rPr>
              <w:t>"Sanctions relief restores what was always Iran's. The nuclear constraints Iran accepts are matched by simultaneous American reciprocal steps. This is not a reward to America; it is a reciprocal exchange where both sides benefit."</w:t>
            </w:r>
          </w:p>
        </w:tc>
      </w:tr>
      <w:tr>
        <w:trPr/>
        <w:tc>
          <w:tcPr>
            <w:tcW w:w="3610"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22"/>
              </w:rPr>
              <w:t>"This sets a bad precedent"</w:t>
            </w:r>
          </w:p>
        </w:tc>
        <w:tc>
          <w:tcPr>
            <w:tcW w:w="1404"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22"/>
              </w:rPr>
              <w:t>"This Compact explicitly states it creates no precedent. It is a 60-day stabilization framework with rolling extensions. It is not a treaty. It creates no legal obligation beyond its own terms."</w:t>
            </w:r>
          </w:p>
        </w:tc>
        <w:tc>
          <w:tcPr>
            <w:tcW w:w="401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22"/>
              </w:rPr>
              <w:t>"This Compact explicitly states it creates no precedent. It is a 60-day stabilization framework with rolling extensions. Iran retains full sovereignty and full exit rights. It creates no obligation beyond its own terms."</w:t>
            </w:r>
          </w:p>
        </w:tc>
      </w:tr>
      <w:tr>
        <w:trPr/>
        <w:tc>
          <w:tcPr>
            <w:tcW w:w="3610" w:type="dxa"/>
            <w:tcBorders>
              <w:top w:val="single" w:sz="4" w:space="0" w:color="C8C4B8"/>
              <w:bottom w:val="single" w:sz="12" w:space="0" w:color="1A2744"/>
            </w:tcBorders>
          </w:tcPr>
          <w:p>
            <w:pPr>
              <w:pStyle w:val="Normal"/>
              <w:widowControl w:val="false"/>
              <w:bidi w:val="0"/>
              <w:spacing w:before="60" w:after="60"/>
              <w:rPr/>
            </w:pPr>
            <w:r>
              <w:rPr>
                <w:rFonts w:eastAsia="Microsoft YaHei" w:cs="Cambria"/>
                <w:b/>
                <w:color w:val="1E2530"/>
                <w:sz w:val="22"/>
                <w:szCs w:val="22"/>
              </w:rPr>
              <w:t>"The verification isn't strong enough"</w:t>
            </w:r>
          </w:p>
        </w:tc>
        <w:tc>
          <w:tcPr>
            <w:tcW w:w="1404" w:type="dxa"/>
            <w:tcBorders>
              <w:top w:val="single" w:sz="4" w:space="0" w:color="C8C4B8"/>
              <w:bottom w:val="single" w:sz="12" w:space="0" w:color="1A2744"/>
            </w:tcBorders>
          </w:tcPr>
          <w:p>
            <w:pPr>
              <w:pStyle w:val="Normal"/>
              <w:widowControl w:val="false"/>
              <w:bidi w:val="0"/>
              <w:spacing w:before="60" w:after="60"/>
              <w:rPr/>
            </w:pPr>
            <w:r>
              <w:rPr>
                <w:rFonts w:eastAsia="Microsoft YaHei" w:cs="Cambria"/>
                <w:b/>
                <w:color w:val="1E2530"/>
                <w:sz w:val="22"/>
                <w:szCs w:val="22"/>
              </w:rPr>
              <w:t>"Continuous monitoring operates 24/7 at all declared facilities. Online enrichment monitors detect any deviation above 3.67% immediately. Tamper-evident seals protect all stockpiles. The Swiss-hosted dashboard displays all data in real time."</w:t>
            </w:r>
          </w:p>
        </w:tc>
        <w:tc>
          <w:tcPr>
            <w:tcW w:w="4012" w:type="dxa"/>
            <w:tcBorders>
              <w:top w:val="single" w:sz="4" w:space="0" w:color="C8C4B8"/>
              <w:bottom w:val="single" w:sz="12" w:space="0" w:color="1A2744"/>
            </w:tcBorders>
          </w:tcPr>
          <w:p>
            <w:pPr>
              <w:pStyle w:val="Normal"/>
              <w:widowControl w:val="false"/>
              <w:bidi w:val="0"/>
              <w:spacing w:before="60" w:after="60"/>
              <w:rPr/>
            </w:pPr>
            <w:r>
              <w:rPr>
                <w:rFonts w:eastAsia="Microsoft YaHei" w:cs="Cambria"/>
                <w:b/>
                <w:color w:val="1E2530"/>
                <w:sz w:val="22"/>
                <w:szCs w:val="22"/>
              </w:rPr>
              <w:t>"Verification operates only at declared facilities, not as open-ended access. Iran agreed to specific, limited verification measures as part of a reciprocal deal. The scope is bounded, the duration is defined, and Iran's sovereignty is preserved."</w:t>
            </w:r>
          </w:p>
        </w:tc>
      </w:tr>
    </w:tbl>
    <w:p>
      <w:pPr>
        <w:pStyle w:val="Heading2"/>
        <w:keepNext w:val="true"/>
        <w:keepLines/>
        <w:bidi w:val="0"/>
        <w:spacing w:before="360" w:after="160"/>
        <w:rPr/>
      </w:pPr>
      <w:r>
        <w:rPr>
          <w:rFonts w:eastAsia="Microsoft YaHei" w:cs="Cambria"/>
          <w:b/>
          <w:color w:val="2C3E5E"/>
          <w:sz w:val="30"/>
          <w:szCs w:val="30"/>
        </w:rPr>
        <w:t>G.3 Social Media Guidance</w:t>
      </w:r>
    </w:p>
    <w:p>
      <w:pPr>
        <w:pStyle w:val="Normal"/>
        <w:bidi w:val="0"/>
        <w:spacing w:before="0" w:after="180"/>
        <w:rPr/>
      </w:pPr>
      <w:r>
        <w:rPr>
          <w:rFonts w:eastAsia="Microsoft YaHei" w:cs="Cambria"/>
          <w:color w:val="1E2530"/>
          <w:sz w:val="22"/>
          <w:szCs w:val="22"/>
        </w:rPr>
        <w:t>The following guidance governs social media communication about the Compact. It applies to official government accounts, spokesperson accounts, and affiliated institutional accounts.</w:t>
      </w:r>
    </w:p>
    <w:p>
      <w:pPr>
        <w:pStyle w:val="Normal"/>
        <w:numPr>
          <w:ilvl w:val="0"/>
          <w:numId w:val="1"/>
        </w:numPr>
        <w:bidi w:val="0"/>
        <w:spacing w:before="0" w:after="160"/>
        <w:rPr/>
      </w:pPr>
      <w:r>
        <w:rPr>
          <w:rFonts w:eastAsia="Microsoft YaHei" w:cs="Cambria"/>
          <w:b/>
          <w:color w:val="4A5568"/>
          <w:sz w:val="19"/>
          <w:szCs w:val="22"/>
        </w:rPr>
        <w:t xml:space="preserve">Message discipline - </w:t>
      </w:r>
      <w:r>
        <w:rPr>
          <w:rFonts w:eastAsia="Microsoft YaHei" w:cs="Cambria"/>
          <w:color w:val="1E2530"/>
          <w:sz w:val="22"/>
          <w:szCs w:val="22"/>
        </w:rPr>
        <w:t>All social media posts about the Compact use only the messaging in this annex. No ad-libbed claims. No personal opinions from official accounts. No speculation about the other side's motives.</w:t>
      </w:r>
    </w:p>
    <w:p>
      <w:pPr>
        <w:pStyle w:val="Normal"/>
        <w:numPr>
          <w:ilvl w:val="0"/>
          <w:numId w:val="1"/>
        </w:numPr>
        <w:bidi w:val="0"/>
        <w:spacing w:before="0" w:after="160"/>
        <w:rPr/>
      </w:pPr>
      <w:r>
        <w:rPr>
          <w:rFonts w:eastAsia="Microsoft YaHei" w:cs="Cambria"/>
          <w:b/>
          <w:color w:val="4A5568"/>
          <w:sz w:val="19"/>
          <w:szCs w:val="22"/>
        </w:rPr>
        <w:t xml:space="preserve">Visual branding - </w:t>
      </w:r>
      <w:r>
        <w:rPr>
          <w:rFonts w:eastAsia="Microsoft YaHei" w:cs="Cambria"/>
          <w:color w:val="1E2530"/>
          <w:sz w:val="22"/>
          <w:szCs w:val="22"/>
        </w:rPr>
        <w:t>Both Parties use the same shared visual identity for Compact-related posts: the blue-gold handshake logo, the hashtag #HormuzCompact, and the tagline "Peace Through Reciprocity." Shared visual identity signals unified commitment.</w:t>
      </w:r>
    </w:p>
    <w:p>
      <w:pPr>
        <w:pStyle w:val="Normal"/>
        <w:numPr>
          <w:ilvl w:val="0"/>
          <w:numId w:val="1"/>
        </w:numPr>
        <w:bidi w:val="0"/>
        <w:spacing w:before="0" w:after="160"/>
        <w:rPr/>
      </w:pPr>
      <w:r>
        <w:rPr>
          <w:rFonts w:eastAsia="Microsoft YaHei" w:cs="Cambria"/>
          <w:b/>
          <w:color w:val="4A5568"/>
          <w:sz w:val="19"/>
          <w:szCs w:val="22"/>
        </w:rPr>
        <w:t xml:space="preserve">Dashboard screenshots - </w:t>
      </w:r>
      <w:r>
        <w:rPr>
          <w:rFonts w:eastAsia="Microsoft YaHei" w:cs="Cambria"/>
          <w:color w:val="1E2530"/>
          <w:sz w:val="22"/>
          <w:szCs w:val="22"/>
        </w:rPr>
        <w:t>Official accounts post weekly screenshots from the Swiss-hosted dashboard showing verification status. Transparency builds credibility. The same dashboard data is visible to both Parties and the public.</w:t>
      </w:r>
    </w:p>
    <w:p>
      <w:pPr>
        <w:pStyle w:val="Normal"/>
        <w:numPr>
          <w:ilvl w:val="0"/>
          <w:numId w:val="1"/>
        </w:numPr>
        <w:bidi w:val="0"/>
        <w:spacing w:before="0" w:after="160"/>
        <w:rPr/>
      </w:pPr>
      <w:r>
        <w:rPr>
          <w:rFonts w:eastAsia="Microsoft YaHei" w:cs="Cambria"/>
          <w:b/>
          <w:color w:val="4A5568"/>
          <w:sz w:val="19"/>
          <w:szCs w:val="22"/>
        </w:rPr>
        <w:t xml:space="preserve">No premature claims - </w:t>
      </w:r>
      <w:r>
        <w:rPr>
          <w:rFonts w:eastAsia="Microsoft YaHei" w:cs="Cambria"/>
          <w:color w:val="1E2530"/>
          <w:sz w:val="22"/>
          <w:szCs w:val="22"/>
        </w:rPr>
        <w:t>No Party claims compliance or non-compliance by the other side before the IAEA issues its formal assessment. Social media does not drive compliance determinations; the IAEA does.</w:t>
      </w:r>
    </w:p>
    <w:p>
      <w:pPr>
        <w:pStyle w:val="Heading2"/>
        <w:keepNext w:val="true"/>
        <w:keepLines/>
        <w:bidi w:val="0"/>
        <w:spacing w:before="360" w:after="160"/>
        <w:rPr/>
      </w:pPr>
      <w:r>
        <w:rPr>
          <w:rFonts w:eastAsia="Microsoft YaHei" w:cs="Cambria"/>
          <w:b/>
          <w:color w:val="2C3E5E"/>
          <w:sz w:val="30"/>
          <w:szCs w:val="30"/>
        </w:rPr>
        <w:t>G.4 Narrative Guardrails</w:t>
      </w:r>
    </w:p>
    <w:p>
      <w:pPr>
        <w:pStyle w:val="Normal"/>
        <w:bidi w:val="0"/>
        <w:spacing w:before="0" w:after="180"/>
        <w:rPr/>
      </w:pPr>
      <w:r>
        <w:rPr>
          <w:rFonts w:eastAsia="Microsoft YaHei" w:cs="Cambria"/>
          <w:color w:val="1E2530"/>
          <w:sz w:val="22"/>
          <w:szCs w:val="22"/>
        </w:rPr>
        <w:t>The following guardrails prevent messaging that inadvertently undermines the Compact:</w:t>
      </w:r>
    </w:p>
    <w:p>
      <w:pPr>
        <w:pStyle w:val="Normal"/>
        <w:numPr>
          <w:ilvl w:val="0"/>
          <w:numId w:val="1"/>
        </w:numPr>
        <w:bidi w:val="0"/>
        <w:spacing w:before="0" w:after="160"/>
        <w:rPr/>
      </w:pPr>
      <w:r>
        <w:rPr>
          <w:rFonts w:eastAsia="Microsoft YaHei" w:cs="Cambria"/>
          <w:b/>
          <w:color w:val="4A5568"/>
          <w:sz w:val="19"/>
          <w:szCs w:val="22"/>
        </w:rPr>
        <w:t xml:space="preserve">No victory claims over the other side - </w:t>
      </w:r>
      <w:r>
        <w:rPr>
          <w:rFonts w:eastAsia="Microsoft YaHei" w:cs="Cambria"/>
          <w:color w:val="1E2530"/>
          <w:sz w:val="22"/>
          <w:szCs w:val="22"/>
        </w:rPr>
        <w:t>Neither Party describes the Compact as a victory over the other. Both describe it as a synchronized framework where both sides benefit. Victory framing invites the other side to retaliate in messaging and undermines the synchronization architecture.</w:t>
      </w:r>
    </w:p>
    <w:p>
      <w:pPr>
        <w:pStyle w:val="Normal"/>
        <w:numPr>
          <w:ilvl w:val="0"/>
          <w:numId w:val="1"/>
        </w:numPr>
        <w:bidi w:val="0"/>
        <w:spacing w:before="0" w:after="160"/>
        <w:rPr/>
      </w:pPr>
      <w:r>
        <w:rPr>
          <w:rFonts w:eastAsia="Microsoft YaHei" w:cs="Cambria"/>
          <w:b/>
          <w:color w:val="4A5568"/>
          <w:sz w:val="19"/>
          <w:szCs w:val="22"/>
        </w:rPr>
        <w:t xml:space="preserve">No personalization - </w:t>
      </w:r>
      <w:r>
        <w:rPr>
          <w:rFonts w:eastAsia="Microsoft YaHei" w:cs="Cambria"/>
          <w:color w:val="1E2530"/>
          <w:sz w:val="22"/>
          <w:szCs w:val="22"/>
        </w:rPr>
        <w:t>Messaging focuses on the framework, not on leaders. No praise for the other side's leader. No criticism either. The Compact operates between states, not between individuals.</w:t>
      </w:r>
    </w:p>
    <w:p>
      <w:pPr>
        <w:pStyle w:val="Normal"/>
        <w:numPr>
          <w:ilvl w:val="0"/>
          <w:numId w:val="1"/>
        </w:numPr>
        <w:bidi w:val="0"/>
        <w:spacing w:before="0" w:after="160"/>
        <w:rPr/>
      </w:pPr>
      <w:r>
        <w:rPr>
          <w:rFonts w:eastAsia="Microsoft YaHei" w:cs="Cambria"/>
          <w:b/>
          <w:color w:val="4A5568"/>
          <w:sz w:val="19"/>
          <w:szCs w:val="22"/>
        </w:rPr>
        <w:t xml:space="preserve">No speculation about the other side's internal politics - </w:t>
      </w:r>
      <w:r>
        <w:rPr>
          <w:rFonts w:eastAsia="Microsoft YaHei" w:cs="Cambria"/>
          <w:color w:val="1E2530"/>
          <w:sz w:val="22"/>
          <w:szCs w:val="22"/>
        </w:rPr>
        <w:t>Neither Party comments on the other side's domestic political situation, factional dynamics, or leadership struggles. Speculation is inaccurate, counterproductive, and destabilizing.</w:t>
      </w:r>
    </w:p>
    <w:p>
      <w:pPr>
        <w:pStyle w:val="Normal"/>
        <w:numPr>
          <w:ilvl w:val="0"/>
          <w:numId w:val="1"/>
        </w:numPr>
        <w:bidi w:val="0"/>
        <w:spacing w:before="0" w:after="160"/>
        <w:rPr/>
        <w:sectPr>
          <w:headerReference w:type="default" r:id="rId13"/>
          <w:footerReference w:type="default" r:id="rId14"/>
          <w:type w:val="nextPage"/>
          <w:pgSz w:w="11906" w:h="16838"/>
          <w:pgMar w:left="1440" w:right="1440" w:gutter="0" w:header="720" w:top="1800" w:footer="720" w:bottom="1440"/>
          <w:pgNumType w:fmt="decimal"/>
          <w:formProt w:val="false"/>
          <w:textDirection w:val="lrTb"/>
          <w:docGrid w:type="default" w:linePitch="100" w:charSpace="0"/>
        </w:sectPr>
      </w:pPr>
      <w:r>
        <w:rPr>
          <w:rFonts w:eastAsia="Microsoft YaHei" w:cs="Cambria"/>
          <w:b/>
          <w:color w:val="4A5568"/>
          <w:sz w:val="19"/>
          <w:szCs w:val="22"/>
        </w:rPr>
        <w:t xml:space="preserve">Consistency across channels - </w:t>
      </w:r>
      <w:r>
        <w:rPr>
          <w:rFonts w:eastAsia="Microsoft YaHei" w:cs="Cambria"/>
          <w:color w:val="1E2530"/>
          <w:sz w:val="22"/>
          <w:szCs w:val="22"/>
        </w:rPr>
        <w:t>The same message appears across all channels — press conferences, social media, diplomatic cables, and background briefings. Inconsistency creates confusion and invites attack.</w:t>
      </w:r>
    </w:p>
    <w:p>
      <w:pPr>
        <w:pStyle w:val="Heading1"/>
        <w:bidi w:val="0"/>
        <w:rPr/>
      </w:pPr>
      <w:r>
        <w:rPr>
          <w:rFonts w:eastAsia="Microsoft YaHei" w:cs="Cambria"/>
          <w:b/>
          <w:color w:val="4A5568"/>
          <w:sz w:val="19"/>
          <w:szCs w:val="22"/>
        </w:rPr>
        <w:t>Annex H: Operational One-Page Tools</w:t>
      </w:r>
    </w:p>
    <w:p>
      <w:pPr>
        <w:pStyle w:val="Normal"/>
        <w:bidi w:val="0"/>
        <w:spacing w:before="0" w:after="180"/>
        <w:rPr/>
      </w:pPr>
      <w:r>
        <w:rPr>
          <w:rFonts w:eastAsia="Microsoft YaHei" w:cs="Cambria"/>
          <w:color w:val="1E2530"/>
          <w:sz w:val="22"/>
          <w:szCs w:val="22"/>
        </w:rPr>
        <w:t>This annex provides the simplified operational tools that negotiators, technical teams, and principals use during implementation. Each tool fits on one page. Each tool answers a specific operational question.</w:t>
      </w:r>
    </w:p>
    <w:p>
      <w:pPr>
        <w:pStyle w:val="Heading2"/>
        <w:keepNext w:val="true"/>
        <w:keepLines/>
        <w:bidi w:val="0"/>
        <w:spacing w:before="360" w:after="160"/>
        <w:rPr/>
      </w:pPr>
      <w:r>
        <w:rPr>
          <w:rFonts w:eastAsia="Microsoft YaHei" w:cs="Cambria"/>
          <w:b/>
          <w:color w:val="2C3E5E"/>
          <w:sz w:val="30"/>
          <w:szCs w:val="30"/>
        </w:rPr>
        <w:t>H.1 One-Page Reciprocity Matrix (Negotiator Cheat Sheet)</w:t>
      </w:r>
    </w:p>
    <w:p>
      <w:pPr>
        <w:pStyle w:val="Normal"/>
        <w:bidi w:val="0"/>
        <w:spacing w:before="0" w:after="180"/>
        <w:rPr/>
      </w:pPr>
      <w:r>
        <w:rPr>
          <w:rFonts w:eastAsia="Microsoft YaHei" w:cs="Cambria"/>
          <w:color w:val="1E2530"/>
          <w:sz w:val="22"/>
          <w:szCs w:val="22"/>
        </w:rPr>
        <w:t>The following table is the single-page reference that negotiators carry into every meeting. It shows what Iran does, what the United States does, what triggers each step, and what happens if something goes wrong.</w:t>
      </w:r>
    </w:p>
    <w:tbl>
      <w:tblPr>
        <w:tblW w:w="5000" w:type="pct"/>
        <w:jc w:val="start"/>
        <w:tblInd w:w="0" w:type="dxa"/>
        <w:tblLayout w:type="fixed"/>
        <w:tblCellMar>
          <w:top w:w="0" w:type="dxa"/>
          <w:start w:w="108" w:type="dxa"/>
          <w:bottom w:w="0" w:type="dxa"/>
          <w:end w:w="108" w:type="dxa"/>
        </w:tblCellMar>
      </w:tblPr>
      <w:tblGrid>
        <w:gridCol w:w="591"/>
        <w:gridCol w:w="2149"/>
        <w:gridCol w:w="2095"/>
        <w:gridCol w:w="2096"/>
        <w:gridCol w:w="2095"/>
      </w:tblGrid>
      <w:tr>
        <w:trPr>
          <w:tblHeader w:val="true"/>
        </w:trPr>
        <w:tc>
          <w:tcPr>
            <w:tcW w:w="591" w:type="dxa"/>
            <w:tcBorders>
              <w:top w:val="single" w:sz="12" w:space="0" w:color="1A2744"/>
              <w:bottom w:val="single" w:sz="4" w:space="0" w:color="C8C4B8"/>
            </w:tcBorders>
            <w:shd w:color="auto" w:fill="E8E6E0" w:val="clear"/>
          </w:tcPr>
          <w:p>
            <w:pPr>
              <w:pStyle w:val="Normal"/>
              <w:widowControl w:val="false"/>
              <w:bidi w:val="0"/>
              <w:spacing w:before="60" w:after="60"/>
              <w:rPr/>
            </w:pPr>
            <w:r>
              <w:rPr>
                <w:rFonts w:eastAsia="Microsoft YaHei" w:cs="Cambria"/>
                <w:b/>
                <w:color w:val="4A5568"/>
                <w:sz w:val="19"/>
                <w:szCs w:val="19"/>
              </w:rPr>
              <w:t>Phase</w:t>
            </w:r>
          </w:p>
        </w:tc>
        <w:tc>
          <w:tcPr>
            <w:tcW w:w="2149" w:type="dxa"/>
            <w:tcBorders>
              <w:top w:val="single" w:sz="12" w:space="0" w:color="1A2744"/>
              <w:bottom w:val="single" w:sz="4" w:space="0" w:color="C8C4B8"/>
            </w:tcBorders>
            <w:shd w:color="auto" w:fill="E8E6E0" w:val="clear"/>
          </w:tcPr>
          <w:p>
            <w:pPr>
              <w:pStyle w:val="Normal"/>
              <w:widowControl w:val="false"/>
              <w:bidi w:val="0"/>
              <w:spacing w:before="60" w:after="60"/>
              <w:rPr/>
            </w:pPr>
            <w:r>
              <w:rPr>
                <w:rFonts w:eastAsia="Microsoft YaHei" w:cs="Cambria"/>
                <w:b/>
                <w:color w:val="4A5568"/>
                <w:sz w:val="19"/>
                <w:szCs w:val="19"/>
              </w:rPr>
              <w:t>Iran Does</w:t>
            </w:r>
          </w:p>
        </w:tc>
        <w:tc>
          <w:tcPr>
            <w:tcW w:w="2095" w:type="dxa"/>
            <w:tcBorders>
              <w:top w:val="single" w:sz="12" w:space="0" w:color="1A2744"/>
              <w:bottom w:val="single" w:sz="4" w:space="0" w:color="C8C4B8"/>
            </w:tcBorders>
            <w:shd w:color="auto" w:fill="E8E6E0" w:val="clear"/>
          </w:tcPr>
          <w:p>
            <w:pPr>
              <w:pStyle w:val="Normal"/>
              <w:widowControl w:val="false"/>
              <w:bidi w:val="0"/>
              <w:spacing w:before="60" w:after="60"/>
              <w:rPr/>
            </w:pPr>
            <w:r>
              <w:rPr>
                <w:rFonts w:eastAsia="Microsoft YaHei" w:cs="Cambria"/>
                <w:b/>
                <w:color w:val="4A5568"/>
                <w:sz w:val="19"/>
                <w:szCs w:val="19"/>
              </w:rPr>
              <w:t>U.S. Does</w:t>
            </w:r>
          </w:p>
        </w:tc>
        <w:tc>
          <w:tcPr>
            <w:tcW w:w="2096" w:type="dxa"/>
            <w:tcBorders>
              <w:top w:val="single" w:sz="12" w:space="0" w:color="1A2744"/>
              <w:bottom w:val="single" w:sz="4" w:space="0" w:color="C8C4B8"/>
            </w:tcBorders>
            <w:shd w:color="auto" w:fill="E8E6E0" w:val="clear"/>
          </w:tcPr>
          <w:p>
            <w:pPr>
              <w:pStyle w:val="Normal"/>
              <w:widowControl w:val="false"/>
              <w:bidi w:val="0"/>
              <w:spacing w:before="60" w:after="60"/>
              <w:rPr/>
            </w:pPr>
            <w:r>
              <w:rPr>
                <w:rFonts w:eastAsia="Microsoft YaHei" w:cs="Cambria"/>
                <w:b/>
                <w:color w:val="4A5568"/>
                <w:sz w:val="19"/>
                <w:szCs w:val="19"/>
              </w:rPr>
              <w:t>Trigger</w:t>
            </w:r>
          </w:p>
        </w:tc>
        <w:tc>
          <w:tcPr>
            <w:tcW w:w="2095" w:type="dxa"/>
            <w:tcBorders>
              <w:top w:val="single" w:sz="12" w:space="0" w:color="1A2744"/>
              <w:bottom w:val="single" w:sz="4" w:space="0" w:color="C8C4B8"/>
            </w:tcBorders>
            <w:shd w:color="auto" w:fill="E8E6E0" w:val="clear"/>
          </w:tcPr>
          <w:p>
            <w:pPr>
              <w:pStyle w:val="Normal"/>
              <w:widowControl w:val="false"/>
              <w:bidi w:val="0"/>
              <w:spacing w:before="60" w:after="60"/>
              <w:rPr/>
            </w:pPr>
            <w:r>
              <w:rPr>
                <w:rFonts w:eastAsia="Microsoft YaHei" w:cs="Cambria"/>
                <w:b/>
                <w:color w:val="4A5568"/>
                <w:sz w:val="19"/>
                <w:szCs w:val="19"/>
              </w:rPr>
              <w:t>If Wrong</w:t>
            </w:r>
          </w:p>
        </w:tc>
      </w:tr>
      <w:tr>
        <w:trPr/>
        <w:tc>
          <w:tcPr>
            <w:tcW w:w="591"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19"/>
              </w:rPr>
              <w:t>1 (Days 1-7)</w:t>
            </w:r>
          </w:p>
        </w:tc>
        <w:tc>
          <w:tcPr>
            <w:tcW w:w="2149"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19"/>
              </w:rPr>
              <w:t>Freeze at 3.67%; sustain seals; facilitate monitoring setup</w:t>
            </w:r>
          </w:p>
        </w:tc>
        <w:tc>
          <w:tcPr>
            <w:tcW w:w="2095"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19"/>
              </w:rPr>
              <w:t>$250M humanitarian tranche; oil export processing</w:t>
            </w:r>
          </w:p>
        </w:tc>
        <w:tc>
          <w:tcPr>
            <w:tcW w:w="2096"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19"/>
              </w:rPr>
              <w:t>Signature</w:t>
            </w:r>
          </w:p>
        </w:tc>
        <w:tc>
          <w:tcPr>
            <w:tcW w:w="2095"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19"/>
              </w:rPr>
              <w:t>Micro-fallback: 24-hr consultation pause</w:t>
            </w:r>
          </w:p>
        </w:tc>
      </w:tr>
      <w:tr>
        <w:trPr/>
        <w:tc>
          <w:tcPr>
            <w:tcW w:w="591"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19"/>
              </w:rPr>
              <w:t>2 (Days 8-60)</w:t>
            </w:r>
          </w:p>
        </w:tc>
        <w:tc>
          <w:tcPr>
            <w:tcW w:w="2149"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19"/>
              </w:rPr>
              <w:t>Complete stockpile declaration; apply IAEA seals; begin 60% HEU disposition; Hormuz reopening protocol</w:t>
            </w:r>
          </w:p>
        </w:tc>
        <w:tc>
          <w:tcPr>
            <w:tcW w:w="2095"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19"/>
              </w:rPr>
              <w:t>Tier Two relief; front-loaded frozen assets; SWIFT engagement; bilateral dialogue</w:t>
            </w:r>
          </w:p>
        </w:tc>
        <w:tc>
          <w:tcPr>
            <w:tcW w:w="2096"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19"/>
              </w:rPr>
              <w:t>IAEA certifies each step</w:t>
            </w:r>
          </w:p>
        </w:tc>
        <w:tc>
          <w:tcPr>
            <w:tcW w:w="2095"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19"/>
              </w:rPr>
              <w:t>Step-Back: relief reverses proportionally</w:t>
            </w:r>
          </w:p>
        </w:tc>
      </w:tr>
      <w:tr>
        <w:trPr/>
        <w:tc>
          <w:tcPr>
            <w:tcW w:w="591"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19"/>
              </w:rPr>
              <w:t>3 (Post-trigger)</w:t>
            </w:r>
          </w:p>
        </w:tc>
        <w:tc>
          <w:tcPr>
            <w:tcW w:w="2149"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19"/>
              </w:rPr>
              <w:t>Accelerate disposition; full IAEA access; continuous monitoring operational</w:t>
            </w:r>
          </w:p>
        </w:tc>
        <w:tc>
          <w:tcPr>
            <w:tcW w:w="2095"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19"/>
              </w:rPr>
              <w:t>Tier Three relief; SWIFT reconnection; subsidiary licensing; comprehensive architecture review</w:t>
            </w:r>
          </w:p>
        </w:tc>
        <w:tc>
          <w:tcPr>
            <w:tcW w:w="2096"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19"/>
              </w:rPr>
              <w:t>Technical channel confirms both sides completed initial parallel measures</w:t>
            </w:r>
          </w:p>
        </w:tc>
        <w:tc>
          <w:tcPr>
            <w:tcW w:w="2095"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19"/>
              </w:rPr>
              <w:t>Micro-fallback first; Step-Back if unresolved</w:t>
            </w:r>
          </w:p>
        </w:tc>
      </w:tr>
      <w:tr>
        <w:trPr/>
        <w:tc>
          <w:tcPr>
            <w:tcW w:w="591" w:type="dxa"/>
            <w:tcBorders>
              <w:top w:val="single" w:sz="4" w:space="0" w:color="C8C4B8"/>
              <w:bottom w:val="single" w:sz="12" w:space="0" w:color="1A2744"/>
            </w:tcBorders>
          </w:tcPr>
          <w:p>
            <w:pPr>
              <w:pStyle w:val="Normal"/>
              <w:widowControl w:val="false"/>
              <w:bidi w:val="0"/>
              <w:spacing w:before="60" w:after="60"/>
              <w:rPr/>
            </w:pPr>
            <w:r>
              <w:rPr>
                <w:rFonts w:eastAsia="Microsoft YaHei" w:cs="Cambria"/>
                <w:b/>
                <w:color w:val="1E2530"/>
                <w:sz w:val="22"/>
                <w:szCs w:val="19"/>
              </w:rPr>
              <w:t>Renewal (Day 90)</w:t>
            </w:r>
          </w:p>
        </w:tc>
        <w:tc>
          <w:tcPr>
            <w:tcW w:w="2149" w:type="dxa"/>
            <w:tcBorders>
              <w:top w:val="single" w:sz="4" w:space="0" w:color="C8C4B8"/>
              <w:bottom w:val="single" w:sz="12" w:space="0" w:color="1A2744"/>
            </w:tcBorders>
          </w:tcPr>
          <w:p>
            <w:pPr>
              <w:pStyle w:val="Normal"/>
              <w:widowControl w:val="false"/>
              <w:bidi w:val="0"/>
              <w:spacing w:before="60" w:after="60"/>
              <w:rPr/>
            </w:pPr>
            <w:r>
              <w:rPr>
                <w:rFonts w:eastAsia="Microsoft YaHei" w:cs="Cambria"/>
                <w:b/>
                <w:color w:val="1E2530"/>
                <w:sz w:val="22"/>
                <w:szCs w:val="19"/>
              </w:rPr>
              <w:t>Complete 100% disposition; all material at or below 5%</w:t>
            </w:r>
          </w:p>
        </w:tc>
        <w:tc>
          <w:tcPr>
            <w:tcW w:w="2095" w:type="dxa"/>
            <w:tcBorders>
              <w:top w:val="single" w:sz="4" w:space="0" w:color="C8C4B8"/>
              <w:bottom w:val="single" w:sz="12" w:space="0" w:color="1A2744"/>
            </w:tcBorders>
          </w:tcPr>
          <w:p>
            <w:pPr>
              <w:pStyle w:val="Normal"/>
              <w:widowControl w:val="false"/>
              <w:bidi w:val="0"/>
              <w:spacing w:before="60" w:after="60"/>
              <w:rPr/>
            </w:pPr>
            <w:r>
              <w:rPr>
                <w:rFonts w:eastAsia="Microsoft YaHei" w:cs="Cambria"/>
                <w:b/>
                <w:color w:val="1E2530"/>
                <w:sz w:val="22"/>
                <w:szCs w:val="19"/>
              </w:rPr>
              <w:t>Permanent resolution working group; JCPOA implementation; comprehensive sanctions architecture review</w:t>
            </w:r>
          </w:p>
        </w:tc>
        <w:tc>
          <w:tcPr>
            <w:tcW w:w="2096" w:type="dxa"/>
            <w:tcBorders>
              <w:top w:val="single" w:sz="4" w:space="0" w:color="C8C4B8"/>
              <w:bottom w:val="single" w:sz="12" w:space="0" w:color="1A2744"/>
            </w:tcBorders>
          </w:tcPr>
          <w:p>
            <w:pPr>
              <w:pStyle w:val="Normal"/>
              <w:widowControl w:val="false"/>
              <w:bidi w:val="0"/>
              <w:spacing w:before="60" w:after="60"/>
              <w:rPr/>
            </w:pPr>
            <w:r>
              <w:rPr>
                <w:rFonts w:eastAsia="Microsoft YaHei" w:cs="Cambria"/>
                <w:b/>
                <w:color w:val="1E2530"/>
                <w:sz w:val="22"/>
                <w:szCs w:val="19"/>
              </w:rPr>
              <w:t>IAEA final compliance report</w:t>
            </w:r>
          </w:p>
        </w:tc>
        <w:tc>
          <w:tcPr>
            <w:tcW w:w="2095" w:type="dxa"/>
            <w:tcBorders>
              <w:top w:val="single" w:sz="4" w:space="0" w:color="C8C4B8"/>
              <w:bottom w:val="single" w:sz="12" w:space="0" w:color="1A2744"/>
            </w:tcBorders>
          </w:tcPr>
          <w:p>
            <w:pPr>
              <w:pStyle w:val="Normal"/>
              <w:widowControl w:val="false"/>
              <w:bidi w:val="0"/>
              <w:spacing w:before="60" w:after="60"/>
              <w:rPr/>
            </w:pPr>
            <w:r>
              <w:rPr>
                <w:rFonts w:eastAsia="Microsoft YaHei" w:cs="Cambria"/>
                <w:b/>
                <w:color w:val="1E2530"/>
                <w:sz w:val="22"/>
                <w:szCs w:val="19"/>
              </w:rPr>
              <w:t>Non-renewal; 14-day exit ramp</w:t>
            </w:r>
          </w:p>
        </w:tc>
      </w:tr>
    </w:tbl>
    <w:p>
      <w:pPr>
        <w:pStyle w:val="Heading2"/>
        <w:keepNext w:val="true"/>
        <w:keepLines/>
        <w:bidi w:val="0"/>
        <w:spacing w:before="360" w:after="160"/>
        <w:rPr/>
      </w:pPr>
      <w:r>
        <w:rPr>
          <w:rFonts w:eastAsia="Microsoft YaHei" w:cs="Cambria"/>
          <w:b/>
          <w:color w:val="2C3E5E"/>
          <w:sz w:val="30"/>
          <w:szCs w:val="30"/>
        </w:rPr>
        <w:t>H.2 One-Page Nuclear Map</w:t>
      </w:r>
    </w:p>
    <w:p>
      <w:pPr>
        <w:pStyle w:val="Normal"/>
        <w:bidi w:val="0"/>
        <w:spacing w:before="0" w:after="180"/>
        <w:rPr/>
      </w:pPr>
      <w:r>
        <w:rPr>
          <w:rFonts w:eastAsia="Microsoft YaHei" w:cs="Cambria"/>
          <w:color w:val="1E2530"/>
          <w:sz w:val="22"/>
          <w:szCs w:val="22"/>
        </w:rPr>
        <w:t>The following nuclear-only timeline shows the exact sequence of Iranian nuclear steps and American nuclear-linked reciprocity.</w:t>
      </w:r>
    </w:p>
    <w:tbl>
      <w:tblPr>
        <w:tblW w:w="5000" w:type="pct"/>
        <w:jc w:val="start"/>
        <w:tblInd w:w="0" w:type="dxa"/>
        <w:tblLayout w:type="fixed"/>
        <w:tblCellMar>
          <w:top w:w="0" w:type="dxa"/>
          <w:start w:w="108" w:type="dxa"/>
          <w:bottom w:w="0" w:type="dxa"/>
          <w:end w:w="108" w:type="dxa"/>
        </w:tblCellMar>
      </w:tblPr>
      <w:tblGrid>
        <w:gridCol w:w="1102"/>
        <w:gridCol w:w="4012"/>
        <w:gridCol w:w="3912"/>
      </w:tblGrid>
      <w:tr>
        <w:trPr>
          <w:tblHeader w:val="true"/>
        </w:trPr>
        <w:tc>
          <w:tcPr>
            <w:tcW w:w="1102" w:type="dxa"/>
            <w:tcBorders>
              <w:top w:val="single" w:sz="12" w:space="0" w:color="1A2744"/>
              <w:bottom w:val="single" w:sz="4" w:space="0" w:color="C8C4B8"/>
            </w:tcBorders>
            <w:shd w:color="auto" w:fill="E8E6E0" w:val="clear"/>
          </w:tcPr>
          <w:p>
            <w:pPr>
              <w:pStyle w:val="Normal"/>
              <w:widowControl w:val="false"/>
              <w:bidi w:val="0"/>
              <w:spacing w:before="60" w:after="60"/>
              <w:rPr/>
            </w:pPr>
            <w:r>
              <w:rPr>
                <w:rFonts w:eastAsia="Microsoft YaHei" w:cs="Cambria"/>
                <w:b/>
                <w:color w:val="4A5568"/>
                <w:sz w:val="19"/>
                <w:szCs w:val="19"/>
              </w:rPr>
              <w:t>Day</w:t>
            </w:r>
          </w:p>
        </w:tc>
        <w:tc>
          <w:tcPr>
            <w:tcW w:w="4012" w:type="dxa"/>
            <w:tcBorders>
              <w:top w:val="single" w:sz="12" w:space="0" w:color="1A2744"/>
              <w:bottom w:val="single" w:sz="4" w:space="0" w:color="C8C4B8"/>
            </w:tcBorders>
            <w:shd w:color="auto" w:fill="E8E6E0" w:val="clear"/>
          </w:tcPr>
          <w:p>
            <w:pPr>
              <w:pStyle w:val="Normal"/>
              <w:widowControl w:val="false"/>
              <w:bidi w:val="0"/>
              <w:spacing w:before="60" w:after="60"/>
              <w:rPr/>
            </w:pPr>
            <w:r>
              <w:rPr>
                <w:rFonts w:eastAsia="Microsoft YaHei" w:cs="Cambria"/>
                <w:b/>
                <w:color w:val="4A5568"/>
                <w:sz w:val="19"/>
                <w:szCs w:val="19"/>
              </w:rPr>
              <w:t>Iranian Nuclear Step</w:t>
            </w:r>
          </w:p>
        </w:tc>
        <w:tc>
          <w:tcPr>
            <w:tcW w:w="3912" w:type="dxa"/>
            <w:tcBorders>
              <w:top w:val="single" w:sz="12" w:space="0" w:color="1A2744"/>
              <w:bottom w:val="single" w:sz="4" w:space="0" w:color="C8C4B8"/>
            </w:tcBorders>
            <w:shd w:color="auto" w:fill="E8E6E0" w:val="clear"/>
          </w:tcPr>
          <w:p>
            <w:pPr>
              <w:pStyle w:val="Normal"/>
              <w:widowControl w:val="false"/>
              <w:bidi w:val="0"/>
              <w:spacing w:before="60" w:after="60"/>
              <w:rPr/>
            </w:pPr>
            <w:r>
              <w:rPr>
                <w:rFonts w:eastAsia="Microsoft YaHei" w:cs="Cambria"/>
                <w:b/>
                <w:color w:val="4A5568"/>
                <w:sz w:val="19"/>
                <w:szCs w:val="19"/>
              </w:rPr>
              <w:t>U.S. Nuclear-Linked Measure</w:t>
            </w:r>
          </w:p>
        </w:tc>
      </w:tr>
      <w:tr>
        <w:trPr/>
        <w:tc>
          <w:tcPr>
            <w:tcW w:w="110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19"/>
              </w:rPr>
              <w:t>Day 1</w:t>
            </w:r>
          </w:p>
        </w:tc>
        <w:tc>
          <w:tcPr>
            <w:tcW w:w="401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19"/>
              </w:rPr>
              <w:t>Maintain freeze at 3.67%; sustain seal integrity on all material above 5%</w:t>
            </w:r>
          </w:p>
        </w:tc>
        <w:tc>
          <w:tcPr>
            <w:tcW w:w="391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19"/>
              </w:rPr>
              <w:t>Humanitarian tranche releases; oil export processing begins</w:t>
            </w:r>
          </w:p>
        </w:tc>
      </w:tr>
      <w:tr>
        <w:trPr/>
        <w:tc>
          <w:tcPr>
            <w:tcW w:w="110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19"/>
              </w:rPr>
              <w:t>Day 3</w:t>
            </w:r>
          </w:p>
        </w:tc>
        <w:tc>
          <w:tcPr>
            <w:tcW w:w="401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19"/>
              </w:rPr>
              <w:t>Facilitate IAEA monitoring equipment installation at declared facilities</w:t>
            </w:r>
          </w:p>
        </w:tc>
        <w:tc>
          <w:tcPr>
            <w:tcW w:w="391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19"/>
              </w:rPr>
              <w:t>Humanitarian general license expands to agriculture and aviation parts</w:t>
            </w:r>
          </w:p>
        </w:tc>
      </w:tr>
      <w:tr>
        <w:trPr/>
        <w:tc>
          <w:tcPr>
            <w:tcW w:w="110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19"/>
              </w:rPr>
              <w:t>Day 7</w:t>
            </w:r>
          </w:p>
        </w:tc>
        <w:tc>
          <w:tcPr>
            <w:tcW w:w="401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19"/>
              </w:rPr>
              <w:t>Complete stockpile declaration: locations, quantities, enrichment levels</w:t>
            </w:r>
          </w:p>
        </w:tc>
        <w:tc>
          <w:tcPr>
            <w:tcW w:w="391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19"/>
              </w:rPr>
              <w:t>Treasury publishes licensing guidance; SWIFT engagement guidance issued</w:t>
            </w:r>
          </w:p>
        </w:tc>
      </w:tr>
      <w:tr>
        <w:trPr/>
        <w:tc>
          <w:tcPr>
            <w:tcW w:w="110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19"/>
              </w:rPr>
              <w:t>Day 14</w:t>
            </w:r>
          </w:p>
        </w:tc>
        <w:tc>
          <w:tcPr>
            <w:tcW w:w="401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19"/>
              </w:rPr>
              <w:t>Apply IAEA seals to all material above 5%; agree disposition pathway for 60% HEU</w:t>
            </w:r>
          </w:p>
        </w:tc>
        <w:tc>
          <w:tcPr>
            <w:tcW w:w="391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19"/>
              </w:rPr>
              <w:t>Tier Two relief activates; front-loaded frozen assets begin ($2B equivalent)</w:t>
            </w:r>
          </w:p>
        </w:tc>
      </w:tr>
      <w:tr>
        <w:trPr/>
        <w:tc>
          <w:tcPr>
            <w:tcW w:w="110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19"/>
              </w:rPr>
              <w:t>Day 30</w:t>
            </w:r>
          </w:p>
        </w:tc>
        <w:tc>
          <w:tcPr>
            <w:tcW w:w="401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19"/>
              </w:rPr>
              <w:t>Complete 25% of 60% HEU disposition</w:t>
            </w:r>
          </w:p>
        </w:tc>
        <w:tc>
          <w:tcPr>
            <w:tcW w:w="391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19"/>
              </w:rPr>
              <w:t>Front-loaded tranche #2 releases; bilateral technical working groups activate</w:t>
            </w:r>
          </w:p>
        </w:tc>
      </w:tr>
      <w:tr>
        <w:trPr/>
        <w:tc>
          <w:tcPr>
            <w:tcW w:w="110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19"/>
              </w:rPr>
              <w:t>Day 45</w:t>
            </w:r>
          </w:p>
        </w:tc>
        <w:tc>
          <w:tcPr>
            <w:tcW w:w="401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19"/>
              </w:rPr>
              <w:t>Complete 50% of 60% HEU disposition; all material above 20% under dual-key custody</w:t>
            </w:r>
          </w:p>
        </w:tc>
        <w:tc>
          <w:tcPr>
            <w:tcW w:w="391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19"/>
              </w:rPr>
              <w:t>Tier Three relief begins: SWIFT reconnection, subsidiary licensing, full architecture review</w:t>
            </w:r>
          </w:p>
        </w:tc>
      </w:tr>
      <w:tr>
        <w:trPr/>
        <w:tc>
          <w:tcPr>
            <w:tcW w:w="110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19"/>
              </w:rPr>
              <w:t>Day 60</w:t>
            </w:r>
          </w:p>
        </w:tc>
        <w:tc>
          <w:tcPr>
            <w:tcW w:w="401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19"/>
              </w:rPr>
              <w:t>Complete 75% of 60% HEU disposition</w:t>
            </w:r>
          </w:p>
        </w:tc>
        <w:tc>
          <w:tcPr>
            <w:tcW w:w="3912" w:type="dxa"/>
            <w:tcBorders>
              <w:top w:val="single" w:sz="4" w:space="0" w:color="C8C4B8"/>
              <w:bottom w:val="single" w:sz="4" w:space="0" w:color="C8C4B8"/>
            </w:tcBorders>
          </w:tcPr>
          <w:p>
            <w:pPr>
              <w:pStyle w:val="Normal"/>
              <w:widowControl w:val="false"/>
              <w:bidi w:val="0"/>
              <w:spacing w:before="60" w:after="60"/>
              <w:rPr/>
            </w:pPr>
            <w:r>
              <w:rPr>
                <w:rFonts w:eastAsia="Microsoft YaHei" w:cs="Cambria"/>
                <w:b/>
                <w:color w:val="1E2530"/>
                <w:sz w:val="22"/>
                <w:szCs w:val="19"/>
              </w:rPr>
              <w:t>Comprehensive Joint Nuclear Cooperation Dialogue launches</w:t>
            </w:r>
          </w:p>
        </w:tc>
      </w:tr>
      <w:tr>
        <w:trPr/>
        <w:tc>
          <w:tcPr>
            <w:tcW w:w="1102" w:type="dxa"/>
            <w:tcBorders>
              <w:top w:val="single" w:sz="4" w:space="0" w:color="C8C4B8"/>
              <w:bottom w:val="single" w:sz="12" w:space="0" w:color="1A2744"/>
            </w:tcBorders>
          </w:tcPr>
          <w:p>
            <w:pPr>
              <w:pStyle w:val="Normal"/>
              <w:widowControl w:val="false"/>
              <w:bidi w:val="0"/>
              <w:spacing w:before="60" w:after="60"/>
              <w:rPr/>
            </w:pPr>
            <w:r>
              <w:rPr>
                <w:rFonts w:eastAsia="Microsoft YaHei" w:cs="Cambria"/>
                <w:b/>
                <w:color w:val="1E2530"/>
                <w:sz w:val="22"/>
                <w:szCs w:val="19"/>
              </w:rPr>
              <w:t>Day 90</w:t>
            </w:r>
          </w:p>
        </w:tc>
        <w:tc>
          <w:tcPr>
            <w:tcW w:w="4012" w:type="dxa"/>
            <w:tcBorders>
              <w:top w:val="single" w:sz="4" w:space="0" w:color="C8C4B8"/>
              <w:bottom w:val="single" w:sz="12" w:space="0" w:color="1A2744"/>
            </w:tcBorders>
          </w:tcPr>
          <w:p>
            <w:pPr>
              <w:pStyle w:val="Normal"/>
              <w:widowControl w:val="false"/>
              <w:bidi w:val="0"/>
              <w:spacing w:before="60" w:after="60"/>
              <w:rPr/>
            </w:pPr>
            <w:r>
              <w:rPr>
                <w:rFonts w:eastAsia="Microsoft YaHei" w:cs="Cambria"/>
                <w:b/>
                <w:color w:val="1E2530"/>
                <w:sz w:val="22"/>
                <w:szCs w:val="19"/>
              </w:rPr>
              <w:t>Complete 100% of 60% HEU disposition; all material at or below 5%</w:t>
            </w:r>
          </w:p>
        </w:tc>
        <w:tc>
          <w:tcPr>
            <w:tcW w:w="3912" w:type="dxa"/>
            <w:tcBorders>
              <w:top w:val="single" w:sz="4" w:space="0" w:color="C8C4B8"/>
              <w:bottom w:val="single" w:sz="12" w:space="0" w:color="1A2744"/>
            </w:tcBorders>
          </w:tcPr>
          <w:p>
            <w:pPr>
              <w:pStyle w:val="Normal"/>
              <w:widowControl w:val="false"/>
              <w:bidi w:val="0"/>
              <w:spacing w:before="60" w:after="60"/>
              <w:rPr/>
            </w:pPr>
            <w:r>
              <w:rPr>
                <w:rFonts w:eastAsia="Microsoft YaHei" w:cs="Cambria"/>
                <w:b/>
                <w:color w:val="1E2530"/>
                <w:sz w:val="22"/>
                <w:szCs w:val="19"/>
              </w:rPr>
              <w:t>Permanent resolution working group; JCPOA implementation declared</w:t>
            </w:r>
          </w:p>
        </w:tc>
      </w:tr>
    </w:tbl>
    <w:p>
      <w:pPr>
        <w:pStyle w:val="Heading2"/>
        <w:keepNext w:val="true"/>
        <w:keepLines/>
        <w:bidi w:val="0"/>
        <w:spacing w:before="360" w:after="160"/>
        <w:rPr/>
      </w:pPr>
      <w:r>
        <w:rPr>
          <w:rFonts w:eastAsia="Microsoft YaHei" w:cs="Cambria"/>
          <w:b/>
          <w:color w:val="2C3E5E"/>
          <w:sz w:val="30"/>
          <w:szCs w:val="30"/>
        </w:rPr>
        <w:t>H.3 One-Page Verification Map</w:t>
      </w:r>
    </w:p>
    <w:p>
      <w:pPr>
        <w:pStyle w:val="Normal"/>
        <w:bidi w:val="0"/>
        <w:spacing w:before="0" w:after="180"/>
        <w:rPr/>
      </w:pPr>
      <w:r>
        <w:rPr>
          <w:rFonts w:eastAsia="Microsoft YaHei" w:cs="Cambria" w:ascii="Microsoft YaHei" w:hAnsi="Microsoft YaHei"/>
          <w:color w:val="1E2530"/>
          <w:sz w:val="22"/>
          <w:szCs w:val="22"/>
          <w:lang w:val="en-US" w:eastAsia="zh-CN" w:bidi="hi-IN"/>
        </w:rPr>
        <w:t>The following verification-only timeline shows the exact sequence of IAEA activities, equipment deployment, and certification milestones.</w:t>
      </w:r>
    </w:p>
    <w:tbl>
      <w:tblPr>
        <w:tblW w:w="5000" w:type="pct"/>
        <w:jc w:val="start"/>
        <w:tblInd w:w="0" w:type="dxa"/>
        <w:tblLayout w:type="fixed"/>
        <w:tblCellMar>
          <w:top w:w="0" w:type="dxa"/>
          <w:start w:w="108" w:type="dxa"/>
          <w:bottom w:w="0" w:type="dxa"/>
          <w:end w:w="108" w:type="dxa"/>
        </w:tblCellMar>
      </w:tblPr>
      <w:tblGrid>
        <w:gridCol w:w="769"/>
        <w:gridCol w:w="2798"/>
        <w:gridCol w:w="2730"/>
        <w:gridCol w:w="2728"/>
      </w:tblGrid>
      <w:tr>
        <w:trPr>
          <w:tblHeader w:val="1"/>
        </w:trPr>
        <w:tc>
          <w:tcPr>
            <w:tcW w:w="769" w:type="dxa"/>
            <w:tcBorders>
              <w:top w:val="single" w:sz="12" w:space="0" w:color="1A2744"/>
              <w:bottom w:val="single" w:sz="4" w:space="0" w:color="C8C4B8"/>
            </w:tcBorders>
            <w:shd w:color="auto" w:fill="E8E6E0" w:val="clear"/>
          </w:tcPr>
          <w:p>
            <w:pPr>
              <w:pStyle w:val="Normal"/>
              <w:widowControl w:val="false"/>
              <w:bidi w:val="0"/>
              <w:spacing w:before="60" w:after="60"/>
              <w:rPr/>
            </w:pPr>
            <w:r>
              <w:rPr>
                <w:rFonts w:eastAsia="Microsoft YaHei" w:cs="Cambria" w:ascii="Microsoft YaHei" w:hAnsi="Microsoft YaHei"/>
                <w:b/>
                <w:color w:val="4A5568"/>
                <w:sz w:val="19"/>
                <w:szCs w:val="19"/>
                <w:lang w:val="en-US" w:eastAsia="zh-CN" w:bidi="hi-IN"/>
              </w:rPr>
              <w:t>Day</w:t>
            </w:r>
          </w:p>
        </w:tc>
        <w:tc>
          <w:tcPr>
            <w:tcW w:w="2798" w:type="dxa"/>
            <w:tcBorders>
              <w:top w:val="single" w:sz="12" w:space="0" w:color="1A2744"/>
              <w:bottom w:val="single" w:sz="4" w:space="0" w:color="C8C4B8"/>
            </w:tcBorders>
            <w:shd w:color="auto" w:fill="E8E6E0" w:val="clear"/>
          </w:tcPr>
          <w:p>
            <w:pPr>
              <w:pStyle w:val="Normal"/>
              <w:widowControl w:val="false"/>
              <w:bidi w:val="0"/>
              <w:spacing w:before="60" w:after="60"/>
              <w:rPr/>
            </w:pPr>
            <w:r>
              <w:rPr>
                <w:rFonts w:eastAsia="Microsoft YaHei" w:cs="Cambria" w:ascii="Microsoft YaHei" w:hAnsi="Microsoft YaHei"/>
                <w:b/>
                <w:color w:val="4A5568"/>
                <w:sz w:val="19"/>
                <w:szCs w:val="19"/>
                <w:lang w:val="en-US" w:eastAsia="zh-CN" w:bidi="hi-IN"/>
              </w:rPr>
              <w:t>IAEA Activity</w:t>
            </w:r>
          </w:p>
        </w:tc>
        <w:tc>
          <w:tcPr>
            <w:tcW w:w="2730" w:type="dxa"/>
            <w:tcBorders>
              <w:top w:val="single" w:sz="12" w:space="0" w:color="1A2744"/>
              <w:bottom w:val="single" w:sz="4" w:space="0" w:color="C8C4B8"/>
            </w:tcBorders>
            <w:shd w:color="auto" w:fill="E8E6E0" w:val="clear"/>
          </w:tcPr>
          <w:p>
            <w:pPr>
              <w:pStyle w:val="Normal"/>
              <w:widowControl w:val="false"/>
              <w:bidi w:val="0"/>
              <w:spacing w:before="60" w:after="60"/>
              <w:rPr/>
            </w:pPr>
            <w:r>
              <w:rPr>
                <w:rFonts w:eastAsia="Microsoft YaHei" w:cs="Cambria" w:ascii="Microsoft YaHei" w:hAnsi="Microsoft YaHei"/>
                <w:b/>
                <w:color w:val="4A5568"/>
                <w:sz w:val="19"/>
                <w:szCs w:val="19"/>
                <w:lang w:val="en-US" w:eastAsia="zh-CN" w:bidi="hi-IN"/>
              </w:rPr>
              <w:t>Equipment</w:t>
            </w:r>
          </w:p>
        </w:tc>
        <w:tc>
          <w:tcPr>
            <w:tcW w:w="2728" w:type="dxa"/>
            <w:tcBorders>
              <w:top w:val="single" w:sz="12" w:space="0" w:color="1A2744"/>
              <w:bottom w:val="single" w:sz="4" w:space="0" w:color="C8C4B8"/>
            </w:tcBorders>
            <w:shd w:color="auto" w:fill="E8E6E0" w:val="clear"/>
          </w:tcPr>
          <w:p>
            <w:pPr>
              <w:pStyle w:val="Normal"/>
              <w:widowControl w:val="false"/>
              <w:bidi w:val="0"/>
              <w:spacing w:before="60" w:after="60"/>
              <w:rPr/>
            </w:pPr>
            <w:r>
              <w:rPr>
                <w:rFonts w:eastAsia="Microsoft YaHei" w:cs="Cambria" w:ascii="Microsoft YaHei" w:hAnsi="Microsoft YaHei"/>
                <w:b/>
                <w:color w:val="4A5568"/>
                <w:sz w:val="19"/>
                <w:szCs w:val="19"/>
                <w:lang w:val="en-US" w:eastAsia="zh-CN" w:bidi="hi-IN"/>
              </w:rPr>
              <w:t>Certification</w:t>
            </w:r>
          </w:p>
        </w:tc>
      </w:tr>
      <w:tr>
        <w:trPr/>
        <w:tc>
          <w:tcPr>
            <w:tcW w:w="769"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b/>
                <w:color w:val="1E2530"/>
                <w:sz w:val="22"/>
                <w:szCs w:val="19"/>
                <w:lang w:val="en-US" w:eastAsia="zh-CN" w:bidi="hi-IN"/>
              </w:rPr>
              <w:t>Day 1</w:t>
            </w:r>
          </w:p>
        </w:tc>
        <w:tc>
          <w:tcPr>
            <w:tcW w:w="2798"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b/>
                <w:color w:val="1E2530"/>
                <w:sz w:val="22"/>
                <w:szCs w:val="19"/>
                <w:lang w:val="en-US" w:eastAsia="zh-CN" w:bidi="hi-IN"/>
              </w:rPr>
              <w:t>Core inspection team deploys (12 inspectors)</w:t>
            </w:r>
          </w:p>
        </w:tc>
        <w:tc>
          <w:tcPr>
            <w:tcW w:w="2730"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b/>
                <w:color w:val="1E2530"/>
                <w:sz w:val="22"/>
                <w:szCs w:val="19"/>
                <w:lang w:val="en-US" w:eastAsia="zh-CN" w:bidi="hi-IN"/>
              </w:rPr>
              <w:t>Dashboard goes live; credentials issued</w:t>
            </w:r>
          </w:p>
        </w:tc>
        <w:tc>
          <w:tcPr>
            <w:tcW w:w="2728"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b/>
                <w:color w:val="1E2530"/>
                <w:sz w:val="22"/>
                <w:szCs w:val="19"/>
                <w:lang w:val="en-US" w:eastAsia="zh-CN" w:bidi="hi-IN"/>
              </w:rPr>
              <w:t>None — deployment confirmation only</w:t>
            </w:r>
          </w:p>
        </w:tc>
      </w:tr>
      <w:tr>
        <w:trPr/>
        <w:tc>
          <w:tcPr>
            <w:tcW w:w="769"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b/>
                <w:color w:val="1E2530"/>
                <w:sz w:val="22"/>
                <w:szCs w:val="19"/>
                <w:lang w:val="en-US" w:eastAsia="zh-CN" w:bidi="hi-IN"/>
              </w:rPr>
              <w:t>Day 3</w:t>
            </w:r>
          </w:p>
        </w:tc>
        <w:tc>
          <w:tcPr>
            <w:tcW w:w="2798"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b/>
                <w:color w:val="1E2530"/>
                <w:sz w:val="22"/>
                <w:szCs w:val="19"/>
                <w:lang w:val="en-US" w:eastAsia="zh-CN" w:bidi="hi-IN"/>
              </w:rPr>
              <w:t>Baseline readings at all declared facilities</w:t>
            </w:r>
          </w:p>
        </w:tc>
        <w:tc>
          <w:tcPr>
            <w:tcW w:w="2730"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b/>
                <w:color w:val="1E2530"/>
                <w:sz w:val="22"/>
                <w:szCs w:val="19"/>
                <w:lang w:val="en-US" w:eastAsia="zh-CN" w:bidi="hi-IN"/>
              </w:rPr>
              <w:t>Baseline sensors calibrate and transmit</w:t>
            </w:r>
          </w:p>
        </w:tc>
        <w:tc>
          <w:tcPr>
            <w:tcW w:w="2728"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b/>
                <w:color w:val="1E2530"/>
                <w:sz w:val="22"/>
                <w:szCs w:val="19"/>
                <w:lang w:val="en-US" w:eastAsia="zh-CN" w:bidi="hi-IN"/>
              </w:rPr>
              <w:t>Baseline report posts to dashboard</w:t>
            </w:r>
          </w:p>
        </w:tc>
      </w:tr>
      <w:tr>
        <w:trPr/>
        <w:tc>
          <w:tcPr>
            <w:tcW w:w="769"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b/>
                <w:color w:val="1E2530"/>
                <w:sz w:val="22"/>
                <w:szCs w:val="19"/>
                <w:lang w:val="en-US" w:eastAsia="zh-CN" w:bidi="hi-IN"/>
              </w:rPr>
              <w:t>Day 7</w:t>
            </w:r>
          </w:p>
        </w:tc>
        <w:tc>
          <w:tcPr>
            <w:tcW w:w="2798"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b/>
                <w:color w:val="1E2530"/>
                <w:sz w:val="22"/>
                <w:szCs w:val="19"/>
                <w:lang w:val="en-US" w:eastAsia="zh-CN" w:bidi="hi-IN"/>
              </w:rPr>
              <w:t>Stockpile declaration review; inventory declared equipment</w:t>
            </w:r>
          </w:p>
        </w:tc>
        <w:tc>
          <w:tcPr>
            <w:tcW w:w="2730"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b/>
                <w:color w:val="1E2530"/>
                <w:sz w:val="22"/>
                <w:szCs w:val="19"/>
                <w:lang w:val="en-US" w:eastAsia="zh-CN" w:bidi="hi-IN"/>
              </w:rPr>
              <w:t>Equipment register posts to dashboard</w:t>
            </w:r>
          </w:p>
        </w:tc>
        <w:tc>
          <w:tcPr>
            <w:tcW w:w="2728"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b/>
                <w:color w:val="1E2530"/>
                <w:sz w:val="22"/>
                <w:szCs w:val="19"/>
                <w:lang w:val="en-US" w:eastAsia="zh-CN" w:bidi="hi-IN"/>
              </w:rPr>
              <w:t>Declaration consistency report</w:t>
            </w:r>
          </w:p>
        </w:tc>
      </w:tr>
      <w:tr>
        <w:trPr/>
        <w:tc>
          <w:tcPr>
            <w:tcW w:w="769"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b/>
                <w:color w:val="1E2530"/>
                <w:sz w:val="22"/>
                <w:szCs w:val="19"/>
                <w:lang w:val="en-US" w:eastAsia="zh-CN" w:bidi="hi-IN"/>
              </w:rPr>
              <w:t>Day 14</w:t>
            </w:r>
          </w:p>
        </w:tc>
        <w:tc>
          <w:tcPr>
            <w:tcW w:w="2798"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b/>
                <w:color w:val="1E2530"/>
                <w:sz w:val="22"/>
                <w:szCs w:val="19"/>
                <w:lang w:val="en-US" w:eastAsia="zh-CN" w:bidi="hi-IN"/>
              </w:rPr>
              <w:t>Seal installation at all stockpiles above 5%; continuous monitoring equipment installation</w:t>
            </w:r>
          </w:p>
        </w:tc>
        <w:tc>
          <w:tcPr>
            <w:tcW w:w="2730"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b/>
                <w:color w:val="1E2530"/>
                <w:sz w:val="22"/>
                <w:szCs w:val="19"/>
                <w:lang w:val="en-US" w:eastAsia="zh-CN" w:bidi="hi-IN"/>
              </w:rPr>
              <w:t>Tamper-evident seals; online enrichment monitors; remote cameras</w:t>
            </w:r>
          </w:p>
        </w:tc>
        <w:tc>
          <w:tcPr>
            <w:tcW w:w="2728"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b/>
                <w:color w:val="1E2530"/>
                <w:sz w:val="22"/>
                <w:szCs w:val="19"/>
                <w:lang w:val="en-US" w:eastAsia="zh-CN" w:bidi="hi-IN"/>
              </w:rPr>
              <w:t>Seal integrity verification; monitoring certification</w:t>
            </w:r>
          </w:p>
        </w:tc>
      </w:tr>
      <w:tr>
        <w:trPr/>
        <w:tc>
          <w:tcPr>
            <w:tcW w:w="769"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b/>
                <w:color w:val="1E2530"/>
                <w:sz w:val="22"/>
                <w:szCs w:val="19"/>
                <w:lang w:val="en-US" w:eastAsia="zh-CN" w:bidi="hi-IN"/>
              </w:rPr>
              <w:t>Day 30</w:t>
            </w:r>
          </w:p>
        </w:tc>
        <w:tc>
          <w:tcPr>
            <w:tcW w:w="2798"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b/>
                <w:color w:val="1E2530"/>
                <w:sz w:val="22"/>
                <w:szCs w:val="19"/>
                <w:lang w:val="en-US" w:eastAsia="zh-CN" w:bidi="hi-IN"/>
              </w:rPr>
              <w:t>Verification Milestone 1 assessment; 25% disposition verification</w:t>
            </w:r>
          </w:p>
        </w:tc>
        <w:tc>
          <w:tcPr>
            <w:tcW w:w="2730"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b/>
                <w:color w:val="1E2530"/>
                <w:sz w:val="22"/>
                <w:szCs w:val="19"/>
                <w:lang w:val="en-US" w:eastAsia="zh-CN" w:bidi="hi-IN"/>
              </w:rPr>
              <w:t>Disposition monitoring equipment operational</w:t>
            </w:r>
          </w:p>
        </w:tc>
        <w:tc>
          <w:tcPr>
            <w:tcW w:w="2728"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b/>
                <w:color w:val="1E2530"/>
                <w:sz w:val="22"/>
                <w:szCs w:val="19"/>
                <w:lang w:val="en-US" w:eastAsia="zh-CN" w:bidi="hi-IN"/>
              </w:rPr>
              <w:t>VM1 compliance determination</w:t>
            </w:r>
          </w:p>
        </w:tc>
      </w:tr>
      <w:tr>
        <w:trPr/>
        <w:tc>
          <w:tcPr>
            <w:tcW w:w="769"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b/>
                <w:color w:val="1E2530"/>
                <w:sz w:val="22"/>
                <w:szCs w:val="19"/>
                <w:lang w:val="en-US" w:eastAsia="zh-CN" w:bidi="hi-IN"/>
              </w:rPr>
              <w:t>Day 45</w:t>
            </w:r>
          </w:p>
        </w:tc>
        <w:tc>
          <w:tcPr>
            <w:tcW w:w="2798"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b/>
                <w:color w:val="1E2530"/>
                <w:sz w:val="22"/>
                <w:szCs w:val="19"/>
                <w:lang w:val="en-US" w:eastAsia="zh-CN" w:bidi="hi-IN"/>
              </w:rPr>
              <w:t>Verification Milestone 2 assessment; 50% disposition verification; dual-key custody confirmation</w:t>
            </w:r>
          </w:p>
        </w:tc>
        <w:tc>
          <w:tcPr>
            <w:tcW w:w="2730"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b/>
                <w:color w:val="1E2530"/>
                <w:sz w:val="22"/>
                <w:szCs w:val="19"/>
                <w:lang w:val="en-US" w:eastAsia="zh-CN" w:bidi="hi-IN"/>
              </w:rPr>
              <w:t>Dual-key custody equipment at storage locations</w:t>
            </w:r>
          </w:p>
        </w:tc>
        <w:tc>
          <w:tcPr>
            <w:tcW w:w="2728"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b/>
                <w:color w:val="1E2530"/>
                <w:sz w:val="22"/>
                <w:szCs w:val="19"/>
                <w:lang w:val="en-US" w:eastAsia="zh-CN" w:bidi="hi-IN"/>
              </w:rPr>
              <w:t>VM2 compliance determination; good-faith fast lane activates</w:t>
            </w:r>
          </w:p>
        </w:tc>
      </w:tr>
      <w:tr>
        <w:trPr/>
        <w:tc>
          <w:tcPr>
            <w:tcW w:w="769"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b/>
                <w:color w:val="1E2530"/>
                <w:sz w:val="22"/>
                <w:szCs w:val="19"/>
                <w:lang w:val="en-US" w:eastAsia="zh-CN" w:bidi="hi-IN"/>
              </w:rPr>
              <w:t>Day 60</w:t>
            </w:r>
          </w:p>
        </w:tc>
        <w:tc>
          <w:tcPr>
            <w:tcW w:w="2798"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b/>
                <w:color w:val="1E2530"/>
                <w:sz w:val="22"/>
                <w:szCs w:val="19"/>
                <w:lang w:val="en-US" w:eastAsia="zh-CN" w:bidi="hi-IN"/>
              </w:rPr>
              <w:t>Verification Milestone 3 assessment; 75% disposition verification</w:t>
            </w:r>
          </w:p>
        </w:tc>
        <w:tc>
          <w:tcPr>
            <w:tcW w:w="2730"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b/>
                <w:color w:val="1E2530"/>
                <w:sz w:val="22"/>
                <w:szCs w:val="19"/>
                <w:lang w:val="en-US" w:eastAsia="zh-CN" w:bidi="hi-IN"/>
              </w:rPr>
              <w:t>All monitoring equipment recalibrated</w:t>
            </w:r>
          </w:p>
        </w:tc>
        <w:tc>
          <w:tcPr>
            <w:tcW w:w="2728" w:type="dxa"/>
            <w:tcBorders>
              <w:top w:val="single" w:sz="4" w:space="0" w:color="C8C4B8"/>
              <w:bottom w:val="single" w:sz="4" w:space="0" w:color="C8C4B8"/>
            </w:tcBorders>
          </w:tcPr>
          <w:p>
            <w:pPr>
              <w:pStyle w:val="Normal"/>
              <w:widowControl w:val="false"/>
              <w:bidi w:val="0"/>
              <w:spacing w:before="60" w:after="60"/>
              <w:rPr/>
            </w:pPr>
            <w:r>
              <w:rPr>
                <w:rFonts w:eastAsia="Microsoft YaHei" w:cs="Cambria" w:ascii="Microsoft YaHei" w:hAnsi="Microsoft YaHei"/>
                <w:b/>
                <w:color w:val="1E2530"/>
                <w:sz w:val="22"/>
                <w:szCs w:val="19"/>
                <w:lang w:val="en-US" w:eastAsia="zh-CN" w:bidi="hi-IN"/>
              </w:rPr>
              <w:t>VM3 compliance determination</w:t>
            </w:r>
          </w:p>
        </w:tc>
      </w:tr>
      <w:tr>
        <w:trPr/>
        <w:tc>
          <w:tcPr>
            <w:tcW w:w="769" w:type="dxa"/>
            <w:tcBorders>
              <w:top w:val="single" w:sz="4" w:space="0" w:color="C8C4B8"/>
              <w:bottom w:val="single" w:sz="12" w:space="0" w:color="1A2744"/>
            </w:tcBorders>
          </w:tcPr>
          <w:p>
            <w:pPr>
              <w:pStyle w:val="Normal"/>
              <w:widowControl w:val="false"/>
              <w:bidi w:val="0"/>
              <w:spacing w:before="60" w:after="60"/>
              <w:rPr/>
            </w:pPr>
            <w:r>
              <w:rPr>
                <w:rFonts w:eastAsia="Microsoft YaHei" w:cs="Cambria" w:ascii="Microsoft YaHei" w:hAnsi="Microsoft YaHei"/>
                <w:b/>
                <w:color w:val="1E2530"/>
                <w:sz w:val="22"/>
                <w:szCs w:val="19"/>
                <w:lang w:val="en-US" w:eastAsia="zh-CN" w:bidi="hi-IN"/>
              </w:rPr>
              <w:t>Day 90</w:t>
            </w:r>
          </w:p>
        </w:tc>
        <w:tc>
          <w:tcPr>
            <w:tcW w:w="2798" w:type="dxa"/>
            <w:tcBorders>
              <w:top w:val="single" w:sz="4" w:space="0" w:color="C8C4B8"/>
              <w:bottom w:val="single" w:sz="12" w:space="0" w:color="1A2744"/>
            </w:tcBorders>
          </w:tcPr>
          <w:p>
            <w:pPr>
              <w:pStyle w:val="Normal"/>
              <w:widowControl w:val="false"/>
              <w:bidi w:val="0"/>
              <w:spacing w:before="60" w:after="60"/>
              <w:rPr/>
            </w:pPr>
            <w:r>
              <w:rPr>
                <w:rFonts w:eastAsia="Microsoft YaHei" w:cs="Cambria" w:ascii="Microsoft YaHei" w:hAnsi="Microsoft YaHei"/>
                <w:b/>
                <w:color w:val="1E2530"/>
                <w:sz w:val="22"/>
                <w:szCs w:val="19"/>
                <w:lang w:val="en-US" w:eastAsia="zh-CN" w:bidi="hi-IN"/>
              </w:rPr>
              <w:t>Final material accountancy; 100% disposition verification</w:t>
            </w:r>
          </w:p>
        </w:tc>
        <w:tc>
          <w:tcPr>
            <w:tcW w:w="2730" w:type="dxa"/>
            <w:tcBorders>
              <w:top w:val="single" w:sz="4" w:space="0" w:color="C8C4B8"/>
              <w:bottom w:val="single" w:sz="12" w:space="0" w:color="1A2744"/>
            </w:tcBorders>
          </w:tcPr>
          <w:p>
            <w:pPr>
              <w:pStyle w:val="Normal"/>
              <w:widowControl w:val="false"/>
              <w:bidi w:val="0"/>
              <w:spacing w:before="60" w:after="60"/>
              <w:rPr/>
            </w:pPr>
            <w:r>
              <w:rPr>
                <w:rFonts w:eastAsia="Microsoft YaHei" w:cs="Cambria" w:ascii="Microsoft YaHei" w:hAnsi="Microsoft YaHei"/>
                <w:b/>
                <w:color w:val="1E2530"/>
                <w:sz w:val="22"/>
                <w:szCs w:val="19"/>
                <w:lang w:val="en-US" w:eastAsia="zh-CN" w:bidi="hi-IN"/>
              </w:rPr>
              <w:t>All equipment operational; data integrity verified</w:t>
            </w:r>
          </w:p>
        </w:tc>
        <w:tc>
          <w:tcPr>
            <w:tcW w:w="2728" w:type="dxa"/>
            <w:tcBorders>
              <w:top w:val="single" w:sz="4" w:space="0" w:color="C8C4B8"/>
              <w:bottom w:val="single" w:sz="12" w:space="0" w:color="1A2744"/>
            </w:tcBorders>
          </w:tcPr>
          <w:p>
            <w:pPr>
              <w:pStyle w:val="Normal"/>
              <w:widowControl w:val="false"/>
              <w:bidi w:val="0"/>
              <w:spacing w:before="60" w:after="60"/>
              <w:rPr/>
            </w:pPr>
            <w:r>
              <w:rPr>
                <w:rFonts w:eastAsia="Microsoft YaHei" w:cs="Cambria" w:ascii="Microsoft YaHei" w:hAnsi="Microsoft YaHei"/>
                <w:b/>
                <w:color w:val="1E2530"/>
                <w:sz w:val="22"/>
                <w:szCs w:val="19"/>
                <w:lang w:val="en-US" w:eastAsia="zh-CN" w:bidi="hi-IN"/>
              </w:rPr>
              <w:t>Final compliance report; framework renewal determination</w:t>
            </w:r>
          </w:p>
        </w:tc>
      </w:tr>
    </w:tbl>
    <w:p>
      <w:pPr>
        <w:pStyle w:val="Heading2"/>
        <w:keepNext w:val="true"/>
        <w:keepLines/>
        <w:bidi w:val="0"/>
        <w:spacing w:before="360" w:after="160"/>
        <w:rPr/>
      </w:pPr>
      <w:r>
        <w:rPr>
          <w:rFonts w:eastAsia="Microsoft YaHei" w:cs="Cambria" w:ascii="Microsoft YaHei" w:hAnsi="Microsoft YaHei"/>
          <w:b/>
          <w:color w:val="2C3E5E"/>
          <w:sz w:val="30"/>
          <w:szCs w:val="30"/>
          <w:lang w:val="en-US" w:eastAsia="zh-CN" w:bidi="hi-IN"/>
        </w:rPr>
        <w:t>H.4 Fallback Clause for Hesitation</w:t>
      </w:r>
    </w:p>
    <w:p>
      <w:pPr>
        <w:pStyle w:val="Normal"/>
        <w:bidi w:val="0"/>
        <w:spacing w:before="0" w:after="180"/>
        <w:rPr/>
      </w:pPr>
      <w:r>
        <w:rPr>
          <w:rFonts w:eastAsia="Microsoft YaHei" w:cs="Cambria" w:ascii="Microsoft YaHei" w:hAnsi="Microsoft YaHei"/>
          <w:color w:val="1E2530"/>
          <w:sz w:val="22"/>
          <w:szCs w:val="22"/>
          <w:lang w:val="en-US" w:eastAsia="zh-CN" w:bidi="hi-IN"/>
        </w:rPr>
        <w:t>The following clause prevents last-minute derailment during the final stages of implementation. Political hesitation on either side does not break the synchronization.</w:t>
      </w:r>
    </w:p>
    <w:p>
      <w:pPr>
        <w:pStyle w:val="Normal"/>
        <w:shd w:val="clear" w:fill="F5F0E8"/>
        <w:bidi w:val="0"/>
        <w:spacing w:before="200" w:after="200"/>
        <w:ind w:start="360" w:end="360" w:hanging="0"/>
        <w:jc w:val="both"/>
        <w:rPr/>
      </w:pPr>
      <w:r>
        <w:rPr>
          <w:rFonts w:eastAsia="Microsoft YaHei" w:cs="Cambria" w:ascii="Microsoft YaHei" w:hAnsi="Microsoft YaHei"/>
          <w:i/>
          <w:color w:val="1E2530"/>
          <w:sz w:val="22"/>
          <w:szCs w:val="22"/>
          <w:lang w:val="en-US" w:eastAsia="zh-CN" w:bidi="hi-IN"/>
        </w:rPr>
        <w:t>"If either Party signals hesitation about proceeding with a scheduled commitment, the Joint Coordination Center convenes an emergency consultation within 12 hours. The consultation does not renegotiate the commitment; it addresses the specific concern and identifies a face-saving path to implementation. Both Parties commit in good faith to finding a solution that preserves synchronization. If no solution emerges within 48 hours, the Neutral Guarantor proposes a bridging mechanism. Neither Party rejects the bridging mechanism without proposing an alternative that preserves the synchronized timeline."</w:t>
      </w:r>
    </w:p>
    <w:p>
      <w:pPr>
        <w:pStyle w:val="Normal"/>
        <w:bidi w:val="0"/>
        <w:spacing w:before="0" w:after="180"/>
        <w:rPr/>
      </w:pPr>
      <w:r>
        <w:rPr>
          <w:rFonts w:eastAsia="Microsoft YaHei" w:cs="Cambria" w:ascii="Microsoft YaHei" w:hAnsi="Microsoft YaHei"/>
          <w:color w:val="1E2530"/>
          <w:sz w:val="22"/>
          <w:szCs w:val="22"/>
          <w:lang w:val="en-US" w:eastAsia="zh-CN" w:bidi="hi-IN"/>
        </w:rPr>
        <w:t>The fallback clause operates through the following mechanics:</w:t>
      </w:r>
    </w:p>
    <w:p>
      <w:pPr>
        <w:pStyle w:val="Normal"/>
        <w:numPr>
          <w:ilvl w:val="0"/>
          <w:numId w:val="1"/>
        </w:numPr>
        <w:bidi w:val="0"/>
        <w:spacing w:before="0" w:after="160"/>
        <w:rPr/>
      </w:pPr>
      <w:r>
        <w:rPr>
          <w:rFonts w:eastAsia="Microsoft YaHei" w:cs="Cambria" w:ascii="Microsoft YaHei" w:hAnsi="Microsoft YaHei"/>
          <w:b/>
          <w:color w:val="4A5568"/>
          <w:sz w:val="19"/>
          <w:szCs w:val="22"/>
          <w:lang w:val="en-US" w:eastAsia="zh-CN" w:bidi="hi-IN"/>
        </w:rPr>
        <w:t xml:space="preserve">Emergency consultation - </w:t>
      </w:r>
      <w:r>
        <w:rPr>
          <w:rFonts w:eastAsia="Microsoft YaHei" w:cs="Cambria" w:ascii="Microsoft YaHei" w:hAnsi="Microsoft YaHei"/>
          <w:color w:val="1E2530"/>
          <w:sz w:val="22"/>
          <w:szCs w:val="22"/>
          <w:lang w:val="en-US" w:eastAsia="zh-CN" w:bidi="hi-IN"/>
        </w:rPr>
        <w:t>Within 12 hours of hesitation signal, technical liaisons meet via the Joint Coordination Center. The meeting is technical, not political. It identifies the specific operational concern, not the general political problem.</w:t>
      </w:r>
    </w:p>
    <w:p>
      <w:pPr>
        <w:pStyle w:val="Normal"/>
        <w:numPr>
          <w:ilvl w:val="0"/>
          <w:numId w:val="1"/>
        </w:numPr>
        <w:bidi w:val="0"/>
        <w:spacing w:before="0" w:after="160"/>
        <w:rPr/>
      </w:pPr>
      <w:r>
        <w:rPr>
          <w:rFonts w:eastAsia="Microsoft YaHei" w:cs="Cambria" w:ascii="Microsoft YaHei" w:hAnsi="Microsoft YaHei"/>
          <w:b/>
          <w:color w:val="4A5568"/>
          <w:sz w:val="19"/>
          <w:szCs w:val="22"/>
          <w:lang w:val="en-US" w:eastAsia="zh-CN" w:bidi="hi-IN"/>
        </w:rPr>
        <w:t xml:space="preserve">Face-saving path - </w:t>
      </w:r>
      <w:r>
        <w:rPr>
          <w:rFonts w:eastAsia="Microsoft YaHei" w:cs="Cambria" w:ascii="Microsoft YaHei" w:hAnsi="Microsoft YaHei"/>
          <w:color w:val="1E2530"/>
          <w:sz w:val="22"/>
          <w:szCs w:val="22"/>
          <w:lang w:val="en-US" w:eastAsia="zh-CN" w:bidi="hi-IN"/>
        </w:rPr>
        <w:t>The consultation identifies a formulation that allows the hesitating Party to proceed without appearing to concede. This involves adjusted timing by no more than 48 hours, modified notification language, or a parallel statement by the other side.</w:t>
      </w:r>
    </w:p>
    <w:p>
      <w:pPr>
        <w:pStyle w:val="Normal"/>
        <w:numPr>
          <w:ilvl w:val="0"/>
          <w:numId w:val="1"/>
        </w:numPr>
        <w:bidi w:val="0"/>
        <w:spacing w:before="0" w:after="160"/>
        <w:rPr/>
      </w:pPr>
      <w:r>
        <w:rPr>
          <w:rFonts w:eastAsia="Microsoft YaHei" w:cs="Cambria" w:ascii="Microsoft YaHei" w:hAnsi="Microsoft YaHei"/>
          <w:b/>
          <w:color w:val="4A5568"/>
          <w:sz w:val="19"/>
          <w:szCs w:val="22"/>
          <w:lang w:val="en-US" w:eastAsia="zh-CN" w:bidi="hi-IN"/>
        </w:rPr>
        <w:t xml:space="preserve">Bridging mechanism - </w:t>
      </w:r>
      <w:r>
        <w:rPr>
          <w:rFonts w:eastAsia="Microsoft YaHei" w:cs="Cambria" w:ascii="Microsoft YaHei" w:hAnsi="Microsoft YaHei"/>
          <w:color w:val="1E2530"/>
          <w:sz w:val="22"/>
          <w:szCs w:val="22"/>
          <w:lang w:val="en-US" w:eastAsia="zh-CN" w:bidi="hi-IN"/>
        </w:rPr>
        <w:t>If the consultation does not resolve the hesitation within 48 hours, the Neutral Guarantor proposes a bridging mechanism: a temporary operational adjustment that preserves the synchronization while addressing the concern. The bridging mechanism does not alter the substantive commitments; it adjusts the operational pathway.</w:t>
      </w:r>
    </w:p>
    <w:p>
      <w:pPr>
        <w:pStyle w:val="Normal"/>
        <w:numPr>
          <w:ilvl w:val="0"/>
          <w:numId w:val="1"/>
        </w:numPr>
        <w:bidi w:val="0"/>
        <w:spacing w:before="0" w:after="160"/>
        <w:rPr/>
      </w:pPr>
      <w:r>
        <w:rPr>
          <w:rFonts w:eastAsia="Microsoft YaHei" w:cs="Cambria" w:ascii="Microsoft YaHei" w:hAnsi="Microsoft YaHei"/>
          <w:b/>
          <w:color w:val="4A5568"/>
          <w:sz w:val="19"/>
          <w:szCs w:val="22"/>
          <w:lang w:val="en-US" w:eastAsia="zh-CN" w:bidi="hi-IN"/>
        </w:rPr>
        <w:t xml:space="preserve">Alternative requirement - </w:t>
      </w:r>
      <w:r>
        <w:rPr>
          <w:rFonts w:eastAsia="Microsoft YaHei" w:cs="Cambria" w:ascii="Microsoft YaHei" w:hAnsi="Microsoft YaHei"/>
          <w:color w:val="1E2530"/>
          <w:sz w:val="22"/>
          <w:szCs w:val="22"/>
          <w:lang w:val="en-US" w:eastAsia="zh-CN" w:bidi="hi-IN"/>
        </w:rPr>
        <w:t>Neither Party rejects a bridging mechanism without proposing an alternative that preserves the synchronized timeline. A rejection without an alternative is not recognized by the Joint Coordination Center.</w:t>
      </w:r>
    </w:p>
    <w:p>
      <w:pPr>
        <w:pStyle w:val="Normal"/>
        <w:numPr>
          <w:ilvl w:val="0"/>
          <w:numId w:val="1"/>
        </w:numPr>
        <w:bidi w:val="0"/>
        <w:spacing w:before="0" w:after="160"/>
        <w:rPr/>
        <w:sectPr>
          <w:headerReference w:type="default" r:id="rId15"/>
          <w:footerReference w:type="default" r:id="rId16"/>
          <w:type w:val="nextPage"/>
          <w:pgSz w:w="11906" w:h="16838"/>
          <w:pgMar w:left="1440" w:right="1440" w:gutter="0" w:header="720" w:top="1800" w:footer="720" w:bottom="1440"/>
          <w:pgNumType w:fmt="decimal"/>
          <w:formProt w:val="false"/>
          <w:textDirection w:val="lrTb"/>
          <w:docGrid w:type="default" w:linePitch="100" w:charSpace="0"/>
        </w:sectPr>
      </w:pPr>
      <w:r>
        <w:rPr>
          <w:rFonts w:eastAsia="Microsoft YaHei" w:cs="Cambria" w:ascii="Microsoft YaHei" w:hAnsi="Microsoft YaHei"/>
          <w:b/>
          <w:color w:val="4A5568"/>
          <w:sz w:val="19"/>
          <w:szCs w:val="22"/>
          <w:lang w:val="en-US" w:eastAsia="zh-CN" w:bidi="hi-IN"/>
        </w:rPr>
        <w:t xml:space="preserve">No precedent - </w:t>
      </w:r>
      <w:r>
        <w:rPr>
          <w:rFonts w:eastAsia="Microsoft YaHei" w:cs="Cambria" w:ascii="Microsoft YaHei" w:hAnsi="Microsoft YaHei"/>
          <w:color w:val="1E2530"/>
          <w:sz w:val="22"/>
          <w:szCs w:val="22"/>
          <w:lang w:val="en-US" w:eastAsia="zh-CN" w:bidi="hi-IN"/>
        </w:rPr>
        <w:t>The fallback clause creates no precedent for future hesitation. It is a safety valve, not a renegotiation mechanism. Its use in one instance does not authorize its use in every instance.</w:t>
      </w:r>
    </w:p>
    <w:p>
      <w:pPr>
        <w:pStyle w:val="Heading1"/>
        <w:bidi w:val="0"/>
        <w:rPr/>
      </w:pPr>
      <w:r>
        <w:rPr>
          <w:rFonts w:eastAsia="Microsoft YaHei" w:cs="Cambria" w:ascii="Microsoft YaHei" w:hAnsi="Microsoft YaHei"/>
          <w:b/>
          <w:color w:val="4A5568"/>
          <w:sz w:val="19"/>
          <w:szCs w:val="40"/>
          <w:lang w:val="en-US" w:eastAsia="zh-CN" w:bidi="hi-IN"/>
        </w:rPr>
        <w:t>Annex I: Crisis Communication and Guarantor Messaging</w:t>
      </w:r>
    </w:p>
    <w:p>
      <w:pPr>
        <w:pStyle w:val="Normal"/>
        <w:bidi w:val="0"/>
        <w:spacing w:before="0" w:after="180"/>
        <w:rPr/>
      </w:pPr>
      <w:r>
        <w:rPr>
          <w:rFonts w:eastAsia="Microsoft YaHei" w:cs="Cambria" w:ascii="Microsoft YaHei" w:hAnsi="Microsoft YaHei"/>
          <w:color w:val="1E2530"/>
          <w:sz w:val="22"/>
          <w:szCs w:val="22"/>
          <w:lang w:val="en-US" w:eastAsia="zh-CN" w:bidi="hi-IN"/>
        </w:rPr>
        <w:t>This annex provides the crisis-communication protocol that prevents misinterpretation during tense moments. It also establishes the guarantor messaging framework that defines what Oman and Switzerland say publicly about their roles.</w:t>
      </w:r>
    </w:p>
    <w:p>
      <w:pPr>
        <w:pStyle w:val="Heading2"/>
        <w:keepNext w:val="true"/>
        <w:keepLines/>
        <w:bidi w:val="0"/>
        <w:spacing w:before="360" w:after="160"/>
        <w:rPr/>
      </w:pPr>
      <w:r>
        <w:rPr>
          <w:rFonts w:eastAsia="Microsoft YaHei" w:cs="Cambria" w:ascii="Microsoft YaHei" w:hAnsi="Microsoft YaHei"/>
          <w:b/>
          <w:color w:val="1E2530"/>
          <w:sz w:val="22"/>
          <w:szCs w:val="19"/>
          <w:lang w:val="en-US" w:eastAsia="zh-CN" w:bidi="hi-IN"/>
        </w:rPr>
        <w:t>I.1 Crisis-Communication Protocol</w:t>
      </w:r>
    </w:p>
    <w:p>
      <w:pPr>
        <w:pStyle w:val="Normal"/>
        <w:bidi w:val="0"/>
        <w:spacing w:before="0" w:after="180"/>
        <w:rPr/>
      </w:pPr>
      <w:r>
        <w:rPr>
          <w:rFonts w:eastAsia="Microsoft YaHei" w:cs="Cambria" w:ascii="Microsoft YaHei" w:hAnsi="Microsoft YaHei"/>
          <w:color w:val="1E2530"/>
          <w:sz w:val="22"/>
          <w:szCs w:val="22"/>
          <w:lang w:val="en-US" w:eastAsia="zh-CN" w:bidi="hi-IN"/>
        </w:rPr>
        <w:t>During tense moments — compliance disputes, technical anomalies, regional incidents — the following communication protocol prevents escalation through misunderstanding.</w:t>
      </w:r>
    </w:p>
    <w:p>
      <w:pPr>
        <w:pStyle w:val="Heading3"/>
        <w:keepNext w:val="true"/>
        <w:keepLines/>
        <w:bidi w:val="0"/>
        <w:spacing w:before="280" w:after="120"/>
        <w:rPr/>
      </w:pPr>
      <w:r>
        <w:rPr>
          <w:rFonts w:eastAsia="Microsoft YaHei" w:cs="Cambria" w:ascii="Microsoft YaHei" w:hAnsi="Microsoft YaHei"/>
          <w:b/>
          <w:color w:val="1E2530"/>
          <w:sz w:val="20"/>
          <w:szCs w:val="20"/>
          <w:lang w:val="en-US" w:eastAsia="zh-CN" w:bidi="hi-IN"/>
        </w:rPr>
        <w:t>Immediate Notification Protocol</w:t>
      </w:r>
    </w:p>
    <w:p>
      <w:pPr>
        <w:pStyle w:val="Normal"/>
        <w:numPr>
          <w:ilvl w:val="0"/>
          <w:numId w:val="1"/>
        </w:numPr>
        <w:bidi w:val="0"/>
        <w:spacing w:before="0" w:after="160"/>
        <w:rPr/>
      </w:pPr>
      <w:r>
        <w:rPr>
          <w:rFonts w:eastAsia="Microsoft YaHei" w:cs="Cambria" w:ascii="Microsoft YaHei" w:hAnsi="Microsoft YaHei"/>
          <w:b/>
          <w:color w:val="4A5568"/>
          <w:sz w:val="19"/>
          <w:szCs w:val="22"/>
          <w:lang w:val="en-US" w:eastAsia="zh-CN" w:bidi="hi-IN"/>
        </w:rPr>
        <w:t xml:space="preserve">Within 1 hour - </w:t>
      </w:r>
      <w:r>
        <w:rPr>
          <w:rFonts w:eastAsia="Microsoft YaHei" w:cs="Cambria" w:ascii="Microsoft YaHei" w:hAnsi="Microsoft YaHei"/>
          <w:color w:val="1E2530"/>
          <w:sz w:val="22"/>
          <w:szCs w:val="22"/>
          <w:lang w:val="en-US" w:eastAsia="zh-CN" w:bidi="hi-IN"/>
        </w:rPr>
        <w:t>The Party that detects or experiences the concerning event notifies the Joint Coordination Center through the dedicated crisis channel. The notification includes: what happened, when it happened, where it happened, and what the Party believes it means. No accusatory language. No demand for immediate response. Facts only.</w:t>
      </w:r>
    </w:p>
    <w:p>
      <w:pPr>
        <w:pStyle w:val="Normal"/>
        <w:numPr>
          <w:ilvl w:val="0"/>
          <w:numId w:val="1"/>
        </w:numPr>
        <w:bidi w:val="0"/>
        <w:spacing w:before="0" w:after="160"/>
        <w:rPr/>
      </w:pPr>
      <w:r>
        <w:rPr>
          <w:rFonts w:eastAsia="Microsoft YaHei" w:cs="Cambria" w:ascii="Microsoft YaHei" w:hAnsi="Microsoft YaHei"/>
          <w:b/>
          <w:color w:val="4A5568"/>
          <w:sz w:val="19"/>
          <w:szCs w:val="22"/>
          <w:lang w:val="en-US" w:eastAsia="zh-CN" w:bidi="hi-IN"/>
        </w:rPr>
        <w:t xml:space="preserve">Within 2 hours - </w:t>
      </w:r>
      <w:r>
        <w:rPr>
          <w:rFonts w:eastAsia="Microsoft YaHei" w:cs="Cambria" w:ascii="Microsoft YaHei" w:hAnsi="Microsoft YaHei"/>
          <w:color w:val="1E2530"/>
          <w:sz w:val="22"/>
          <w:szCs w:val="22"/>
          <w:lang w:val="en-US" w:eastAsia="zh-CN" w:bidi="hi-IN"/>
        </w:rPr>
        <w:t>The Joint Coordination Center relays the notification to the other Party and to the Neutral Guarantor. The relay is verbatim: the Center does not interpret, summarize, or editorialize. Both Parties see the same text.</w:t>
      </w:r>
    </w:p>
    <w:p>
      <w:pPr>
        <w:pStyle w:val="Normal"/>
        <w:numPr>
          <w:ilvl w:val="0"/>
          <w:numId w:val="1"/>
        </w:numPr>
        <w:bidi w:val="0"/>
        <w:spacing w:before="0" w:after="160"/>
        <w:rPr/>
      </w:pPr>
      <w:r>
        <w:rPr>
          <w:rFonts w:eastAsia="Microsoft YaHei" w:cs="Cambria" w:ascii="Microsoft YaHei" w:hAnsi="Microsoft YaHei"/>
          <w:b/>
          <w:color w:val="4A5568"/>
          <w:sz w:val="19"/>
          <w:szCs w:val="22"/>
          <w:lang w:val="en-US" w:eastAsia="zh-CN" w:bidi="hi-IN"/>
        </w:rPr>
        <w:t xml:space="preserve">Within 4 hours - </w:t>
      </w:r>
      <w:r>
        <w:rPr>
          <w:rFonts w:eastAsia="Microsoft YaHei" w:cs="Cambria" w:ascii="Microsoft YaHei" w:hAnsi="Microsoft YaHei"/>
          <w:color w:val="1E2530"/>
          <w:sz w:val="22"/>
          <w:szCs w:val="22"/>
          <w:lang w:val="en-US" w:eastAsia="zh-CN" w:bidi="hi-IN"/>
        </w:rPr>
        <w:t>Technical liaisons from both Parties hold a secure video conference facilitated by the Neutral Guarantor. The conference addresses only the factual situation, not the political implications. The goal is shared situational awareness, not blame assignment.</w:t>
      </w:r>
    </w:p>
    <w:p>
      <w:pPr>
        <w:pStyle w:val="Normal"/>
        <w:numPr>
          <w:ilvl w:val="0"/>
          <w:numId w:val="1"/>
        </w:numPr>
        <w:bidi w:val="0"/>
        <w:spacing w:before="0" w:after="160"/>
        <w:rPr/>
      </w:pPr>
      <w:r>
        <w:rPr>
          <w:rFonts w:eastAsia="Microsoft YaHei" w:cs="Cambria" w:ascii="Microsoft YaHei" w:hAnsi="Microsoft YaHei"/>
          <w:b/>
          <w:color w:val="4A5568"/>
          <w:sz w:val="19"/>
          <w:szCs w:val="22"/>
          <w:lang w:val="en-US" w:eastAsia="zh-CN" w:bidi="hi-IN"/>
        </w:rPr>
        <w:t xml:space="preserve">Within 8 hours - </w:t>
      </w:r>
      <w:r>
        <w:rPr>
          <w:rFonts w:eastAsia="Microsoft YaHei" w:cs="Cambria" w:ascii="Microsoft YaHei" w:hAnsi="Microsoft YaHei"/>
          <w:color w:val="1E2530"/>
          <w:sz w:val="22"/>
          <w:szCs w:val="22"/>
          <w:lang w:val="en-US" w:eastAsia="zh-CN" w:bidi="hi-IN"/>
        </w:rPr>
        <w:t>The Neutral Guarantor proposes a non-binding 24-hour cooling-off observation period for any Lebanon-related incident. During this period, the framework architecture excludes any new offensive action in Lebanon by either Party and locks the status quo ante in place. The observation period does not reset any compliance clock but allows factual clarification before the preliminary factual summary.</w:t>
      </w:r>
    </w:p>
    <w:p>
      <w:pPr>
        <w:pStyle w:val="Normal"/>
        <w:numPr>
          <w:ilvl w:val="0"/>
          <w:numId w:val="1"/>
        </w:numPr>
        <w:bidi w:val="0"/>
        <w:spacing w:before="0" w:after="160"/>
        <w:rPr/>
      </w:pPr>
      <w:r>
        <w:rPr>
          <w:rFonts w:eastAsia="Microsoft YaHei" w:cs="Cambria" w:ascii="Microsoft YaHei" w:hAnsi="Microsoft YaHei"/>
          <w:b/>
          <w:color w:val="4A5568"/>
          <w:sz w:val="19"/>
          <w:szCs w:val="22"/>
          <w:lang w:val="en-US" w:eastAsia="zh-CN" w:bidi="hi-IN"/>
        </w:rPr>
        <w:t xml:space="preserve">Within 12 hours - </w:t>
      </w:r>
      <w:r>
        <w:rPr>
          <w:rFonts w:eastAsia="Microsoft YaHei" w:cs="Cambria" w:ascii="Microsoft YaHei" w:hAnsi="Microsoft YaHei"/>
          <w:color w:val="1E2530"/>
          <w:sz w:val="22"/>
          <w:szCs w:val="22"/>
          <w:lang w:val="en-US" w:eastAsia="zh-CN" w:bidi="hi-IN"/>
        </w:rPr>
        <w:t>The Neutral Guarantor issues a preliminary factual summary based on the technical conference. The summary posts to the dashboard. Both Parties review and confirm or correct the summary within 6 hours.</w:t>
      </w:r>
    </w:p>
    <w:p>
      <w:pPr>
        <w:pStyle w:val="Normal"/>
        <w:numPr>
          <w:ilvl w:val="0"/>
          <w:numId w:val="1"/>
        </w:numPr>
        <w:bidi w:val="0"/>
        <w:spacing w:before="0" w:after="160"/>
        <w:rPr/>
      </w:pPr>
      <w:r>
        <w:rPr>
          <w:rFonts w:eastAsia="Microsoft YaHei" w:cs="Cambria" w:ascii="Microsoft YaHei" w:hAnsi="Microsoft YaHei"/>
          <w:b/>
          <w:color w:val="4A5568"/>
          <w:sz w:val="19"/>
          <w:szCs w:val="22"/>
          <w:lang w:val="en-US" w:eastAsia="zh-CN" w:bidi="hi-IN"/>
        </w:rPr>
        <w:t xml:space="preserve">Within 24 hours - </w:t>
      </w:r>
      <w:r>
        <w:rPr>
          <w:rFonts w:eastAsia="Microsoft YaHei" w:cs="Cambria" w:ascii="Microsoft YaHei" w:hAnsi="Microsoft YaHei"/>
          <w:color w:val="1E2530"/>
          <w:sz w:val="22"/>
          <w:szCs w:val="22"/>
          <w:lang w:val="en-US" w:eastAsia="zh-CN" w:bidi="hi-IN"/>
        </w:rPr>
        <w:t>If the situation is resolved through technical explanation or corrective action, the Neutral Guarantor issues a closure statement. If the situation requires further investigation, the investigation timeline is established. No compliance determination occurs within 24 hours except in cases of clear, dashboard-verified material breach.</w:t>
      </w:r>
    </w:p>
    <w:p>
      <w:pPr>
        <w:pStyle w:val="Heading3"/>
        <w:keepNext w:val="true"/>
        <w:keepLines/>
        <w:bidi w:val="0"/>
        <w:spacing w:before="280" w:after="120"/>
        <w:rPr/>
      </w:pPr>
      <w:r>
        <w:rPr>
          <w:rFonts w:eastAsia="Microsoft YaHei" w:cs="Cambria" w:ascii="Microsoft YaHei" w:hAnsi="Microsoft YaHei"/>
          <w:b/>
          <w:color w:val="1E2530"/>
          <w:sz w:val="20"/>
          <w:szCs w:val="20"/>
          <w:lang w:val="en-US" w:eastAsia="zh-CN" w:bidi="hi-IN"/>
        </w:rPr>
        <w:t>No-Surprise Commitment</w:t>
      </w:r>
    </w:p>
    <w:p>
      <w:pPr>
        <w:pStyle w:val="Normal"/>
        <w:bidi w:val="0"/>
        <w:spacing w:before="0" w:after="180"/>
        <w:rPr/>
      </w:pPr>
      <w:r>
        <w:rPr>
          <w:rFonts w:eastAsia="Microsoft YaHei" w:cs="Cambria" w:ascii="Microsoft YaHei" w:hAnsi="Microsoft YaHei"/>
          <w:color w:val="1E2530"/>
          <w:sz w:val="22"/>
          <w:szCs w:val="22"/>
          <w:lang w:val="en-US" w:eastAsia="zh-CN" w:bidi="hi-IN"/>
        </w:rPr>
        <w:t>Both Parties commit to the no-surprise principle: neither Party learns about a significant event through media, social media, or third parties before learning through the Joint Coordination Center. Violations of the no-surprise commitment trigger the micro-fallback consultation but do not constitute material breach.</w:t>
      </w:r>
    </w:p>
    <w:p>
      <w:pPr>
        <w:pStyle w:val="Heading3"/>
        <w:keepNext w:val="true"/>
        <w:keepLines/>
        <w:bidi w:val="0"/>
        <w:spacing w:before="280" w:after="120"/>
        <w:rPr/>
      </w:pPr>
      <w:r>
        <w:rPr>
          <w:rFonts w:eastAsia="Microsoft YaHei" w:cs="Cambria" w:ascii="Microsoft YaHei" w:hAnsi="Microsoft YaHei"/>
          <w:b/>
          <w:color w:val="1E2530"/>
          <w:sz w:val="20"/>
          <w:szCs w:val="20"/>
          <w:lang w:val="en-US" w:eastAsia="zh-CN" w:bidi="hi-IN"/>
        </w:rPr>
        <w:t>Language Discipline During Crises</w:t>
      </w:r>
    </w:p>
    <w:p>
      <w:pPr>
        <w:pStyle w:val="Normal"/>
        <w:bidi w:val="0"/>
        <w:spacing w:before="0" w:after="180"/>
        <w:rPr/>
      </w:pPr>
      <w:r>
        <w:rPr>
          <w:rFonts w:eastAsia="Microsoft YaHei" w:cs="Cambria" w:ascii="Microsoft YaHei" w:hAnsi="Microsoft YaHei"/>
          <w:color w:val="1E2530"/>
          <w:sz w:val="22"/>
          <w:szCs w:val="22"/>
          <w:lang w:val="en-US" w:eastAsia="zh-CN" w:bidi="hi-IN"/>
        </w:rPr>
        <w:t>The following language rules apply to all official communications during a crisis:</w:t>
      </w:r>
    </w:p>
    <w:p>
      <w:pPr>
        <w:pStyle w:val="Normal"/>
        <w:numPr>
          <w:ilvl w:val="0"/>
          <w:numId w:val="1"/>
        </w:numPr>
        <w:bidi w:val="0"/>
        <w:spacing w:before="0" w:after="160"/>
        <w:rPr/>
      </w:pPr>
      <w:r>
        <w:rPr>
          <w:rFonts w:eastAsia="Microsoft YaHei" w:cs="Cambria" w:ascii="Microsoft YaHei" w:hAnsi="Microsoft YaHei"/>
          <w:b/>
          <w:color w:val="4A5568"/>
          <w:sz w:val="19"/>
          <w:szCs w:val="22"/>
          <w:lang w:val="en-US" w:eastAsia="zh-CN" w:bidi="hi-IN"/>
        </w:rPr>
        <w:t xml:space="preserve">No escalatory adjectives - </w:t>
      </w:r>
      <w:r>
        <w:rPr>
          <w:rFonts w:eastAsia="Microsoft YaHei" w:cs="Cambria" w:ascii="Microsoft YaHei" w:hAnsi="Microsoft YaHei"/>
          <w:color w:val="1E2530"/>
          <w:sz w:val="22"/>
          <w:szCs w:val="22"/>
          <w:lang w:val="en-US" w:eastAsia="zh-CN" w:bidi="hi-IN"/>
        </w:rPr>
        <w:t>Official communications do not use words like "outrageous," "unacceptable," "hostile," "aggressive," or "provocative." Factual descriptions only.</w:t>
      </w:r>
    </w:p>
    <w:p>
      <w:pPr>
        <w:pStyle w:val="Normal"/>
        <w:numPr>
          <w:ilvl w:val="0"/>
          <w:numId w:val="1"/>
        </w:numPr>
        <w:bidi w:val="0"/>
        <w:spacing w:before="0" w:after="160"/>
        <w:rPr/>
      </w:pPr>
      <w:r>
        <w:rPr>
          <w:rFonts w:eastAsia="Microsoft YaHei" w:cs="Cambria" w:ascii="Microsoft YaHei" w:hAnsi="Microsoft YaHei"/>
          <w:b/>
          <w:color w:val="4A5568"/>
          <w:sz w:val="19"/>
          <w:szCs w:val="22"/>
          <w:lang w:val="en-US" w:eastAsia="zh-CN" w:bidi="hi-IN"/>
        </w:rPr>
        <w:t xml:space="preserve">No ultimatums in public - </w:t>
      </w:r>
      <w:r>
        <w:rPr>
          <w:rFonts w:eastAsia="Microsoft YaHei" w:cs="Cambria" w:ascii="Microsoft YaHei" w:hAnsi="Microsoft YaHei"/>
          <w:color w:val="1E2530"/>
          <w:sz w:val="22"/>
          <w:szCs w:val="22"/>
          <w:lang w:val="en-US" w:eastAsia="zh-CN" w:bidi="hi-IN"/>
        </w:rPr>
        <w:t>Deadlines and requirements are communicated through the Joint Coordination Center, not through public statements. Public statements describe process, not demands.</w:t>
      </w:r>
    </w:p>
    <w:p>
      <w:pPr>
        <w:pStyle w:val="Normal"/>
        <w:numPr>
          <w:ilvl w:val="0"/>
          <w:numId w:val="1"/>
        </w:numPr>
        <w:bidi w:val="0"/>
        <w:spacing w:before="0" w:after="160"/>
        <w:rPr/>
      </w:pPr>
      <w:r>
        <w:rPr>
          <w:rFonts w:eastAsia="Microsoft YaHei" w:cs="Cambria" w:ascii="Microsoft YaHei" w:hAnsi="Microsoft YaHei"/>
          <w:b/>
          <w:color w:val="4A5568"/>
          <w:sz w:val="19"/>
          <w:szCs w:val="22"/>
          <w:lang w:val="en-US" w:eastAsia="zh-CN" w:bidi="hi-IN"/>
        </w:rPr>
        <w:t xml:space="preserve">Dashboard references only - </w:t>
      </w:r>
      <w:r>
        <w:rPr>
          <w:rFonts w:eastAsia="Microsoft YaHei" w:cs="Cambria" w:ascii="Microsoft YaHei" w:hAnsi="Microsoft YaHei"/>
          <w:color w:val="1E2530"/>
          <w:sz w:val="22"/>
          <w:szCs w:val="22"/>
          <w:lang w:val="en-US" w:eastAsia="zh-CN" w:bidi="hi-IN"/>
        </w:rPr>
        <w:t>Public statements about compliance refer only to dashboard data. "The dashboard shows..." is the only authorized compliance framing. No Party claims special knowledge beyond the dashboard.</w:t>
      </w:r>
    </w:p>
    <w:p>
      <w:pPr>
        <w:pStyle w:val="Normal"/>
        <w:numPr>
          <w:ilvl w:val="0"/>
          <w:numId w:val="1"/>
        </w:numPr>
        <w:bidi w:val="0"/>
        <w:spacing w:before="0" w:after="160"/>
        <w:rPr/>
      </w:pPr>
      <w:r>
        <w:rPr>
          <w:rFonts w:eastAsia="Microsoft YaHei" w:cs="Cambria" w:ascii="Microsoft YaHei" w:hAnsi="Microsoft YaHei"/>
          <w:b/>
          <w:color w:val="4A5568"/>
          <w:sz w:val="19"/>
          <w:szCs w:val="22"/>
          <w:lang w:val="en-US" w:eastAsia="zh-CN" w:bidi="hi-IN"/>
        </w:rPr>
        <w:t xml:space="preserve">Joint statements preferred - </w:t>
      </w:r>
      <w:r>
        <w:rPr>
          <w:rFonts w:eastAsia="Microsoft YaHei" w:cs="Cambria" w:ascii="Microsoft YaHei" w:hAnsi="Microsoft YaHei"/>
          <w:color w:val="1E2530"/>
          <w:sz w:val="22"/>
          <w:szCs w:val="22"/>
          <w:lang w:val="en-US" w:eastAsia="zh-CN" w:bidi="hi-IN"/>
        </w:rPr>
        <w:t>During crises, both Parties issue joint statements through the Joint Coordination Center whenever possible. Unilateral statements are minimized and coordinated in advance.</w:t>
      </w:r>
    </w:p>
    <w:p>
      <w:pPr>
        <w:pStyle w:val="Heading2"/>
        <w:keepNext w:val="true"/>
        <w:keepLines/>
        <w:bidi w:val="0"/>
        <w:spacing w:before="360" w:after="160"/>
        <w:rPr/>
      </w:pPr>
      <w:r>
        <w:rPr>
          <w:rFonts w:eastAsia="Microsoft YaHei" w:cs="Cambria" w:ascii="Microsoft YaHei" w:hAnsi="Microsoft YaHei"/>
          <w:b/>
          <w:color w:val="1E2530"/>
          <w:sz w:val="22"/>
          <w:szCs w:val="19"/>
          <w:lang w:val="en-US" w:eastAsia="zh-CN" w:bidi="hi-IN"/>
        </w:rPr>
        <w:t>I.2 Guarantor Messaging Framework</w:t>
      </w:r>
    </w:p>
    <w:p>
      <w:pPr>
        <w:pStyle w:val="Normal"/>
        <w:bidi w:val="0"/>
        <w:spacing w:before="0" w:after="180"/>
        <w:rPr/>
      </w:pPr>
      <w:r>
        <w:rPr>
          <w:rFonts w:eastAsia="Microsoft YaHei" w:cs="Cambria" w:ascii="Microsoft YaHei" w:hAnsi="Microsoft YaHei"/>
          <w:color w:val="1E2530"/>
          <w:sz w:val="22"/>
          <w:szCs w:val="22"/>
          <w:lang w:val="en-US" w:eastAsia="zh-CN" w:bidi="hi-IN"/>
        </w:rPr>
        <w:t>Oman and Switzerland serve as Neutral Guarantors with distinct but complementary roles. The following messaging frameworks govern what each guarantor says publicly.</w:t>
      </w:r>
    </w:p>
    <w:p>
      <w:pPr>
        <w:pStyle w:val="Heading3"/>
        <w:keepNext w:val="true"/>
        <w:keepLines/>
        <w:bidi w:val="0"/>
        <w:spacing w:before="280" w:after="120"/>
        <w:rPr/>
      </w:pPr>
      <w:r>
        <w:rPr>
          <w:rFonts w:eastAsia="Microsoft YaHei" w:cs="Cambria" w:ascii="Microsoft YaHei" w:hAnsi="Microsoft YaHei"/>
          <w:b/>
          <w:color w:val="1E2530"/>
          <w:sz w:val="20"/>
          <w:szCs w:val="20"/>
          <w:lang w:val="en-US" w:eastAsia="zh-CN" w:bidi="hi-IN"/>
        </w:rPr>
        <w:t>Oman Public Messaging</w:t>
      </w:r>
    </w:p>
    <w:p>
      <w:pPr>
        <w:pStyle w:val="Normal"/>
        <w:bidi w:val="0"/>
        <w:spacing w:before="0" w:after="180"/>
        <w:rPr/>
      </w:pPr>
      <w:r>
        <w:rPr>
          <w:rFonts w:eastAsia="Microsoft YaHei" w:cs="Cambria" w:ascii="Microsoft YaHei" w:hAnsi="Microsoft YaHei"/>
          <w:color w:val="1E2530"/>
          <w:sz w:val="22"/>
          <w:szCs w:val="22"/>
          <w:lang w:val="en-US" w:eastAsia="zh-CN" w:bidi="hi-IN"/>
        </w:rPr>
        <w:t>Oman describes its role as follows:</w:t>
      </w:r>
    </w:p>
    <w:p>
      <w:pPr>
        <w:pStyle w:val="Normal"/>
        <w:shd w:val="clear" w:fill="F5F0E8"/>
        <w:bidi w:val="0"/>
        <w:spacing w:before="200" w:after="200"/>
        <w:ind w:start="360" w:end="360" w:hanging="0"/>
        <w:jc w:val="both"/>
        <w:rPr/>
      </w:pPr>
      <w:r>
        <w:rPr>
          <w:rFonts w:eastAsia="Microsoft YaHei" w:cs="Cambria" w:ascii="Microsoft YaHei" w:hAnsi="Microsoft YaHei"/>
          <w:i/>
          <w:color w:val="1E2530"/>
          <w:sz w:val="22"/>
          <w:szCs w:val="22"/>
          <w:lang w:val="en-US" w:eastAsia="zh-CN" w:bidi="hi-IN"/>
        </w:rPr>
        <w:t>"The Sultanate of Oman serves as the diplomatic guarantor of the Hormuz Synchronization Compact. Oman facilitated the negotiations that produced this framework. Oman hosts the Joint Coordination Center. Oman's role is to ensure that both Parties communicate effectively, that disputes are resolved through dialogue, and that the Strait of Hormuz remains open to all commercial shipping. Oman does not take sides. Oman does not enforce compliance. Oman facilitates communication, provides neutral territory, and offers its good offices to both Parties at all times. Oman's long-standing relationships with both the United States and the Islamic Republic of Iran position Oman to serve this role without favor to either side."</w:t>
      </w:r>
    </w:p>
    <w:p>
      <w:pPr>
        <w:pStyle w:val="Normal"/>
        <w:numPr>
          <w:ilvl w:val="0"/>
          <w:numId w:val="1"/>
        </w:numPr>
        <w:bidi w:val="0"/>
        <w:spacing w:before="0" w:after="160"/>
        <w:rPr/>
      </w:pPr>
      <w:r>
        <w:rPr>
          <w:rFonts w:eastAsia="Microsoft YaHei" w:cs="Cambria" w:ascii="Microsoft YaHei" w:hAnsi="Microsoft YaHei"/>
          <w:b/>
          <w:color w:val="4A5568"/>
          <w:sz w:val="19"/>
          <w:szCs w:val="22"/>
          <w:lang w:val="en-US" w:eastAsia="zh-CN" w:bidi="hi-IN"/>
        </w:rPr>
        <w:t xml:space="preserve">Omani talking points: </w:t>
      </w:r>
      <w:r>
        <w:rPr>
          <w:rFonts w:eastAsia="Microsoft YaHei" w:cs="Cambria" w:ascii="Microsoft YaHei" w:hAnsi="Microsoft YaHei"/>
          <w:color w:val="1E2530"/>
          <w:sz w:val="22"/>
          <w:szCs w:val="22"/>
          <w:lang w:val="en-US" w:eastAsia="zh-CN" w:bidi="hi-IN"/>
        </w:rPr>
        <w:t>Oman emphasizes facilitation, not enforcement. Oman highlights the Strait of Hormuz reopening as a benefit to all Gulf states. Oman frames the Compact as a regional stability achievement, not a bilateral concession. Oman avoids commenting on the nuclear specifics beyond noting that IAEA verification drives the process.</w:t>
      </w:r>
    </w:p>
    <w:p>
      <w:pPr>
        <w:pStyle w:val="Heading3"/>
        <w:keepNext w:val="true"/>
        <w:keepLines/>
        <w:bidi w:val="0"/>
        <w:spacing w:before="280" w:after="120"/>
        <w:rPr/>
      </w:pPr>
      <w:r>
        <w:rPr>
          <w:rFonts w:eastAsia="Microsoft YaHei" w:cs="Cambria" w:ascii="Microsoft YaHei" w:hAnsi="Microsoft YaHei"/>
          <w:b/>
          <w:color w:val="1E2530"/>
          <w:sz w:val="20"/>
          <w:szCs w:val="20"/>
          <w:lang w:val="en-US" w:eastAsia="zh-CN" w:bidi="hi-IN"/>
        </w:rPr>
        <w:t>Switzerland Public Messaging</w:t>
      </w:r>
    </w:p>
    <w:p>
      <w:pPr>
        <w:pStyle w:val="Normal"/>
        <w:bidi w:val="0"/>
        <w:spacing w:before="0" w:after="180"/>
        <w:rPr/>
      </w:pPr>
      <w:r>
        <w:rPr>
          <w:rFonts w:eastAsia="Microsoft YaHei" w:cs="Cambria" w:ascii="Microsoft YaHei" w:hAnsi="Microsoft YaHei"/>
          <w:color w:val="1E2530"/>
          <w:sz w:val="22"/>
          <w:szCs w:val="22"/>
          <w:lang w:val="en-US" w:eastAsia="zh-CN" w:bidi="hi-IN"/>
        </w:rPr>
        <w:t>Switzerland describes its role as follows:</w:t>
      </w:r>
    </w:p>
    <w:p>
      <w:pPr>
        <w:pStyle w:val="Normal"/>
        <w:shd w:val="clear" w:fill="F5F0E8"/>
        <w:bidi w:val="0"/>
        <w:spacing w:before="200" w:after="200"/>
        <w:ind w:start="360" w:end="360" w:hanging="0"/>
        <w:jc w:val="both"/>
        <w:rPr/>
      </w:pPr>
      <w:r>
        <w:rPr>
          <w:rFonts w:eastAsia="Microsoft YaHei" w:cs="Cambria" w:ascii="Microsoft YaHei" w:hAnsi="Microsoft YaHei"/>
          <w:i/>
          <w:color w:val="1E2530"/>
          <w:sz w:val="22"/>
          <w:szCs w:val="22"/>
          <w:lang w:val="en-US" w:eastAsia="zh-CN" w:bidi="hi-IN"/>
        </w:rPr>
        <w:t>"The Swiss Confederation serves as the technical guarantor of the Hormuz Synchronization Compact. Switzerland hosts the digital dashboard that displays all verification data in real time. Switzerland protects the escrow architecture that governs all financial flows. Switzerland's role is to ensure that data is secure, that financial mechanisms operate transparently, and that both Parties have equal access to all information. Switzerland does not judge compliance. Switzerland does not determine sanctions relief. Switzerland provides the technical infrastructure that enables both Parties to verify each other's compliance and to manage the financial architecture with confidence and security."</w:t>
      </w:r>
    </w:p>
    <w:p>
      <w:pPr>
        <w:pStyle w:val="Normal"/>
        <w:numPr>
          <w:ilvl w:val="0"/>
          <w:numId w:val="1"/>
        </w:numPr>
        <w:bidi w:val="0"/>
        <w:spacing w:before="0" w:after="160"/>
        <w:rPr/>
      </w:pPr>
      <w:r>
        <w:rPr>
          <w:rFonts w:eastAsia="Microsoft YaHei" w:cs="Cambria" w:ascii="Microsoft YaHei" w:hAnsi="Microsoft YaHei"/>
          <w:b/>
          <w:color w:val="4A5568"/>
          <w:sz w:val="19"/>
          <w:szCs w:val="22"/>
          <w:lang w:val="en-US" w:eastAsia="zh-CN" w:bidi="hi-IN"/>
        </w:rPr>
        <w:t xml:space="preserve">Swiss talking points: </w:t>
      </w:r>
      <w:r>
        <w:rPr>
          <w:rFonts w:eastAsia="Microsoft YaHei" w:cs="Cambria" w:ascii="Microsoft YaHei" w:hAnsi="Microsoft YaHei"/>
          <w:color w:val="1E2530"/>
          <w:sz w:val="22"/>
          <w:szCs w:val="22"/>
          <w:lang w:val="en-US" w:eastAsia="zh-CN" w:bidi="hi-IN"/>
        </w:rPr>
        <w:t>Switzerland emphasizes technical neutrality and infrastructure security. Switzerland highlights the dashboard as a transparency tool that benefits both sides equally. Switzerland frames the escrow architecture as a financial innovation that protects both Parties. Switzerland avoids commenting on political disputes, focusing exclusively on technical operations.</w:t>
      </w:r>
    </w:p>
    <w:p>
      <w:pPr>
        <w:pStyle w:val="Heading3"/>
        <w:keepNext w:val="true"/>
        <w:keepLines/>
        <w:bidi w:val="0"/>
        <w:spacing w:before="280" w:after="120"/>
        <w:rPr/>
      </w:pPr>
      <w:r>
        <w:rPr>
          <w:rFonts w:eastAsia="Microsoft YaHei" w:cs="Cambria" w:ascii="Microsoft YaHei" w:hAnsi="Microsoft YaHei"/>
          <w:b/>
          <w:color w:val="1E2530"/>
          <w:sz w:val="20"/>
          <w:szCs w:val="20"/>
          <w:lang w:val="en-US" w:eastAsia="zh-CN" w:bidi="hi-IN"/>
        </w:rPr>
        <w:t>Coordinated Guarantor Statements</w:t>
      </w:r>
    </w:p>
    <w:p>
      <w:pPr>
        <w:pStyle w:val="Normal"/>
        <w:bidi w:val="0"/>
        <w:spacing w:before="0" w:after="180"/>
        <w:rPr/>
      </w:pPr>
      <w:r>
        <w:rPr>
          <w:rFonts w:eastAsia="Microsoft YaHei" w:cs="Cambria" w:ascii="Microsoft YaHei" w:hAnsi="Microsoft YaHei"/>
          <w:color w:val="1E2530"/>
          <w:sz w:val="22"/>
          <w:szCs w:val="22"/>
          <w:lang w:val="en-US" w:eastAsia="zh-CN" w:bidi="hi-IN"/>
        </w:rPr>
        <w:t>On major milestones — signature, Verification Milestones, framework renewal — both guarantors issue a joint statement:</w:t>
      </w:r>
    </w:p>
    <w:p>
      <w:pPr>
        <w:pStyle w:val="Normal"/>
        <w:shd w:val="clear" w:fill="F5F0E8"/>
        <w:bidi w:val="0"/>
        <w:spacing w:before="200" w:after="200"/>
        <w:ind w:start="360" w:end="360" w:hanging="0"/>
        <w:jc w:val="both"/>
        <w:rPr/>
      </w:pPr>
      <w:r>
        <w:rPr>
          <w:rFonts w:eastAsia="Microsoft YaHei" w:cs="Cambria" w:ascii="Microsoft YaHei" w:hAnsi="Microsoft YaHei"/>
          <w:i/>
          <w:color w:val="1E2530"/>
          <w:sz w:val="22"/>
          <w:szCs w:val="22"/>
          <w:lang w:val="en-US" w:eastAsia="zh-CN" w:bidi="hi-IN"/>
        </w:rPr>
        <w:t>"The Sultanate of Oman and the Swiss Confederation, as Neutral Guarantors of the Hormuz Synchronization Compact, confirm that both Parties continue to implement the framework in accordance with its provisions. The verification dashboard shows [current status]. The escrow mechanisms are operating as designed. Both guarantors remain committed to facilitating communication, protecting the technical infrastructure, and supporting the path to sustainable peace through verified reciprocity."</w:t>
      </w:r>
    </w:p>
    <w:p>
      <w:pPr>
        <w:pStyle w:val="Heading2"/>
        <w:keepNext w:val="true"/>
        <w:keepLines/>
        <w:bidi w:val="0"/>
        <w:spacing w:before="360" w:after="160"/>
        <w:rPr/>
      </w:pPr>
      <w:r>
        <w:rPr>
          <w:rFonts w:eastAsia="Microsoft YaHei" w:cs="Cambria" w:ascii="Microsoft YaHei" w:hAnsi="Microsoft YaHei"/>
          <w:b/>
          <w:color w:val="1E2530"/>
          <w:sz w:val="22"/>
          <w:szCs w:val="19"/>
          <w:lang w:val="en-US" w:eastAsia="zh-CN" w:bidi="hi-IN"/>
        </w:rPr>
        <w:t>I.3 Annex-Level Public Summaries</w:t>
      </w:r>
    </w:p>
    <w:p>
      <w:pPr>
        <w:pStyle w:val="Normal"/>
        <w:bidi w:val="0"/>
        <w:spacing w:before="0" w:after="180"/>
        <w:rPr/>
      </w:pPr>
      <w:r>
        <w:rPr>
          <w:rFonts w:eastAsia="Microsoft YaHei" w:cs="Cambria" w:ascii="Microsoft YaHei" w:hAnsi="Microsoft YaHei"/>
          <w:color w:val="1E2530"/>
          <w:sz w:val="22"/>
          <w:szCs w:val="22"/>
          <w:lang w:val="en-US" w:eastAsia="zh-CN" w:bidi="hi-IN"/>
        </w:rPr>
        <w:t>The following one-paragraph summaries describe each annex for media teams. Each summary is factually accurate, non-technical, and suitable for public distribution.</w:t>
      </w:r>
    </w:p>
    <w:p>
      <w:pPr>
        <w:pStyle w:val="Normal"/>
        <w:numPr>
          <w:ilvl w:val="0"/>
          <w:numId w:val="1"/>
        </w:numPr>
        <w:bidi w:val="0"/>
        <w:spacing w:before="0" w:after="160"/>
        <w:rPr/>
      </w:pPr>
      <w:r>
        <w:rPr>
          <w:rFonts w:eastAsia="Microsoft YaHei" w:cs="Cambria" w:ascii="Microsoft YaHei" w:hAnsi="Microsoft YaHei"/>
          <w:b/>
          <w:color w:val="4A5568"/>
          <w:sz w:val="19"/>
          <w:szCs w:val="22"/>
          <w:lang w:val="en-US" w:eastAsia="zh-CN" w:bidi="hi-IN"/>
        </w:rPr>
        <w:t xml:space="preserve">Annex A (Implementation Timelines and Reciprocity Matrix) - </w:t>
      </w:r>
      <w:r>
        <w:rPr>
          <w:rFonts w:eastAsia="Microsoft YaHei" w:cs="Cambria" w:ascii="Microsoft YaHei" w:hAnsi="Microsoft YaHei"/>
          <w:color w:val="1E2530"/>
          <w:sz w:val="22"/>
          <w:szCs w:val="22"/>
          <w:lang w:val="en-US" w:eastAsia="zh-CN" w:bidi="hi-IN"/>
        </w:rPr>
        <w:t>This annex maps every commitment in the Compact to its day and pairs every commitment within its reciprocity unit.</w:t>
      </w:r>
    </w:p>
    <w:p>
      <w:pPr>
        <w:pStyle w:val="Normal"/>
        <w:numPr>
          <w:ilvl w:val="0"/>
          <w:numId w:val="1"/>
        </w:numPr>
        <w:bidi w:val="0"/>
        <w:spacing w:before="0" w:after="160"/>
        <w:rPr/>
      </w:pPr>
      <w:r>
        <w:rPr>
          <w:rFonts w:eastAsia="Microsoft YaHei" w:cs="Cambria" w:ascii="Microsoft YaHei" w:hAnsi="Microsoft YaHei"/>
          <w:b/>
          <w:color w:val="4A5568"/>
          <w:sz w:val="19"/>
          <w:szCs w:val="22"/>
          <w:lang w:val="en-US" w:eastAsia="zh-CN" w:bidi="hi-IN"/>
        </w:rPr>
        <w:t xml:space="preserve">Annex B (Lebanon Ceasefire and Firewall Protocol) - </w:t>
      </w:r>
      <w:r>
        <w:rPr>
          <w:rFonts w:eastAsia="Microsoft YaHei" w:cs="Cambria" w:ascii="Microsoft YaHei" w:hAnsi="Microsoft YaHei"/>
          <w:color w:val="1E2530"/>
          <w:sz w:val="22"/>
          <w:szCs w:val="22"/>
          <w:lang w:val="en-US" w:eastAsia="zh-CN" w:bidi="hi-IN"/>
        </w:rPr>
        <w:t>This annex establishes the Day 1 ceasefire on the Lebanon front as a firewalled reciprocity unit. A lapse on the Lebanon front suspends only the Lebanon unit; the nuclear, maritime, and economic tracks continue without interruption.</w:t>
      </w:r>
    </w:p>
    <w:p>
      <w:pPr>
        <w:pStyle w:val="Normal"/>
        <w:numPr>
          <w:ilvl w:val="0"/>
          <w:numId w:val="1"/>
        </w:numPr>
        <w:bidi w:val="0"/>
        <w:spacing w:before="0" w:after="160"/>
        <w:rPr/>
      </w:pPr>
      <w:r>
        <w:rPr>
          <w:rFonts w:eastAsia="Microsoft YaHei" w:cs="Cambria" w:ascii="Microsoft YaHei" w:hAnsi="Microsoft YaHei"/>
          <w:b/>
          <w:color w:val="4A5568"/>
          <w:sz w:val="19"/>
          <w:szCs w:val="22"/>
          <w:lang w:val="en-US" w:eastAsia="zh-CN" w:bidi="hi-IN"/>
        </w:rPr>
        <w:t xml:space="preserve">Annex C (Frozen Asset Release Schedule) - </w:t>
      </w:r>
      <w:r>
        <w:rPr>
          <w:rFonts w:eastAsia="Microsoft YaHei" w:cs="Cambria" w:ascii="Microsoft YaHei" w:hAnsi="Microsoft YaHei"/>
          <w:color w:val="1E2530"/>
          <w:sz w:val="22"/>
          <w:szCs w:val="22"/>
          <w:lang w:val="en-US" w:eastAsia="zh-CN" w:bidi="hi-IN"/>
        </w:rPr>
        <w:t>This annex resolves the status of approximately $24 billion in frozen Iranian sovereign assets through a milestone-based release schedule that mirrors the phased reciprocal logic of the core Compact.</w:t>
      </w:r>
    </w:p>
    <w:p>
      <w:pPr>
        <w:pStyle w:val="Normal"/>
        <w:numPr>
          <w:ilvl w:val="0"/>
          <w:numId w:val="1"/>
        </w:numPr>
        <w:bidi w:val="0"/>
        <w:spacing w:before="0" w:after="160"/>
        <w:rPr/>
      </w:pPr>
      <w:r>
        <w:rPr>
          <w:rFonts w:eastAsia="Microsoft YaHei" w:cs="Cambria" w:ascii="Microsoft YaHei" w:hAnsi="Microsoft YaHei"/>
          <w:b/>
          <w:color w:val="4A5568"/>
          <w:sz w:val="19"/>
          <w:szCs w:val="22"/>
          <w:lang w:val="en-US" w:eastAsia="zh-CN" w:bidi="hi-IN"/>
        </w:rPr>
        <w:t xml:space="preserve">Annex D (Definitions) - </w:t>
      </w:r>
      <w:r>
        <w:rPr>
          <w:rFonts w:eastAsia="Microsoft YaHei" w:cs="Cambria" w:ascii="Microsoft YaHei" w:hAnsi="Microsoft YaHei"/>
          <w:color w:val="1E2530"/>
          <w:sz w:val="22"/>
          <w:szCs w:val="22"/>
          <w:lang w:val="en-US" w:eastAsia="zh-CN" w:bidi="hi-IN"/>
        </w:rPr>
        <w:t>This annex defines key terms to ensure both sides interpret the Compact the same way. Clear definitions prevent disputes over meaning.</w:t>
      </w:r>
    </w:p>
    <w:p>
      <w:pPr>
        <w:pStyle w:val="Normal"/>
        <w:numPr>
          <w:ilvl w:val="0"/>
          <w:numId w:val="1"/>
        </w:numPr>
        <w:bidi w:val="0"/>
        <w:spacing w:before="0" w:after="160"/>
        <w:rPr/>
      </w:pPr>
      <w:r>
        <w:rPr>
          <w:rFonts w:eastAsia="Microsoft YaHei" w:cs="Cambria" w:ascii="Microsoft YaHei" w:hAnsi="Microsoft YaHei"/>
          <w:b/>
          <w:color w:val="4A5568"/>
          <w:sz w:val="19"/>
          <w:szCs w:val="22"/>
          <w:lang w:val="en-US" w:eastAsia="zh-CN" w:bidi="hi-IN"/>
        </w:rPr>
        <w:t xml:space="preserve">Annex E (Nuclear Reciprocity Matrix) - </w:t>
      </w:r>
      <w:r>
        <w:rPr>
          <w:rFonts w:eastAsia="Microsoft YaHei" w:cs="Cambria" w:ascii="Microsoft YaHei" w:hAnsi="Microsoft YaHei"/>
          <w:color w:val="1E2530"/>
          <w:sz w:val="22"/>
          <w:szCs w:val="22"/>
          <w:lang w:val="en-US" w:eastAsia="zh-CN" w:bidi="hi-IN"/>
        </w:rPr>
        <w:t>This annex provides the detailed timeline mapping every Iranian nuclear step against its corresponding American reciprocal measure, from Day One through framework renewal.</w:t>
      </w:r>
    </w:p>
    <w:p>
      <w:pPr>
        <w:pStyle w:val="Normal"/>
        <w:numPr>
          <w:ilvl w:val="0"/>
          <w:numId w:val="1"/>
        </w:numPr>
        <w:bidi w:val="0"/>
        <w:spacing w:before="0" w:after="160"/>
        <w:rPr/>
      </w:pPr>
      <w:r>
        <w:rPr>
          <w:rFonts w:eastAsia="Microsoft YaHei" w:cs="Cambria" w:ascii="Microsoft YaHei" w:hAnsi="Microsoft YaHei"/>
          <w:b/>
          <w:color w:val="4A5568"/>
          <w:sz w:val="19"/>
          <w:szCs w:val="22"/>
          <w:lang w:val="en-US" w:eastAsia="zh-CN" w:bidi="hi-IN"/>
        </w:rPr>
        <w:t xml:space="preserve">Annex F (Verification Sequencing) - </w:t>
      </w:r>
      <w:r>
        <w:rPr>
          <w:rFonts w:eastAsia="Microsoft YaHei" w:cs="Cambria" w:ascii="Microsoft YaHei" w:hAnsi="Microsoft YaHei"/>
          <w:color w:val="1E2530"/>
          <w:sz w:val="22"/>
          <w:szCs w:val="22"/>
          <w:lang w:val="en-US" w:eastAsia="zh-CN" w:bidi="hi-IN"/>
        </w:rPr>
        <w:t>This annex maps the verification architecture from baseline establishment through continuous monitoring, and establishes the rule that sensor data governs all compliance determinations.</w:t>
      </w:r>
    </w:p>
    <w:p>
      <w:pPr>
        <w:pStyle w:val="Normal"/>
        <w:numPr>
          <w:ilvl w:val="0"/>
          <w:numId w:val="1"/>
        </w:numPr>
        <w:bidi w:val="0"/>
        <w:spacing w:before="0" w:after="160"/>
        <w:rPr/>
      </w:pPr>
      <w:r>
        <w:rPr>
          <w:rFonts w:eastAsia="Microsoft YaHei" w:cs="Cambria" w:ascii="Microsoft YaHei" w:hAnsi="Microsoft YaHei"/>
          <w:b/>
          <w:color w:val="4A5568"/>
          <w:sz w:val="19"/>
          <w:szCs w:val="22"/>
          <w:lang w:val="en-US" w:eastAsia="zh-CN" w:bidi="hi-IN"/>
        </w:rPr>
        <w:t xml:space="preserve">Annex G (Public Messaging) - </w:t>
      </w:r>
      <w:r>
        <w:rPr>
          <w:rFonts w:eastAsia="Microsoft YaHei" w:cs="Cambria" w:ascii="Microsoft YaHei" w:hAnsi="Microsoft YaHei"/>
          <w:color w:val="1E2530"/>
          <w:sz w:val="22"/>
          <w:szCs w:val="22"/>
          <w:lang w:val="en-US" w:eastAsia="zh-CN" w:bidi="hi-IN"/>
        </w:rPr>
        <w:t>This annex provides the public statements, talking points, and response frameworks that both sides use to communicate about the Compact to their domestic audiences and the international community.</w:t>
      </w:r>
    </w:p>
    <w:p>
      <w:pPr>
        <w:pStyle w:val="Normal"/>
        <w:numPr>
          <w:ilvl w:val="0"/>
          <w:numId w:val="1"/>
        </w:numPr>
        <w:bidi w:val="0"/>
        <w:spacing w:before="0" w:after="160"/>
        <w:rPr/>
      </w:pPr>
      <w:r>
        <w:rPr>
          <w:rFonts w:eastAsia="Microsoft YaHei" w:cs="Cambria" w:ascii="Microsoft YaHei" w:hAnsi="Microsoft YaHei"/>
          <w:b/>
          <w:color w:val="4A5568"/>
          <w:sz w:val="19"/>
          <w:szCs w:val="22"/>
          <w:lang w:val="en-US" w:eastAsia="zh-CN" w:bidi="hi-IN"/>
        </w:rPr>
        <w:t xml:space="preserve">Annex H (Operational Tools) - </w:t>
      </w:r>
      <w:r>
        <w:rPr>
          <w:rFonts w:eastAsia="Microsoft YaHei" w:cs="Cambria" w:ascii="Microsoft YaHei" w:hAnsi="Microsoft YaHei"/>
          <w:color w:val="1E2530"/>
          <w:sz w:val="22"/>
          <w:szCs w:val="22"/>
          <w:lang w:val="en-US" w:eastAsia="zh-CN" w:bidi="hi-IN"/>
        </w:rPr>
        <w:t>This annex provides the one-page reference tools that negotiators and technical teams use to track implementation, including the reciprocity matrix, nuclear map, and verification map.</w:t>
      </w:r>
    </w:p>
    <w:p>
      <w:pPr>
        <w:pStyle w:val="Normal"/>
        <w:numPr>
          <w:ilvl w:val="0"/>
          <w:numId w:val="1"/>
        </w:numPr>
        <w:bidi w:val="0"/>
        <w:spacing w:before="0" w:after="160"/>
        <w:rPr/>
      </w:pPr>
      <w:r>
        <w:rPr>
          <w:rFonts w:eastAsia="Microsoft YaHei" w:cs="Cambria" w:ascii="Microsoft YaHei" w:hAnsi="Microsoft YaHei"/>
          <w:b/>
          <w:color w:val="4A5568"/>
          <w:sz w:val="19"/>
          <w:szCs w:val="22"/>
          <w:lang w:val="en-US" w:eastAsia="zh-CN" w:bidi="hi-IN"/>
        </w:rPr>
        <w:t xml:space="preserve">Annex I (Crisis Communication) - </w:t>
      </w:r>
      <w:r>
        <w:rPr>
          <w:rFonts w:eastAsia="Microsoft YaHei" w:cs="Cambria" w:ascii="Microsoft YaHei" w:hAnsi="Microsoft YaHei"/>
          <w:color w:val="1E2530"/>
          <w:sz w:val="22"/>
          <w:szCs w:val="22"/>
          <w:lang w:val="en-US" w:eastAsia="zh-CN" w:bidi="hi-IN"/>
        </w:rPr>
        <w:t>This annex provides the communication protocol for tense moments and defines what the guarantors say publicly about their roles in facilitating the Compact.</w:t>
      </w:r>
    </w:p>
    <w:p>
      <w:pPr>
        <w:pStyle w:val="Heading1"/>
        <w:keepNext w:val="true"/>
        <w:keepLines/>
        <w:bidi w:val="0"/>
        <w:spacing w:before="480" w:after="240"/>
        <w:rPr/>
      </w:pPr>
      <w:bookmarkStart w:id="14" w:name="_Toc014"/>
      <w:r>
        <w:rPr>
          <w:rFonts w:eastAsia="Microsoft YaHei" w:cs="Cambria" w:ascii="Microsoft YaHei" w:hAnsi="Microsoft YaHei"/>
          <w:b/>
          <w:color w:val="1A2744"/>
          <w:sz w:val="40"/>
          <w:szCs w:val="40"/>
          <w:lang w:val="en-US" w:eastAsia="zh-CN" w:bidi="hi-IN"/>
        </w:rPr>
        <w:t>Signature Blocks</w:t>
      </w:r>
      <w:bookmarkEnd w:id="14"/>
    </w:p>
    <w:p>
      <w:pPr>
        <w:pStyle w:val="Normal"/>
        <w:bidi w:val="0"/>
        <w:spacing w:before="0" w:after="180"/>
        <w:rPr/>
      </w:pPr>
      <w:r>
        <w:rPr>
          <w:rFonts w:eastAsia="Microsoft YaHei" w:cs="Cambria" w:ascii="Microsoft YaHei" w:hAnsi="Microsoft YaHei"/>
          <w:color w:val="1E2530"/>
          <w:sz w:val="22"/>
          <w:szCs w:val="22"/>
          <w:lang w:val="en-US" w:eastAsia="zh-CN" w:bidi="hi-IN"/>
        </w:rPr>
        <w:t>In witness whereof, the undersigned, duly authorized by their respective governments, affix their signatures to this Compact.</w:t>
      </w:r>
    </w:p>
    <w:p>
      <w:pPr>
        <w:pStyle w:val="Normal"/>
        <w:bidi w:val="0"/>
        <w:spacing w:before="0" w:after="180"/>
        <w:rPr/>
      </w:pPr>
      <w:r>
        <w:rPr>
          <w:rFonts w:eastAsia="Microsoft YaHei" w:cs="Cambria" w:ascii="Microsoft YaHei" w:hAnsi="Microsoft YaHei"/>
          <w:color w:val="1E2530"/>
          <w:sz w:val="22"/>
          <w:szCs w:val="22"/>
          <w:lang w:val="en-US" w:eastAsia="zh-CN" w:bidi="hi-IN"/>
        </w:rPr>
        <w:t>Signed at ________ on this ____ day of __________, 2026</w:t>
      </w:r>
    </w:p>
    <w:p>
      <w:pPr>
        <w:pStyle w:val="Normal"/>
        <w:bidi w:val="0"/>
        <w:spacing w:before="600" w:after="160"/>
        <w:rPr/>
      </w:pPr>
    </w:p>
    <w:tbl>
      <w:tblPr>
        <w:tblW w:w="5000" w:type="pct"/>
        <w:jc w:val="start"/>
        <w:tblInd w:w="0" w:type="dxa"/>
        <w:tblLayout w:type="fixed"/>
        <w:tblCellMar>
          <w:top w:w="0" w:type="dxa"/>
          <w:start w:w="108" w:type="dxa"/>
          <w:bottom w:w="0" w:type="dxa"/>
          <w:end w:w="108" w:type="dxa"/>
        </w:tblCellMar>
      </w:tblPr>
      <w:tblGrid>
        <w:gridCol w:w="4332"/>
        <w:gridCol w:w="361"/>
        <w:gridCol w:w="4333"/>
      </w:tblGrid>
      <w:tr>
        <w:trPr/>
        <w:tc>
          <w:tcPr>
            <w:tcW w:w="4332" w:type="dxa"/>
            <w:tcBorders/>
          </w:tcPr>
          <w:p>
            <w:pPr>
              <w:pStyle w:val="Normal"/>
              <w:widowControl w:val="false"/>
              <w:bidi w:val="0"/>
              <w:spacing w:before="120" w:after="120"/>
              <w:rPr/>
            </w:pPr>
            <w:r>
              <w:rPr>
                <w:rFonts w:eastAsia="Microsoft YaHei" w:cs="Cambria" w:ascii="Microsoft YaHei" w:hAnsi="Microsoft YaHei"/>
                <w:color w:val="1E2530"/>
                <w:sz w:val="20"/>
                <w:szCs w:val="20"/>
                <w:lang w:val="en-US" w:eastAsia="zh-CN" w:bidi="hi-IN"/>
              </w:rPr>
              <w:t>For the United States of America:</w:t>
            </w:r>
          </w:p>
        </w:tc>
        <w:tc>
          <w:tcPr>
            <w:tcW w:w="361" w:type="dxa"/>
            <w:tcBorders/>
          </w:tcPr>
          <w:p>
            <w:pPr>
              <w:pStyle w:val="Normal"/>
              <w:widowControl w:val="false"/>
              <w:bidi w:val="0"/>
              <w:spacing w:before="0" w:after="160"/>
              <w:rPr/>
            </w:pPr>
          </w:p>
        </w:tc>
        <w:tc>
          <w:tcPr>
            <w:tcW w:w="4333" w:type="dxa"/>
            <w:tcBorders/>
          </w:tcPr>
          <w:p>
            <w:pPr>
              <w:pStyle w:val="Normal"/>
              <w:widowControl w:val="false"/>
              <w:bidi w:val="0"/>
              <w:spacing w:before="120" w:after="120"/>
              <w:rPr/>
            </w:pPr>
            <w:r>
              <w:rPr>
                <w:rFonts w:eastAsia="Microsoft YaHei" w:cs="Cambria" w:ascii="Microsoft YaHei" w:hAnsi="Microsoft YaHei"/>
                <w:color w:val="1E2530"/>
                <w:sz w:val="20"/>
                <w:szCs w:val="20"/>
                <w:lang w:val="en-US" w:eastAsia="zh-CN" w:bidi="hi-IN"/>
              </w:rPr>
              <w:t>For the Islamic Republic of Iran:</w:t>
            </w:r>
          </w:p>
        </w:tc>
      </w:tr>
      <w:tr>
        <w:trPr/>
        <w:tc>
          <w:tcPr>
            <w:tcW w:w="4332" w:type="dxa"/>
            <w:tcBorders/>
          </w:tcPr>
          <w:p>
            <w:pPr>
              <w:pStyle w:val="Normal"/>
              <w:widowControl w:val="false"/>
              <w:bidi w:val="0"/>
              <w:spacing w:before="120" w:after="120"/>
              <w:rPr/>
            </w:pPr>
          </w:p>
        </w:tc>
        <w:tc>
          <w:tcPr>
            <w:tcW w:w="361" w:type="dxa"/>
            <w:tcBorders/>
          </w:tcPr>
          <w:p>
            <w:pPr>
              <w:pStyle w:val="Normal"/>
              <w:widowControl w:val="false"/>
              <w:bidi w:val="0"/>
              <w:spacing w:before="0" w:after="160"/>
              <w:rPr/>
            </w:pPr>
          </w:p>
        </w:tc>
        <w:tc>
          <w:tcPr>
            <w:tcW w:w="4333" w:type="dxa"/>
            <w:tcBorders/>
          </w:tcPr>
          <w:p>
            <w:pPr>
              <w:pStyle w:val="Normal"/>
              <w:widowControl w:val="false"/>
              <w:bidi w:val="0"/>
              <w:spacing w:before="120" w:after="120"/>
              <w:rPr/>
            </w:pPr>
          </w:p>
        </w:tc>
      </w:tr>
      <w:tr>
        <w:trPr/>
        <w:tc>
          <w:tcPr>
            <w:tcW w:w="4332" w:type="dxa"/>
            <w:tcBorders/>
          </w:tcPr>
          <w:p>
            <w:pPr>
              <w:pStyle w:val="Normal"/>
              <w:widowControl w:val="false"/>
              <w:bidi w:val="0"/>
              <w:spacing w:before="120" w:after="120"/>
              <w:rPr/>
            </w:pPr>
            <w:r>
              <w:rPr>
                <w:rFonts w:eastAsia="Microsoft YaHei" w:cs="Cambria" w:ascii="Microsoft YaHei" w:hAnsi="Microsoft YaHei"/>
                <w:color w:val="1E2530"/>
                <w:sz w:val="20"/>
                <w:szCs w:val="20"/>
                <w:lang w:val="en-US" w:eastAsia="zh-CN" w:bidi="hi-IN"/>
              </w:rPr>
              <w:t>_________________________</w:t>
            </w:r>
          </w:p>
        </w:tc>
        <w:tc>
          <w:tcPr>
            <w:tcW w:w="361" w:type="dxa"/>
            <w:tcBorders/>
          </w:tcPr>
          <w:p>
            <w:pPr>
              <w:pStyle w:val="Normal"/>
              <w:widowControl w:val="false"/>
              <w:bidi w:val="0"/>
              <w:spacing w:before="0" w:after="160"/>
              <w:rPr/>
            </w:pPr>
          </w:p>
        </w:tc>
        <w:tc>
          <w:tcPr>
            <w:tcW w:w="4333" w:type="dxa"/>
            <w:tcBorders/>
          </w:tcPr>
          <w:p>
            <w:pPr>
              <w:pStyle w:val="Normal"/>
              <w:widowControl w:val="false"/>
              <w:bidi w:val="0"/>
              <w:spacing w:before="120" w:after="120"/>
              <w:rPr/>
            </w:pPr>
            <w:r>
              <w:rPr>
                <w:rFonts w:eastAsia="Microsoft YaHei" w:cs="Cambria" w:ascii="Microsoft YaHei" w:hAnsi="Microsoft YaHei"/>
                <w:color w:val="1E2530"/>
                <w:sz w:val="20"/>
                <w:szCs w:val="20"/>
                <w:lang w:val="en-US" w:eastAsia="zh-CN" w:bidi="hi-IN"/>
              </w:rPr>
              <w:t>_________________________</w:t>
            </w:r>
          </w:p>
        </w:tc>
      </w:tr>
      <w:tr>
        <w:trPr/>
        <w:tc>
          <w:tcPr>
            <w:tcW w:w="4332" w:type="dxa"/>
            <w:tcBorders/>
          </w:tcPr>
          <w:p>
            <w:pPr>
              <w:pStyle w:val="Normal"/>
              <w:widowControl w:val="false"/>
              <w:bidi w:val="0"/>
              <w:spacing w:before="120" w:after="120"/>
              <w:rPr/>
            </w:pPr>
            <w:r>
              <w:rPr>
                <w:rFonts w:eastAsia="Microsoft YaHei" w:cs="Cambria" w:ascii="Microsoft YaHei" w:hAnsi="Microsoft YaHei"/>
                <w:color w:val="1E2530"/>
                <w:sz w:val="20"/>
                <w:szCs w:val="20"/>
                <w:lang w:val="en-US" w:eastAsia="zh-CN" w:bidi="hi-IN"/>
              </w:rPr>
              <w:t>Name:</w:t>
            </w:r>
          </w:p>
        </w:tc>
        <w:tc>
          <w:tcPr>
            <w:tcW w:w="361" w:type="dxa"/>
            <w:tcBorders/>
          </w:tcPr>
          <w:p>
            <w:pPr>
              <w:pStyle w:val="Normal"/>
              <w:widowControl w:val="false"/>
              <w:bidi w:val="0"/>
              <w:spacing w:before="0" w:after="160"/>
              <w:rPr/>
            </w:pPr>
          </w:p>
        </w:tc>
        <w:tc>
          <w:tcPr>
            <w:tcW w:w="4333" w:type="dxa"/>
            <w:tcBorders/>
          </w:tcPr>
          <w:p>
            <w:pPr>
              <w:pStyle w:val="Normal"/>
              <w:widowControl w:val="false"/>
              <w:bidi w:val="0"/>
              <w:spacing w:before="120" w:after="120"/>
              <w:rPr/>
            </w:pPr>
            <w:r>
              <w:rPr>
                <w:rFonts w:eastAsia="Microsoft YaHei" w:cs="Cambria" w:ascii="Microsoft YaHei" w:hAnsi="Microsoft YaHei"/>
                <w:color w:val="1E2530"/>
                <w:sz w:val="20"/>
                <w:szCs w:val="20"/>
                <w:lang w:val="en-US" w:eastAsia="zh-CN" w:bidi="hi-IN"/>
              </w:rPr>
              <w:t>Name:</w:t>
            </w:r>
          </w:p>
        </w:tc>
      </w:tr>
      <w:tr>
        <w:trPr/>
        <w:tc>
          <w:tcPr>
            <w:tcW w:w="4332" w:type="dxa"/>
            <w:tcBorders/>
          </w:tcPr>
          <w:p>
            <w:pPr>
              <w:pStyle w:val="Normal"/>
              <w:widowControl w:val="false"/>
              <w:bidi w:val="0"/>
              <w:spacing w:before="120" w:after="120"/>
              <w:rPr/>
            </w:pPr>
            <w:r>
              <w:rPr>
                <w:rFonts w:eastAsia="Microsoft YaHei" w:cs="Cambria" w:ascii="Microsoft YaHei" w:hAnsi="Microsoft YaHei"/>
                <w:color w:val="1E2530"/>
                <w:sz w:val="20"/>
                <w:szCs w:val="20"/>
                <w:lang w:val="en-US" w:eastAsia="zh-CN" w:bidi="hi-IN"/>
              </w:rPr>
              <w:t>Title:</w:t>
            </w:r>
          </w:p>
        </w:tc>
        <w:tc>
          <w:tcPr>
            <w:tcW w:w="361" w:type="dxa"/>
            <w:tcBorders/>
          </w:tcPr>
          <w:p>
            <w:pPr>
              <w:pStyle w:val="Normal"/>
              <w:widowControl w:val="false"/>
              <w:bidi w:val="0"/>
              <w:spacing w:before="0" w:after="160"/>
              <w:rPr/>
            </w:pPr>
          </w:p>
        </w:tc>
        <w:tc>
          <w:tcPr>
            <w:tcW w:w="4333" w:type="dxa"/>
            <w:tcBorders/>
          </w:tcPr>
          <w:p>
            <w:pPr>
              <w:pStyle w:val="Normal"/>
              <w:widowControl w:val="false"/>
              <w:bidi w:val="0"/>
              <w:spacing w:before="120" w:after="120"/>
              <w:rPr/>
            </w:pPr>
            <w:r>
              <w:rPr>
                <w:rFonts w:eastAsia="Microsoft YaHei" w:cs="Cambria" w:ascii="Microsoft YaHei" w:hAnsi="Microsoft YaHei"/>
                <w:color w:val="1E2530"/>
                <w:sz w:val="20"/>
                <w:szCs w:val="20"/>
                <w:lang w:val="en-US" w:eastAsia="zh-CN" w:bidi="hi-IN"/>
              </w:rPr>
              <w:t>Title:</w:t>
            </w:r>
          </w:p>
        </w:tc>
      </w:tr>
      <w:tr>
        <w:trPr/>
        <w:tc>
          <w:tcPr>
            <w:tcW w:w="4332" w:type="dxa"/>
            <w:tcBorders/>
          </w:tcPr>
          <w:p>
            <w:pPr>
              <w:pStyle w:val="Normal"/>
              <w:widowControl w:val="false"/>
              <w:bidi w:val="0"/>
              <w:spacing w:before="120" w:after="120"/>
              <w:rPr/>
            </w:pPr>
            <w:r>
              <w:rPr>
                <w:rFonts w:eastAsia="Microsoft YaHei" w:cs="Cambria" w:ascii="Microsoft YaHei" w:hAnsi="Microsoft YaHei"/>
                <w:color w:val="1E2530"/>
                <w:sz w:val="20"/>
                <w:szCs w:val="20"/>
                <w:lang w:val="en-US" w:eastAsia="zh-CN" w:bidi="hi-IN"/>
              </w:rPr>
              <w:t>Date:</w:t>
            </w:r>
          </w:p>
        </w:tc>
        <w:tc>
          <w:tcPr>
            <w:tcW w:w="361" w:type="dxa"/>
            <w:tcBorders/>
          </w:tcPr>
          <w:p>
            <w:pPr>
              <w:pStyle w:val="Normal"/>
              <w:widowControl w:val="false"/>
              <w:bidi w:val="0"/>
              <w:spacing w:before="0" w:after="160"/>
              <w:rPr/>
            </w:pPr>
          </w:p>
        </w:tc>
        <w:tc>
          <w:tcPr>
            <w:tcW w:w="4333" w:type="dxa"/>
            <w:tcBorders/>
          </w:tcPr>
          <w:p>
            <w:pPr>
              <w:pStyle w:val="Normal"/>
              <w:widowControl w:val="false"/>
              <w:bidi w:val="0"/>
              <w:spacing w:before="120" w:after="120"/>
              <w:rPr/>
            </w:pPr>
            <w:r>
              <w:rPr>
                <w:rFonts w:eastAsia="Microsoft YaHei" w:cs="Cambria" w:ascii="Microsoft YaHei" w:hAnsi="Microsoft YaHei"/>
                <w:color w:val="1E2530"/>
                <w:sz w:val="20"/>
                <w:szCs w:val="20"/>
                <w:lang w:val="en-US" w:eastAsia="zh-CN" w:bidi="hi-IN"/>
              </w:rPr>
              <w:t>Date:</w:t>
            </w:r>
          </w:p>
        </w:tc>
      </w:tr>
    </w:tbl>
    <w:p>
      <w:pPr>
        <w:pStyle w:val="Normal"/>
        <w:sectPr>
          <w:headerReference w:type="default" r:id="rId17"/>
          <w:footerReference w:type="default" r:id="rId18"/>
          <w:type w:val="nextPage"/>
          <w:pgSz w:w="11906" w:h="16838"/>
          <w:pgMar w:left="1440" w:right="1440" w:gutter="0" w:header="720" w:top="1800" w:footer="720" w:bottom="1440"/>
          <w:pgNumType w:fmt="decimal"/>
          <w:formProt w:val="false"/>
          <w:textDirection w:val="lrTb"/>
          <w:docGrid w:type="default" w:linePitch="100" w:charSpace="0"/>
        </w:sectPr>
      </w:pPr>
    </w:p>
    <w:p>
      <w:pPr>
        <w:pStyle w:val="Normal"/>
        <w:bidi w:val="0"/>
        <w:rPr/>
      </w:pPr>
    </w:p>
    <w:p>
      <w:pPr>
        <w:pStyle w:val="Normal"/>
        <w:bidi w:val="0"/>
        <w:spacing w:before="6500" w:after="160"/>
        <w:jc w:val="center"/>
        <w:rPr/>
      </w:pPr>
      <w:r>
        <w:rPr>
          <w:rFonts w:eastAsia="Microsoft YaHei" w:cs="Cambria"/>
          <w:b/>
          <w:color w:val="1A2744"/>
          <w:spacing w:val="30"/>
          <w:sz w:val="44"/>
          <w:szCs w:val="44"/>
        </w:rPr>
        <w:t>The Hormuz Synchronization Compact</w:t>
      </w:r>
    </w:p>
    <w:p>
      <w:pPr>
        <w:pStyle w:val="Normal"/>
        <w:bidi w:val="0"/>
        <w:spacing w:before="400" w:after="160"/>
        <w:jc w:val="center"/>
        <w:rPr/>
      </w:pPr>
      <w:r>
        <w:rPr>
          <w:rFonts w:eastAsia="Microsoft YaHei" w:cs="Cambria"/>
          <w:i/>
          <w:color w:val="4A5568"/>
          <w:sz w:val="22"/>
          <w:szCs w:val="22"/>
        </w:rPr>
        <w:t>Peace Through Reciprocity</w:t>
      </w:r>
    </w:p>
    <w:p>
      <w:pPr>
        <w:pStyle w:val="Normal"/>
        <w:bidi w:val="0"/>
        <w:spacing w:before="300" w:after="160"/>
        <w:jc w:val="center"/>
        <w:rPr/>
      </w:pPr>
      <w:r>
        <w:rPr>
          <w:rFonts w:eastAsia="Microsoft YaHei" w:cs="Cambria"/>
          <w:color w:val="7A8288"/>
          <w:sz w:val="18"/>
          <w:szCs w:val="18"/>
        </w:rPr>
        <w:t>June 2026</w:t>
      </w:r>
    </w:p>
    <w:p>
      <w:pPr>
        <w:pStyle w:val="Normal"/>
        <w:bidi w:val="0"/>
        <w:spacing w:before="200" w:after="160"/>
        <w:jc w:val="center"/>
        <w:rPr/>
      </w:pPr>
      <w:r>
        <w:rPr>
          <w:rFonts w:eastAsia="Microsoft YaHei" w:cs="Cambria"/>
          <w:color w:val="7A8288"/>
          <w:sz w:val="16"/>
          <w:szCs w:val="16"/>
        </w:rPr>
        <w:t>This document constitutes a draft for diplomatic review</w:t>
      </w:r>
    </w:p>
    <w:p>
      <w:r>
        <w:br w:type="page"/>
      </w:r>
    </w:p>
    <w:p>
      <w:pPr>
        <w:pStyle w:val="Heading1"/>
      </w:pPr>
      <w:r>
        <w:t>Supplementary Annex Set: Implementation Mandate and Technical Frameworks</w:t>
      </w:r>
    </w:p>
    <w:p>
      <w:pPr>
        <w:spacing w:after="120"/>
      </w:pPr>
      <w:r>
        <w:rPr>
          <w:i w:val="0"/>
        </w:rPr>
        <w:t>This supplementary annex set extends the Compact with five model implementation frameworks that the Parties, their negotiating teams, and the Neutral Guarantor draw upon during preparation and execution. The frameworks describe the structure, categories, and operative logic of the supporting instruments. Every figure tracks the baselines the core Compact establishes. These annexes function as reference architecture for diplomatic review; they record no classified material and they create no obligation beyond the synchronized reciprocity the core articles define. The Firewalled Provisions principle governs each annex: a breach in one module leaves every other module intact.</w:t>
      </w:r>
    </w:p>
    <w:p>
      <w:pPr>
        <w:spacing w:after="120"/>
      </w:pPr>
      <w:r>
        <w:rPr>
          <w:i w:val="0"/>
        </w:rPr>
        <w:t>Each annex group below maps to one of the five preparation document sets the drafting process depends upon: the Political and Strategic Mandate Framework (Annex J), the Nuclear Technical Verification Baseline (Annex K), the Sanctions and Financial Architecture (Annex L), the Maritime and Security Protocols (Annex M), and the Verification, Compliance, and Dispute Resolution Frameworks (Annex N). All text in this set conforms to the present-tense reciprocal-motion register of the core Compact.</w:t>
      </w:r>
    </w:p>
    <w:p>
      <w:r>
        <w:br w:type="page"/>
      </w:r>
    </w:p>
    <w:p>
      <w:pPr>
        <w:pStyle w:val="Heading1"/>
      </w:pPr>
      <w:r>
        <w:t>Annex J: Political and Strategic Mandate Framework</w:t>
      </w:r>
    </w:p>
    <w:p>
      <w:pPr>
        <w:spacing w:after="120"/>
      </w:pPr>
      <w:r>
        <w:rPr>
          <w:i w:val="0"/>
        </w:rPr>
        <w:t>This annex describes the political envelope inside which the Compact operates. It states, in model form, the negotiation mandates of each Party, the domestic approval architecture that converts the Compact into binding national commitment, the regional security assessment that frames threat and escalation dynamics, and the public messaging mandate that each Party uses to justify the framework to its own constituents. These elements define what the framework treats as politically possible.</w:t>
      </w:r>
    </w:p>
    <w:p>
      <w:pPr>
        <w:pStyle w:val="Heading2"/>
      </w:pPr>
      <w:r>
        <w:t>J.1 Negotiation Mandate Architecture</w:t>
      </w:r>
    </w:p>
    <w:p>
      <w:pPr>
        <w:spacing w:after="120"/>
      </w:pPr>
      <w:r>
        <w:rPr>
          <w:i w:val="0"/>
        </w:rPr>
        <w:t>A negotiation mandate states three things for each Party: the red lines the framework never crosses, the concessions the framework accommodates, and the topics the framework excludes from scope. The mandate operates as the negotiating team's authority envelope. The Reciprocity principle binds the two mandates into a single matched structure, so that each red line on one side pairs with a corresponding accommodation on the other.</w:t>
      </w:r>
    </w:p>
    <w:p>
      <w:pPr>
        <w:pStyle w:val="Heading3"/>
      </w:pPr>
      <w:r>
        <w:t>J.1.1 — United States Mandate Envelope (Model)</w:t>
      </w:r>
    </w:p>
    <w:p>
      <w:pPr>
        <w:spacing w:after="120"/>
      </w:pPr>
      <w:r>
        <w:rPr>
          <w:i w:val="0"/>
        </w:rPr>
        <w:t>The United States negotiating team operates inside the following model envelope, derived directly from the Compact's stated principles:</w:t>
      </w:r>
    </w:p>
    <w:p>
      <w:pPr>
        <w:spacing w:after="80"/>
        <w:ind w:left="360"/>
      </w:pPr>
      <w:r>
        <w:rPr>
          <w:b/>
        </w:rPr>
        <w:t xml:space="preserve">Red lines — </w:t>
      </w:r>
      <w:r>
        <w:rPr>
          <w:b w:val="0"/>
        </w:rPr>
        <w:t>The framework excludes any pathway that produces an Iranian nuclear weapon. The framework excludes the removal of IAEA continuous monitoring during the implementation window. The framework excludes irreversible sanctions relief in advance of verified compliance.</w:t>
      </w:r>
    </w:p>
    <w:p>
      <w:pPr>
        <w:spacing w:after="80"/>
        <w:ind w:left="360"/>
      </w:pPr>
      <w:r>
        <w:rPr>
          <w:b/>
        </w:rPr>
        <w:t xml:space="preserve">Accommodations the team carries — </w:t>
      </w:r>
      <w:r>
        <w:rPr>
          <w:b w:val="0"/>
        </w:rPr>
        <w:t>The team accommodates Iranian retention of declared enrichment infrastructure at the 3.67 percent civilian level under continuous monitoring. The team accommodates phased, calibrated relief that tracks verified milestones. The team accommodates in-country custody of sealed material rather than forced export.</w:t>
      </w:r>
    </w:p>
    <w:p>
      <w:pPr>
        <w:spacing w:after="80"/>
        <w:ind w:left="360"/>
      </w:pPr>
      <w:r>
        <w:rPr>
          <w:b/>
        </w:rPr>
        <w:t xml:space="preserve">Excluded topics — </w:t>
      </w:r>
      <w:r>
        <w:rPr>
          <w:b w:val="0"/>
        </w:rPr>
        <w:t>Ballistic missile limits remain outside scope. Regional proxy realignment remains outside the binding text and operates as voluntary follow-on dialogue. Domestic political characterization on the Iranian side remains the sovereign choice of the Iranian Party under the Domestic Framing Autonomy principle.</w:t>
      </w:r>
    </w:p>
    <w:p>
      <w:pPr>
        <w:pStyle w:val="Heading3"/>
      </w:pPr>
      <w:r>
        <w:t>J.1.2 — Islamic Republic of Iran Mandate Envelope (Model)</w:t>
      </w:r>
    </w:p>
    <w:p>
      <w:pPr>
        <w:spacing w:after="120"/>
      </w:pPr>
      <w:r>
        <w:rPr>
          <w:i w:val="0"/>
        </w:rPr>
        <w:t>The Iranian negotiating team operates inside the following model envelope, derived directly from the Compact's stated principles:</w:t>
      </w:r>
    </w:p>
    <w:p>
      <w:pPr>
        <w:spacing w:after="80"/>
        <w:ind w:left="360"/>
      </w:pPr>
      <w:r>
        <w:rPr>
          <w:b/>
        </w:rPr>
        <w:t xml:space="preserve">Red lines — </w:t>
      </w:r>
      <w:r>
        <w:rPr>
          <w:b w:val="0"/>
        </w:rPr>
        <w:t>The framework excludes forced export of enriched material from Iranian territory beyond the single defined confidence-building transfer. The framework excludes dismantlement of declared enrichment facilities. The framework excludes any provision that treats Iran as a subordinate rather than an equal sovereign party.</w:t>
      </w:r>
    </w:p>
    <w:p>
      <w:pPr>
        <w:spacing w:after="80"/>
        <w:ind w:left="360"/>
      </w:pPr>
      <w:r>
        <w:rPr>
          <w:b/>
        </w:rPr>
        <w:t xml:space="preserve">Accommodations the team carries — </w:t>
      </w:r>
      <w:r>
        <w:rPr>
          <w:b w:val="0"/>
        </w:rPr>
        <w:t>The team accommodates IAEA tamper-evident seals and continuous telemetry on material enriched above five percent. The team accommodates the single confidence-building transfer to Omani custody with Iranian observer access. The team accommodates a verified, reversible relief sequence rather than immediate full relief.</w:t>
      </w:r>
    </w:p>
    <w:p>
      <w:pPr>
        <w:spacing w:after="80"/>
        <w:ind w:left="360"/>
      </w:pPr>
      <w:r>
        <w:rPr>
          <w:b/>
        </w:rPr>
        <w:t xml:space="preserve">Excluded topics — </w:t>
      </w:r>
      <w:r>
        <w:rPr>
          <w:b w:val="0"/>
        </w:rPr>
        <w:t>The internal characterization of the framework to the United States public remains the sovereign choice of the United States Party. Recognition questions unrelated to the nuclear and maritime architecture remain outside scope.</w:t>
      </w:r>
    </w:p>
    <w:p>
      <w:pPr>
        <w:pStyle w:val="Heading3"/>
      </w:pPr>
      <w:r>
        <w:t>J.1.3 — Mandate Pairing Matrix</w:t>
      </w:r>
    </w:p>
    <w:p>
      <w:pPr>
        <w:spacing w:after="120"/>
      </w:pPr>
      <w:r>
        <w:rPr>
          <w:i w:val="0"/>
        </w:rPr>
        <w:t>The two mandates interlock. Each row below states a matched pair in which one Party's red line corresponds to an accommodation the other Party's mandate already carries, so that neither envelope demands a concession the other excludes.</w:t>
      </w:r>
    </w:p>
    <w:tbl>
      <w:tblPr>
        <w:tblW w:type="auto" w:w="0"/>
        <w:jc w:val="center"/>
        <w:tblLayout w:type="autofit"/>
        <w:tblLook w:firstColumn="1" w:firstRow="1" w:lastColumn="0" w:lastRow="0" w:noHBand="0" w:noVBand="1" w:val="04A0"/>
      </w:tblPr>
      <w:tblGrid>
        <w:gridCol w:w="3009"/>
        <w:gridCol w:w="3009"/>
        <w:gridCol w:w="3009"/>
      </w:tblGrid>
      <w:tr>
        <w:tc>
          <w:tcPr>
            <w:tcW w:type="dxa" w:w="3009"/>
            <w:shd w:val="clear" w:color="auto" w:fill="1F496E"/>
            <w:tcBorders>
              <w:top w:val="single" w:sz="4" w:color="BBBBBB"/>
              <w:left w:val="single" w:sz="4" w:color="BBBBBB"/>
              <w:bottom w:val="single" w:sz="4" w:color="BBBBBB"/>
              <w:right w:val="single" w:sz="4" w:color="BBBBBB"/>
            </w:tcBorders>
          </w:tcPr>
          <w:p>
            <w:r/>
            <w:r>
              <w:rPr>
                <w:b/>
                <w:color w:val="FFFFFF"/>
                <w:sz w:val="19"/>
              </w:rPr>
              <w:t>United States Mandate Element</w:t>
            </w:r>
          </w:p>
        </w:tc>
        <w:tc>
          <w:tcPr>
            <w:tcW w:type="dxa" w:w="3009"/>
            <w:shd w:val="clear" w:color="auto" w:fill="1F496E"/>
            <w:tcBorders>
              <w:top w:val="single" w:sz="4" w:color="BBBBBB"/>
              <w:left w:val="single" w:sz="4" w:color="BBBBBB"/>
              <w:bottom w:val="single" w:sz="4" w:color="BBBBBB"/>
              <w:right w:val="single" w:sz="4" w:color="BBBBBB"/>
            </w:tcBorders>
          </w:tcPr>
          <w:p>
            <w:r/>
            <w:r>
              <w:rPr>
                <w:b/>
                <w:color w:val="FFFFFF"/>
                <w:sz w:val="19"/>
              </w:rPr>
              <w:t>Paired Iranian Mandate Element</w:t>
            </w:r>
          </w:p>
        </w:tc>
        <w:tc>
          <w:tcPr>
            <w:tcW w:type="dxa" w:w="3009"/>
            <w:shd w:val="clear" w:color="auto" w:fill="1F496E"/>
            <w:tcBorders>
              <w:top w:val="single" w:sz="4" w:color="BBBBBB"/>
              <w:left w:val="single" w:sz="4" w:color="BBBBBB"/>
              <w:bottom w:val="single" w:sz="4" w:color="BBBBBB"/>
              <w:right w:val="single" w:sz="4" w:color="BBBBBB"/>
            </w:tcBorders>
          </w:tcPr>
          <w:p>
            <w:r/>
            <w:r>
              <w:rPr>
                <w:b/>
                <w:color w:val="FFFFFF"/>
                <w:sz w:val="19"/>
              </w:rPr>
              <w:t>Synchronization Logic</w:t>
            </w:r>
          </w:p>
        </w:tc>
      </w:tr>
      <w:tr>
        <w:tc>
          <w:tcPr>
            <w:tcW w:type="dxa" w:w="3009"/>
            <w:tcBorders>
              <w:top w:val="single" w:sz="4" w:color="BBBBBB"/>
              <w:left w:val="single" w:sz="4" w:color="BBBBBB"/>
              <w:bottom w:val="single" w:sz="4" w:color="BBBBBB"/>
              <w:right w:val="single" w:sz="4" w:color="BBBBBB"/>
            </w:tcBorders>
          </w:tcPr>
          <w:p>
            <w:r/>
            <w:r>
              <w:rPr>
                <w:sz w:val="19"/>
              </w:rPr>
              <w:t>No nuclear weapon pathway</w:t>
            </w:r>
          </w:p>
        </w:tc>
        <w:tc>
          <w:tcPr>
            <w:tcW w:type="dxa" w:w="3009"/>
            <w:tcBorders>
              <w:top w:val="single" w:sz="4" w:color="BBBBBB"/>
              <w:left w:val="single" w:sz="4" w:color="BBBBBB"/>
              <w:bottom w:val="single" w:sz="4" w:color="BBBBBB"/>
              <w:right w:val="single" w:sz="4" w:color="BBBBBB"/>
            </w:tcBorders>
          </w:tcPr>
          <w:p>
            <w:r/>
            <w:r>
              <w:rPr>
                <w:sz w:val="19"/>
              </w:rPr>
              <w:t>Continuous IAEA telemetry on &gt;5% material</w:t>
            </w:r>
          </w:p>
        </w:tc>
        <w:tc>
          <w:tcPr>
            <w:tcW w:type="dxa" w:w="3009"/>
            <w:tcBorders>
              <w:top w:val="single" w:sz="4" w:color="BBBBBB"/>
              <w:left w:val="single" w:sz="4" w:color="BBBBBB"/>
              <w:bottom w:val="single" w:sz="4" w:color="BBBBBB"/>
              <w:right w:val="single" w:sz="4" w:color="BBBBBB"/>
            </w:tcBorders>
          </w:tcPr>
          <w:p>
            <w:r/>
            <w:r>
              <w:rPr>
                <w:sz w:val="19"/>
              </w:rPr>
              <w:t>Verification architecture satisfies both red lines simultaneously</w:t>
            </w:r>
          </w:p>
        </w:tc>
      </w:tr>
      <w:tr>
        <w:tc>
          <w:tcPr>
            <w:tcW w:type="dxa" w:w="3009"/>
            <w:tcBorders>
              <w:top w:val="single" w:sz="4" w:color="BBBBBB"/>
              <w:left w:val="single" w:sz="4" w:color="BBBBBB"/>
              <w:bottom w:val="single" w:sz="4" w:color="BBBBBB"/>
              <w:right w:val="single" w:sz="4" w:color="BBBBBB"/>
            </w:tcBorders>
            <w:shd w:val="clear" w:color="auto" w:fill="EEF2F7"/>
          </w:tcPr>
          <w:p>
            <w:r/>
            <w:r>
              <w:rPr>
                <w:sz w:val="19"/>
              </w:rPr>
              <w:t>No premature irreversible relief</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Reversible, milestone-tracked relief</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Relief sequencing pairs each tranche with a verified step</w:t>
            </w:r>
          </w:p>
        </w:tc>
      </w:tr>
      <w:tr>
        <w:tc>
          <w:tcPr>
            <w:tcW w:type="dxa" w:w="3009"/>
            <w:tcBorders>
              <w:top w:val="single" w:sz="4" w:color="BBBBBB"/>
              <w:left w:val="single" w:sz="4" w:color="BBBBBB"/>
              <w:bottom w:val="single" w:sz="4" w:color="BBBBBB"/>
              <w:right w:val="single" w:sz="4" w:color="BBBBBB"/>
            </w:tcBorders>
          </w:tcPr>
          <w:p>
            <w:r/>
            <w:r>
              <w:rPr>
                <w:sz w:val="19"/>
              </w:rPr>
              <w:t>Accommodate retained enrichment at 3.67%</w:t>
            </w:r>
          </w:p>
        </w:tc>
        <w:tc>
          <w:tcPr>
            <w:tcW w:type="dxa" w:w="3009"/>
            <w:tcBorders>
              <w:top w:val="single" w:sz="4" w:color="BBBBBB"/>
              <w:left w:val="single" w:sz="4" w:color="BBBBBB"/>
              <w:bottom w:val="single" w:sz="4" w:color="BBBBBB"/>
              <w:right w:val="single" w:sz="4" w:color="BBBBBB"/>
            </w:tcBorders>
          </w:tcPr>
          <w:p>
            <w:r/>
            <w:r>
              <w:rPr>
                <w:sz w:val="19"/>
              </w:rPr>
              <w:t>No dismantlement of declared facilities</w:t>
            </w:r>
          </w:p>
        </w:tc>
        <w:tc>
          <w:tcPr>
            <w:tcW w:type="dxa" w:w="3009"/>
            <w:tcBorders>
              <w:top w:val="single" w:sz="4" w:color="BBBBBB"/>
              <w:left w:val="single" w:sz="4" w:color="BBBBBB"/>
              <w:bottom w:val="single" w:sz="4" w:color="BBBBBB"/>
              <w:right w:val="single" w:sz="4" w:color="BBBBBB"/>
            </w:tcBorders>
          </w:tcPr>
          <w:p>
            <w:r/>
            <w:r>
              <w:rPr>
                <w:sz w:val="19"/>
              </w:rPr>
              <w:t>Civilian-level enrichment continues under monitoring</w:t>
            </w:r>
          </w:p>
        </w:tc>
      </w:tr>
      <w:tr>
        <w:tc>
          <w:tcPr>
            <w:tcW w:type="dxa" w:w="3009"/>
            <w:tcBorders>
              <w:top w:val="single" w:sz="4" w:color="BBBBBB"/>
              <w:left w:val="single" w:sz="4" w:color="BBBBBB"/>
              <w:bottom w:val="single" w:sz="4" w:color="BBBBBB"/>
              <w:right w:val="single" w:sz="4" w:color="BBBBBB"/>
            </w:tcBorders>
            <w:shd w:val="clear" w:color="auto" w:fill="EEF2F7"/>
          </w:tcPr>
          <w:p>
            <w:r/>
            <w:r>
              <w:rPr>
                <w:sz w:val="19"/>
              </w:rPr>
              <w:t>Accommodate in-country sealed custody</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No forced export beyond the swap</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Custody resides in Iran under seals; one defined transfer activates</w:t>
            </w:r>
          </w:p>
        </w:tc>
      </w:tr>
      <w:tr>
        <w:tc>
          <w:tcPr>
            <w:tcW w:type="dxa" w:w="3009"/>
            <w:tcBorders>
              <w:top w:val="single" w:sz="4" w:color="BBBBBB"/>
              <w:left w:val="single" w:sz="4" w:color="BBBBBB"/>
              <w:bottom w:val="single" w:sz="4" w:color="BBBBBB"/>
              <w:right w:val="single" w:sz="4" w:color="BBBBBB"/>
            </w:tcBorders>
          </w:tcPr>
          <w:p>
            <w:r/>
            <w:r>
              <w:rPr>
                <w:sz w:val="19"/>
              </w:rPr>
              <w:t>Missiles outside scope</w:t>
            </w:r>
          </w:p>
        </w:tc>
        <w:tc>
          <w:tcPr>
            <w:tcW w:type="dxa" w:w="3009"/>
            <w:tcBorders>
              <w:top w:val="single" w:sz="4" w:color="BBBBBB"/>
              <w:left w:val="single" w:sz="4" w:color="BBBBBB"/>
              <w:bottom w:val="single" w:sz="4" w:color="BBBBBB"/>
              <w:right w:val="single" w:sz="4" w:color="BBBBBB"/>
            </w:tcBorders>
          </w:tcPr>
          <w:p>
            <w:r/>
            <w:r>
              <w:rPr>
                <w:sz w:val="19"/>
              </w:rPr>
              <w:t>Equal-sovereign treatment</w:t>
            </w:r>
          </w:p>
        </w:tc>
        <w:tc>
          <w:tcPr>
            <w:tcW w:type="dxa" w:w="3009"/>
            <w:tcBorders>
              <w:top w:val="single" w:sz="4" w:color="BBBBBB"/>
              <w:left w:val="single" w:sz="4" w:color="BBBBBB"/>
              <w:bottom w:val="single" w:sz="4" w:color="BBBBBB"/>
              <w:right w:val="single" w:sz="4" w:color="BBBBBB"/>
            </w:tcBorders>
          </w:tcPr>
          <w:p>
            <w:r/>
            <w:r>
              <w:rPr>
                <w:sz w:val="19"/>
              </w:rPr>
              <w:t>Excluded topics protect both envelopes from overreach</w:t>
            </w:r>
          </w:p>
        </w:tc>
      </w:tr>
    </w:tbl>
    <w:p>
      <w:pPr>
        <w:spacing w:after="40"/>
      </w:pPr>
    </w:p>
    <w:p>
      <w:pPr>
        <w:pStyle w:val="Heading2"/>
      </w:pPr>
      <w:r>
        <w:t>J.2 Domestic Approval Requirements</w:t>
      </w:r>
    </w:p>
    <w:p>
      <w:pPr>
        <w:spacing w:after="120"/>
      </w:pPr>
      <w:r>
        <w:rPr>
          <w:i w:val="0"/>
        </w:rPr>
        <w:t>This section maps the constitutional, legislative, and executive architecture through which each Party converts the Compact into binding national commitment. The framework treats domestic approval as a parallel reciprocity track: each Party's ratification step pairs with the other Party's corresponding step, and the Neutral Guarantor confirms simultaneous progress.</w:t>
      </w:r>
    </w:p>
    <w:p>
      <w:pPr>
        <w:pStyle w:val="Heading3"/>
      </w:pPr>
      <w:r>
        <w:t>J.2.1 — United States Approval Architecture (Model)</w:t>
      </w:r>
    </w:p>
    <w:p>
      <w:pPr>
        <w:spacing w:after="80"/>
        <w:ind w:left="360"/>
      </w:pPr>
      <w:r>
        <w:rPr>
          <w:b/>
        </w:rPr>
        <w:t xml:space="preserve">Executive authority — </w:t>
      </w:r>
      <w:r>
        <w:rPr>
          <w:b w:val="0"/>
        </w:rPr>
        <w:t>The President enters the Compact as an executive political commitment. Existing statutory waiver authorities activate the sanctions provisions during the implementation window without immediate new legislation.</w:t>
      </w:r>
    </w:p>
    <w:p>
      <w:pPr>
        <w:spacing w:after="80"/>
        <w:ind w:left="360"/>
      </w:pPr>
      <w:r>
        <w:rPr>
          <w:b/>
        </w:rPr>
        <w:t xml:space="preserve">Legislative interface — </w:t>
      </w:r>
      <w:r>
        <w:rPr>
          <w:b w:val="0"/>
        </w:rPr>
        <w:t>The Administration notifies the relevant congressional committees inside the statutory review windows that govern sanctions waivers and asset actions. Notification triggers the review clock; the framework sequences relief so each tranche aligns with a completed notification.</w:t>
      </w:r>
    </w:p>
    <w:p>
      <w:pPr>
        <w:spacing w:after="80"/>
        <w:ind w:left="360"/>
      </w:pPr>
      <w:r>
        <w:rPr>
          <w:b/>
        </w:rPr>
        <w:t xml:space="preserve">Constitutional posture — </w:t>
      </w:r>
      <w:r>
        <w:rPr>
          <w:b w:val="0"/>
        </w:rPr>
        <w:t>The Compact creates no self-executing domestic law and asserts no treaty status under the Treaty Clause. It operates as a reversible executive arrangement, which preserves the No-Precedent principle and keeps every commitment inside existing executive authority.</w:t>
      </w:r>
    </w:p>
    <w:p>
      <w:pPr>
        <w:spacing w:after="80"/>
        <w:ind w:left="360"/>
      </w:pPr>
      <w:r>
        <w:rPr>
          <w:b/>
        </w:rPr>
        <w:t xml:space="preserve">Durability mechanism — </w:t>
      </w:r>
      <w:r>
        <w:rPr>
          <w:b w:val="0"/>
        </w:rPr>
        <w:t>The framework's reversibility protects the arrangement against a single-administration cancellation risk: relief tranches that an administration unwinds re-enter the Step-Back and Earn-Back architecture rather than collapsing the entire Compact.</w:t>
      </w:r>
    </w:p>
    <w:p>
      <w:pPr>
        <w:pStyle w:val="Heading3"/>
      </w:pPr>
      <w:r>
        <w:t>J.2.2 — Islamic Republic of Iran Approval Architecture (Model)</w:t>
      </w:r>
    </w:p>
    <w:p>
      <w:pPr>
        <w:spacing w:after="80"/>
        <w:ind w:left="360"/>
      </w:pPr>
      <w:r>
        <w:rPr>
          <w:b/>
        </w:rPr>
        <w:t xml:space="preserve">Supreme leadership authorization — </w:t>
      </w:r>
      <w:r>
        <w:rPr>
          <w:b w:val="0"/>
        </w:rPr>
        <w:t>The framework activates upon the authorization that the Iranian constitutional order assigns to its highest authority for matters of national security. This authorization functions as the Iranian counterpart to executive entry on the United States side.</w:t>
      </w:r>
    </w:p>
    <w:p>
      <w:pPr>
        <w:spacing w:after="80"/>
        <w:ind w:left="360"/>
      </w:pPr>
      <w:r>
        <w:rPr>
          <w:b/>
        </w:rPr>
        <w:t xml:space="preserve">Supreme National Security Council — </w:t>
      </w:r>
      <w:r>
        <w:rPr>
          <w:b w:val="0"/>
        </w:rPr>
        <w:t>The Supreme National Security Council reviews and endorses the framework, and its endorsement, once ratified, carries binding domestic weight inside the Iranian system.</w:t>
      </w:r>
    </w:p>
    <w:p>
      <w:pPr>
        <w:spacing w:after="80"/>
        <w:ind w:left="360"/>
      </w:pPr>
      <w:r>
        <w:rPr>
          <w:b/>
        </w:rPr>
        <w:t xml:space="preserve">Parliamentary interface — </w:t>
      </w:r>
      <w:r>
        <w:rPr>
          <w:b w:val="0"/>
        </w:rPr>
        <w:t>The Islamic Consultative Assembly receives the framework for the review its procedures define. The framework sequences Iranian commitments so each activation aligns with the completed domestic endorsement step.</w:t>
      </w:r>
    </w:p>
    <w:p>
      <w:pPr>
        <w:spacing w:after="80"/>
        <w:ind w:left="360"/>
      </w:pPr>
      <w:r>
        <w:rPr>
          <w:b/>
        </w:rPr>
        <w:t xml:space="preserve">Durability mechanism — </w:t>
      </w:r>
      <w:r>
        <w:rPr>
          <w:b w:val="0"/>
        </w:rPr>
        <w:t>Iranian retention of ownership and physical possession of all sealed material anchors domestic durability: the framework asks for no irreversible national concession, which keeps the arrangement defensible inside the Iranian political system.</w:t>
      </w:r>
    </w:p>
    <w:p>
      <w:pPr>
        <w:pStyle w:val="Heading3"/>
      </w:pPr>
      <w:r>
        <w:t>J.2.3 — Approval Synchronization Map</w:t>
      </w:r>
    </w:p>
    <w:tbl>
      <w:tblPr>
        <w:tblW w:type="auto" w:w="0"/>
        <w:jc w:val="center"/>
        <w:tblLayout w:type="autofit"/>
        <w:tblLook w:firstColumn="1" w:firstRow="1" w:lastColumn="0" w:lastRow="0" w:noHBand="0" w:noVBand="1" w:val="04A0"/>
      </w:tblPr>
      <w:tblGrid>
        <w:gridCol w:w="2256"/>
        <w:gridCol w:w="2256"/>
        <w:gridCol w:w="2256"/>
        <w:gridCol w:w="2256"/>
      </w:tblGrid>
      <w:tr>
        <w:tc>
          <w:tcPr>
            <w:tcW w:type="dxa" w:w="2256"/>
            <w:shd w:val="clear" w:color="auto" w:fill="1F496E"/>
            <w:tcBorders>
              <w:top w:val="single" w:sz="4" w:color="BBBBBB"/>
              <w:left w:val="single" w:sz="4" w:color="BBBBBB"/>
              <w:bottom w:val="single" w:sz="4" w:color="BBBBBB"/>
              <w:right w:val="single" w:sz="4" w:color="BBBBBB"/>
            </w:tcBorders>
          </w:tcPr>
          <w:p>
            <w:r/>
            <w:r>
              <w:rPr>
                <w:b/>
                <w:color w:val="FFFFFF"/>
                <w:sz w:val="19"/>
              </w:rPr>
              <w:t>Sequence Point</w:t>
            </w:r>
          </w:p>
        </w:tc>
        <w:tc>
          <w:tcPr>
            <w:tcW w:type="dxa" w:w="2256"/>
            <w:shd w:val="clear" w:color="auto" w:fill="1F496E"/>
            <w:tcBorders>
              <w:top w:val="single" w:sz="4" w:color="BBBBBB"/>
              <w:left w:val="single" w:sz="4" w:color="BBBBBB"/>
              <w:bottom w:val="single" w:sz="4" w:color="BBBBBB"/>
              <w:right w:val="single" w:sz="4" w:color="BBBBBB"/>
            </w:tcBorders>
          </w:tcPr>
          <w:p>
            <w:r/>
            <w:r>
              <w:rPr>
                <w:b/>
                <w:color w:val="FFFFFF"/>
                <w:sz w:val="19"/>
              </w:rPr>
              <w:t>United States Step</w:t>
            </w:r>
          </w:p>
        </w:tc>
        <w:tc>
          <w:tcPr>
            <w:tcW w:type="dxa" w:w="2256"/>
            <w:shd w:val="clear" w:color="auto" w:fill="1F496E"/>
            <w:tcBorders>
              <w:top w:val="single" w:sz="4" w:color="BBBBBB"/>
              <w:left w:val="single" w:sz="4" w:color="BBBBBB"/>
              <w:bottom w:val="single" w:sz="4" w:color="BBBBBB"/>
              <w:right w:val="single" w:sz="4" w:color="BBBBBB"/>
            </w:tcBorders>
          </w:tcPr>
          <w:p>
            <w:r/>
            <w:r>
              <w:rPr>
                <w:b/>
                <w:color w:val="FFFFFF"/>
                <w:sz w:val="19"/>
              </w:rPr>
              <w:t>Iranian Step</w:t>
            </w:r>
          </w:p>
        </w:tc>
        <w:tc>
          <w:tcPr>
            <w:tcW w:type="dxa" w:w="2256"/>
            <w:shd w:val="clear" w:color="auto" w:fill="1F496E"/>
            <w:tcBorders>
              <w:top w:val="single" w:sz="4" w:color="BBBBBB"/>
              <w:left w:val="single" w:sz="4" w:color="BBBBBB"/>
              <w:bottom w:val="single" w:sz="4" w:color="BBBBBB"/>
              <w:right w:val="single" w:sz="4" w:color="BBBBBB"/>
            </w:tcBorders>
          </w:tcPr>
          <w:p>
            <w:r/>
            <w:r>
              <w:rPr>
                <w:b/>
                <w:color w:val="FFFFFF"/>
                <w:sz w:val="19"/>
              </w:rPr>
              <w:t>Guarantor Confirmation</w:t>
            </w:r>
          </w:p>
        </w:tc>
      </w:tr>
      <w:tr>
        <w:tc>
          <w:tcPr>
            <w:tcW w:type="dxa" w:w="2256"/>
            <w:tcBorders>
              <w:top w:val="single" w:sz="4" w:color="BBBBBB"/>
              <w:left w:val="single" w:sz="4" w:color="BBBBBB"/>
              <w:bottom w:val="single" w:sz="4" w:color="BBBBBB"/>
              <w:right w:val="single" w:sz="4" w:color="BBBBBB"/>
            </w:tcBorders>
          </w:tcPr>
          <w:p>
            <w:r/>
            <w:r>
              <w:rPr>
                <w:sz w:val="19"/>
              </w:rPr>
              <w:t>Entry</w:t>
            </w:r>
          </w:p>
        </w:tc>
        <w:tc>
          <w:tcPr>
            <w:tcW w:type="dxa" w:w="2256"/>
            <w:tcBorders>
              <w:top w:val="single" w:sz="4" w:color="BBBBBB"/>
              <w:left w:val="single" w:sz="4" w:color="BBBBBB"/>
              <w:bottom w:val="single" w:sz="4" w:color="BBBBBB"/>
              <w:right w:val="single" w:sz="4" w:color="BBBBBB"/>
            </w:tcBorders>
          </w:tcPr>
          <w:p>
            <w:r/>
            <w:r>
              <w:rPr>
                <w:sz w:val="19"/>
              </w:rPr>
              <w:t>Executive political commitment</w:t>
            </w:r>
          </w:p>
        </w:tc>
        <w:tc>
          <w:tcPr>
            <w:tcW w:type="dxa" w:w="2256"/>
            <w:tcBorders>
              <w:top w:val="single" w:sz="4" w:color="BBBBBB"/>
              <w:left w:val="single" w:sz="4" w:color="BBBBBB"/>
              <w:bottom w:val="single" w:sz="4" w:color="BBBBBB"/>
              <w:right w:val="single" w:sz="4" w:color="BBBBBB"/>
            </w:tcBorders>
          </w:tcPr>
          <w:p>
            <w:r/>
            <w:r>
              <w:rPr>
                <w:sz w:val="19"/>
              </w:rPr>
              <w:t>Highest-authority authorization</w:t>
            </w:r>
          </w:p>
        </w:tc>
        <w:tc>
          <w:tcPr>
            <w:tcW w:type="dxa" w:w="2256"/>
            <w:tcBorders>
              <w:top w:val="single" w:sz="4" w:color="BBBBBB"/>
              <w:left w:val="single" w:sz="4" w:color="BBBBBB"/>
              <w:bottom w:val="single" w:sz="4" w:color="BBBBBB"/>
              <w:right w:val="single" w:sz="4" w:color="BBBBBB"/>
            </w:tcBorders>
          </w:tcPr>
          <w:p>
            <w:r/>
            <w:r>
              <w:rPr>
                <w:sz w:val="19"/>
              </w:rPr>
              <w:t>Joint confirmation of mutual entry</w:t>
            </w:r>
          </w:p>
        </w:tc>
      </w:tr>
      <w:tr>
        <w:tc>
          <w:tcPr>
            <w:tcW w:type="dxa" w:w="2256"/>
            <w:tcBorders>
              <w:top w:val="single" w:sz="4" w:color="BBBBBB"/>
              <w:left w:val="single" w:sz="4" w:color="BBBBBB"/>
              <w:bottom w:val="single" w:sz="4" w:color="BBBBBB"/>
              <w:right w:val="single" w:sz="4" w:color="BBBBBB"/>
            </w:tcBorders>
            <w:shd w:val="clear" w:color="auto" w:fill="EEF2F7"/>
          </w:tcPr>
          <w:p>
            <w:r/>
            <w:r>
              <w:rPr>
                <w:sz w:val="19"/>
              </w:rPr>
              <w:t>Review clock</w:t>
            </w:r>
          </w:p>
        </w:tc>
        <w:tc>
          <w:tcPr>
            <w:tcW w:type="dxa" w:w="2256"/>
            <w:tcBorders>
              <w:top w:val="single" w:sz="4" w:color="BBBBBB"/>
              <w:left w:val="single" w:sz="4" w:color="BBBBBB"/>
              <w:bottom w:val="single" w:sz="4" w:color="BBBBBB"/>
              <w:right w:val="single" w:sz="4" w:color="BBBBBB"/>
            </w:tcBorders>
            <w:shd w:val="clear" w:color="auto" w:fill="EEF2F7"/>
          </w:tcPr>
          <w:p>
            <w:r/>
            <w:r>
              <w:rPr>
                <w:sz w:val="19"/>
              </w:rPr>
              <w:t>Congressional committee notification</w:t>
            </w:r>
          </w:p>
        </w:tc>
        <w:tc>
          <w:tcPr>
            <w:tcW w:type="dxa" w:w="2256"/>
            <w:tcBorders>
              <w:top w:val="single" w:sz="4" w:color="BBBBBB"/>
              <w:left w:val="single" w:sz="4" w:color="BBBBBB"/>
              <w:bottom w:val="single" w:sz="4" w:color="BBBBBB"/>
              <w:right w:val="single" w:sz="4" w:color="BBBBBB"/>
            </w:tcBorders>
            <w:shd w:val="clear" w:color="auto" w:fill="EEF2F7"/>
          </w:tcPr>
          <w:p>
            <w:r/>
            <w:r>
              <w:rPr>
                <w:sz w:val="19"/>
              </w:rPr>
              <w:t>Assembly receipt and review</w:t>
            </w:r>
          </w:p>
        </w:tc>
        <w:tc>
          <w:tcPr>
            <w:tcW w:type="dxa" w:w="2256"/>
            <w:tcBorders>
              <w:top w:val="single" w:sz="4" w:color="BBBBBB"/>
              <w:left w:val="single" w:sz="4" w:color="BBBBBB"/>
              <w:bottom w:val="single" w:sz="4" w:color="BBBBBB"/>
              <w:right w:val="single" w:sz="4" w:color="BBBBBB"/>
            </w:tcBorders>
            <w:shd w:val="clear" w:color="auto" w:fill="EEF2F7"/>
          </w:tcPr>
          <w:p>
            <w:r/>
            <w:r>
              <w:rPr>
                <w:sz w:val="19"/>
              </w:rPr>
              <w:t>Parallel-progress dashboard entry</w:t>
            </w:r>
          </w:p>
        </w:tc>
      </w:tr>
      <w:tr>
        <w:tc>
          <w:tcPr>
            <w:tcW w:type="dxa" w:w="2256"/>
            <w:tcBorders>
              <w:top w:val="single" w:sz="4" w:color="BBBBBB"/>
              <w:left w:val="single" w:sz="4" w:color="BBBBBB"/>
              <w:bottom w:val="single" w:sz="4" w:color="BBBBBB"/>
              <w:right w:val="single" w:sz="4" w:color="BBBBBB"/>
            </w:tcBorders>
          </w:tcPr>
          <w:p>
            <w:r/>
            <w:r>
              <w:rPr>
                <w:sz w:val="19"/>
              </w:rPr>
              <w:t>Activation gate</w:t>
            </w:r>
          </w:p>
        </w:tc>
        <w:tc>
          <w:tcPr>
            <w:tcW w:type="dxa" w:w="2256"/>
            <w:tcBorders>
              <w:top w:val="single" w:sz="4" w:color="BBBBBB"/>
              <w:left w:val="single" w:sz="4" w:color="BBBBBB"/>
              <w:bottom w:val="single" w:sz="4" w:color="BBBBBB"/>
              <w:right w:val="single" w:sz="4" w:color="BBBBBB"/>
            </w:tcBorders>
          </w:tcPr>
          <w:p>
            <w:r/>
            <w:r>
              <w:rPr>
                <w:sz w:val="19"/>
              </w:rPr>
              <w:t>Statutory waiver execution</w:t>
            </w:r>
          </w:p>
        </w:tc>
        <w:tc>
          <w:tcPr>
            <w:tcW w:type="dxa" w:w="2256"/>
            <w:tcBorders>
              <w:top w:val="single" w:sz="4" w:color="BBBBBB"/>
              <w:left w:val="single" w:sz="4" w:color="BBBBBB"/>
              <w:bottom w:val="single" w:sz="4" w:color="BBBBBB"/>
              <w:right w:val="single" w:sz="4" w:color="BBBBBB"/>
            </w:tcBorders>
          </w:tcPr>
          <w:p>
            <w:r/>
            <w:r>
              <w:rPr>
                <w:sz w:val="19"/>
              </w:rPr>
              <w:t>Security Council endorsement</w:t>
            </w:r>
          </w:p>
        </w:tc>
        <w:tc>
          <w:tcPr>
            <w:tcW w:type="dxa" w:w="2256"/>
            <w:tcBorders>
              <w:top w:val="single" w:sz="4" w:color="BBBBBB"/>
              <w:left w:val="single" w:sz="4" w:color="BBBBBB"/>
              <w:bottom w:val="single" w:sz="4" w:color="BBBBBB"/>
              <w:right w:val="single" w:sz="4" w:color="BBBBBB"/>
            </w:tcBorders>
          </w:tcPr>
          <w:p>
            <w:r/>
            <w:r>
              <w:rPr>
                <w:sz w:val="19"/>
              </w:rPr>
              <w:t>Guarantor verifies simultaneity</w:t>
            </w:r>
          </w:p>
        </w:tc>
      </w:tr>
      <w:tr>
        <w:tc>
          <w:tcPr>
            <w:tcW w:type="dxa" w:w="2256"/>
            <w:tcBorders>
              <w:top w:val="single" w:sz="4" w:color="BBBBBB"/>
              <w:left w:val="single" w:sz="4" w:color="BBBBBB"/>
              <w:bottom w:val="single" w:sz="4" w:color="BBBBBB"/>
              <w:right w:val="single" w:sz="4" w:color="BBBBBB"/>
            </w:tcBorders>
            <w:shd w:val="clear" w:color="auto" w:fill="EEF2F7"/>
          </w:tcPr>
          <w:p>
            <w:r/>
            <w:r>
              <w:rPr>
                <w:sz w:val="19"/>
              </w:rPr>
              <w:t>Renewal</w:t>
            </w:r>
          </w:p>
        </w:tc>
        <w:tc>
          <w:tcPr>
            <w:tcW w:type="dxa" w:w="2256"/>
            <w:tcBorders>
              <w:top w:val="single" w:sz="4" w:color="BBBBBB"/>
              <w:left w:val="single" w:sz="4" w:color="BBBBBB"/>
              <w:bottom w:val="single" w:sz="4" w:color="BBBBBB"/>
              <w:right w:val="single" w:sz="4" w:color="BBBBBB"/>
            </w:tcBorders>
            <w:shd w:val="clear" w:color="auto" w:fill="EEF2F7"/>
          </w:tcPr>
          <w:p>
            <w:r/>
            <w:r>
              <w:rPr>
                <w:sz w:val="19"/>
              </w:rPr>
              <w:t>Waiver renewal inside the cycle</w:t>
            </w:r>
          </w:p>
        </w:tc>
        <w:tc>
          <w:tcPr>
            <w:tcW w:type="dxa" w:w="2256"/>
            <w:tcBorders>
              <w:top w:val="single" w:sz="4" w:color="BBBBBB"/>
              <w:left w:val="single" w:sz="4" w:color="BBBBBB"/>
              <w:bottom w:val="single" w:sz="4" w:color="BBBBBB"/>
              <w:right w:val="single" w:sz="4" w:color="BBBBBB"/>
            </w:tcBorders>
            <w:shd w:val="clear" w:color="auto" w:fill="EEF2F7"/>
          </w:tcPr>
          <w:p>
            <w:r/>
            <w:r>
              <w:rPr>
                <w:sz w:val="19"/>
              </w:rPr>
              <w:t>Endorsement reaffirmation</w:t>
            </w:r>
          </w:p>
        </w:tc>
        <w:tc>
          <w:tcPr>
            <w:tcW w:type="dxa" w:w="2256"/>
            <w:tcBorders>
              <w:top w:val="single" w:sz="4" w:color="BBBBBB"/>
              <w:left w:val="single" w:sz="4" w:color="BBBBBB"/>
              <w:bottom w:val="single" w:sz="4" w:color="BBBBBB"/>
              <w:right w:val="single" w:sz="4" w:color="BBBBBB"/>
            </w:tcBorders>
            <w:shd w:val="clear" w:color="auto" w:fill="EEF2F7"/>
          </w:tcPr>
          <w:p>
            <w:r/>
            <w:r>
              <w:rPr>
                <w:sz w:val="19"/>
              </w:rPr>
              <w:t>Joint renewal statement</w:t>
            </w:r>
          </w:p>
        </w:tc>
      </w:tr>
    </w:tbl>
    <w:p>
      <w:pPr>
        <w:spacing w:after="40"/>
      </w:pPr>
    </w:p>
    <w:p>
      <w:pPr>
        <w:pStyle w:val="Heading2"/>
      </w:pPr>
      <w:r>
        <w:t>J.3 Regional Security Assessment Framework</w:t>
      </w:r>
    </w:p>
    <w:p>
      <w:pPr>
        <w:spacing w:after="120"/>
      </w:pPr>
      <w:r>
        <w:rPr>
          <w:i w:val="0"/>
        </w:rPr>
        <w:t>This section frames the threat, escalation, and proxy dynamics that surround the Compact. It operates as a model analytical framework rather than a record of any specific intelligence holding: it states the categories of risk the framework anticipates and the architectural feature that absorbs each category. The framework converts each risk into a managed pathway rather than an open vulnerability.</w:t>
      </w:r>
    </w:p>
    <w:p>
      <w:pPr>
        <w:pStyle w:val="Heading3"/>
      </w:pPr>
      <w:r>
        <w:t>J.3.1 — Threat Categories and Architectural Absorbers</w:t>
      </w:r>
    </w:p>
    <w:tbl>
      <w:tblPr>
        <w:tblW w:type="auto" w:w="0"/>
        <w:jc w:val="center"/>
        <w:tblLayout w:type="autofit"/>
        <w:tblLook w:firstColumn="1" w:firstRow="1" w:lastColumn="0" w:lastRow="0" w:noHBand="0" w:noVBand="1" w:val="04A0"/>
      </w:tblPr>
      <w:tblGrid>
        <w:gridCol w:w="3009"/>
        <w:gridCol w:w="3009"/>
        <w:gridCol w:w="3009"/>
      </w:tblGrid>
      <w:tr>
        <w:tc>
          <w:tcPr>
            <w:tcW w:type="dxa" w:w="3009"/>
            <w:shd w:val="clear" w:color="auto" w:fill="1F496E"/>
            <w:tcBorders>
              <w:top w:val="single" w:sz="4" w:color="BBBBBB"/>
              <w:left w:val="single" w:sz="4" w:color="BBBBBB"/>
              <w:bottom w:val="single" w:sz="4" w:color="BBBBBB"/>
              <w:right w:val="single" w:sz="4" w:color="BBBBBB"/>
            </w:tcBorders>
          </w:tcPr>
          <w:p>
            <w:r/>
            <w:r>
              <w:rPr>
                <w:b/>
                <w:color w:val="FFFFFF"/>
                <w:sz w:val="19"/>
              </w:rPr>
              <w:t>Risk Category</w:t>
            </w:r>
          </w:p>
        </w:tc>
        <w:tc>
          <w:tcPr>
            <w:tcW w:type="dxa" w:w="3009"/>
            <w:shd w:val="clear" w:color="auto" w:fill="1F496E"/>
            <w:tcBorders>
              <w:top w:val="single" w:sz="4" w:color="BBBBBB"/>
              <w:left w:val="single" w:sz="4" w:color="BBBBBB"/>
              <w:bottom w:val="single" w:sz="4" w:color="BBBBBB"/>
              <w:right w:val="single" w:sz="4" w:color="BBBBBB"/>
            </w:tcBorders>
          </w:tcPr>
          <w:p>
            <w:r/>
            <w:r>
              <w:rPr>
                <w:b/>
                <w:color w:val="FFFFFF"/>
                <w:sz w:val="19"/>
              </w:rPr>
              <w:t>Escalation Pathway</w:t>
            </w:r>
          </w:p>
        </w:tc>
        <w:tc>
          <w:tcPr>
            <w:tcW w:type="dxa" w:w="3009"/>
            <w:shd w:val="clear" w:color="auto" w:fill="1F496E"/>
            <w:tcBorders>
              <w:top w:val="single" w:sz="4" w:color="BBBBBB"/>
              <w:left w:val="single" w:sz="4" w:color="BBBBBB"/>
              <w:bottom w:val="single" w:sz="4" w:color="BBBBBB"/>
              <w:right w:val="single" w:sz="4" w:color="BBBBBB"/>
            </w:tcBorders>
          </w:tcPr>
          <w:p>
            <w:r/>
            <w:r>
              <w:rPr>
                <w:b/>
                <w:color w:val="FFFFFF"/>
                <w:sz w:val="19"/>
              </w:rPr>
              <w:t>Compact Feature That Absorbs It</w:t>
            </w:r>
          </w:p>
        </w:tc>
      </w:tr>
      <w:tr>
        <w:tc>
          <w:tcPr>
            <w:tcW w:type="dxa" w:w="3009"/>
            <w:tcBorders>
              <w:top w:val="single" w:sz="4" w:color="BBBBBB"/>
              <w:left w:val="single" w:sz="4" w:color="BBBBBB"/>
              <w:bottom w:val="single" w:sz="4" w:color="BBBBBB"/>
              <w:right w:val="single" w:sz="4" w:color="BBBBBB"/>
            </w:tcBorders>
          </w:tcPr>
          <w:p>
            <w:r/>
            <w:r>
              <w:rPr>
                <w:sz w:val="19"/>
              </w:rPr>
              <w:t>Maritime incident in the Strait</w:t>
            </w:r>
          </w:p>
        </w:tc>
        <w:tc>
          <w:tcPr>
            <w:tcW w:type="dxa" w:w="3009"/>
            <w:tcBorders>
              <w:top w:val="single" w:sz="4" w:color="BBBBBB"/>
              <w:left w:val="single" w:sz="4" w:color="BBBBBB"/>
              <w:bottom w:val="single" w:sz="4" w:color="BBBBBB"/>
              <w:right w:val="single" w:sz="4" w:color="BBBBBB"/>
            </w:tcBorders>
          </w:tcPr>
          <w:p>
            <w:r/>
            <w:r>
              <w:rPr>
                <w:sz w:val="19"/>
              </w:rPr>
              <w:t>Misread transit event triggers naval response</w:t>
            </w:r>
          </w:p>
        </w:tc>
        <w:tc>
          <w:tcPr>
            <w:tcW w:type="dxa" w:w="3009"/>
            <w:tcBorders>
              <w:top w:val="single" w:sz="4" w:color="BBBBBB"/>
              <w:left w:val="single" w:sz="4" w:color="BBBBBB"/>
              <w:bottom w:val="single" w:sz="4" w:color="BBBBBB"/>
              <w:right w:val="single" w:sz="4" w:color="BBBBBB"/>
            </w:tcBorders>
          </w:tcPr>
          <w:p>
            <w:r/>
            <w:r>
              <w:rPr>
                <w:sz w:val="19"/>
              </w:rPr>
              <w:t>Joint Maritime Coordination Center and deconfliction channel (Annex M)</w:t>
            </w:r>
          </w:p>
        </w:tc>
      </w:tr>
      <w:tr>
        <w:tc>
          <w:tcPr>
            <w:tcW w:type="dxa" w:w="3009"/>
            <w:tcBorders>
              <w:top w:val="single" w:sz="4" w:color="BBBBBB"/>
              <w:left w:val="single" w:sz="4" w:color="BBBBBB"/>
              <w:bottom w:val="single" w:sz="4" w:color="BBBBBB"/>
              <w:right w:val="single" w:sz="4" w:color="BBBBBB"/>
            </w:tcBorders>
            <w:shd w:val="clear" w:color="auto" w:fill="EEF2F7"/>
          </w:tcPr>
          <w:p>
            <w:r/>
            <w:r>
              <w:rPr>
                <w:sz w:val="19"/>
              </w:rPr>
              <w:t>Verification anomaly</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Sensor gap reads as concealment</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Human-in-the-Loop Review and correction window (Annex N)</w:t>
            </w:r>
          </w:p>
        </w:tc>
      </w:tr>
      <w:tr>
        <w:tc>
          <w:tcPr>
            <w:tcW w:type="dxa" w:w="3009"/>
            <w:tcBorders>
              <w:top w:val="single" w:sz="4" w:color="BBBBBB"/>
              <w:left w:val="single" w:sz="4" w:color="BBBBBB"/>
              <w:bottom w:val="single" w:sz="4" w:color="BBBBBB"/>
              <w:right w:val="single" w:sz="4" w:color="BBBBBB"/>
            </w:tcBorders>
          </w:tcPr>
          <w:p>
            <w:r/>
            <w:r>
              <w:rPr>
                <w:sz w:val="19"/>
              </w:rPr>
              <w:t>Proxy-attributed action</w:t>
            </w:r>
          </w:p>
        </w:tc>
        <w:tc>
          <w:tcPr>
            <w:tcW w:type="dxa" w:w="3009"/>
            <w:tcBorders>
              <w:top w:val="single" w:sz="4" w:color="BBBBBB"/>
              <w:left w:val="single" w:sz="4" w:color="BBBBBB"/>
              <w:bottom w:val="single" w:sz="4" w:color="BBBBBB"/>
              <w:right w:val="single" w:sz="4" w:color="BBBBBB"/>
            </w:tcBorders>
          </w:tcPr>
          <w:p>
            <w:r/>
            <w:r>
              <w:rPr>
                <w:sz w:val="19"/>
              </w:rPr>
              <w:t>Third-party act reads as state action</w:t>
            </w:r>
          </w:p>
        </w:tc>
        <w:tc>
          <w:tcPr>
            <w:tcW w:type="dxa" w:w="3009"/>
            <w:tcBorders>
              <w:top w:val="single" w:sz="4" w:color="BBBBBB"/>
              <w:left w:val="single" w:sz="4" w:color="BBBBBB"/>
              <w:bottom w:val="single" w:sz="4" w:color="BBBBBB"/>
              <w:right w:val="single" w:sz="4" w:color="BBBBBB"/>
            </w:tcBorders>
          </w:tcPr>
          <w:p>
            <w:r/>
            <w:r>
              <w:rPr>
                <w:sz w:val="19"/>
              </w:rPr>
              <w:t>Lebanon Ceasefire and Firewall Protocol and no-surprise commitment</w:t>
            </w:r>
          </w:p>
        </w:tc>
      </w:tr>
      <w:tr>
        <w:tc>
          <w:tcPr>
            <w:tcW w:type="dxa" w:w="3009"/>
            <w:tcBorders>
              <w:top w:val="single" w:sz="4" w:color="BBBBBB"/>
              <w:left w:val="single" w:sz="4" w:color="BBBBBB"/>
              <w:bottom w:val="single" w:sz="4" w:color="BBBBBB"/>
              <w:right w:val="single" w:sz="4" w:color="BBBBBB"/>
            </w:tcBorders>
            <w:shd w:val="clear" w:color="auto" w:fill="EEF2F7"/>
          </w:tcPr>
          <w:p>
            <w:r/>
            <w:r>
              <w:rPr>
                <w:sz w:val="19"/>
              </w:rPr>
              <w:t>Relief reversal</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Domestic backlash unwinds a tranche</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Step-Back and Earn-Back proportionality scale (Annex N)</w:t>
            </w:r>
          </w:p>
        </w:tc>
      </w:tr>
      <w:tr>
        <w:tc>
          <w:tcPr>
            <w:tcW w:type="dxa" w:w="3009"/>
            <w:tcBorders>
              <w:top w:val="single" w:sz="4" w:color="BBBBBB"/>
              <w:left w:val="single" w:sz="4" w:color="BBBBBB"/>
              <w:bottom w:val="single" w:sz="4" w:color="BBBBBB"/>
              <w:right w:val="single" w:sz="4" w:color="BBBBBB"/>
            </w:tcBorders>
          </w:tcPr>
          <w:p>
            <w:r/>
            <w:r>
              <w:rPr>
                <w:sz w:val="19"/>
              </w:rPr>
              <w:t>Information shock</w:t>
            </w:r>
          </w:p>
        </w:tc>
        <w:tc>
          <w:tcPr>
            <w:tcW w:type="dxa" w:w="3009"/>
            <w:tcBorders>
              <w:top w:val="single" w:sz="4" w:color="BBBBBB"/>
              <w:left w:val="single" w:sz="4" w:color="BBBBBB"/>
              <w:bottom w:val="single" w:sz="4" w:color="BBBBBB"/>
              <w:right w:val="single" w:sz="4" w:color="BBBBBB"/>
            </w:tcBorders>
          </w:tcPr>
          <w:p>
            <w:r/>
            <w:r>
              <w:rPr>
                <w:sz w:val="19"/>
              </w:rPr>
              <w:t>Media report outruns official channel</w:t>
            </w:r>
          </w:p>
        </w:tc>
        <w:tc>
          <w:tcPr>
            <w:tcW w:type="dxa" w:w="3009"/>
            <w:tcBorders>
              <w:top w:val="single" w:sz="4" w:color="BBBBBB"/>
              <w:left w:val="single" w:sz="4" w:color="BBBBBB"/>
              <w:bottom w:val="single" w:sz="4" w:color="BBBBBB"/>
              <w:right w:val="single" w:sz="4" w:color="BBBBBB"/>
            </w:tcBorders>
          </w:tcPr>
          <w:p>
            <w:r/>
            <w:r>
              <w:rPr>
                <w:sz w:val="19"/>
              </w:rPr>
              <w:t>Crisis-communication protocol and dashboard-only framing (Annex I)</w:t>
            </w:r>
          </w:p>
        </w:tc>
      </w:tr>
    </w:tbl>
    <w:p>
      <w:pPr>
        <w:spacing w:after="40"/>
      </w:pPr>
    </w:p>
    <w:p>
      <w:pPr>
        <w:pStyle w:val="Heading3"/>
      </w:pPr>
      <w:r>
        <w:t>J.3.2 — Proxy Dynamics Framing</w:t>
      </w:r>
    </w:p>
    <w:p>
      <w:pPr>
        <w:spacing w:after="120"/>
      </w:pPr>
      <w:r>
        <w:rPr>
          <w:i w:val="0"/>
        </w:rPr>
        <w:t>The framework treats proxy dynamics through the firewall architecture. A third-party action that neither Party directs does not propagate into the binding tracks. The framework attributes responsibility through the verification record rather than through assumption. This design feature converts the proxy-attribution problem from an escalation trigger into a managed consultation event.</w:t>
      </w:r>
    </w:p>
    <w:p>
      <w:pPr>
        <w:spacing w:after="80"/>
        <w:ind w:left="360"/>
      </w:pPr>
      <w:r>
        <w:rPr>
          <w:b/>
        </w:rPr>
        <w:t xml:space="preserve">Attribution discipline — </w:t>
      </w:r>
      <w:r>
        <w:rPr>
          <w:b w:val="0"/>
        </w:rPr>
        <w:t>A Party that detects a third-party action notifies the Joint Coordination Center with facts only, and the no-surprise commitment governs the exchange.</w:t>
      </w:r>
    </w:p>
    <w:p>
      <w:pPr>
        <w:spacing w:after="80"/>
        <w:ind w:left="360"/>
      </w:pPr>
      <w:r>
        <w:rPr>
          <w:b/>
        </w:rPr>
        <w:t xml:space="preserve">Containment — </w:t>
      </w:r>
      <w:r>
        <w:rPr>
          <w:b w:val="0"/>
        </w:rPr>
        <w:t>The firewalled-provisions design isolates a proxy-attributed dispute to its consultation track, and every other reciprocity unit continues operating.</w:t>
      </w:r>
    </w:p>
    <w:p>
      <w:pPr>
        <w:spacing w:after="80"/>
        <w:ind w:left="360"/>
      </w:pPr>
      <w:r>
        <w:rPr>
          <w:b/>
        </w:rPr>
        <w:t xml:space="preserve">Verification primacy — </w:t>
      </w:r>
      <w:r>
        <w:rPr>
          <w:b w:val="0"/>
        </w:rPr>
        <w:t>The telemetry record, not the political accusation, establishes whether a state action occurred. Absence of telemetry confirmation keeps the dispute inside consultation rather than inside breach.</w:t>
      </w:r>
    </w:p>
    <w:p>
      <w:pPr>
        <w:pStyle w:val="Heading3"/>
      </w:pPr>
      <w:r>
        <w:t>J.3.3 — Escalation-Risk Ladder</w:t>
      </w:r>
    </w:p>
    <w:p>
      <w:pPr>
        <w:spacing w:after="120"/>
      </w:pPr>
      <w:r>
        <w:rPr>
          <w:i w:val="0"/>
        </w:rPr>
        <w:t>The framework defines a graduated ladder so that a low-level event resolves at a low rung rather than climbing automatically. Each rung carries its own response, and movement up the ladder pairs with a defined trigger rather than with discretion.</w:t>
      </w:r>
    </w:p>
    <w:tbl>
      <w:tblPr>
        <w:tblW w:type="auto" w:w="0"/>
        <w:jc w:val="center"/>
        <w:tblLayout w:type="autofit"/>
        <w:tblLook w:firstColumn="1" w:firstRow="1" w:lastColumn="0" w:lastRow="0" w:noHBand="0" w:noVBand="1" w:val="04A0"/>
      </w:tblPr>
      <w:tblGrid>
        <w:gridCol w:w="3009"/>
        <w:gridCol w:w="3009"/>
        <w:gridCol w:w="3009"/>
      </w:tblGrid>
      <w:tr>
        <w:tc>
          <w:tcPr>
            <w:tcW w:type="dxa" w:w="3009"/>
            <w:shd w:val="clear" w:color="auto" w:fill="1F496E"/>
            <w:tcBorders>
              <w:top w:val="single" w:sz="4" w:color="BBBBBB"/>
              <w:left w:val="single" w:sz="4" w:color="BBBBBB"/>
              <w:bottom w:val="single" w:sz="4" w:color="BBBBBB"/>
              <w:right w:val="single" w:sz="4" w:color="BBBBBB"/>
            </w:tcBorders>
          </w:tcPr>
          <w:p>
            <w:r/>
            <w:r>
              <w:rPr>
                <w:b/>
                <w:color w:val="FFFFFF"/>
                <w:sz w:val="19"/>
              </w:rPr>
              <w:t>Rung</w:t>
            </w:r>
          </w:p>
        </w:tc>
        <w:tc>
          <w:tcPr>
            <w:tcW w:type="dxa" w:w="3009"/>
            <w:shd w:val="clear" w:color="auto" w:fill="1F496E"/>
            <w:tcBorders>
              <w:top w:val="single" w:sz="4" w:color="BBBBBB"/>
              <w:left w:val="single" w:sz="4" w:color="BBBBBB"/>
              <w:bottom w:val="single" w:sz="4" w:color="BBBBBB"/>
              <w:right w:val="single" w:sz="4" w:color="BBBBBB"/>
            </w:tcBorders>
          </w:tcPr>
          <w:p>
            <w:r/>
            <w:r>
              <w:rPr>
                <w:b/>
                <w:color w:val="FFFFFF"/>
                <w:sz w:val="19"/>
              </w:rPr>
              <w:t>Event Class</w:t>
            </w:r>
          </w:p>
        </w:tc>
        <w:tc>
          <w:tcPr>
            <w:tcW w:type="dxa" w:w="3009"/>
            <w:shd w:val="clear" w:color="auto" w:fill="1F496E"/>
            <w:tcBorders>
              <w:top w:val="single" w:sz="4" w:color="BBBBBB"/>
              <w:left w:val="single" w:sz="4" w:color="BBBBBB"/>
              <w:bottom w:val="single" w:sz="4" w:color="BBBBBB"/>
              <w:right w:val="single" w:sz="4" w:color="BBBBBB"/>
            </w:tcBorders>
          </w:tcPr>
          <w:p>
            <w:r/>
            <w:r>
              <w:rPr>
                <w:b/>
                <w:color w:val="FFFFFF"/>
                <w:sz w:val="19"/>
              </w:rPr>
              <w:t>Framework Response</w:t>
            </w:r>
          </w:p>
        </w:tc>
      </w:tr>
      <w:tr>
        <w:tc>
          <w:tcPr>
            <w:tcW w:type="dxa" w:w="3009"/>
            <w:tcBorders>
              <w:top w:val="single" w:sz="4" w:color="BBBBBB"/>
              <w:left w:val="single" w:sz="4" w:color="BBBBBB"/>
              <w:bottom w:val="single" w:sz="4" w:color="BBBBBB"/>
              <w:right w:val="single" w:sz="4" w:color="BBBBBB"/>
            </w:tcBorders>
          </w:tcPr>
          <w:p>
            <w:r/>
            <w:r>
              <w:rPr>
                <w:sz w:val="19"/>
              </w:rPr>
              <w:t>1</w:t>
            </w:r>
          </w:p>
        </w:tc>
        <w:tc>
          <w:tcPr>
            <w:tcW w:type="dxa" w:w="3009"/>
            <w:tcBorders>
              <w:top w:val="single" w:sz="4" w:color="BBBBBB"/>
              <w:left w:val="single" w:sz="4" w:color="BBBBBB"/>
              <w:bottom w:val="single" w:sz="4" w:color="BBBBBB"/>
              <w:right w:val="single" w:sz="4" w:color="BBBBBB"/>
            </w:tcBorders>
          </w:tcPr>
          <w:p>
            <w:r/>
            <w:r>
              <w:rPr>
                <w:sz w:val="19"/>
              </w:rPr>
              <w:t>Technical anomaly</w:t>
            </w:r>
          </w:p>
        </w:tc>
        <w:tc>
          <w:tcPr>
            <w:tcW w:type="dxa" w:w="3009"/>
            <w:tcBorders>
              <w:top w:val="single" w:sz="4" w:color="BBBBBB"/>
              <w:left w:val="single" w:sz="4" w:color="BBBBBB"/>
              <w:bottom w:val="single" w:sz="4" w:color="BBBBBB"/>
              <w:right w:val="single" w:sz="4" w:color="BBBBBB"/>
            </w:tcBorders>
          </w:tcPr>
          <w:p>
            <w:r/>
            <w:r>
              <w:rPr>
                <w:sz w:val="19"/>
              </w:rPr>
              <w:t>Technical-liaison conference inside 4 hours</w:t>
            </w:r>
          </w:p>
        </w:tc>
      </w:tr>
      <w:tr>
        <w:tc>
          <w:tcPr>
            <w:tcW w:type="dxa" w:w="3009"/>
            <w:tcBorders>
              <w:top w:val="single" w:sz="4" w:color="BBBBBB"/>
              <w:left w:val="single" w:sz="4" w:color="BBBBBB"/>
              <w:bottom w:val="single" w:sz="4" w:color="BBBBBB"/>
              <w:right w:val="single" w:sz="4" w:color="BBBBBB"/>
            </w:tcBorders>
            <w:shd w:val="clear" w:color="auto" w:fill="EEF2F7"/>
          </w:tcPr>
          <w:p>
            <w:r/>
            <w:r>
              <w:rPr>
                <w:sz w:val="19"/>
              </w:rPr>
              <w:t>2</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Unexplained anomaly persists</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Guarantor factual summary inside 12 hours</w:t>
            </w:r>
          </w:p>
        </w:tc>
      </w:tr>
      <w:tr>
        <w:tc>
          <w:tcPr>
            <w:tcW w:type="dxa" w:w="3009"/>
            <w:tcBorders>
              <w:top w:val="single" w:sz="4" w:color="BBBBBB"/>
              <w:left w:val="single" w:sz="4" w:color="BBBBBB"/>
              <w:bottom w:val="single" w:sz="4" w:color="BBBBBB"/>
              <w:right w:val="single" w:sz="4" w:color="BBBBBB"/>
            </w:tcBorders>
          </w:tcPr>
          <w:p>
            <w:r/>
            <w:r>
              <w:rPr>
                <w:sz w:val="19"/>
              </w:rPr>
              <w:t>3</w:t>
            </w:r>
          </w:p>
        </w:tc>
        <w:tc>
          <w:tcPr>
            <w:tcW w:type="dxa" w:w="3009"/>
            <w:tcBorders>
              <w:top w:val="single" w:sz="4" w:color="BBBBBB"/>
              <w:left w:val="single" w:sz="4" w:color="BBBBBB"/>
              <w:bottom w:val="single" w:sz="4" w:color="BBBBBB"/>
              <w:right w:val="single" w:sz="4" w:color="BBBBBB"/>
            </w:tcBorders>
          </w:tcPr>
          <w:p>
            <w:r/>
            <w:r>
              <w:rPr>
                <w:sz w:val="19"/>
              </w:rPr>
              <w:t>Single-unit compliance dispute</w:t>
            </w:r>
          </w:p>
        </w:tc>
        <w:tc>
          <w:tcPr>
            <w:tcW w:type="dxa" w:w="3009"/>
            <w:tcBorders>
              <w:top w:val="single" w:sz="4" w:color="BBBBBB"/>
              <w:left w:val="single" w:sz="4" w:color="BBBBBB"/>
              <w:bottom w:val="single" w:sz="4" w:color="BBBBBB"/>
              <w:right w:val="single" w:sz="4" w:color="BBBBBB"/>
            </w:tcBorders>
          </w:tcPr>
          <w:p>
            <w:r/>
            <w:r>
              <w:rPr>
                <w:sz w:val="19"/>
              </w:rPr>
              <w:t>Step-Back of the affected reciprocity unit only</w:t>
            </w:r>
          </w:p>
        </w:tc>
      </w:tr>
      <w:tr>
        <w:tc>
          <w:tcPr>
            <w:tcW w:type="dxa" w:w="3009"/>
            <w:tcBorders>
              <w:top w:val="single" w:sz="4" w:color="BBBBBB"/>
              <w:left w:val="single" w:sz="4" w:color="BBBBBB"/>
              <w:bottom w:val="single" w:sz="4" w:color="BBBBBB"/>
              <w:right w:val="single" w:sz="4" w:color="BBBBBB"/>
            </w:tcBorders>
            <w:shd w:val="clear" w:color="auto" w:fill="EEF2F7"/>
          </w:tcPr>
          <w:p>
            <w:r/>
            <w:r>
              <w:rPr>
                <w:sz w:val="19"/>
              </w:rPr>
              <w:t>4</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Dashboard-verified material breach</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Human-in-the-Loop Review convenes inside its charter window</w:t>
            </w:r>
          </w:p>
        </w:tc>
      </w:tr>
      <w:tr>
        <w:tc>
          <w:tcPr>
            <w:tcW w:type="dxa" w:w="3009"/>
            <w:tcBorders>
              <w:top w:val="single" w:sz="4" w:color="BBBBBB"/>
              <w:left w:val="single" w:sz="4" w:color="BBBBBB"/>
              <w:bottom w:val="single" w:sz="4" w:color="BBBBBB"/>
              <w:right w:val="single" w:sz="4" w:color="BBBBBB"/>
            </w:tcBorders>
          </w:tcPr>
          <w:p>
            <w:r/>
            <w:r>
              <w:rPr>
                <w:sz w:val="19"/>
              </w:rPr>
              <w:t>5</w:t>
            </w:r>
          </w:p>
        </w:tc>
        <w:tc>
          <w:tcPr>
            <w:tcW w:type="dxa" w:w="3009"/>
            <w:tcBorders>
              <w:top w:val="single" w:sz="4" w:color="BBBBBB"/>
              <w:left w:val="single" w:sz="4" w:color="BBBBBB"/>
              <w:bottom w:val="single" w:sz="4" w:color="BBBBBB"/>
              <w:right w:val="single" w:sz="4" w:color="BBBBBB"/>
            </w:tcBorders>
          </w:tcPr>
          <w:p>
            <w:r/>
            <w:r>
              <w:rPr>
                <w:sz w:val="19"/>
              </w:rPr>
              <w:t>Sustained, verified, uncorrected breach</w:t>
            </w:r>
          </w:p>
        </w:tc>
        <w:tc>
          <w:tcPr>
            <w:tcW w:type="dxa" w:w="3009"/>
            <w:tcBorders>
              <w:top w:val="single" w:sz="4" w:color="BBBBBB"/>
              <w:left w:val="single" w:sz="4" w:color="BBBBBB"/>
              <w:bottom w:val="single" w:sz="4" w:color="BBBBBB"/>
              <w:right w:val="single" w:sz="4" w:color="BBBBBB"/>
            </w:tcBorders>
          </w:tcPr>
          <w:p>
            <w:r/>
            <w:r>
              <w:rPr>
                <w:sz w:val="19"/>
              </w:rPr>
              <w:t>Exit architecture of Article VI activates for the affected module</w:t>
            </w:r>
          </w:p>
        </w:tc>
      </w:tr>
    </w:tbl>
    <w:p>
      <w:pPr>
        <w:spacing w:after="40"/>
      </w:pPr>
    </w:p>
    <w:p>
      <w:pPr>
        <w:pStyle w:val="Heading2"/>
      </w:pPr>
      <w:r>
        <w:t>J.4 Public Messaging Mandate</w:t>
      </w:r>
    </w:p>
    <w:p>
      <w:pPr>
        <w:spacing w:after="120"/>
      </w:pPr>
      <w:r>
        <w:rPr>
          <w:i w:val="0"/>
        </w:rPr>
        <w:t>This section states what each Party communicates domestically to justify the framework. It operates under the Domestic Framing Autonomy principle: each Party characterizes the Compact in its own terms, and neither Party dictates the other's narrative. The section coordinates only the factual floor that both narratives rest upon, so that divergent framings remain compatible with a single set of facts. It complements the public statements in Annex G.</w:t>
      </w:r>
    </w:p>
    <w:p>
      <w:pPr>
        <w:pStyle w:val="Heading3"/>
      </w:pPr>
      <w:r>
        <w:t>J.4.1 — Shared Factual Floor</w:t>
      </w:r>
    </w:p>
    <w:p>
      <w:pPr>
        <w:spacing w:after="120"/>
      </w:pPr>
      <w:r>
        <w:rPr>
          <w:i w:val="0"/>
        </w:rPr>
        <w:t>Both Parties anchor their domestic messaging on the same verifiable facts: the Strait remains open to commercial transit; material above five percent resides under IAEA seals; relief tracks verified milestones; ownership of Iranian material remains Iranian. Divergent political framings rest on this common floor, which keeps the two narratives non-contradictory.</w:t>
      </w:r>
    </w:p>
    <w:p>
      <w:pPr>
        <w:pStyle w:val="Heading3"/>
      </w:pPr>
      <w:r>
        <w:t>J.4.2 — United States Domestic Justification (Model Talking Points)</w:t>
      </w:r>
    </w:p>
    <w:p>
      <w:pPr>
        <w:spacing w:after="80"/>
        <w:ind w:left="360"/>
      </w:pPr>
      <w:r>
        <w:rPr>
          <w:b/>
        </w:rPr>
        <w:t xml:space="preserve">Security frame — </w:t>
      </w:r>
      <w:r>
        <w:rPr>
          <w:b w:val="0"/>
        </w:rPr>
        <w:t>The framework places Iran's most sensitive material under continuous international monitoring and keeps a weapon pathway closed.</w:t>
      </w:r>
    </w:p>
    <w:p>
      <w:pPr>
        <w:spacing w:after="80"/>
        <w:ind w:left="360"/>
      </w:pPr>
      <w:r>
        <w:rPr>
          <w:b/>
        </w:rPr>
        <w:t xml:space="preserve">Reversibility frame — </w:t>
      </w:r>
      <w:r>
        <w:rPr>
          <w:b w:val="0"/>
        </w:rPr>
        <w:t>Relief tracks verified steps, and any reversal re-enters a structured correction process rather than rewarding non-compliance.</w:t>
      </w:r>
    </w:p>
    <w:p>
      <w:pPr>
        <w:spacing w:after="80"/>
        <w:ind w:left="360"/>
      </w:pPr>
      <w:r>
        <w:rPr>
          <w:b/>
        </w:rPr>
        <w:t xml:space="preserve">Regional frame — </w:t>
      </w:r>
      <w:r>
        <w:rPr>
          <w:b w:val="0"/>
        </w:rPr>
        <w:t>An open Strait restores commercial transit that benefits the global economy and allied shipping.</w:t>
      </w:r>
    </w:p>
    <w:p>
      <w:pPr>
        <w:pStyle w:val="Heading3"/>
      </w:pPr>
      <w:r>
        <w:t>J.4.3 — Iranian Domestic Justification (Model Talking Points)</w:t>
      </w:r>
    </w:p>
    <w:p>
      <w:pPr>
        <w:spacing w:after="80"/>
        <w:ind w:left="360"/>
      </w:pPr>
      <w:r>
        <w:rPr>
          <w:b/>
        </w:rPr>
        <w:t xml:space="preserve">Sovereignty frame — </w:t>
      </w:r>
      <w:r>
        <w:rPr>
          <w:b w:val="0"/>
        </w:rPr>
        <w:t>Iran retains ownership, possession, and enrichment capacity, and the framework treats Iran as an equal sovereign party.</w:t>
      </w:r>
    </w:p>
    <w:p>
      <w:pPr>
        <w:spacing w:after="80"/>
        <w:ind w:left="360"/>
      </w:pPr>
      <w:r>
        <w:rPr>
          <w:b/>
        </w:rPr>
        <w:t xml:space="preserve">Relief frame — </w:t>
      </w:r>
      <w:r>
        <w:rPr>
          <w:b w:val="0"/>
        </w:rPr>
        <w:t>Sanctions relief restores banking access and releases frozen national assets on a defined schedule.</w:t>
      </w:r>
    </w:p>
    <w:p>
      <w:pPr>
        <w:spacing w:after="80"/>
        <w:ind w:left="360"/>
      </w:pPr>
      <w:r>
        <w:rPr>
          <w:b/>
        </w:rPr>
        <w:t xml:space="preserve">Dignity frame — </w:t>
      </w:r>
      <w:r>
        <w:rPr>
          <w:b w:val="0"/>
        </w:rPr>
        <w:t>No forced export and no dismantlement appear in the framework; the architecture binds both Parties equally.</w:t>
      </w:r>
    </w:p>
    <w:p>
      <w:pPr>
        <w:pStyle w:val="Heading3"/>
      </w:pPr>
      <w:r>
        <w:t>J.4.4 — Messaging Compatibility Rule</w:t>
      </w:r>
    </w:p>
    <w:p>
      <w:pPr>
        <w:spacing w:after="120"/>
      </w:pPr>
      <w:r>
        <w:rPr>
          <w:i w:val="0"/>
        </w:rPr>
        <w:t>The two narratives diverge in emphasis and converge on fact. The framework architecture excludes any official messaging that contradicts the shared factual floor or that characterizes the other Party's commitments as a unilateral surrender. This rule preserves both Parties' domestic latitude while protecting the framework from a narrative collision that a contradictory factual claim produces.</w:t>
      </w:r>
    </w:p>
    <w:p>
      <w:r>
        <w:br w:type="page"/>
      </w:r>
    </w:p>
    <w:p>
      <w:pPr>
        <w:pStyle w:val="Heading1"/>
      </w:pPr>
      <w:r>
        <w:t>Annex K: Nuclear Technical Verification Baseline</w:t>
      </w:r>
    </w:p>
    <w:p>
      <w:pPr>
        <w:spacing w:after="120"/>
      </w:pPr>
      <w:r>
        <w:rPr>
          <w:i w:val="0"/>
        </w:rPr>
        <w:t>This annex states the technical verification baseline that Articles II, III, and V operate upon. It records the declared-material baseline framework, the access protocols for declared facilities, the telemetry and monitoring specification, and the fuel-swap technical specification. The annex describes monitoring, custody, and transparency architecture. It contains no enrichment methodology and no facility engineering detail; it states what the verification system observes and how custody moves, consistent with a safeguards-style instrument.</w:t>
      </w:r>
    </w:p>
    <w:p>
      <w:pPr>
        <w:pStyle w:val="Heading2"/>
      </w:pPr>
      <w:r>
        <w:t>K.1 IAEA Baseline Declaration Framework</w:t>
      </w:r>
    </w:p>
    <w:p>
      <w:pPr>
        <w:spacing w:after="120"/>
      </w:pPr>
      <w:r>
        <w:rPr>
          <w:i w:val="0"/>
        </w:rPr>
        <w:t>The baseline declaration establishes the reference point from which every subsequent reading takes its meaning. Iran provides the IAEA with declared-facility access inside the 48-hour window of Section 2.4, and the IAEA records the baseline. The baseline framework tracks three quantities: enrichment levels, stockpile quantities, and facility status.</w:t>
      </w:r>
    </w:p>
    <w:p>
      <w:pPr>
        <w:pStyle w:val="Heading3"/>
      </w:pPr>
      <w:r>
        <w:t>K.1.1 — Declared Stockpile Baseline (Model Figures, Consistent With the Core Compact)</w:t>
      </w:r>
    </w:p>
    <w:tbl>
      <w:tblPr>
        <w:tblW w:type="auto" w:w="0"/>
        <w:jc w:val="center"/>
        <w:tblLayout w:type="autofit"/>
        <w:tblLook w:firstColumn="1" w:firstRow="1" w:lastColumn="0" w:lastRow="0" w:noHBand="0" w:noVBand="1" w:val="04A0"/>
      </w:tblPr>
      <w:tblGrid>
        <w:gridCol w:w="2256"/>
        <w:gridCol w:w="2256"/>
        <w:gridCol w:w="2256"/>
        <w:gridCol w:w="2256"/>
      </w:tblGrid>
      <w:tr>
        <w:tc>
          <w:tcPr>
            <w:tcW w:type="dxa" w:w="2256"/>
            <w:shd w:val="clear" w:color="auto" w:fill="1F496E"/>
            <w:tcBorders>
              <w:top w:val="single" w:sz="4" w:color="BBBBBB"/>
              <w:left w:val="single" w:sz="4" w:color="BBBBBB"/>
              <w:bottom w:val="single" w:sz="4" w:color="BBBBBB"/>
              <w:right w:val="single" w:sz="4" w:color="BBBBBB"/>
            </w:tcBorders>
          </w:tcPr>
          <w:p>
            <w:r/>
            <w:r>
              <w:rPr>
                <w:b/>
                <w:color w:val="FFFFFF"/>
                <w:sz w:val="19"/>
              </w:rPr>
              <w:t>Material Category</w:t>
            </w:r>
          </w:p>
        </w:tc>
        <w:tc>
          <w:tcPr>
            <w:tcW w:type="dxa" w:w="2256"/>
            <w:shd w:val="clear" w:color="auto" w:fill="1F496E"/>
            <w:tcBorders>
              <w:top w:val="single" w:sz="4" w:color="BBBBBB"/>
              <w:left w:val="single" w:sz="4" w:color="BBBBBB"/>
              <w:bottom w:val="single" w:sz="4" w:color="BBBBBB"/>
              <w:right w:val="single" w:sz="4" w:color="BBBBBB"/>
            </w:tcBorders>
          </w:tcPr>
          <w:p>
            <w:r/>
            <w:r>
              <w:rPr>
                <w:b/>
                <w:color w:val="FFFFFF"/>
                <w:sz w:val="19"/>
              </w:rPr>
              <w:t>Enrichment Level</w:t>
            </w:r>
          </w:p>
        </w:tc>
        <w:tc>
          <w:tcPr>
            <w:tcW w:type="dxa" w:w="2256"/>
            <w:shd w:val="clear" w:color="auto" w:fill="1F496E"/>
            <w:tcBorders>
              <w:top w:val="single" w:sz="4" w:color="BBBBBB"/>
              <w:left w:val="single" w:sz="4" w:color="BBBBBB"/>
              <w:bottom w:val="single" w:sz="4" w:color="BBBBBB"/>
              <w:right w:val="single" w:sz="4" w:color="BBBBBB"/>
            </w:tcBorders>
          </w:tcPr>
          <w:p>
            <w:r/>
            <w:r>
              <w:rPr>
                <w:b/>
                <w:color w:val="FFFFFF"/>
                <w:sz w:val="19"/>
              </w:rPr>
              <w:t>Baseline Quantity</w:t>
            </w:r>
          </w:p>
        </w:tc>
        <w:tc>
          <w:tcPr>
            <w:tcW w:type="dxa" w:w="2256"/>
            <w:shd w:val="clear" w:color="auto" w:fill="1F496E"/>
            <w:tcBorders>
              <w:top w:val="single" w:sz="4" w:color="BBBBBB"/>
              <w:left w:val="single" w:sz="4" w:color="BBBBBB"/>
              <w:bottom w:val="single" w:sz="4" w:color="BBBBBB"/>
              <w:right w:val="single" w:sz="4" w:color="BBBBBB"/>
            </w:tcBorders>
          </w:tcPr>
          <w:p>
            <w:r/>
            <w:r>
              <w:rPr>
                <w:b/>
                <w:color w:val="FFFFFF"/>
                <w:sz w:val="19"/>
              </w:rPr>
              <w:t>Custody Disposition</w:t>
            </w:r>
          </w:p>
        </w:tc>
      </w:tr>
      <w:tr>
        <w:tc>
          <w:tcPr>
            <w:tcW w:type="dxa" w:w="2256"/>
            <w:tcBorders>
              <w:top w:val="single" w:sz="4" w:color="BBBBBB"/>
              <w:left w:val="single" w:sz="4" w:color="BBBBBB"/>
              <w:bottom w:val="single" w:sz="4" w:color="BBBBBB"/>
              <w:right w:val="single" w:sz="4" w:color="BBBBBB"/>
            </w:tcBorders>
          </w:tcPr>
          <w:p>
            <w:r/>
            <w:r>
              <w:rPr>
                <w:sz w:val="19"/>
              </w:rPr>
              <w:t>Near-threshold material</w:t>
            </w:r>
          </w:p>
        </w:tc>
        <w:tc>
          <w:tcPr>
            <w:tcW w:type="dxa" w:w="2256"/>
            <w:tcBorders>
              <w:top w:val="single" w:sz="4" w:color="BBBBBB"/>
              <w:left w:val="single" w:sz="4" w:color="BBBBBB"/>
              <w:bottom w:val="single" w:sz="4" w:color="BBBBBB"/>
              <w:right w:val="single" w:sz="4" w:color="BBBBBB"/>
            </w:tcBorders>
          </w:tcPr>
          <w:p>
            <w:r/>
            <w:r>
              <w:rPr>
                <w:sz w:val="19"/>
              </w:rPr>
              <w:t>60 percent U-235</w:t>
            </w:r>
          </w:p>
        </w:tc>
        <w:tc>
          <w:tcPr>
            <w:tcW w:type="dxa" w:w="2256"/>
            <w:tcBorders>
              <w:top w:val="single" w:sz="4" w:color="BBBBBB"/>
              <w:left w:val="single" w:sz="4" w:color="BBBBBB"/>
              <w:bottom w:val="single" w:sz="4" w:color="BBBBBB"/>
              <w:right w:val="single" w:sz="4" w:color="BBBBBB"/>
            </w:tcBorders>
          </w:tcPr>
          <w:p>
            <w:r/>
            <w:r>
              <w:rPr>
                <w:sz w:val="19"/>
              </w:rPr>
              <w:t>Approx. 400 kg in Iran + 50 kg transferred</w:t>
            </w:r>
          </w:p>
        </w:tc>
        <w:tc>
          <w:tcPr>
            <w:tcW w:type="dxa" w:w="2256"/>
            <w:tcBorders>
              <w:top w:val="single" w:sz="4" w:color="BBBBBB"/>
              <w:left w:val="single" w:sz="4" w:color="BBBBBB"/>
              <w:bottom w:val="single" w:sz="4" w:color="BBBBBB"/>
              <w:right w:val="single" w:sz="4" w:color="BBBBBB"/>
            </w:tcBorders>
          </w:tcPr>
          <w:p>
            <w:r/>
            <w:r>
              <w:rPr>
                <w:sz w:val="19"/>
              </w:rPr>
              <w:t>IAEA seals in Iran; 50 kg to Omani custody</w:t>
            </w:r>
          </w:p>
        </w:tc>
      </w:tr>
      <w:tr>
        <w:tc>
          <w:tcPr>
            <w:tcW w:type="dxa" w:w="2256"/>
            <w:tcBorders>
              <w:top w:val="single" w:sz="4" w:color="BBBBBB"/>
              <w:left w:val="single" w:sz="4" w:color="BBBBBB"/>
              <w:bottom w:val="single" w:sz="4" w:color="BBBBBB"/>
              <w:right w:val="single" w:sz="4" w:color="BBBBBB"/>
            </w:tcBorders>
            <w:shd w:val="clear" w:color="auto" w:fill="EEF2F7"/>
          </w:tcPr>
          <w:p>
            <w:r/>
            <w:r>
              <w:rPr>
                <w:sz w:val="19"/>
              </w:rPr>
              <w:t>Intermediate material</w:t>
            </w:r>
          </w:p>
        </w:tc>
        <w:tc>
          <w:tcPr>
            <w:tcW w:type="dxa" w:w="2256"/>
            <w:tcBorders>
              <w:top w:val="single" w:sz="4" w:color="BBBBBB"/>
              <w:left w:val="single" w:sz="4" w:color="BBBBBB"/>
              <w:bottom w:val="single" w:sz="4" w:color="BBBBBB"/>
              <w:right w:val="single" w:sz="4" w:color="BBBBBB"/>
            </w:tcBorders>
            <w:shd w:val="clear" w:color="auto" w:fill="EEF2F7"/>
          </w:tcPr>
          <w:p>
            <w:r/>
            <w:r>
              <w:rPr>
                <w:sz w:val="19"/>
              </w:rPr>
              <w:t>20 percent U-235</w:t>
            </w:r>
          </w:p>
        </w:tc>
        <w:tc>
          <w:tcPr>
            <w:tcW w:type="dxa" w:w="2256"/>
            <w:tcBorders>
              <w:top w:val="single" w:sz="4" w:color="BBBBBB"/>
              <w:left w:val="single" w:sz="4" w:color="BBBBBB"/>
              <w:bottom w:val="single" w:sz="4" w:color="BBBBBB"/>
              <w:right w:val="single" w:sz="4" w:color="BBBBBB"/>
            </w:tcBorders>
            <w:shd w:val="clear" w:color="auto" w:fill="EEF2F7"/>
          </w:tcPr>
          <w:p>
            <w:r/>
            <w:r>
              <w:rPr>
                <w:sz w:val="19"/>
              </w:rPr>
              <w:t>Approx. 800 kg</w:t>
            </w:r>
          </w:p>
        </w:tc>
        <w:tc>
          <w:tcPr>
            <w:tcW w:type="dxa" w:w="2256"/>
            <w:tcBorders>
              <w:top w:val="single" w:sz="4" w:color="BBBBBB"/>
              <w:left w:val="single" w:sz="4" w:color="BBBBBB"/>
              <w:bottom w:val="single" w:sz="4" w:color="BBBBBB"/>
              <w:right w:val="single" w:sz="4" w:color="BBBBBB"/>
            </w:tcBorders>
            <w:shd w:val="clear" w:color="auto" w:fill="EEF2F7"/>
          </w:tcPr>
          <w:p>
            <w:r/>
            <w:r>
              <w:rPr>
                <w:sz w:val="19"/>
              </w:rPr>
              <w:t>IAEA seals at declared facilities in Iran</w:t>
            </w:r>
          </w:p>
        </w:tc>
      </w:tr>
      <w:tr>
        <w:tc>
          <w:tcPr>
            <w:tcW w:type="dxa" w:w="2256"/>
            <w:tcBorders>
              <w:top w:val="single" w:sz="4" w:color="BBBBBB"/>
              <w:left w:val="single" w:sz="4" w:color="BBBBBB"/>
              <w:bottom w:val="single" w:sz="4" w:color="BBBBBB"/>
              <w:right w:val="single" w:sz="4" w:color="BBBBBB"/>
            </w:tcBorders>
          </w:tcPr>
          <w:p>
            <w:r/>
            <w:r>
              <w:rPr>
                <w:sz w:val="19"/>
              </w:rPr>
              <w:t>Civilian-level material</w:t>
            </w:r>
          </w:p>
        </w:tc>
        <w:tc>
          <w:tcPr>
            <w:tcW w:type="dxa" w:w="2256"/>
            <w:tcBorders>
              <w:top w:val="single" w:sz="4" w:color="BBBBBB"/>
              <w:left w:val="single" w:sz="4" w:color="BBBBBB"/>
              <w:bottom w:val="single" w:sz="4" w:color="BBBBBB"/>
              <w:right w:val="single" w:sz="4" w:color="BBBBBB"/>
            </w:tcBorders>
          </w:tcPr>
          <w:p>
            <w:r/>
            <w:r>
              <w:rPr>
                <w:sz w:val="19"/>
              </w:rPr>
              <w:t>Up to 3.67 percent U-235</w:t>
            </w:r>
          </w:p>
        </w:tc>
        <w:tc>
          <w:tcPr>
            <w:tcW w:type="dxa" w:w="2256"/>
            <w:tcBorders>
              <w:top w:val="single" w:sz="4" w:color="BBBBBB"/>
              <w:left w:val="single" w:sz="4" w:color="BBBBBB"/>
              <w:bottom w:val="single" w:sz="4" w:color="BBBBBB"/>
              <w:right w:val="single" w:sz="4" w:color="BBBBBB"/>
            </w:tcBorders>
          </w:tcPr>
          <w:p>
            <w:r/>
            <w:r>
              <w:rPr>
                <w:sz w:val="19"/>
              </w:rPr>
              <w:t>Operational inventory</w:t>
            </w:r>
          </w:p>
        </w:tc>
        <w:tc>
          <w:tcPr>
            <w:tcW w:type="dxa" w:w="2256"/>
            <w:tcBorders>
              <w:top w:val="single" w:sz="4" w:color="BBBBBB"/>
              <w:left w:val="single" w:sz="4" w:color="BBBBBB"/>
              <w:bottom w:val="single" w:sz="4" w:color="BBBBBB"/>
              <w:right w:val="single" w:sz="4" w:color="BBBBBB"/>
            </w:tcBorders>
          </w:tcPr>
          <w:p>
            <w:r/>
            <w:r>
              <w:rPr>
                <w:sz w:val="19"/>
              </w:rPr>
              <w:t>Continuous monitoring; civilian use continues</w:t>
            </w:r>
          </w:p>
        </w:tc>
      </w:tr>
      <w:tr>
        <w:tc>
          <w:tcPr>
            <w:tcW w:type="dxa" w:w="2256"/>
            <w:tcBorders>
              <w:top w:val="single" w:sz="4" w:color="BBBBBB"/>
              <w:left w:val="single" w:sz="4" w:color="BBBBBB"/>
              <w:bottom w:val="single" w:sz="4" w:color="BBBBBB"/>
              <w:right w:val="single" w:sz="4" w:color="BBBBBB"/>
            </w:tcBorders>
            <w:shd w:val="clear" w:color="auto" w:fill="EEF2F7"/>
          </w:tcPr>
          <w:p>
            <w:r/>
            <w:r>
              <w:rPr>
                <w:sz w:val="19"/>
              </w:rPr>
              <w:t>Received fuel</w:t>
            </w:r>
          </w:p>
        </w:tc>
        <w:tc>
          <w:tcPr>
            <w:tcW w:type="dxa" w:w="2256"/>
            <w:tcBorders>
              <w:top w:val="single" w:sz="4" w:color="BBBBBB"/>
              <w:left w:val="single" w:sz="4" w:color="BBBBBB"/>
              <w:bottom w:val="single" w:sz="4" w:color="BBBBBB"/>
              <w:right w:val="single" w:sz="4" w:color="BBBBBB"/>
            </w:tcBorders>
            <w:shd w:val="clear" w:color="auto" w:fill="EEF2F7"/>
          </w:tcPr>
          <w:p>
            <w:r/>
            <w:r>
              <w:rPr>
                <w:sz w:val="19"/>
              </w:rPr>
              <w:t>19.75 percent U-235</w:t>
            </w:r>
          </w:p>
        </w:tc>
        <w:tc>
          <w:tcPr>
            <w:tcW w:type="dxa" w:w="2256"/>
            <w:tcBorders>
              <w:top w:val="single" w:sz="4" w:color="BBBBBB"/>
              <w:left w:val="single" w:sz="4" w:color="BBBBBB"/>
              <w:bottom w:val="single" w:sz="4" w:color="BBBBBB"/>
              <w:right w:val="single" w:sz="4" w:color="BBBBBB"/>
            </w:tcBorders>
            <w:shd w:val="clear" w:color="auto" w:fill="EEF2F7"/>
          </w:tcPr>
          <w:p>
            <w:r/>
            <w:r>
              <w:rPr>
                <w:sz w:val="19"/>
              </w:rPr>
              <w:t>200 kg fuel rods (inbound)</w:t>
            </w:r>
          </w:p>
        </w:tc>
        <w:tc>
          <w:tcPr>
            <w:tcW w:type="dxa" w:w="2256"/>
            <w:tcBorders>
              <w:top w:val="single" w:sz="4" w:color="BBBBBB"/>
              <w:left w:val="single" w:sz="4" w:color="BBBBBB"/>
              <w:bottom w:val="single" w:sz="4" w:color="BBBBBB"/>
              <w:right w:val="single" w:sz="4" w:color="BBBBBB"/>
            </w:tcBorders>
            <w:shd w:val="clear" w:color="auto" w:fill="EEF2F7"/>
          </w:tcPr>
          <w:p>
            <w:r/>
            <w:r>
              <w:rPr>
                <w:sz w:val="19"/>
              </w:rPr>
              <w:t>Tehran Research Reactor fuel under monitoring</w:t>
            </w:r>
          </w:p>
        </w:tc>
      </w:tr>
    </w:tbl>
    <w:p>
      <w:pPr>
        <w:spacing w:after="40"/>
      </w:pPr>
    </w:p>
    <w:p>
      <w:pPr>
        <w:spacing w:after="120"/>
      </w:pPr>
      <w:r>
        <w:rPr>
          <w:i w:val="0"/>
        </w:rPr>
        <w:t>These figures track the quantities the core Compact states. The baseline declaration records the actual measured values that the IAEA establishes at the readings; the model figures above set the reference frame for that record.</w:t>
      </w:r>
    </w:p>
    <w:p>
      <w:pPr>
        <w:pStyle w:val="Heading3"/>
      </w:pPr>
      <w:r>
        <w:t>K.1.2 — Facility Status Categories</w:t>
      </w:r>
    </w:p>
    <w:p>
      <w:pPr>
        <w:spacing w:after="80"/>
        <w:ind w:left="360"/>
      </w:pPr>
      <w:r>
        <w:rPr>
          <w:b/>
        </w:rPr>
        <w:t xml:space="preserve">Declared and operational — </w:t>
      </w:r>
      <w:r>
        <w:rPr>
          <w:b w:val="0"/>
        </w:rPr>
        <w:t>Natanz and Fordow operate under continuous IAEA monitoring, with enrichment confined to the civilian 3.67 percent level during the implementation window.</w:t>
      </w:r>
    </w:p>
    <w:p>
      <w:pPr>
        <w:spacing w:after="80"/>
        <w:ind w:left="360"/>
      </w:pPr>
      <w:r>
        <w:rPr>
          <w:b/>
        </w:rPr>
        <w:t xml:space="preserve">Declared and sealed — </w:t>
      </w:r>
      <w:r>
        <w:rPr>
          <w:b w:val="0"/>
        </w:rPr>
        <w:t>Storage locations holding material above five percent carry tamper-evident seals and continuous surveillance.</w:t>
      </w:r>
    </w:p>
    <w:p>
      <w:pPr>
        <w:spacing w:after="80"/>
        <w:ind w:left="360"/>
      </w:pPr>
      <w:r>
        <w:rPr>
          <w:b/>
        </w:rPr>
        <w:t xml:space="preserve">Declared and monitored — </w:t>
      </w:r>
      <w:r>
        <w:rPr>
          <w:b w:val="0"/>
        </w:rPr>
        <w:t>Conversion and fabrication points that handle declared material operate under the monitoring scope the baseline defines.</w:t>
      </w:r>
    </w:p>
    <w:p>
      <w:pPr>
        <w:pStyle w:val="Heading3"/>
      </w:pPr>
      <w:r>
        <w:t>K.1.3 — Baseline Reporting Cadence</w:t>
      </w:r>
    </w:p>
    <w:p>
      <w:pPr>
        <w:spacing w:after="120"/>
      </w:pPr>
      <w:r>
        <w:rPr>
          <w:i w:val="0"/>
        </w:rPr>
        <w:t>The IAEA issues a baseline confirmation at establishment, and continuous monitoring supplies the ongoing record thereafter. The Neutral Guarantor posts each confirmation to the verification dashboard. A reading that diverges from the baseline enters the Human-in-the-Loop Review rather than triggering an automatic determination.</w:t>
      </w:r>
    </w:p>
    <w:p>
      <w:pPr>
        <w:pStyle w:val="Heading2"/>
      </w:pPr>
      <w:r>
        <w:t>K.2 Declared-Facility Access Protocols</w:t>
      </w:r>
    </w:p>
    <w:p>
      <w:pPr>
        <w:spacing w:after="120"/>
      </w:pPr>
      <w:r>
        <w:rPr>
          <w:i w:val="0"/>
        </w:rPr>
        <w:t>This section states the access architecture for declared sites. The protocols govern who enters, under what authorization, and with what notice. The architecture confines access to verification purposes and excludes any access that exceeds the safeguards function.</w:t>
      </w:r>
    </w:p>
    <w:p>
      <w:pPr>
        <w:pStyle w:val="Heading3"/>
      </w:pPr>
      <w:r>
        <w:t>K.2.1 — Access Authority</w:t>
      </w:r>
    </w:p>
    <w:p>
      <w:pPr>
        <w:spacing w:after="80"/>
        <w:ind w:left="360"/>
      </w:pPr>
      <w:r>
        <w:rPr>
          <w:b/>
        </w:rPr>
        <w:t xml:space="preserve">IAEA primacy — </w:t>
      </w:r>
      <w:r>
        <w:rPr>
          <w:b w:val="0"/>
        </w:rPr>
        <w:t>IAEA inspectors hold the access authority that the baseline and continuous-monitoring scope define. Iran provides the access the safeguards arrangement specifies.</w:t>
      </w:r>
    </w:p>
    <w:p>
      <w:pPr>
        <w:spacing w:after="80"/>
        <w:ind w:left="360"/>
      </w:pPr>
      <w:r>
        <w:rPr>
          <w:b/>
        </w:rPr>
        <w:t xml:space="preserve">National sovereignty — </w:t>
      </w:r>
      <w:r>
        <w:rPr>
          <w:b w:val="0"/>
        </w:rPr>
        <w:t>Iran retains physical control of every declared site. The access architecture excludes any foreign military or intelligence presence; only accredited IAEA personnel exercise verification access.</w:t>
      </w:r>
    </w:p>
    <w:p>
      <w:pPr>
        <w:spacing w:after="80"/>
        <w:ind w:left="360"/>
      </w:pPr>
      <w:r>
        <w:rPr>
          <w:b/>
        </w:rPr>
        <w:t xml:space="preserve">United States posture — </w:t>
      </w:r>
      <w:r>
        <w:rPr>
          <w:b w:val="0"/>
        </w:rPr>
        <w:t>United States personnel hold no routine access to any site inside Iran. The Omani custody facility operates under the per-visit consent architecture the core Compact defines.</w:t>
      </w:r>
    </w:p>
    <w:p>
      <w:pPr>
        <w:pStyle w:val="Heading3"/>
      </w:pPr>
      <w:r>
        <w:t>K.2.2 — Access Modalities at Declared Sites</w:t>
      </w:r>
    </w:p>
    <w:tbl>
      <w:tblPr>
        <w:tblW w:type="auto" w:w="0"/>
        <w:jc w:val="center"/>
        <w:tblLayout w:type="autofit"/>
        <w:tblLook w:firstColumn="1" w:firstRow="1" w:lastColumn="0" w:lastRow="0" w:noHBand="0" w:noVBand="1" w:val="04A0"/>
      </w:tblPr>
      <w:tblGrid>
        <w:gridCol w:w="2256"/>
        <w:gridCol w:w="2256"/>
        <w:gridCol w:w="2256"/>
        <w:gridCol w:w="2256"/>
      </w:tblGrid>
      <w:tr>
        <w:tc>
          <w:tcPr>
            <w:tcW w:type="dxa" w:w="2256"/>
            <w:shd w:val="clear" w:color="auto" w:fill="1F496E"/>
            <w:tcBorders>
              <w:top w:val="single" w:sz="4" w:color="BBBBBB"/>
              <w:left w:val="single" w:sz="4" w:color="BBBBBB"/>
              <w:bottom w:val="single" w:sz="4" w:color="BBBBBB"/>
              <w:right w:val="single" w:sz="4" w:color="BBBBBB"/>
            </w:tcBorders>
          </w:tcPr>
          <w:p>
            <w:r/>
            <w:r>
              <w:rPr>
                <w:b/>
                <w:color w:val="FFFFFF"/>
                <w:sz w:val="19"/>
              </w:rPr>
              <w:t>Modality</w:t>
            </w:r>
          </w:p>
        </w:tc>
        <w:tc>
          <w:tcPr>
            <w:tcW w:type="dxa" w:w="2256"/>
            <w:shd w:val="clear" w:color="auto" w:fill="1F496E"/>
            <w:tcBorders>
              <w:top w:val="single" w:sz="4" w:color="BBBBBB"/>
              <w:left w:val="single" w:sz="4" w:color="BBBBBB"/>
              <w:bottom w:val="single" w:sz="4" w:color="BBBBBB"/>
              <w:right w:val="single" w:sz="4" w:color="BBBBBB"/>
            </w:tcBorders>
          </w:tcPr>
          <w:p>
            <w:r/>
            <w:r>
              <w:rPr>
                <w:b/>
                <w:color w:val="FFFFFF"/>
                <w:sz w:val="19"/>
              </w:rPr>
              <w:t>Trigger</w:t>
            </w:r>
          </w:p>
        </w:tc>
        <w:tc>
          <w:tcPr>
            <w:tcW w:type="dxa" w:w="2256"/>
            <w:shd w:val="clear" w:color="auto" w:fill="1F496E"/>
            <w:tcBorders>
              <w:top w:val="single" w:sz="4" w:color="BBBBBB"/>
              <w:left w:val="single" w:sz="4" w:color="BBBBBB"/>
              <w:bottom w:val="single" w:sz="4" w:color="BBBBBB"/>
              <w:right w:val="single" w:sz="4" w:color="BBBBBB"/>
            </w:tcBorders>
          </w:tcPr>
          <w:p>
            <w:r/>
            <w:r>
              <w:rPr>
                <w:b/>
                <w:color w:val="FFFFFF"/>
                <w:sz w:val="19"/>
              </w:rPr>
              <w:t>Notice Window</w:t>
            </w:r>
          </w:p>
        </w:tc>
        <w:tc>
          <w:tcPr>
            <w:tcW w:type="dxa" w:w="2256"/>
            <w:shd w:val="clear" w:color="auto" w:fill="1F496E"/>
            <w:tcBorders>
              <w:top w:val="single" w:sz="4" w:color="BBBBBB"/>
              <w:left w:val="single" w:sz="4" w:color="BBBBBB"/>
              <w:bottom w:val="single" w:sz="4" w:color="BBBBBB"/>
              <w:right w:val="single" w:sz="4" w:color="BBBBBB"/>
            </w:tcBorders>
          </w:tcPr>
          <w:p>
            <w:r/>
            <w:r>
              <w:rPr>
                <w:b/>
                <w:color w:val="FFFFFF"/>
                <w:sz w:val="19"/>
              </w:rPr>
              <w:t>Scope</w:t>
            </w:r>
          </w:p>
        </w:tc>
      </w:tr>
      <w:tr>
        <w:tc>
          <w:tcPr>
            <w:tcW w:type="dxa" w:w="2256"/>
            <w:tcBorders>
              <w:top w:val="single" w:sz="4" w:color="BBBBBB"/>
              <w:left w:val="single" w:sz="4" w:color="BBBBBB"/>
              <w:bottom w:val="single" w:sz="4" w:color="BBBBBB"/>
              <w:right w:val="single" w:sz="4" w:color="BBBBBB"/>
            </w:tcBorders>
          </w:tcPr>
          <w:p>
            <w:r/>
            <w:r>
              <w:rPr>
                <w:sz w:val="19"/>
              </w:rPr>
              <w:t>Continuous remote monitoring</w:t>
            </w:r>
          </w:p>
        </w:tc>
        <w:tc>
          <w:tcPr>
            <w:tcW w:type="dxa" w:w="2256"/>
            <w:tcBorders>
              <w:top w:val="single" w:sz="4" w:color="BBBBBB"/>
              <w:left w:val="single" w:sz="4" w:color="BBBBBB"/>
              <w:bottom w:val="single" w:sz="4" w:color="BBBBBB"/>
              <w:right w:val="single" w:sz="4" w:color="BBBBBB"/>
            </w:tcBorders>
          </w:tcPr>
          <w:p>
            <w:r/>
            <w:r>
              <w:rPr>
                <w:sz w:val="19"/>
              </w:rPr>
              <w:t>Always active</w:t>
            </w:r>
          </w:p>
        </w:tc>
        <w:tc>
          <w:tcPr>
            <w:tcW w:type="dxa" w:w="2256"/>
            <w:tcBorders>
              <w:top w:val="single" w:sz="4" w:color="BBBBBB"/>
              <w:left w:val="single" w:sz="4" w:color="BBBBBB"/>
              <w:bottom w:val="single" w:sz="4" w:color="BBBBBB"/>
              <w:right w:val="single" w:sz="4" w:color="BBBBBB"/>
            </w:tcBorders>
          </w:tcPr>
          <w:p>
            <w:r/>
            <w:r>
              <w:rPr>
                <w:sz w:val="19"/>
              </w:rPr>
              <w:t>None required</w:t>
            </w:r>
          </w:p>
        </w:tc>
        <w:tc>
          <w:tcPr>
            <w:tcW w:type="dxa" w:w="2256"/>
            <w:tcBorders>
              <w:top w:val="single" w:sz="4" w:color="BBBBBB"/>
              <w:left w:val="single" w:sz="4" w:color="BBBBBB"/>
              <w:bottom w:val="single" w:sz="4" w:color="BBBBBB"/>
              <w:right w:val="single" w:sz="4" w:color="BBBBBB"/>
            </w:tcBorders>
          </w:tcPr>
          <w:p>
            <w:r/>
            <w:r>
              <w:rPr>
                <w:sz w:val="19"/>
              </w:rPr>
              <w:t>Camera and online enrichment data stream</w:t>
            </w:r>
          </w:p>
        </w:tc>
      </w:tr>
      <w:tr>
        <w:tc>
          <w:tcPr>
            <w:tcW w:type="dxa" w:w="2256"/>
            <w:tcBorders>
              <w:top w:val="single" w:sz="4" w:color="BBBBBB"/>
              <w:left w:val="single" w:sz="4" w:color="BBBBBB"/>
              <w:bottom w:val="single" w:sz="4" w:color="BBBBBB"/>
              <w:right w:val="single" w:sz="4" w:color="BBBBBB"/>
            </w:tcBorders>
            <w:shd w:val="clear" w:color="auto" w:fill="EEF2F7"/>
          </w:tcPr>
          <w:p>
            <w:r/>
            <w:r>
              <w:rPr>
                <w:sz w:val="19"/>
              </w:rPr>
              <w:t>Routine inspector access</w:t>
            </w:r>
          </w:p>
        </w:tc>
        <w:tc>
          <w:tcPr>
            <w:tcW w:type="dxa" w:w="2256"/>
            <w:tcBorders>
              <w:top w:val="single" w:sz="4" w:color="BBBBBB"/>
              <w:left w:val="single" w:sz="4" w:color="BBBBBB"/>
              <w:bottom w:val="single" w:sz="4" w:color="BBBBBB"/>
              <w:right w:val="single" w:sz="4" w:color="BBBBBB"/>
            </w:tcBorders>
            <w:shd w:val="clear" w:color="auto" w:fill="EEF2F7"/>
          </w:tcPr>
          <w:p>
            <w:r/>
            <w:r>
              <w:rPr>
                <w:sz w:val="19"/>
              </w:rPr>
              <w:t>Scheduled cadence</w:t>
            </w:r>
          </w:p>
        </w:tc>
        <w:tc>
          <w:tcPr>
            <w:tcW w:type="dxa" w:w="2256"/>
            <w:tcBorders>
              <w:top w:val="single" w:sz="4" w:color="BBBBBB"/>
              <w:left w:val="single" w:sz="4" w:color="BBBBBB"/>
              <w:bottom w:val="single" w:sz="4" w:color="BBBBBB"/>
              <w:right w:val="single" w:sz="4" w:color="BBBBBB"/>
            </w:tcBorders>
            <w:shd w:val="clear" w:color="auto" w:fill="EEF2F7"/>
          </w:tcPr>
          <w:p>
            <w:r/>
            <w:r>
              <w:rPr>
                <w:sz w:val="19"/>
              </w:rPr>
              <w:t>Standard safeguards notice</w:t>
            </w:r>
          </w:p>
        </w:tc>
        <w:tc>
          <w:tcPr>
            <w:tcW w:type="dxa" w:w="2256"/>
            <w:tcBorders>
              <w:top w:val="single" w:sz="4" w:color="BBBBBB"/>
              <w:left w:val="single" w:sz="4" w:color="BBBBBB"/>
              <w:bottom w:val="single" w:sz="4" w:color="BBBBBB"/>
              <w:right w:val="single" w:sz="4" w:color="BBBBBB"/>
            </w:tcBorders>
            <w:shd w:val="clear" w:color="auto" w:fill="EEF2F7"/>
          </w:tcPr>
          <w:p>
            <w:r/>
            <w:r>
              <w:rPr>
                <w:sz w:val="19"/>
              </w:rPr>
              <w:t>Seal integrity and inventory verification</w:t>
            </w:r>
          </w:p>
        </w:tc>
      </w:tr>
      <w:tr>
        <w:tc>
          <w:tcPr>
            <w:tcW w:type="dxa" w:w="2256"/>
            <w:tcBorders>
              <w:top w:val="single" w:sz="4" w:color="BBBBBB"/>
              <w:left w:val="single" w:sz="4" w:color="BBBBBB"/>
              <w:bottom w:val="single" w:sz="4" w:color="BBBBBB"/>
              <w:right w:val="single" w:sz="4" w:color="BBBBBB"/>
            </w:tcBorders>
          </w:tcPr>
          <w:p>
            <w:r/>
            <w:r>
              <w:rPr>
                <w:sz w:val="19"/>
              </w:rPr>
              <w:t>Anomaly-driven access</w:t>
            </w:r>
          </w:p>
        </w:tc>
        <w:tc>
          <w:tcPr>
            <w:tcW w:type="dxa" w:w="2256"/>
            <w:tcBorders>
              <w:top w:val="single" w:sz="4" w:color="BBBBBB"/>
              <w:left w:val="single" w:sz="4" w:color="BBBBBB"/>
              <w:bottom w:val="single" w:sz="4" w:color="BBBBBB"/>
              <w:right w:val="single" w:sz="4" w:color="BBBBBB"/>
            </w:tcBorders>
          </w:tcPr>
          <w:p>
            <w:r/>
            <w:r>
              <w:rPr>
                <w:sz w:val="19"/>
              </w:rPr>
              <w:t>Dashboard anomaly flag</w:t>
            </w:r>
          </w:p>
        </w:tc>
        <w:tc>
          <w:tcPr>
            <w:tcW w:type="dxa" w:w="2256"/>
            <w:tcBorders>
              <w:top w:val="single" w:sz="4" w:color="BBBBBB"/>
              <w:left w:val="single" w:sz="4" w:color="BBBBBB"/>
              <w:bottom w:val="single" w:sz="4" w:color="BBBBBB"/>
              <w:right w:val="single" w:sz="4" w:color="BBBBBB"/>
            </w:tcBorders>
          </w:tcPr>
          <w:p>
            <w:r/>
            <w:r>
              <w:rPr>
                <w:sz w:val="19"/>
              </w:rPr>
              <w:t>Expedited notice inside the charter window</w:t>
            </w:r>
          </w:p>
        </w:tc>
        <w:tc>
          <w:tcPr>
            <w:tcW w:type="dxa" w:w="2256"/>
            <w:tcBorders>
              <w:top w:val="single" w:sz="4" w:color="BBBBBB"/>
              <w:left w:val="single" w:sz="4" w:color="BBBBBB"/>
              <w:bottom w:val="single" w:sz="4" w:color="BBBBBB"/>
              <w:right w:val="single" w:sz="4" w:color="BBBBBB"/>
            </w:tcBorders>
          </w:tcPr>
          <w:p>
            <w:r/>
            <w:r>
              <w:rPr>
                <w:sz w:val="19"/>
              </w:rPr>
              <w:t>Targeted verification of the flagged item</w:t>
            </w:r>
          </w:p>
        </w:tc>
      </w:tr>
      <w:tr>
        <w:tc>
          <w:tcPr>
            <w:tcW w:type="dxa" w:w="2256"/>
            <w:tcBorders>
              <w:top w:val="single" w:sz="4" w:color="BBBBBB"/>
              <w:left w:val="single" w:sz="4" w:color="BBBBBB"/>
              <w:bottom w:val="single" w:sz="4" w:color="BBBBBB"/>
              <w:right w:val="single" w:sz="4" w:color="BBBBBB"/>
            </w:tcBorders>
            <w:shd w:val="clear" w:color="auto" w:fill="EEF2F7"/>
          </w:tcPr>
          <w:p>
            <w:r/>
            <w:r>
              <w:rPr>
                <w:sz w:val="19"/>
              </w:rPr>
              <w:t>Joint observation</w:t>
            </w:r>
          </w:p>
        </w:tc>
        <w:tc>
          <w:tcPr>
            <w:tcW w:type="dxa" w:w="2256"/>
            <w:tcBorders>
              <w:top w:val="single" w:sz="4" w:color="BBBBBB"/>
              <w:left w:val="single" w:sz="4" w:color="BBBBBB"/>
              <w:bottom w:val="single" w:sz="4" w:color="BBBBBB"/>
              <w:right w:val="single" w:sz="4" w:color="BBBBBB"/>
            </w:tcBorders>
            <w:shd w:val="clear" w:color="auto" w:fill="EEF2F7"/>
          </w:tcPr>
          <w:p>
            <w:r/>
            <w:r>
              <w:rPr>
                <w:sz w:val="19"/>
              </w:rPr>
              <w:t>Mutual agreement</w:t>
            </w:r>
          </w:p>
        </w:tc>
        <w:tc>
          <w:tcPr>
            <w:tcW w:type="dxa" w:w="2256"/>
            <w:tcBorders>
              <w:top w:val="single" w:sz="4" w:color="BBBBBB"/>
              <w:left w:val="single" w:sz="4" w:color="BBBBBB"/>
              <w:bottom w:val="single" w:sz="4" w:color="BBBBBB"/>
              <w:right w:val="single" w:sz="4" w:color="BBBBBB"/>
            </w:tcBorders>
            <w:shd w:val="clear" w:color="auto" w:fill="EEF2F7"/>
          </w:tcPr>
          <w:p>
            <w:r/>
            <w:r>
              <w:rPr>
                <w:sz w:val="19"/>
              </w:rPr>
              <w:t>Pre-arranged</w:t>
            </w:r>
          </w:p>
        </w:tc>
        <w:tc>
          <w:tcPr>
            <w:tcW w:type="dxa" w:w="2256"/>
            <w:tcBorders>
              <w:top w:val="single" w:sz="4" w:color="BBBBBB"/>
              <w:left w:val="single" w:sz="4" w:color="BBBBBB"/>
              <w:bottom w:val="single" w:sz="4" w:color="BBBBBB"/>
              <w:right w:val="single" w:sz="4" w:color="BBBBBB"/>
            </w:tcBorders>
            <w:shd w:val="clear" w:color="auto" w:fill="EEF2F7"/>
          </w:tcPr>
          <w:p>
            <w:r/>
            <w:r>
              <w:rPr>
                <w:sz w:val="19"/>
              </w:rPr>
              <w:t>Iranian observer access at the Omani custody facility</w:t>
            </w:r>
          </w:p>
        </w:tc>
      </w:tr>
    </w:tbl>
    <w:p>
      <w:pPr>
        <w:spacing w:after="40"/>
      </w:pPr>
    </w:p>
    <w:p>
      <w:pPr>
        <w:pStyle w:val="Heading3"/>
      </w:pPr>
      <w:r>
        <w:t>K.2.3 — Access Discipline</w:t>
      </w:r>
    </w:p>
    <w:p>
      <w:pPr>
        <w:spacing w:after="120"/>
      </w:pPr>
      <w:r>
        <w:rPr>
          <w:i w:val="0"/>
        </w:rPr>
        <w:t>The access architecture confines every visit to verification of declared material and seal integrity. The architecture excludes sampling, removal, or inspection beyond the safeguards mandate. A visit concludes with a dashboard entry that records seal status and inventory confirmation, and both Parties view the same entry.</w:t>
      </w:r>
    </w:p>
    <w:p>
      <w:pPr>
        <w:pStyle w:val="Heading2"/>
      </w:pPr>
      <w:r>
        <w:t>K.3 Telemetry and Monitoring Specification</w:t>
      </w:r>
    </w:p>
    <w:p>
      <w:pPr>
        <w:spacing w:after="120"/>
      </w:pPr>
      <w:r>
        <w:rPr>
          <w:i w:val="0"/>
        </w:rPr>
        <w:t>This section specifies the sensor architecture that supplies the verification record. The Telemetry-First principle governs: sensor readings, camera confirmation, and IAEA reports drive compliance determinations, and human judgment supplements rather than overrides the mechanical record.</w:t>
      </w:r>
    </w:p>
    <w:p>
      <w:pPr>
        <w:pStyle w:val="Heading3"/>
      </w:pPr>
      <w:r>
        <w:t>K.3.1 — Sensor Types</w:t>
      </w:r>
    </w:p>
    <w:p>
      <w:pPr>
        <w:spacing w:after="80"/>
        <w:ind w:left="360"/>
      </w:pPr>
      <w:r>
        <w:rPr>
          <w:b/>
        </w:rPr>
        <w:t xml:space="preserve">Online enrichment monitors — </w:t>
      </w:r>
      <w:r>
        <w:rPr>
          <w:b w:val="0"/>
        </w:rPr>
        <w:t>Continuous enrichment-level instruments at declared cascades stream level data to the IAEA record.</w:t>
      </w:r>
    </w:p>
    <w:p>
      <w:pPr>
        <w:spacing w:after="80"/>
        <w:ind w:left="360"/>
      </w:pPr>
      <w:r>
        <w:rPr>
          <w:b/>
        </w:rPr>
        <w:t xml:space="preserve">Surveillance cameras — </w:t>
      </w:r>
      <w:r>
        <w:rPr>
          <w:b w:val="0"/>
        </w:rPr>
        <w:t>Tamper-indicating camera systems cover material storage and seal locations, with continuous recording.</w:t>
      </w:r>
    </w:p>
    <w:p>
      <w:pPr>
        <w:spacing w:after="80"/>
        <w:ind w:left="360"/>
      </w:pPr>
      <w:r>
        <w:rPr>
          <w:b/>
        </w:rPr>
        <w:t xml:space="preserve">Electronic seals — </w:t>
      </w:r>
      <w:r>
        <w:rPr>
          <w:b w:val="0"/>
        </w:rPr>
        <w:t>Tamper-evident electronic seals report integrity status in real time and flag any disturbance.</w:t>
      </w:r>
    </w:p>
    <w:p>
      <w:pPr>
        <w:spacing w:after="80"/>
        <w:ind w:left="360"/>
      </w:pPr>
      <w:r>
        <w:rPr>
          <w:b/>
        </w:rPr>
        <w:t xml:space="preserve">Inventory instruments — </w:t>
      </w:r>
      <w:r>
        <w:rPr>
          <w:b w:val="0"/>
        </w:rPr>
        <w:t>Material-accountancy instruments confirm declared quantities at each reading.</w:t>
      </w:r>
    </w:p>
    <w:p>
      <w:pPr>
        <w:pStyle w:val="Heading3"/>
      </w:pPr>
      <w:r>
        <w:t>K.3.2 — Sensor Placement Map</w:t>
      </w:r>
    </w:p>
    <w:tbl>
      <w:tblPr>
        <w:tblW w:type="auto" w:w="0"/>
        <w:jc w:val="center"/>
        <w:tblLayout w:type="autofit"/>
        <w:tblLook w:firstColumn="1" w:firstRow="1" w:lastColumn="0" w:lastRow="0" w:noHBand="0" w:noVBand="1" w:val="04A0"/>
      </w:tblPr>
      <w:tblGrid>
        <w:gridCol w:w="3009"/>
        <w:gridCol w:w="3009"/>
        <w:gridCol w:w="3009"/>
      </w:tblGrid>
      <w:tr>
        <w:tc>
          <w:tcPr>
            <w:tcW w:type="dxa" w:w="3009"/>
            <w:shd w:val="clear" w:color="auto" w:fill="1F496E"/>
            <w:tcBorders>
              <w:top w:val="single" w:sz="4" w:color="BBBBBB"/>
              <w:left w:val="single" w:sz="4" w:color="BBBBBB"/>
              <w:bottom w:val="single" w:sz="4" w:color="BBBBBB"/>
              <w:right w:val="single" w:sz="4" w:color="BBBBBB"/>
            </w:tcBorders>
          </w:tcPr>
          <w:p>
            <w:r/>
            <w:r>
              <w:rPr>
                <w:b/>
                <w:color w:val="FFFFFF"/>
                <w:sz w:val="19"/>
              </w:rPr>
              <w:t>Location Class</w:t>
            </w:r>
          </w:p>
        </w:tc>
        <w:tc>
          <w:tcPr>
            <w:tcW w:type="dxa" w:w="3009"/>
            <w:shd w:val="clear" w:color="auto" w:fill="1F496E"/>
            <w:tcBorders>
              <w:top w:val="single" w:sz="4" w:color="BBBBBB"/>
              <w:left w:val="single" w:sz="4" w:color="BBBBBB"/>
              <w:bottom w:val="single" w:sz="4" w:color="BBBBBB"/>
              <w:right w:val="single" w:sz="4" w:color="BBBBBB"/>
            </w:tcBorders>
          </w:tcPr>
          <w:p>
            <w:r/>
            <w:r>
              <w:rPr>
                <w:b/>
                <w:color w:val="FFFFFF"/>
                <w:sz w:val="19"/>
              </w:rPr>
              <w:t>Sensor Set</w:t>
            </w:r>
          </w:p>
        </w:tc>
        <w:tc>
          <w:tcPr>
            <w:tcW w:type="dxa" w:w="3009"/>
            <w:shd w:val="clear" w:color="auto" w:fill="1F496E"/>
            <w:tcBorders>
              <w:top w:val="single" w:sz="4" w:color="BBBBBB"/>
              <w:left w:val="single" w:sz="4" w:color="BBBBBB"/>
              <w:bottom w:val="single" w:sz="4" w:color="BBBBBB"/>
              <w:right w:val="single" w:sz="4" w:color="BBBBBB"/>
            </w:tcBorders>
          </w:tcPr>
          <w:p>
            <w:r/>
            <w:r>
              <w:rPr>
                <w:b/>
                <w:color w:val="FFFFFF"/>
                <w:sz w:val="19"/>
              </w:rPr>
              <w:t>Reporting Mode</w:t>
            </w:r>
          </w:p>
        </w:tc>
      </w:tr>
      <w:tr>
        <w:tc>
          <w:tcPr>
            <w:tcW w:type="dxa" w:w="3009"/>
            <w:tcBorders>
              <w:top w:val="single" w:sz="4" w:color="BBBBBB"/>
              <w:left w:val="single" w:sz="4" w:color="BBBBBB"/>
              <w:bottom w:val="single" w:sz="4" w:color="BBBBBB"/>
              <w:right w:val="single" w:sz="4" w:color="BBBBBB"/>
            </w:tcBorders>
          </w:tcPr>
          <w:p>
            <w:r/>
            <w:r>
              <w:rPr>
                <w:sz w:val="19"/>
              </w:rPr>
              <w:t>Declared enrichment hall</w:t>
            </w:r>
          </w:p>
        </w:tc>
        <w:tc>
          <w:tcPr>
            <w:tcW w:type="dxa" w:w="3009"/>
            <w:tcBorders>
              <w:top w:val="single" w:sz="4" w:color="BBBBBB"/>
              <w:left w:val="single" w:sz="4" w:color="BBBBBB"/>
              <w:bottom w:val="single" w:sz="4" w:color="BBBBBB"/>
              <w:right w:val="single" w:sz="4" w:color="BBBBBB"/>
            </w:tcBorders>
          </w:tcPr>
          <w:p>
            <w:r/>
            <w:r>
              <w:rPr>
                <w:sz w:val="19"/>
              </w:rPr>
              <w:t>Online enrichment monitors + cameras</w:t>
            </w:r>
          </w:p>
        </w:tc>
        <w:tc>
          <w:tcPr>
            <w:tcW w:type="dxa" w:w="3009"/>
            <w:tcBorders>
              <w:top w:val="single" w:sz="4" w:color="BBBBBB"/>
              <w:left w:val="single" w:sz="4" w:color="BBBBBB"/>
              <w:bottom w:val="single" w:sz="4" w:color="BBBBBB"/>
              <w:right w:val="single" w:sz="4" w:color="BBBBBB"/>
            </w:tcBorders>
          </w:tcPr>
          <w:p>
            <w:r/>
            <w:r>
              <w:rPr>
                <w:sz w:val="19"/>
              </w:rPr>
              <w:t>Continuous stream</w:t>
            </w:r>
          </w:p>
        </w:tc>
      </w:tr>
      <w:tr>
        <w:tc>
          <w:tcPr>
            <w:tcW w:type="dxa" w:w="3009"/>
            <w:tcBorders>
              <w:top w:val="single" w:sz="4" w:color="BBBBBB"/>
              <w:left w:val="single" w:sz="4" w:color="BBBBBB"/>
              <w:bottom w:val="single" w:sz="4" w:color="BBBBBB"/>
              <w:right w:val="single" w:sz="4" w:color="BBBBBB"/>
            </w:tcBorders>
            <w:shd w:val="clear" w:color="auto" w:fill="EEF2F7"/>
          </w:tcPr>
          <w:p>
            <w:r/>
            <w:r>
              <w:rPr>
                <w:sz w:val="19"/>
              </w:rPr>
              <w:t>Sealed storage</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Electronic seals + cameras</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Real-time integrity flag</w:t>
            </w:r>
          </w:p>
        </w:tc>
      </w:tr>
      <w:tr>
        <w:tc>
          <w:tcPr>
            <w:tcW w:type="dxa" w:w="3009"/>
            <w:tcBorders>
              <w:top w:val="single" w:sz="4" w:color="BBBBBB"/>
              <w:left w:val="single" w:sz="4" w:color="BBBBBB"/>
              <w:bottom w:val="single" w:sz="4" w:color="BBBBBB"/>
              <w:right w:val="single" w:sz="4" w:color="BBBBBB"/>
            </w:tcBorders>
          </w:tcPr>
          <w:p>
            <w:r/>
            <w:r>
              <w:rPr>
                <w:sz w:val="19"/>
              </w:rPr>
              <w:t>Omani custody facility</w:t>
            </w:r>
          </w:p>
        </w:tc>
        <w:tc>
          <w:tcPr>
            <w:tcW w:type="dxa" w:w="3009"/>
            <w:tcBorders>
              <w:top w:val="single" w:sz="4" w:color="BBBBBB"/>
              <w:left w:val="single" w:sz="4" w:color="BBBBBB"/>
              <w:bottom w:val="single" w:sz="4" w:color="BBBBBB"/>
              <w:right w:val="single" w:sz="4" w:color="BBBBBB"/>
            </w:tcBorders>
          </w:tcPr>
          <w:p>
            <w:r/>
            <w:r>
              <w:rPr>
                <w:sz w:val="19"/>
              </w:rPr>
              <w:t>Cameras + seals + Iranian observer log</w:t>
            </w:r>
          </w:p>
        </w:tc>
        <w:tc>
          <w:tcPr>
            <w:tcW w:type="dxa" w:w="3009"/>
            <w:tcBorders>
              <w:top w:val="single" w:sz="4" w:color="BBBBBB"/>
              <w:left w:val="single" w:sz="4" w:color="BBBBBB"/>
              <w:bottom w:val="single" w:sz="4" w:color="BBBBBB"/>
              <w:right w:val="single" w:sz="4" w:color="BBBBBB"/>
            </w:tcBorders>
          </w:tcPr>
          <w:p>
            <w:r/>
            <w:r>
              <w:rPr>
                <w:sz w:val="19"/>
              </w:rPr>
              <w:t>Continuous + observer confirmation</w:t>
            </w:r>
          </w:p>
        </w:tc>
      </w:tr>
      <w:tr>
        <w:tc>
          <w:tcPr>
            <w:tcW w:type="dxa" w:w="3009"/>
            <w:tcBorders>
              <w:top w:val="single" w:sz="4" w:color="BBBBBB"/>
              <w:left w:val="single" w:sz="4" w:color="BBBBBB"/>
              <w:bottom w:val="single" w:sz="4" w:color="BBBBBB"/>
              <w:right w:val="single" w:sz="4" w:color="BBBBBB"/>
            </w:tcBorders>
            <w:shd w:val="clear" w:color="auto" w:fill="EEF2F7"/>
          </w:tcPr>
          <w:p>
            <w:r/>
            <w:r>
              <w:rPr>
                <w:sz w:val="19"/>
              </w:rPr>
              <w:t>Conversion/fabrication point</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Inventory instruments + cameras</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Reading-cadence stream</w:t>
            </w:r>
          </w:p>
        </w:tc>
      </w:tr>
    </w:tbl>
    <w:p>
      <w:pPr>
        <w:spacing w:after="40"/>
      </w:pPr>
    </w:p>
    <w:p>
      <w:pPr>
        <w:pStyle w:val="Heading3"/>
      </w:pPr>
      <w:r>
        <w:t>K.3.3 — Data Retention and Integrity</w:t>
      </w:r>
    </w:p>
    <w:p>
      <w:pPr>
        <w:spacing w:after="80"/>
        <w:ind w:left="360"/>
      </w:pPr>
      <w:r>
        <w:rPr>
          <w:b/>
        </w:rPr>
        <w:t xml:space="preserve">Retention — </w:t>
      </w:r>
      <w:r>
        <w:rPr>
          <w:b w:val="0"/>
        </w:rPr>
        <w:t>The verification system retains telemetry for the full duration of the implementation window and the follow-on negotiation period, and the Swiss technical guarantor protects the archive.</w:t>
      </w:r>
    </w:p>
    <w:p>
      <w:pPr>
        <w:spacing w:after="80"/>
        <w:ind w:left="360"/>
      </w:pPr>
      <w:r>
        <w:rPr>
          <w:b/>
        </w:rPr>
        <w:t xml:space="preserve">Encryption — </w:t>
      </w:r>
      <w:r>
        <w:rPr>
          <w:b w:val="0"/>
        </w:rPr>
        <w:t>End-to-end encryption protects every data stream between sensor and dashboard, and the architecture excludes any unilateral alteration of the record.</w:t>
      </w:r>
    </w:p>
    <w:p>
      <w:pPr>
        <w:spacing w:after="80"/>
        <w:ind w:left="360"/>
      </w:pPr>
      <w:r>
        <w:rPr>
          <w:b/>
        </w:rPr>
        <w:t xml:space="preserve">Equal access — </w:t>
      </w:r>
      <w:r>
        <w:rPr>
          <w:b w:val="0"/>
        </w:rPr>
        <w:t>Both Parties hold equal access to the verification dashboard. Neither Party holds a private data channel that the other lacks.</w:t>
      </w:r>
    </w:p>
    <w:p>
      <w:pPr>
        <w:spacing w:after="80"/>
        <w:ind w:left="360"/>
      </w:pPr>
      <w:r>
        <w:rPr>
          <w:b/>
        </w:rPr>
        <w:t xml:space="preserve">Chain of integrity — </w:t>
      </w:r>
      <w:r>
        <w:rPr>
          <w:b w:val="0"/>
        </w:rPr>
        <w:t>A break in any stream registers as an anomaly flag, and the flag enters the Human-in-the-Loop Review rather than producing an automatic breach determination.</w:t>
      </w:r>
    </w:p>
    <w:p>
      <w:pPr>
        <w:pStyle w:val="Heading2"/>
      </w:pPr>
      <w:r>
        <w:t>K.4 Fuel Swap Technical Specification</w:t>
      </w:r>
    </w:p>
    <w:p>
      <w:pPr>
        <w:spacing w:after="120"/>
      </w:pPr>
      <w:r>
        <w:rPr>
          <w:i w:val="0"/>
        </w:rPr>
        <w:t>This section specifies the confidence-building fuel swap of Section 2.5. It states the isotopic reporting, the custody chain, and the transport architecture. The swap demonstrates reciprocal motion: Iran reduces its near-threshold inventory by a defined amount and receives civilian reactor fuel in the same window.</w:t>
      </w:r>
    </w:p>
    <w:p>
      <w:pPr>
        <w:pStyle w:val="Heading3"/>
      </w:pPr>
      <w:r>
        <w:t>K.4.1 — Material Specification</w:t>
      </w:r>
    </w:p>
    <w:tbl>
      <w:tblPr>
        <w:tblW w:type="auto" w:w="0"/>
        <w:jc w:val="center"/>
        <w:tblLayout w:type="autofit"/>
        <w:tblLook w:firstColumn="1" w:firstRow="1" w:lastColumn="0" w:lastRow="0" w:noHBand="0" w:noVBand="1" w:val="04A0"/>
      </w:tblPr>
      <w:tblGrid>
        <w:gridCol w:w="1805"/>
        <w:gridCol w:w="1805"/>
        <w:gridCol w:w="1805"/>
        <w:gridCol w:w="1805"/>
        <w:gridCol w:w="1805"/>
      </w:tblGrid>
      <w:tr>
        <w:tc>
          <w:tcPr>
            <w:tcW w:type="dxa" w:w="1805"/>
            <w:shd w:val="clear" w:color="auto" w:fill="1F496E"/>
            <w:tcBorders>
              <w:top w:val="single" w:sz="4" w:color="BBBBBB"/>
              <w:left w:val="single" w:sz="4" w:color="BBBBBB"/>
              <w:bottom w:val="single" w:sz="4" w:color="BBBBBB"/>
              <w:right w:val="single" w:sz="4" w:color="BBBBBB"/>
            </w:tcBorders>
          </w:tcPr>
          <w:p>
            <w:r/>
            <w:r>
              <w:rPr>
                <w:b/>
                <w:color w:val="FFFFFF"/>
                <w:sz w:val="19"/>
              </w:rPr>
              <w:t>Direction</w:t>
            </w:r>
          </w:p>
        </w:tc>
        <w:tc>
          <w:tcPr>
            <w:tcW w:type="dxa" w:w="1805"/>
            <w:shd w:val="clear" w:color="auto" w:fill="1F496E"/>
            <w:tcBorders>
              <w:top w:val="single" w:sz="4" w:color="BBBBBB"/>
              <w:left w:val="single" w:sz="4" w:color="BBBBBB"/>
              <w:bottom w:val="single" w:sz="4" w:color="BBBBBB"/>
              <w:right w:val="single" w:sz="4" w:color="BBBBBB"/>
            </w:tcBorders>
          </w:tcPr>
          <w:p>
            <w:r/>
            <w:r>
              <w:rPr>
                <w:b/>
                <w:color w:val="FFFFFF"/>
                <w:sz w:val="19"/>
              </w:rPr>
              <w:t>Material</w:t>
            </w:r>
          </w:p>
        </w:tc>
        <w:tc>
          <w:tcPr>
            <w:tcW w:type="dxa" w:w="1805"/>
            <w:shd w:val="clear" w:color="auto" w:fill="1F496E"/>
            <w:tcBorders>
              <w:top w:val="single" w:sz="4" w:color="BBBBBB"/>
              <w:left w:val="single" w:sz="4" w:color="BBBBBB"/>
              <w:bottom w:val="single" w:sz="4" w:color="BBBBBB"/>
              <w:right w:val="single" w:sz="4" w:color="BBBBBB"/>
            </w:tcBorders>
          </w:tcPr>
          <w:p>
            <w:r/>
            <w:r>
              <w:rPr>
                <w:b/>
                <w:color w:val="FFFFFF"/>
                <w:sz w:val="19"/>
              </w:rPr>
              <w:t>Isotopic Basis</w:t>
            </w:r>
          </w:p>
        </w:tc>
        <w:tc>
          <w:tcPr>
            <w:tcW w:type="dxa" w:w="1805"/>
            <w:shd w:val="clear" w:color="auto" w:fill="1F496E"/>
            <w:tcBorders>
              <w:top w:val="single" w:sz="4" w:color="BBBBBB"/>
              <w:left w:val="single" w:sz="4" w:color="BBBBBB"/>
              <w:bottom w:val="single" w:sz="4" w:color="BBBBBB"/>
              <w:right w:val="single" w:sz="4" w:color="BBBBBB"/>
            </w:tcBorders>
          </w:tcPr>
          <w:p>
            <w:r/>
            <w:r>
              <w:rPr>
                <w:b/>
                <w:color w:val="FFFFFF"/>
                <w:sz w:val="19"/>
              </w:rPr>
              <w:t>Quantity</w:t>
            </w:r>
          </w:p>
        </w:tc>
        <w:tc>
          <w:tcPr>
            <w:tcW w:type="dxa" w:w="1805"/>
            <w:shd w:val="clear" w:color="auto" w:fill="1F496E"/>
            <w:tcBorders>
              <w:top w:val="single" w:sz="4" w:color="BBBBBB"/>
              <w:left w:val="single" w:sz="4" w:color="BBBBBB"/>
              <w:bottom w:val="single" w:sz="4" w:color="BBBBBB"/>
              <w:right w:val="single" w:sz="4" w:color="BBBBBB"/>
            </w:tcBorders>
          </w:tcPr>
          <w:p>
            <w:r/>
            <w:r>
              <w:rPr>
                <w:b/>
                <w:color w:val="FFFFFF"/>
                <w:sz w:val="19"/>
              </w:rPr>
              <w:t>End Use</w:t>
            </w:r>
          </w:p>
        </w:tc>
      </w:tr>
      <w:tr>
        <w:tc>
          <w:tcPr>
            <w:tcW w:type="dxa" w:w="1805"/>
            <w:tcBorders>
              <w:top w:val="single" w:sz="4" w:color="BBBBBB"/>
              <w:left w:val="single" w:sz="4" w:color="BBBBBB"/>
              <w:bottom w:val="single" w:sz="4" w:color="BBBBBB"/>
              <w:right w:val="single" w:sz="4" w:color="BBBBBB"/>
            </w:tcBorders>
          </w:tcPr>
          <w:p>
            <w:r/>
            <w:r>
              <w:rPr>
                <w:sz w:val="19"/>
              </w:rPr>
              <w:t>Iran to Omani custody</w:t>
            </w:r>
          </w:p>
        </w:tc>
        <w:tc>
          <w:tcPr>
            <w:tcW w:type="dxa" w:w="1805"/>
            <w:tcBorders>
              <w:top w:val="single" w:sz="4" w:color="BBBBBB"/>
              <w:left w:val="single" w:sz="4" w:color="BBBBBB"/>
              <w:bottom w:val="single" w:sz="4" w:color="BBBBBB"/>
              <w:right w:val="single" w:sz="4" w:color="BBBBBB"/>
            </w:tcBorders>
          </w:tcPr>
          <w:p>
            <w:r/>
            <w:r>
              <w:rPr>
                <w:sz w:val="19"/>
              </w:rPr>
              <w:t>Enriched uranium</w:t>
            </w:r>
          </w:p>
        </w:tc>
        <w:tc>
          <w:tcPr>
            <w:tcW w:type="dxa" w:w="1805"/>
            <w:tcBorders>
              <w:top w:val="single" w:sz="4" w:color="BBBBBB"/>
              <w:left w:val="single" w:sz="4" w:color="BBBBBB"/>
              <w:bottom w:val="single" w:sz="4" w:color="BBBBBB"/>
              <w:right w:val="single" w:sz="4" w:color="BBBBBB"/>
            </w:tcBorders>
          </w:tcPr>
          <w:p>
            <w:r/>
            <w:r>
              <w:rPr>
                <w:sz w:val="19"/>
              </w:rPr>
              <w:t>60 percent U-235</w:t>
            </w:r>
          </w:p>
        </w:tc>
        <w:tc>
          <w:tcPr>
            <w:tcW w:type="dxa" w:w="1805"/>
            <w:tcBorders>
              <w:top w:val="single" w:sz="4" w:color="BBBBBB"/>
              <w:left w:val="single" w:sz="4" w:color="BBBBBB"/>
              <w:bottom w:val="single" w:sz="4" w:color="BBBBBB"/>
              <w:right w:val="single" w:sz="4" w:color="BBBBBB"/>
            </w:tcBorders>
          </w:tcPr>
          <w:p>
            <w:r/>
            <w:r>
              <w:rPr>
                <w:sz w:val="19"/>
              </w:rPr>
              <w:t>50 kg</w:t>
            </w:r>
          </w:p>
        </w:tc>
        <w:tc>
          <w:tcPr>
            <w:tcW w:type="dxa" w:w="1805"/>
            <w:tcBorders>
              <w:top w:val="single" w:sz="4" w:color="BBBBBB"/>
              <w:left w:val="single" w:sz="4" w:color="BBBBBB"/>
              <w:bottom w:val="single" w:sz="4" w:color="BBBBBB"/>
              <w:right w:val="single" w:sz="4" w:color="BBBBBB"/>
            </w:tcBorders>
          </w:tcPr>
          <w:p>
            <w:r/>
            <w:r>
              <w:rPr>
                <w:sz w:val="19"/>
              </w:rPr>
              <w:t>IAEA custody pending Phase Three disposition</w:t>
            </w:r>
          </w:p>
        </w:tc>
      </w:tr>
      <w:tr>
        <w:tc>
          <w:tcPr>
            <w:tcW w:type="dxa" w:w="1805"/>
            <w:tcBorders>
              <w:top w:val="single" w:sz="4" w:color="BBBBBB"/>
              <w:left w:val="single" w:sz="4" w:color="BBBBBB"/>
              <w:bottom w:val="single" w:sz="4" w:color="BBBBBB"/>
              <w:right w:val="single" w:sz="4" w:color="BBBBBB"/>
            </w:tcBorders>
            <w:shd w:val="clear" w:color="auto" w:fill="EEF2F7"/>
          </w:tcPr>
          <w:p>
            <w:r/>
            <w:r>
              <w:rPr>
                <w:sz w:val="19"/>
              </w:rPr>
              <w:t>United States to Iran</w:t>
            </w:r>
          </w:p>
        </w:tc>
        <w:tc>
          <w:tcPr>
            <w:tcW w:type="dxa" w:w="1805"/>
            <w:tcBorders>
              <w:top w:val="single" w:sz="4" w:color="BBBBBB"/>
              <w:left w:val="single" w:sz="4" w:color="BBBBBB"/>
              <w:bottom w:val="single" w:sz="4" w:color="BBBBBB"/>
              <w:right w:val="single" w:sz="4" w:color="BBBBBB"/>
            </w:tcBorders>
            <w:shd w:val="clear" w:color="auto" w:fill="EEF2F7"/>
          </w:tcPr>
          <w:p>
            <w:r/>
            <w:r>
              <w:rPr>
                <w:sz w:val="19"/>
              </w:rPr>
              <w:t>Reactor fuel rods</w:t>
            </w:r>
          </w:p>
        </w:tc>
        <w:tc>
          <w:tcPr>
            <w:tcW w:type="dxa" w:w="1805"/>
            <w:tcBorders>
              <w:top w:val="single" w:sz="4" w:color="BBBBBB"/>
              <w:left w:val="single" w:sz="4" w:color="BBBBBB"/>
              <w:bottom w:val="single" w:sz="4" w:color="BBBBBB"/>
              <w:right w:val="single" w:sz="4" w:color="BBBBBB"/>
            </w:tcBorders>
            <w:shd w:val="clear" w:color="auto" w:fill="EEF2F7"/>
          </w:tcPr>
          <w:p>
            <w:r/>
            <w:r>
              <w:rPr>
                <w:sz w:val="19"/>
              </w:rPr>
              <w:t>19.75 percent U-235</w:t>
            </w:r>
          </w:p>
        </w:tc>
        <w:tc>
          <w:tcPr>
            <w:tcW w:type="dxa" w:w="1805"/>
            <w:tcBorders>
              <w:top w:val="single" w:sz="4" w:color="BBBBBB"/>
              <w:left w:val="single" w:sz="4" w:color="BBBBBB"/>
              <w:bottom w:val="single" w:sz="4" w:color="BBBBBB"/>
              <w:right w:val="single" w:sz="4" w:color="BBBBBB"/>
            </w:tcBorders>
            <w:shd w:val="clear" w:color="auto" w:fill="EEF2F7"/>
          </w:tcPr>
          <w:p>
            <w:r/>
            <w:r>
              <w:rPr>
                <w:sz w:val="19"/>
              </w:rPr>
              <w:t>200 kg</w:t>
            </w:r>
          </w:p>
        </w:tc>
        <w:tc>
          <w:tcPr>
            <w:tcW w:type="dxa" w:w="1805"/>
            <w:tcBorders>
              <w:top w:val="single" w:sz="4" w:color="BBBBBB"/>
              <w:left w:val="single" w:sz="4" w:color="BBBBBB"/>
              <w:bottom w:val="single" w:sz="4" w:color="BBBBBB"/>
              <w:right w:val="single" w:sz="4" w:color="BBBBBB"/>
            </w:tcBorders>
            <w:shd w:val="clear" w:color="auto" w:fill="EEF2F7"/>
          </w:tcPr>
          <w:p>
            <w:r/>
            <w:r>
              <w:rPr>
                <w:sz w:val="19"/>
              </w:rPr>
              <w:t>Tehran Research Reactor civilian operation</w:t>
            </w:r>
          </w:p>
        </w:tc>
      </w:tr>
    </w:tbl>
    <w:p>
      <w:pPr>
        <w:spacing w:after="40"/>
      </w:pPr>
    </w:p>
    <w:p>
      <w:pPr>
        <w:spacing w:after="120"/>
      </w:pPr>
      <w:r>
        <w:rPr>
          <w:i w:val="0"/>
        </w:rPr>
        <w:t>The IAEA records the isotopic composition of each consignment at origin and confirms it at destination. The recorded composition at both ends matches, and the match enters the dashboard as a completed-swap confirmation.</w:t>
      </w:r>
    </w:p>
    <w:p>
      <w:pPr>
        <w:pStyle w:val="Heading3"/>
      </w:pPr>
      <w:r>
        <w:t>K.4.2 — Custody Chain</w:t>
      </w:r>
    </w:p>
    <w:p>
      <w:pPr>
        <w:spacing w:after="120"/>
      </w:pPr>
      <w:r>
        <w:rPr>
          <w:i w:val="0"/>
        </w:rPr>
        <w:t>Custody moves through a documented chain in which each transfer point logs the material and the IAEA confirms the log. The chain excludes any gap in which custody rests with neither a recorded party nor the IAEA.</w:t>
      </w:r>
    </w:p>
    <w:tbl>
      <w:tblPr>
        <w:tblW w:type="auto" w:w="0"/>
        <w:jc w:val="center"/>
        <w:tblLayout w:type="autofit"/>
        <w:tblLook w:firstColumn="1" w:firstRow="1" w:lastColumn="0" w:lastRow="0" w:noHBand="0" w:noVBand="1" w:val="04A0"/>
      </w:tblPr>
      <w:tblGrid>
        <w:gridCol w:w="3009"/>
        <w:gridCol w:w="3009"/>
        <w:gridCol w:w="3009"/>
      </w:tblGrid>
      <w:tr>
        <w:tc>
          <w:tcPr>
            <w:tcW w:type="dxa" w:w="3009"/>
            <w:shd w:val="clear" w:color="auto" w:fill="1F496E"/>
            <w:tcBorders>
              <w:top w:val="single" w:sz="4" w:color="BBBBBB"/>
              <w:left w:val="single" w:sz="4" w:color="BBBBBB"/>
              <w:bottom w:val="single" w:sz="4" w:color="BBBBBB"/>
              <w:right w:val="single" w:sz="4" w:color="BBBBBB"/>
            </w:tcBorders>
          </w:tcPr>
          <w:p>
            <w:r/>
            <w:r>
              <w:rPr>
                <w:b/>
                <w:color w:val="FFFFFF"/>
                <w:sz w:val="19"/>
              </w:rPr>
              <w:t>Stage</w:t>
            </w:r>
          </w:p>
        </w:tc>
        <w:tc>
          <w:tcPr>
            <w:tcW w:type="dxa" w:w="3009"/>
            <w:shd w:val="clear" w:color="auto" w:fill="1F496E"/>
            <w:tcBorders>
              <w:top w:val="single" w:sz="4" w:color="BBBBBB"/>
              <w:left w:val="single" w:sz="4" w:color="BBBBBB"/>
              <w:bottom w:val="single" w:sz="4" w:color="BBBBBB"/>
              <w:right w:val="single" w:sz="4" w:color="BBBBBB"/>
            </w:tcBorders>
          </w:tcPr>
          <w:p>
            <w:r/>
            <w:r>
              <w:rPr>
                <w:b/>
                <w:color w:val="FFFFFF"/>
                <w:sz w:val="19"/>
              </w:rPr>
              <w:t>Custodian</w:t>
            </w:r>
          </w:p>
        </w:tc>
        <w:tc>
          <w:tcPr>
            <w:tcW w:type="dxa" w:w="3009"/>
            <w:shd w:val="clear" w:color="auto" w:fill="1F496E"/>
            <w:tcBorders>
              <w:top w:val="single" w:sz="4" w:color="BBBBBB"/>
              <w:left w:val="single" w:sz="4" w:color="BBBBBB"/>
              <w:bottom w:val="single" w:sz="4" w:color="BBBBBB"/>
              <w:right w:val="single" w:sz="4" w:color="BBBBBB"/>
            </w:tcBorders>
          </w:tcPr>
          <w:p>
            <w:r/>
            <w:r>
              <w:rPr>
                <w:b/>
                <w:color w:val="FFFFFF"/>
                <w:sz w:val="19"/>
              </w:rPr>
              <w:t>Confirmation</w:t>
            </w:r>
          </w:p>
        </w:tc>
      </w:tr>
      <w:tr>
        <w:tc>
          <w:tcPr>
            <w:tcW w:type="dxa" w:w="3009"/>
            <w:tcBorders>
              <w:top w:val="single" w:sz="4" w:color="BBBBBB"/>
              <w:left w:val="single" w:sz="4" w:color="BBBBBB"/>
              <w:bottom w:val="single" w:sz="4" w:color="BBBBBB"/>
              <w:right w:val="single" w:sz="4" w:color="BBBBBB"/>
            </w:tcBorders>
          </w:tcPr>
          <w:p>
            <w:r/>
            <w:r>
              <w:rPr>
                <w:sz w:val="19"/>
              </w:rPr>
              <w:t>Origin (Iran)</w:t>
            </w:r>
          </w:p>
        </w:tc>
        <w:tc>
          <w:tcPr>
            <w:tcW w:type="dxa" w:w="3009"/>
            <w:tcBorders>
              <w:top w:val="single" w:sz="4" w:color="BBBBBB"/>
              <w:left w:val="single" w:sz="4" w:color="BBBBBB"/>
              <w:bottom w:val="single" w:sz="4" w:color="BBBBBB"/>
              <w:right w:val="single" w:sz="4" w:color="BBBBBB"/>
            </w:tcBorders>
          </w:tcPr>
          <w:p>
            <w:r/>
            <w:r>
              <w:rPr>
                <w:sz w:val="19"/>
              </w:rPr>
              <w:t>Iranian authority under IAEA observation</w:t>
            </w:r>
          </w:p>
        </w:tc>
        <w:tc>
          <w:tcPr>
            <w:tcW w:type="dxa" w:w="3009"/>
            <w:tcBorders>
              <w:top w:val="single" w:sz="4" w:color="BBBBBB"/>
              <w:left w:val="single" w:sz="4" w:color="BBBBBB"/>
              <w:bottom w:val="single" w:sz="4" w:color="BBBBBB"/>
              <w:right w:val="single" w:sz="4" w:color="BBBBBB"/>
            </w:tcBorders>
          </w:tcPr>
          <w:p>
            <w:r/>
            <w:r>
              <w:rPr>
                <w:sz w:val="19"/>
              </w:rPr>
              <w:t>IAEA seals and isotopic reading at departure</w:t>
            </w:r>
          </w:p>
        </w:tc>
      </w:tr>
      <w:tr>
        <w:tc>
          <w:tcPr>
            <w:tcW w:type="dxa" w:w="3009"/>
            <w:tcBorders>
              <w:top w:val="single" w:sz="4" w:color="BBBBBB"/>
              <w:left w:val="single" w:sz="4" w:color="BBBBBB"/>
              <w:bottom w:val="single" w:sz="4" w:color="BBBBBB"/>
              <w:right w:val="single" w:sz="4" w:color="BBBBBB"/>
            </w:tcBorders>
            <w:shd w:val="clear" w:color="auto" w:fill="EEF2F7"/>
          </w:tcPr>
          <w:p>
            <w:r/>
            <w:r>
              <w:rPr>
                <w:sz w:val="19"/>
              </w:rPr>
              <w:t>Transit</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Designated secure carrier under IAEA oversight</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Continuous seal-integrity reporting</w:t>
            </w:r>
          </w:p>
        </w:tc>
      </w:tr>
      <w:tr>
        <w:tc>
          <w:tcPr>
            <w:tcW w:type="dxa" w:w="3009"/>
            <w:tcBorders>
              <w:top w:val="single" w:sz="4" w:color="BBBBBB"/>
              <w:left w:val="single" w:sz="4" w:color="BBBBBB"/>
              <w:bottom w:val="single" w:sz="4" w:color="BBBBBB"/>
              <w:right w:val="single" w:sz="4" w:color="BBBBBB"/>
            </w:tcBorders>
          </w:tcPr>
          <w:p>
            <w:r/>
            <w:r>
              <w:rPr>
                <w:sz w:val="19"/>
              </w:rPr>
              <w:t>Destination (Oman)</w:t>
            </w:r>
          </w:p>
        </w:tc>
        <w:tc>
          <w:tcPr>
            <w:tcW w:type="dxa" w:w="3009"/>
            <w:tcBorders>
              <w:top w:val="single" w:sz="4" w:color="BBBBBB"/>
              <w:left w:val="single" w:sz="4" w:color="BBBBBB"/>
              <w:bottom w:val="single" w:sz="4" w:color="BBBBBB"/>
              <w:right w:val="single" w:sz="4" w:color="BBBBBB"/>
            </w:tcBorders>
          </w:tcPr>
          <w:p>
            <w:r/>
            <w:r>
              <w:rPr>
                <w:sz w:val="19"/>
              </w:rPr>
              <w:t>IAEA custody with Iranian observer access</w:t>
            </w:r>
          </w:p>
        </w:tc>
        <w:tc>
          <w:tcPr>
            <w:tcW w:type="dxa" w:w="3009"/>
            <w:tcBorders>
              <w:top w:val="single" w:sz="4" w:color="BBBBBB"/>
              <w:left w:val="single" w:sz="4" w:color="BBBBBB"/>
              <w:bottom w:val="single" w:sz="4" w:color="BBBBBB"/>
              <w:right w:val="single" w:sz="4" w:color="BBBBBB"/>
            </w:tcBorders>
          </w:tcPr>
          <w:p>
            <w:r/>
            <w:r>
              <w:rPr>
                <w:sz w:val="19"/>
              </w:rPr>
              <w:t>Arrival reading matches departure reading</w:t>
            </w:r>
          </w:p>
        </w:tc>
      </w:tr>
      <w:tr>
        <w:tc>
          <w:tcPr>
            <w:tcW w:type="dxa" w:w="3009"/>
            <w:tcBorders>
              <w:top w:val="single" w:sz="4" w:color="BBBBBB"/>
              <w:left w:val="single" w:sz="4" w:color="BBBBBB"/>
              <w:bottom w:val="single" w:sz="4" w:color="BBBBBB"/>
              <w:right w:val="single" w:sz="4" w:color="BBBBBB"/>
            </w:tcBorders>
            <w:shd w:val="clear" w:color="auto" w:fill="EEF2F7"/>
          </w:tcPr>
          <w:p>
            <w:r/>
            <w:r>
              <w:rPr>
                <w:sz w:val="19"/>
              </w:rPr>
              <w:t>Reciprocal inbound</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IAEA-monitored delivery to Iran</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Fuel-rod composition confirmed on receipt</w:t>
            </w:r>
          </w:p>
        </w:tc>
      </w:tr>
    </w:tbl>
    <w:p>
      <w:pPr>
        <w:spacing w:after="40"/>
      </w:pPr>
    </w:p>
    <w:p>
      <w:pPr>
        <w:pStyle w:val="Heading3"/>
      </w:pPr>
      <w:r>
        <w:t>K.4.3 — Transport Architecture</w:t>
      </w:r>
    </w:p>
    <w:p>
      <w:pPr>
        <w:spacing w:after="80"/>
        <w:ind w:left="360"/>
      </w:pPr>
      <w:r>
        <w:rPr>
          <w:b/>
        </w:rPr>
        <w:t xml:space="preserve">Routing — </w:t>
      </w:r>
      <w:r>
        <w:rPr>
          <w:b w:val="0"/>
        </w:rPr>
        <w:t>The designated carrier moves the consignment along a pre-agreed route under continuous seal monitoring, and the Neutral Guarantor confirms each waypoint.</w:t>
      </w:r>
    </w:p>
    <w:p>
      <w:pPr>
        <w:spacing w:after="80"/>
        <w:ind w:left="360"/>
      </w:pPr>
      <w:r>
        <w:rPr>
          <w:b/>
        </w:rPr>
        <w:t xml:space="preserve">Security — </w:t>
      </w:r>
      <w:r>
        <w:rPr>
          <w:b w:val="0"/>
        </w:rPr>
        <w:t>The transport architecture provides physical protection at the carrier and perimeter level, and the architecture excludes any access to the consignment outside the recorded custody chain.</w:t>
      </w:r>
    </w:p>
    <w:p>
      <w:pPr>
        <w:spacing w:after="80"/>
        <w:ind w:left="360"/>
      </w:pPr>
      <w:r>
        <w:rPr>
          <w:b/>
        </w:rPr>
        <w:t xml:space="preserve">Synchronization — </w:t>
      </w:r>
      <w:r>
        <w:rPr>
          <w:b w:val="0"/>
        </w:rPr>
        <w:t>The inbound fuel-rod delivery and the outbound 60 percent transfer confirm inside the same window, so that the swap executes as a single reciprocity unit rather than as two sequential acts.</w:t>
      </w:r>
    </w:p>
    <w:p>
      <w:pPr>
        <w:spacing w:after="80"/>
        <w:ind w:left="360"/>
      </w:pPr>
      <w:r>
        <w:rPr>
          <w:b/>
        </w:rPr>
        <w:t xml:space="preserve">Disposition link — </w:t>
      </w:r>
      <w:r>
        <w:rPr>
          <w:b w:val="0"/>
        </w:rPr>
        <w:t>The 50 kg in Omani custody remains under IAEA control pending the Phase Three disposition the Parties select by mutual agreement; the transport architecture pre-decides no disposition outcome.</w:t>
      </w:r>
    </w:p>
    <w:p>
      <w:r>
        <w:br w:type="page"/>
      </w:r>
    </w:p>
    <w:p>
      <w:pPr>
        <w:pStyle w:val="Heading1"/>
      </w:pPr>
      <w:r>
        <w:t>Annex L: Sanctions and Financial Architecture</w:t>
      </w:r>
    </w:p>
    <w:p>
      <w:pPr>
        <w:spacing w:after="120"/>
      </w:pPr>
      <w:r>
        <w:rPr>
          <w:i w:val="0"/>
        </w:rPr>
        <w:t>This annex builds the financial machinery that Article III and Annex C operate upon. It states the sanctions inventory framework, the relief sequencing map across Day 1, Day 14, and Day 45, the banking compliance architecture, and the frozen-asset accounting. Every relief action tracks a verified compliance step, and the reversible design keeps each tranche inside the Step-Back and Earn-Back architecture.</w:t>
      </w:r>
    </w:p>
    <w:p>
      <w:pPr>
        <w:pStyle w:val="Heading2"/>
      </w:pPr>
      <w:r>
        <w:t>L.1 Sanctions Inventory Framework</w:t>
      </w:r>
    </w:p>
    <w:p>
      <w:pPr>
        <w:spacing w:after="120"/>
      </w:pPr>
      <w:r>
        <w:rPr>
          <w:i w:val="0"/>
        </w:rPr>
        <w:t>The inventory framework categorizes the relevant measures by authority class and by the waiver or revocation mechanism that activates relief. The framework states categories rather than an exhaustive enumeration, so that each relief action maps to the mechanism that executes it.</w:t>
      </w:r>
    </w:p>
    <w:tbl>
      <w:tblPr>
        <w:tblW w:type="auto" w:w="0"/>
        <w:jc w:val="center"/>
        <w:tblLayout w:type="autofit"/>
        <w:tblLook w:firstColumn="1" w:firstRow="1" w:lastColumn="0" w:lastRow="0" w:noHBand="0" w:noVBand="1" w:val="04A0"/>
      </w:tblPr>
      <w:tblGrid>
        <w:gridCol w:w="2256"/>
        <w:gridCol w:w="2256"/>
        <w:gridCol w:w="2256"/>
        <w:gridCol w:w="2256"/>
      </w:tblGrid>
      <w:tr>
        <w:tc>
          <w:tcPr>
            <w:tcW w:type="dxa" w:w="2256"/>
            <w:shd w:val="clear" w:color="auto" w:fill="1F496E"/>
            <w:tcBorders>
              <w:top w:val="single" w:sz="4" w:color="BBBBBB"/>
              <w:left w:val="single" w:sz="4" w:color="BBBBBB"/>
              <w:bottom w:val="single" w:sz="4" w:color="BBBBBB"/>
              <w:right w:val="single" w:sz="4" w:color="BBBBBB"/>
            </w:tcBorders>
          </w:tcPr>
          <w:p>
            <w:r/>
            <w:r>
              <w:rPr>
                <w:b/>
                <w:color w:val="FFFFFF"/>
                <w:sz w:val="19"/>
              </w:rPr>
              <w:t>Authority Class</w:t>
            </w:r>
          </w:p>
        </w:tc>
        <w:tc>
          <w:tcPr>
            <w:tcW w:type="dxa" w:w="2256"/>
            <w:shd w:val="clear" w:color="auto" w:fill="1F496E"/>
            <w:tcBorders>
              <w:top w:val="single" w:sz="4" w:color="BBBBBB"/>
              <w:left w:val="single" w:sz="4" w:color="BBBBBB"/>
              <w:bottom w:val="single" w:sz="4" w:color="BBBBBB"/>
              <w:right w:val="single" w:sz="4" w:color="BBBBBB"/>
            </w:tcBorders>
          </w:tcPr>
          <w:p>
            <w:r/>
            <w:r>
              <w:rPr>
                <w:b/>
                <w:color w:val="FFFFFF"/>
                <w:sz w:val="19"/>
              </w:rPr>
              <w:t>Measure Type</w:t>
            </w:r>
          </w:p>
        </w:tc>
        <w:tc>
          <w:tcPr>
            <w:tcW w:type="dxa" w:w="2256"/>
            <w:shd w:val="clear" w:color="auto" w:fill="1F496E"/>
            <w:tcBorders>
              <w:top w:val="single" w:sz="4" w:color="BBBBBB"/>
              <w:left w:val="single" w:sz="4" w:color="BBBBBB"/>
              <w:bottom w:val="single" w:sz="4" w:color="BBBBBB"/>
              <w:right w:val="single" w:sz="4" w:color="BBBBBB"/>
            </w:tcBorders>
          </w:tcPr>
          <w:p>
            <w:r/>
            <w:r>
              <w:rPr>
                <w:b/>
                <w:color w:val="FFFFFF"/>
                <w:sz w:val="19"/>
              </w:rPr>
              <w:t>Relief Mechanism</w:t>
            </w:r>
          </w:p>
        </w:tc>
        <w:tc>
          <w:tcPr>
            <w:tcW w:type="dxa" w:w="2256"/>
            <w:shd w:val="clear" w:color="auto" w:fill="1F496E"/>
            <w:tcBorders>
              <w:top w:val="single" w:sz="4" w:color="BBBBBB"/>
              <w:left w:val="single" w:sz="4" w:color="BBBBBB"/>
              <w:bottom w:val="single" w:sz="4" w:color="BBBBBB"/>
              <w:right w:val="single" w:sz="4" w:color="BBBBBB"/>
            </w:tcBorders>
          </w:tcPr>
          <w:p>
            <w:r/>
            <w:r>
              <w:rPr>
                <w:b/>
                <w:color w:val="FFFFFF"/>
                <w:sz w:val="19"/>
              </w:rPr>
              <w:t>Reversibility</w:t>
            </w:r>
          </w:p>
        </w:tc>
      </w:tr>
      <w:tr>
        <w:tc>
          <w:tcPr>
            <w:tcW w:type="dxa" w:w="2256"/>
            <w:tcBorders>
              <w:top w:val="single" w:sz="4" w:color="BBBBBB"/>
              <w:left w:val="single" w:sz="4" w:color="BBBBBB"/>
              <w:bottom w:val="single" w:sz="4" w:color="BBBBBB"/>
              <w:right w:val="single" w:sz="4" w:color="BBBBBB"/>
            </w:tcBorders>
          </w:tcPr>
          <w:p>
            <w:r/>
            <w:r>
              <w:rPr>
                <w:sz w:val="19"/>
              </w:rPr>
              <w:t>Executive sanctions authority</w:t>
            </w:r>
          </w:p>
        </w:tc>
        <w:tc>
          <w:tcPr>
            <w:tcW w:type="dxa" w:w="2256"/>
            <w:tcBorders>
              <w:top w:val="single" w:sz="4" w:color="BBBBBB"/>
              <w:left w:val="single" w:sz="4" w:color="BBBBBB"/>
              <w:bottom w:val="single" w:sz="4" w:color="BBBBBB"/>
              <w:right w:val="single" w:sz="4" w:color="BBBBBB"/>
            </w:tcBorders>
          </w:tcPr>
          <w:p>
            <w:r/>
            <w:r>
              <w:rPr>
                <w:sz w:val="19"/>
              </w:rPr>
              <w:t>Designations and asset blocks</w:t>
            </w:r>
          </w:p>
        </w:tc>
        <w:tc>
          <w:tcPr>
            <w:tcW w:type="dxa" w:w="2256"/>
            <w:tcBorders>
              <w:top w:val="single" w:sz="4" w:color="BBBBBB"/>
              <w:left w:val="single" w:sz="4" w:color="BBBBBB"/>
              <w:bottom w:val="single" w:sz="4" w:color="BBBBBB"/>
              <w:right w:val="single" w:sz="4" w:color="BBBBBB"/>
            </w:tcBorders>
          </w:tcPr>
          <w:p>
            <w:r/>
            <w:r>
              <w:rPr>
                <w:sz w:val="19"/>
              </w:rPr>
              <w:t>Executive waiver or de-listing action</w:t>
            </w:r>
          </w:p>
        </w:tc>
        <w:tc>
          <w:tcPr>
            <w:tcW w:type="dxa" w:w="2256"/>
            <w:tcBorders>
              <w:top w:val="single" w:sz="4" w:color="BBBBBB"/>
              <w:left w:val="single" w:sz="4" w:color="BBBBBB"/>
              <w:bottom w:val="single" w:sz="4" w:color="BBBBBB"/>
              <w:right w:val="single" w:sz="4" w:color="BBBBBB"/>
            </w:tcBorders>
          </w:tcPr>
          <w:p>
            <w:r/>
            <w:r>
              <w:rPr>
                <w:sz w:val="19"/>
              </w:rPr>
              <w:t>Reversible by re-designation</w:t>
            </w:r>
          </w:p>
        </w:tc>
      </w:tr>
      <w:tr>
        <w:tc>
          <w:tcPr>
            <w:tcW w:type="dxa" w:w="2256"/>
            <w:tcBorders>
              <w:top w:val="single" w:sz="4" w:color="BBBBBB"/>
              <w:left w:val="single" w:sz="4" w:color="BBBBBB"/>
              <w:bottom w:val="single" w:sz="4" w:color="BBBBBB"/>
              <w:right w:val="single" w:sz="4" w:color="BBBBBB"/>
            </w:tcBorders>
            <w:shd w:val="clear" w:color="auto" w:fill="EEF2F7"/>
          </w:tcPr>
          <w:p>
            <w:r/>
            <w:r>
              <w:rPr>
                <w:sz w:val="19"/>
              </w:rPr>
              <w:t>Banking and financial measures</w:t>
            </w:r>
          </w:p>
        </w:tc>
        <w:tc>
          <w:tcPr>
            <w:tcW w:type="dxa" w:w="2256"/>
            <w:tcBorders>
              <w:top w:val="single" w:sz="4" w:color="BBBBBB"/>
              <w:left w:val="single" w:sz="4" w:color="BBBBBB"/>
              <w:bottom w:val="single" w:sz="4" w:color="BBBBBB"/>
              <w:right w:val="single" w:sz="4" w:color="BBBBBB"/>
            </w:tcBorders>
            <w:shd w:val="clear" w:color="auto" w:fill="EEF2F7"/>
          </w:tcPr>
          <w:p>
            <w:r/>
            <w:r>
              <w:rPr>
                <w:sz w:val="19"/>
              </w:rPr>
              <w:t>Correspondent and messaging restrictions</w:t>
            </w:r>
          </w:p>
        </w:tc>
        <w:tc>
          <w:tcPr>
            <w:tcW w:type="dxa" w:w="2256"/>
            <w:tcBorders>
              <w:top w:val="single" w:sz="4" w:color="BBBBBB"/>
              <w:left w:val="single" w:sz="4" w:color="BBBBBB"/>
              <w:bottom w:val="single" w:sz="4" w:color="BBBBBB"/>
              <w:right w:val="single" w:sz="4" w:color="BBBBBB"/>
            </w:tcBorders>
            <w:shd w:val="clear" w:color="auto" w:fill="EEF2F7"/>
          </w:tcPr>
          <w:p>
            <w:r/>
            <w:r>
              <w:rPr>
                <w:sz w:val="19"/>
              </w:rPr>
              <w:t>Licensing and waiver action</w:t>
            </w:r>
          </w:p>
        </w:tc>
        <w:tc>
          <w:tcPr>
            <w:tcW w:type="dxa" w:w="2256"/>
            <w:tcBorders>
              <w:top w:val="single" w:sz="4" w:color="BBBBBB"/>
              <w:left w:val="single" w:sz="4" w:color="BBBBBB"/>
              <w:bottom w:val="single" w:sz="4" w:color="BBBBBB"/>
              <w:right w:val="single" w:sz="4" w:color="BBBBBB"/>
            </w:tcBorders>
            <w:shd w:val="clear" w:color="auto" w:fill="EEF2F7"/>
          </w:tcPr>
          <w:p>
            <w:r/>
            <w:r>
              <w:rPr>
                <w:sz w:val="19"/>
              </w:rPr>
              <w:t>Reversible by license withdrawal</w:t>
            </w:r>
          </w:p>
        </w:tc>
      </w:tr>
      <w:tr>
        <w:tc>
          <w:tcPr>
            <w:tcW w:type="dxa" w:w="2256"/>
            <w:tcBorders>
              <w:top w:val="single" w:sz="4" w:color="BBBBBB"/>
              <w:left w:val="single" w:sz="4" w:color="BBBBBB"/>
              <w:bottom w:val="single" w:sz="4" w:color="BBBBBB"/>
              <w:right w:val="single" w:sz="4" w:color="BBBBBB"/>
            </w:tcBorders>
          </w:tcPr>
          <w:p>
            <w:r/>
            <w:r>
              <w:rPr>
                <w:sz w:val="19"/>
              </w:rPr>
              <w:t>Sectoral measures</w:t>
            </w:r>
          </w:p>
        </w:tc>
        <w:tc>
          <w:tcPr>
            <w:tcW w:type="dxa" w:w="2256"/>
            <w:tcBorders>
              <w:top w:val="single" w:sz="4" w:color="BBBBBB"/>
              <w:left w:val="single" w:sz="4" w:color="BBBBBB"/>
              <w:bottom w:val="single" w:sz="4" w:color="BBBBBB"/>
              <w:right w:val="single" w:sz="4" w:color="BBBBBB"/>
            </w:tcBorders>
          </w:tcPr>
          <w:p>
            <w:r/>
            <w:r>
              <w:rPr>
                <w:sz w:val="19"/>
              </w:rPr>
              <w:t>Energy and shipping restrictions</w:t>
            </w:r>
          </w:p>
        </w:tc>
        <w:tc>
          <w:tcPr>
            <w:tcW w:type="dxa" w:w="2256"/>
            <w:tcBorders>
              <w:top w:val="single" w:sz="4" w:color="BBBBBB"/>
              <w:left w:val="single" w:sz="4" w:color="BBBBBB"/>
              <w:bottom w:val="single" w:sz="4" w:color="BBBBBB"/>
              <w:right w:val="single" w:sz="4" w:color="BBBBBB"/>
            </w:tcBorders>
          </w:tcPr>
          <w:p>
            <w:r/>
            <w:r>
              <w:rPr>
                <w:sz w:val="19"/>
              </w:rPr>
              <w:t>General-license activation</w:t>
            </w:r>
          </w:p>
        </w:tc>
        <w:tc>
          <w:tcPr>
            <w:tcW w:type="dxa" w:w="2256"/>
            <w:tcBorders>
              <w:top w:val="single" w:sz="4" w:color="BBBBBB"/>
              <w:left w:val="single" w:sz="4" w:color="BBBBBB"/>
              <w:bottom w:val="single" w:sz="4" w:color="BBBBBB"/>
              <w:right w:val="single" w:sz="4" w:color="BBBBBB"/>
            </w:tcBorders>
          </w:tcPr>
          <w:p>
            <w:r/>
            <w:r>
              <w:rPr>
                <w:sz w:val="19"/>
              </w:rPr>
              <w:t>Reversible by license expiry</w:t>
            </w:r>
          </w:p>
        </w:tc>
      </w:tr>
      <w:tr>
        <w:tc>
          <w:tcPr>
            <w:tcW w:type="dxa" w:w="2256"/>
            <w:tcBorders>
              <w:top w:val="single" w:sz="4" w:color="BBBBBB"/>
              <w:left w:val="single" w:sz="4" w:color="BBBBBB"/>
              <w:bottom w:val="single" w:sz="4" w:color="BBBBBB"/>
              <w:right w:val="single" w:sz="4" w:color="BBBBBB"/>
            </w:tcBorders>
            <w:shd w:val="clear" w:color="auto" w:fill="EEF2F7"/>
          </w:tcPr>
          <w:p>
            <w:r/>
            <w:r>
              <w:rPr>
                <w:sz w:val="19"/>
              </w:rPr>
              <w:t>Asset-specific freezes</w:t>
            </w:r>
          </w:p>
        </w:tc>
        <w:tc>
          <w:tcPr>
            <w:tcW w:type="dxa" w:w="2256"/>
            <w:tcBorders>
              <w:top w:val="single" w:sz="4" w:color="BBBBBB"/>
              <w:left w:val="single" w:sz="4" w:color="BBBBBB"/>
              <w:bottom w:val="single" w:sz="4" w:color="BBBBBB"/>
              <w:right w:val="single" w:sz="4" w:color="BBBBBB"/>
            </w:tcBorders>
            <w:shd w:val="clear" w:color="auto" w:fill="EEF2F7"/>
          </w:tcPr>
          <w:p>
            <w:r/>
            <w:r>
              <w:rPr>
                <w:sz w:val="19"/>
              </w:rPr>
              <w:t>Blocked national funds</w:t>
            </w:r>
          </w:p>
        </w:tc>
        <w:tc>
          <w:tcPr>
            <w:tcW w:type="dxa" w:w="2256"/>
            <w:tcBorders>
              <w:top w:val="single" w:sz="4" w:color="BBBBBB"/>
              <w:left w:val="single" w:sz="4" w:color="BBBBBB"/>
              <w:bottom w:val="single" w:sz="4" w:color="BBBBBB"/>
              <w:right w:val="single" w:sz="4" w:color="BBBBBB"/>
            </w:tcBorders>
            <w:shd w:val="clear" w:color="auto" w:fill="EEF2F7"/>
          </w:tcPr>
          <w:p>
            <w:r/>
            <w:r>
              <w:rPr>
                <w:sz w:val="19"/>
              </w:rPr>
              <w:t>Escrow release under defined conditions</w:t>
            </w:r>
          </w:p>
        </w:tc>
        <w:tc>
          <w:tcPr>
            <w:tcW w:type="dxa" w:w="2256"/>
            <w:tcBorders>
              <w:top w:val="single" w:sz="4" w:color="BBBBBB"/>
              <w:left w:val="single" w:sz="4" w:color="BBBBBB"/>
              <w:bottom w:val="single" w:sz="4" w:color="BBBBBB"/>
              <w:right w:val="single" w:sz="4" w:color="BBBBBB"/>
            </w:tcBorders>
            <w:shd w:val="clear" w:color="auto" w:fill="EEF2F7"/>
          </w:tcPr>
          <w:p>
            <w:r/>
            <w:r>
              <w:rPr>
                <w:sz w:val="19"/>
              </w:rPr>
              <w:t>Conditioned on verified compliance</w:t>
            </w:r>
          </w:p>
        </w:tc>
      </w:tr>
    </w:tbl>
    <w:p>
      <w:pPr>
        <w:spacing w:after="40"/>
      </w:pPr>
    </w:p>
    <w:p>
      <w:pPr>
        <w:spacing w:after="120"/>
      </w:pPr>
      <w:r>
        <w:rPr>
          <w:i w:val="0"/>
        </w:rPr>
        <w:t>Each category carries its own waiver mechanism, and the relief sequence activates categories in the order the next section defines. The reversibility column anchors the Earn-Back logic: a relief action that a non-compliance event suspends re-activates upon verified correction.</w:t>
      </w:r>
    </w:p>
    <w:p>
      <w:pPr>
        <w:pStyle w:val="Heading2"/>
      </w:pPr>
      <w:r>
        <w:t>L.2 Relief Sequencing Map</w:t>
      </w:r>
    </w:p>
    <w:p>
      <w:pPr>
        <w:spacing w:after="120"/>
      </w:pPr>
      <w:r>
        <w:rPr>
          <w:i w:val="0"/>
        </w:rPr>
        <w:t>Relief flows in measured tranches keyed to verified milestones. The map states what activates on Day 1, Day 14, and Day 45, and it pairs each tranche with the Iranian compliance step that the dashboard confirms before the tranche activates.</w:t>
      </w:r>
    </w:p>
    <w:tbl>
      <w:tblPr>
        <w:tblW w:type="auto" w:w="0"/>
        <w:jc w:val="center"/>
        <w:tblLayout w:type="autofit"/>
        <w:tblLook w:firstColumn="1" w:firstRow="1" w:lastColumn="0" w:lastRow="0" w:noHBand="0" w:noVBand="1" w:val="04A0"/>
      </w:tblPr>
      <w:tblGrid>
        <w:gridCol w:w="2256"/>
        <w:gridCol w:w="2256"/>
        <w:gridCol w:w="2256"/>
        <w:gridCol w:w="2256"/>
      </w:tblGrid>
      <w:tr>
        <w:tc>
          <w:tcPr>
            <w:tcW w:type="dxa" w:w="2256"/>
            <w:shd w:val="clear" w:color="auto" w:fill="1F496E"/>
            <w:tcBorders>
              <w:top w:val="single" w:sz="4" w:color="BBBBBB"/>
              <w:left w:val="single" w:sz="4" w:color="BBBBBB"/>
              <w:bottom w:val="single" w:sz="4" w:color="BBBBBB"/>
              <w:right w:val="single" w:sz="4" w:color="BBBBBB"/>
            </w:tcBorders>
          </w:tcPr>
          <w:p>
            <w:r/>
            <w:r>
              <w:rPr>
                <w:b/>
                <w:color w:val="FFFFFF"/>
                <w:sz w:val="19"/>
              </w:rPr>
              <w:t>Day</w:t>
            </w:r>
          </w:p>
        </w:tc>
        <w:tc>
          <w:tcPr>
            <w:tcW w:type="dxa" w:w="2256"/>
            <w:shd w:val="clear" w:color="auto" w:fill="1F496E"/>
            <w:tcBorders>
              <w:top w:val="single" w:sz="4" w:color="BBBBBB"/>
              <w:left w:val="single" w:sz="4" w:color="BBBBBB"/>
              <w:bottom w:val="single" w:sz="4" w:color="BBBBBB"/>
              <w:right w:val="single" w:sz="4" w:color="BBBBBB"/>
            </w:tcBorders>
          </w:tcPr>
          <w:p>
            <w:r/>
            <w:r>
              <w:rPr>
                <w:b/>
                <w:color w:val="FFFFFF"/>
                <w:sz w:val="19"/>
              </w:rPr>
              <w:t>Relief Tranche</w:t>
            </w:r>
          </w:p>
        </w:tc>
        <w:tc>
          <w:tcPr>
            <w:tcW w:type="dxa" w:w="2256"/>
            <w:shd w:val="clear" w:color="auto" w:fill="1F496E"/>
            <w:tcBorders>
              <w:top w:val="single" w:sz="4" w:color="BBBBBB"/>
              <w:left w:val="single" w:sz="4" w:color="BBBBBB"/>
              <w:bottom w:val="single" w:sz="4" w:color="BBBBBB"/>
              <w:right w:val="single" w:sz="4" w:color="BBBBBB"/>
            </w:tcBorders>
          </w:tcPr>
          <w:p>
            <w:r/>
            <w:r>
              <w:rPr>
                <w:b/>
                <w:color w:val="FFFFFF"/>
                <w:sz w:val="19"/>
              </w:rPr>
              <w:t>Paired Verified Milestone</w:t>
            </w:r>
          </w:p>
        </w:tc>
        <w:tc>
          <w:tcPr>
            <w:tcW w:type="dxa" w:w="2256"/>
            <w:shd w:val="clear" w:color="auto" w:fill="1F496E"/>
            <w:tcBorders>
              <w:top w:val="single" w:sz="4" w:color="BBBBBB"/>
              <w:left w:val="single" w:sz="4" w:color="BBBBBB"/>
              <w:bottom w:val="single" w:sz="4" w:color="BBBBBB"/>
              <w:right w:val="single" w:sz="4" w:color="BBBBBB"/>
            </w:tcBorders>
          </w:tcPr>
          <w:p>
            <w:r/>
            <w:r>
              <w:rPr>
                <w:b/>
                <w:color w:val="FFFFFF"/>
                <w:sz w:val="19"/>
              </w:rPr>
              <w:t>Reversibility Status</w:t>
            </w:r>
          </w:p>
        </w:tc>
      </w:tr>
      <w:tr>
        <w:tc>
          <w:tcPr>
            <w:tcW w:type="dxa" w:w="2256"/>
            <w:tcBorders>
              <w:top w:val="single" w:sz="4" w:color="BBBBBB"/>
              <w:left w:val="single" w:sz="4" w:color="BBBBBB"/>
              <w:bottom w:val="single" w:sz="4" w:color="BBBBBB"/>
              <w:right w:val="single" w:sz="4" w:color="BBBBBB"/>
            </w:tcBorders>
          </w:tcPr>
          <w:p>
            <w:r/>
            <w:r>
              <w:rPr>
                <w:sz w:val="19"/>
              </w:rPr>
              <w:t>Day 1</w:t>
            </w:r>
          </w:p>
        </w:tc>
        <w:tc>
          <w:tcPr>
            <w:tcW w:type="dxa" w:w="2256"/>
            <w:tcBorders>
              <w:top w:val="single" w:sz="4" w:color="BBBBBB"/>
              <w:left w:val="single" w:sz="4" w:color="BBBBBB"/>
              <w:bottom w:val="single" w:sz="4" w:color="BBBBBB"/>
              <w:right w:val="single" w:sz="4" w:color="BBBBBB"/>
            </w:tcBorders>
          </w:tcPr>
          <w:p>
            <w:r/>
            <w:r>
              <w:rPr>
                <w:sz w:val="19"/>
              </w:rPr>
              <w:t>Humanitarian asset release ($250M) + transit normalization</w:t>
            </w:r>
          </w:p>
        </w:tc>
        <w:tc>
          <w:tcPr>
            <w:tcW w:type="dxa" w:w="2256"/>
            <w:tcBorders>
              <w:top w:val="single" w:sz="4" w:color="BBBBBB"/>
              <w:left w:val="single" w:sz="4" w:color="BBBBBB"/>
              <w:bottom w:val="single" w:sz="4" w:color="BBBBBB"/>
              <w:right w:val="single" w:sz="4" w:color="BBBBBB"/>
            </w:tcBorders>
          </w:tcPr>
          <w:p>
            <w:r/>
            <w:r>
              <w:rPr>
                <w:sz w:val="19"/>
              </w:rPr>
              <w:t>IAEA baseline access granted (Section 2.4)</w:t>
            </w:r>
          </w:p>
        </w:tc>
        <w:tc>
          <w:tcPr>
            <w:tcW w:type="dxa" w:w="2256"/>
            <w:tcBorders>
              <w:top w:val="single" w:sz="4" w:color="BBBBBB"/>
              <w:left w:val="single" w:sz="4" w:color="BBBBBB"/>
              <w:bottom w:val="single" w:sz="4" w:color="BBBBBB"/>
              <w:right w:val="single" w:sz="4" w:color="BBBBBB"/>
            </w:tcBorders>
          </w:tcPr>
          <w:p>
            <w:r/>
            <w:r>
              <w:rPr>
                <w:sz w:val="19"/>
              </w:rPr>
              <w:t>Humanitarian portion non-reversible; transit reversible</w:t>
            </w:r>
          </w:p>
        </w:tc>
      </w:tr>
      <w:tr>
        <w:tc>
          <w:tcPr>
            <w:tcW w:type="dxa" w:w="2256"/>
            <w:tcBorders>
              <w:top w:val="single" w:sz="4" w:color="BBBBBB"/>
              <w:left w:val="single" w:sz="4" w:color="BBBBBB"/>
              <w:bottom w:val="single" w:sz="4" w:color="BBBBBB"/>
              <w:right w:val="single" w:sz="4" w:color="BBBBBB"/>
            </w:tcBorders>
            <w:shd w:val="clear" w:color="auto" w:fill="EEF2F7"/>
          </w:tcPr>
          <w:p>
            <w:r/>
            <w:r>
              <w:rPr>
                <w:sz w:val="19"/>
              </w:rPr>
              <w:t>Day 14</w:t>
            </w:r>
          </w:p>
        </w:tc>
        <w:tc>
          <w:tcPr>
            <w:tcW w:type="dxa" w:w="2256"/>
            <w:tcBorders>
              <w:top w:val="single" w:sz="4" w:color="BBBBBB"/>
              <w:left w:val="single" w:sz="4" w:color="BBBBBB"/>
              <w:bottom w:val="single" w:sz="4" w:color="BBBBBB"/>
              <w:right w:val="single" w:sz="4" w:color="BBBBBB"/>
            </w:tcBorders>
            <w:shd w:val="clear" w:color="auto" w:fill="EEF2F7"/>
          </w:tcPr>
          <w:p>
            <w:r/>
            <w:r>
              <w:rPr>
                <w:sz w:val="19"/>
              </w:rPr>
              <w:t>Banking-channel licensing + sectoral general licenses</w:t>
            </w:r>
          </w:p>
        </w:tc>
        <w:tc>
          <w:tcPr>
            <w:tcW w:type="dxa" w:w="2256"/>
            <w:tcBorders>
              <w:top w:val="single" w:sz="4" w:color="BBBBBB"/>
              <w:left w:val="single" w:sz="4" w:color="BBBBBB"/>
              <w:bottom w:val="single" w:sz="4" w:color="BBBBBB"/>
              <w:right w:val="single" w:sz="4" w:color="BBBBBB"/>
            </w:tcBorders>
            <w:shd w:val="clear" w:color="auto" w:fill="EEF2F7"/>
          </w:tcPr>
          <w:p>
            <w:r/>
            <w:r>
              <w:rPr>
                <w:sz w:val="19"/>
              </w:rPr>
              <w:t>Material above 5% sealed under IAEA monitoring (Section 3.1.1)</w:t>
            </w:r>
          </w:p>
        </w:tc>
        <w:tc>
          <w:tcPr>
            <w:tcW w:type="dxa" w:w="2256"/>
            <w:tcBorders>
              <w:top w:val="single" w:sz="4" w:color="BBBBBB"/>
              <w:left w:val="single" w:sz="4" w:color="BBBBBB"/>
              <w:bottom w:val="single" w:sz="4" w:color="BBBBBB"/>
              <w:right w:val="single" w:sz="4" w:color="BBBBBB"/>
            </w:tcBorders>
            <w:shd w:val="clear" w:color="auto" w:fill="EEF2F7"/>
          </w:tcPr>
          <w:p>
            <w:r/>
            <w:r>
              <w:rPr>
                <w:sz w:val="19"/>
              </w:rPr>
              <w:t>Reversible by license withdrawal</w:t>
            </w:r>
          </w:p>
        </w:tc>
      </w:tr>
      <w:tr>
        <w:tc>
          <w:tcPr>
            <w:tcW w:type="dxa" w:w="2256"/>
            <w:tcBorders>
              <w:top w:val="single" w:sz="4" w:color="BBBBBB"/>
              <w:left w:val="single" w:sz="4" w:color="BBBBBB"/>
              <w:bottom w:val="single" w:sz="4" w:color="BBBBBB"/>
              <w:right w:val="single" w:sz="4" w:color="BBBBBB"/>
            </w:tcBorders>
          </w:tcPr>
          <w:p>
            <w:r/>
            <w:r>
              <w:rPr>
                <w:sz w:val="19"/>
              </w:rPr>
              <w:t>Day 45</w:t>
            </w:r>
          </w:p>
        </w:tc>
        <w:tc>
          <w:tcPr>
            <w:tcW w:type="dxa" w:w="2256"/>
            <w:tcBorders>
              <w:top w:val="single" w:sz="4" w:color="BBBBBB"/>
              <w:left w:val="single" w:sz="4" w:color="BBBBBB"/>
              <w:bottom w:val="single" w:sz="4" w:color="BBBBBB"/>
              <w:right w:val="single" w:sz="4" w:color="BBBBBB"/>
            </w:tcBorders>
          </w:tcPr>
          <w:p>
            <w:r/>
            <w:r>
              <w:rPr>
                <w:sz w:val="19"/>
              </w:rPr>
              <w:t>Broader designation relief + expanded financial access</w:t>
            </w:r>
          </w:p>
        </w:tc>
        <w:tc>
          <w:tcPr>
            <w:tcW w:type="dxa" w:w="2256"/>
            <w:tcBorders>
              <w:top w:val="single" w:sz="4" w:color="BBBBBB"/>
              <w:left w:val="single" w:sz="4" w:color="BBBBBB"/>
              <w:bottom w:val="single" w:sz="4" w:color="BBBBBB"/>
              <w:right w:val="single" w:sz="4" w:color="BBBBBB"/>
            </w:tcBorders>
          </w:tcPr>
          <w:p>
            <w:r/>
            <w:r>
              <w:rPr>
                <w:sz w:val="19"/>
              </w:rPr>
              <w:t>Sustained verified compliance across the window</w:t>
            </w:r>
          </w:p>
        </w:tc>
        <w:tc>
          <w:tcPr>
            <w:tcW w:type="dxa" w:w="2256"/>
            <w:tcBorders>
              <w:top w:val="single" w:sz="4" w:color="BBBBBB"/>
              <w:left w:val="single" w:sz="4" w:color="BBBBBB"/>
              <w:bottom w:val="single" w:sz="4" w:color="BBBBBB"/>
              <w:right w:val="single" w:sz="4" w:color="BBBBBB"/>
            </w:tcBorders>
          </w:tcPr>
          <w:p>
            <w:r/>
            <w:r>
              <w:rPr>
                <w:sz w:val="19"/>
              </w:rPr>
              <w:t>Reversible by re-designation</w:t>
            </w:r>
          </w:p>
        </w:tc>
      </w:tr>
    </w:tbl>
    <w:p>
      <w:pPr>
        <w:spacing w:after="40"/>
      </w:pPr>
    </w:p>
    <w:p>
      <w:pPr>
        <w:spacing w:after="120"/>
      </w:pPr>
      <w:r>
        <w:rPr>
          <w:i w:val="0"/>
        </w:rPr>
        <w:t>No tranche activates ahead of its paired milestone. The Neutral Guarantor confirms the milestone on the dashboard, and confirmation activates the tranche. A milestone that the dashboard does not confirm holds the paired tranche in suspension inside the Step-Back architecture.</w:t>
      </w:r>
    </w:p>
    <w:p>
      <w:pPr>
        <w:pStyle w:val="Heading3"/>
      </w:pPr>
      <w:r>
        <w:t>L.2.1 — Tranche Activation Logic</w:t>
      </w:r>
    </w:p>
    <w:p>
      <w:pPr>
        <w:spacing w:after="80"/>
        <w:ind w:left="360"/>
      </w:pPr>
      <w:r>
        <w:rPr>
          <w:b/>
        </w:rPr>
        <w:t xml:space="preserve">Confirmation gate — </w:t>
      </w:r>
      <w:r>
        <w:rPr>
          <w:b w:val="0"/>
        </w:rPr>
        <w:t>Dashboard confirmation of the paired milestone activates the tranche; absence of confirmation holds it.</w:t>
      </w:r>
    </w:p>
    <w:p>
      <w:pPr>
        <w:spacing w:after="80"/>
        <w:ind w:left="360"/>
      </w:pPr>
      <w:r>
        <w:rPr>
          <w:b/>
        </w:rPr>
        <w:t xml:space="preserve">Reversal pathway — </w:t>
      </w:r>
      <w:r>
        <w:rPr>
          <w:b w:val="0"/>
        </w:rPr>
        <w:t>A verified non-compliance event suspends the corresponding tranche in proportion to the breach, and verified correction re-activates it through Earn-Back.</w:t>
      </w:r>
    </w:p>
    <w:p>
      <w:pPr>
        <w:spacing w:after="80"/>
        <w:ind w:left="360"/>
      </w:pPr>
      <w:r>
        <w:rPr>
          <w:b/>
        </w:rPr>
        <w:t xml:space="preserve">Firewall — </w:t>
      </w:r>
      <w:r>
        <w:rPr>
          <w:b w:val="0"/>
        </w:rPr>
        <w:t>Suspension of one tranche leaves every other tranche operating, consistent with the Firewalled Provisions principle.</w:t>
      </w:r>
    </w:p>
    <w:p>
      <w:pPr>
        <w:pStyle w:val="Heading2"/>
      </w:pPr>
      <w:r>
        <w:t>L.3 Banking Compliance Architecture</w:t>
      </w:r>
    </w:p>
    <w:p>
      <w:pPr>
        <w:spacing w:after="120"/>
      </w:pPr>
      <w:r>
        <w:rPr>
          <w:i w:val="0"/>
        </w:rPr>
        <w:t>This section states the banking architecture that converts relief into usable financial access. It governs messaging reconnection, compliance standards, and the escrow design that protects both Parties.</w:t>
      </w:r>
    </w:p>
    <w:p>
      <w:pPr>
        <w:pStyle w:val="Heading3"/>
      </w:pPr>
      <w:r>
        <w:t>L.3.1 — Financial Messaging Reconnection</w:t>
      </w:r>
    </w:p>
    <w:p>
      <w:pPr>
        <w:spacing w:after="80"/>
        <w:ind w:left="360"/>
      </w:pPr>
      <w:r>
        <w:rPr>
          <w:b/>
        </w:rPr>
        <w:t xml:space="preserve">Reconnection trigger — </w:t>
      </w:r>
      <w:r>
        <w:rPr>
          <w:b w:val="0"/>
        </w:rPr>
        <w:t>Day 14 licensing activates the reconnection of designated Iranian financial institutions to international messaging services for permitted transactions.</w:t>
      </w:r>
    </w:p>
    <w:p>
      <w:pPr>
        <w:spacing w:after="80"/>
        <w:ind w:left="360"/>
      </w:pPr>
      <w:r>
        <w:rPr>
          <w:b/>
        </w:rPr>
        <w:t xml:space="preserve">Scope discipline — </w:t>
      </w:r>
      <w:r>
        <w:rPr>
          <w:b w:val="0"/>
        </w:rPr>
        <w:t>Reconnection covers permitted commercial and humanitarian transactions, and the architecture excludes prohibited categories through the compliance screen rather than through a blanket cut-off.</w:t>
      </w:r>
    </w:p>
    <w:p>
      <w:pPr>
        <w:pStyle w:val="Heading3"/>
      </w:pPr>
      <w:r>
        <w:t>L.3.2 — Compliance Standards</w:t>
      </w:r>
    </w:p>
    <w:p>
      <w:pPr>
        <w:spacing w:after="80"/>
        <w:ind w:left="360"/>
      </w:pPr>
      <w:r>
        <w:rPr>
          <w:b/>
        </w:rPr>
        <w:t xml:space="preserve">Standards alignment — </w:t>
      </w:r>
      <w:r>
        <w:rPr>
          <w:b w:val="0"/>
        </w:rPr>
        <w:t>Designated institutions operate under recognized anti-money-laundering and counter-financing standards, and the compliance screen applies these standards to every transaction inside the architecture.</w:t>
      </w:r>
    </w:p>
    <w:p>
      <w:pPr>
        <w:spacing w:after="80"/>
        <w:ind w:left="360"/>
      </w:pPr>
      <w:r>
        <w:rPr>
          <w:b/>
        </w:rPr>
        <w:t xml:space="preserve">Monitoring — </w:t>
      </w:r>
      <w:r>
        <w:rPr>
          <w:b w:val="0"/>
        </w:rPr>
        <w:t>The Swiss technical guarantor protects the escrow and messaging architecture and confirms that permitted flows operate transparently.</w:t>
      </w:r>
    </w:p>
    <w:p>
      <w:pPr>
        <w:pStyle w:val="Heading3"/>
      </w:pPr>
      <w:r>
        <w:t>L.3.3 — Escrow Architecture</w:t>
      </w:r>
    </w:p>
    <w:p>
      <w:pPr>
        <w:spacing w:after="120"/>
      </w:pPr>
      <w:r>
        <w:rPr>
          <w:i w:val="0"/>
        </w:rPr>
        <w:t>Released funds move through an escrow architecture that the Swiss guarantor protects. The escrow design holds each tranche against its paired milestone, releases it on dashboard confirmation, and records every movement. The architecture excludes any opaque transfer outside the recorded escrow path.</w:t>
      </w:r>
    </w:p>
    <w:tbl>
      <w:tblPr>
        <w:tblW w:type="auto" w:w="0"/>
        <w:jc w:val="center"/>
        <w:tblLayout w:type="autofit"/>
        <w:tblLook w:firstColumn="1" w:firstRow="1" w:lastColumn="0" w:lastRow="0" w:noHBand="0" w:noVBand="1" w:val="04A0"/>
      </w:tblPr>
      <w:tblGrid>
        <w:gridCol w:w="3009"/>
        <w:gridCol w:w="3009"/>
        <w:gridCol w:w="3009"/>
      </w:tblGrid>
      <w:tr>
        <w:tc>
          <w:tcPr>
            <w:tcW w:type="dxa" w:w="3009"/>
            <w:shd w:val="clear" w:color="auto" w:fill="1F496E"/>
            <w:tcBorders>
              <w:top w:val="single" w:sz="4" w:color="BBBBBB"/>
              <w:left w:val="single" w:sz="4" w:color="BBBBBB"/>
              <w:bottom w:val="single" w:sz="4" w:color="BBBBBB"/>
              <w:right w:val="single" w:sz="4" w:color="BBBBBB"/>
            </w:tcBorders>
          </w:tcPr>
          <w:p>
            <w:r/>
            <w:r>
              <w:rPr>
                <w:b/>
                <w:color w:val="FFFFFF"/>
                <w:sz w:val="19"/>
              </w:rPr>
              <w:t>Escrow Stage</w:t>
            </w:r>
          </w:p>
        </w:tc>
        <w:tc>
          <w:tcPr>
            <w:tcW w:type="dxa" w:w="3009"/>
            <w:shd w:val="clear" w:color="auto" w:fill="1F496E"/>
            <w:tcBorders>
              <w:top w:val="single" w:sz="4" w:color="BBBBBB"/>
              <w:left w:val="single" w:sz="4" w:color="BBBBBB"/>
              <w:bottom w:val="single" w:sz="4" w:color="BBBBBB"/>
              <w:right w:val="single" w:sz="4" w:color="BBBBBB"/>
            </w:tcBorders>
          </w:tcPr>
          <w:p>
            <w:r/>
            <w:r>
              <w:rPr>
                <w:b/>
                <w:color w:val="FFFFFF"/>
                <w:sz w:val="19"/>
              </w:rPr>
              <w:t>Function</w:t>
            </w:r>
          </w:p>
        </w:tc>
        <w:tc>
          <w:tcPr>
            <w:tcW w:type="dxa" w:w="3009"/>
            <w:shd w:val="clear" w:color="auto" w:fill="1F496E"/>
            <w:tcBorders>
              <w:top w:val="single" w:sz="4" w:color="BBBBBB"/>
              <w:left w:val="single" w:sz="4" w:color="BBBBBB"/>
              <w:bottom w:val="single" w:sz="4" w:color="BBBBBB"/>
              <w:right w:val="single" w:sz="4" w:color="BBBBBB"/>
            </w:tcBorders>
          </w:tcPr>
          <w:p>
            <w:r/>
            <w:r>
              <w:rPr>
                <w:b/>
                <w:color w:val="FFFFFF"/>
                <w:sz w:val="19"/>
              </w:rPr>
              <w:t>Control</w:t>
            </w:r>
          </w:p>
        </w:tc>
      </w:tr>
      <w:tr>
        <w:tc>
          <w:tcPr>
            <w:tcW w:type="dxa" w:w="3009"/>
            <w:tcBorders>
              <w:top w:val="single" w:sz="4" w:color="BBBBBB"/>
              <w:left w:val="single" w:sz="4" w:color="BBBBBB"/>
              <w:bottom w:val="single" w:sz="4" w:color="BBBBBB"/>
              <w:right w:val="single" w:sz="4" w:color="BBBBBB"/>
            </w:tcBorders>
          </w:tcPr>
          <w:p>
            <w:r/>
            <w:r>
              <w:rPr>
                <w:sz w:val="19"/>
              </w:rPr>
              <w:t>Inbound hold</w:t>
            </w:r>
          </w:p>
        </w:tc>
        <w:tc>
          <w:tcPr>
            <w:tcW w:type="dxa" w:w="3009"/>
            <w:tcBorders>
              <w:top w:val="single" w:sz="4" w:color="BBBBBB"/>
              <w:left w:val="single" w:sz="4" w:color="BBBBBB"/>
              <w:bottom w:val="single" w:sz="4" w:color="BBBBBB"/>
              <w:right w:val="single" w:sz="4" w:color="BBBBBB"/>
            </w:tcBorders>
          </w:tcPr>
          <w:p>
            <w:r/>
            <w:r>
              <w:rPr>
                <w:sz w:val="19"/>
              </w:rPr>
              <w:t>Tranche enters escrow against its milestone</w:t>
            </w:r>
          </w:p>
        </w:tc>
        <w:tc>
          <w:tcPr>
            <w:tcW w:type="dxa" w:w="3009"/>
            <w:tcBorders>
              <w:top w:val="single" w:sz="4" w:color="BBBBBB"/>
              <w:left w:val="single" w:sz="4" w:color="BBBBBB"/>
              <w:bottom w:val="single" w:sz="4" w:color="BBBBBB"/>
              <w:right w:val="single" w:sz="4" w:color="BBBBBB"/>
            </w:tcBorders>
          </w:tcPr>
          <w:p>
            <w:r/>
            <w:r>
              <w:rPr>
                <w:sz w:val="19"/>
              </w:rPr>
              <w:t>Swiss guarantor custody</w:t>
            </w:r>
          </w:p>
        </w:tc>
      </w:tr>
      <w:tr>
        <w:tc>
          <w:tcPr>
            <w:tcW w:type="dxa" w:w="3009"/>
            <w:tcBorders>
              <w:top w:val="single" w:sz="4" w:color="BBBBBB"/>
              <w:left w:val="single" w:sz="4" w:color="BBBBBB"/>
              <w:bottom w:val="single" w:sz="4" w:color="BBBBBB"/>
              <w:right w:val="single" w:sz="4" w:color="BBBBBB"/>
            </w:tcBorders>
            <w:shd w:val="clear" w:color="auto" w:fill="EEF2F7"/>
          </w:tcPr>
          <w:p>
            <w:r/>
            <w:r>
              <w:rPr>
                <w:sz w:val="19"/>
              </w:rPr>
              <w:t>Confirmation release</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Dashboard milestone confirmation releases the tranche</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Joint visibility</w:t>
            </w:r>
          </w:p>
        </w:tc>
      </w:tr>
      <w:tr>
        <w:tc>
          <w:tcPr>
            <w:tcW w:type="dxa" w:w="3009"/>
            <w:tcBorders>
              <w:top w:val="single" w:sz="4" w:color="BBBBBB"/>
              <w:left w:val="single" w:sz="4" w:color="BBBBBB"/>
              <w:bottom w:val="single" w:sz="4" w:color="BBBBBB"/>
              <w:right w:val="single" w:sz="4" w:color="BBBBBB"/>
            </w:tcBorders>
          </w:tcPr>
          <w:p>
            <w:r/>
            <w:r>
              <w:rPr>
                <w:sz w:val="19"/>
              </w:rPr>
              <w:t>Suspension hold</w:t>
            </w:r>
          </w:p>
        </w:tc>
        <w:tc>
          <w:tcPr>
            <w:tcW w:type="dxa" w:w="3009"/>
            <w:tcBorders>
              <w:top w:val="single" w:sz="4" w:color="BBBBBB"/>
              <w:left w:val="single" w:sz="4" w:color="BBBBBB"/>
              <w:bottom w:val="single" w:sz="4" w:color="BBBBBB"/>
              <w:right w:val="single" w:sz="4" w:color="BBBBBB"/>
            </w:tcBorders>
          </w:tcPr>
          <w:p>
            <w:r/>
            <w:r>
              <w:rPr>
                <w:sz w:val="19"/>
              </w:rPr>
              <w:t>Non-compliance returns the tranche to hold</w:t>
            </w:r>
          </w:p>
        </w:tc>
        <w:tc>
          <w:tcPr>
            <w:tcW w:type="dxa" w:w="3009"/>
            <w:tcBorders>
              <w:top w:val="single" w:sz="4" w:color="BBBBBB"/>
              <w:left w:val="single" w:sz="4" w:color="BBBBBB"/>
              <w:bottom w:val="single" w:sz="4" w:color="BBBBBB"/>
              <w:right w:val="single" w:sz="4" w:color="BBBBBB"/>
            </w:tcBorders>
          </w:tcPr>
          <w:p>
            <w:r/>
            <w:r>
              <w:rPr>
                <w:sz w:val="19"/>
              </w:rPr>
              <w:t>Step-Back proportionality</w:t>
            </w:r>
          </w:p>
        </w:tc>
      </w:tr>
      <w:tr>
        <w:tc>
          <w:tcPr>
            <w:tcW w:type="dxa" w:w="3009"/>
            <w:tcBorders>
              <w:top w:val="single" w:sz="4" w:color="BBBBBB"/>
              <w:left w:val="single" w:sz="4" w:color="BBBBBB"/>
              <w:bottom w:val="single" w:sz="4" w:color="BBBBBB"/>
              <w:right w:val="single" w:sz="4" w:color="BBBBBB"/>
            </w:tcBorders>
            <w:shd w:val="clear" w:color="auto" w:fill="EEF2F7"/>
          </w:tcPr>
          <w:p>
            <w:r/>
            <w:r>
              <w:rPr>
                <w:sz w:val="19"/>
              </w:rPr>
              <w:t>Earn-back release</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Verified correction re-releases the tranche</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Dashboard re-confirmation</w:t>
            </w:r>
          </w:p>
        </w:tc>
      </w:tr>
    </w:tbl>
    <w:p>
      <w:pPr>
        <w:spacing w:after="40"/>
      </w:pPr>
    </w:p>
    <w:p>
      <w:pPr>
        <w:pStyle w:val="Heading2"/>
      </w:pPr>
      <w:r>
        <w:t>L.4 Frozen Asset Accounting</w:t>
      </w:r>
    </w:p>
    <w:p>
      <w:pPr>
        <w:spacing w:after="120"/>
      </w:pPr>
      <w:r>
        <w:rPr>
          <w:i w:val="0"/>
        </w:rPr>
        <w:t>This section accounts for the blocked national funds the framework addresses. It states the amount categories, the custodians, and the conditions that govern release. It complements the Frozen Asset Release Schedule of Annex C.</w:t>
      </w:r>
    </w:p>
    <w:tbl>
      <w:tblPr>
        <w:tblW w:type="auto" w:w="0"/>
        <w:jc w:val="center"/>
        <w:tblLayout w:type="autofit"/>
        <w:tblLook w:firstColumn="1" w:firstRow="1" w:lastColumn="0" w:lastRow="0" w:noHBand="0" w:noVBand="1" w:val="04A0"/>
      </w:tblPr>
      <w:tblGrid>
        <w:gridCol w:w="2256"/>
        <w:gridCol w:w="2256"/>
        <w:gridCol w:w="2256"/>
        <w:gridCol w:w="2256"/>
      </w:tblGrid>
      <w:tr>
        <w:tc>
          <w:tcPr>
            <w:tcW w:type="dxa" w:w="2256"/>
            <w:shd w:val="clear" w:color="auto" w:fill="1F496E"/>
            <w:tcBorders>
              <w:top w:val="single" w:sz="4" w:color="BBBBBB"/>
              <w:left w:val="single" w:sz="4" w:color="BBBBBB"/>
              <w:bottom w:val="single" w:sz="4" w:color="BBBBBB"/>
              <w:right w:val="single" w:sz="4" w:color="BBBBBB"/>
            </w:tcBorders>
          </w:tcPr>
          <w:p>
            <w:r/>
            <w:r>
              <w:rPr>
                <w:b/>
                <w:color w:val="FFFFFF"/>
                <w:sz w:val="19"/>
              </w:rPr>
              <w:t>Asset Category</w:t>
            </w:r>
          </w:p>
        </w:tc>
        <w:tc>
          <w:tcPr>
            <w:tcW w:type="dxa" w:w="2256"/>
            <w:shd w:val="clear" w:color="auto" w:fill="1F496E"/>
            <w:tcBorders>
              <w:top w:val="single" w:sz="4" w:color="BBBBBB"/>
              <w:left w:val="single" w:sz="4" w:color="BBBBBB"/>
              <w:bottom w:val="single" w:sz="4" w:color="BBBBBB"/>
              <w:right w:val="single" w:sz="4" w:color="BBBBBB"/>
            </w:tcBorders>
          </w:tcPr>
          <w:p>
            <w:r/>
            <w:r>
              <w:rPr>
                <w:b/>
                <w:color w:val="FFFFFF"/>
                <w:sz w:val="19"/>
              </w:rPr>
              <w:t>Custodian Class</w:t>
            </w:r>
          </w:p>
        </w:tc>
        <w:tc>
          <w:tcPr>
            <w:tcW w:type="dxa" w:w="2256"/>
            <w:shd w:val="clear" w:color="auto" w:fill="1F496E"/>
            <w:tcBorders>
              <w:top w:val="single" w:sz="4" w:color="BBBBBB"/>
              <w:left w:val="single" w:sz="4" w:color="BBBBBB"/>
              <w:bottom w:val="single" w:sz="4" w:color="BBBBBB"/>
              <w:right w:val="single" w:sz="4" w:color="BBBBBB"/>
            </w:tcBorders>
          </w:tcPr>
          <w:p>
            <w:r/>
            <w:r>
              <w:rPr>
                <w:b/>
                <w:color w:val="FFFFFF"/>
                <w:sz w:val="19"/>
              </w:rPr>
              <w:t>Release Condition</w:t>
            </w:r>
          </w:p>
        </w:tc>
        <w:tc>
          <w:tcPr>
            <w:tcW w:type="dxa" w:w="2256"/>
            <w:shd w:val="clear" w:color="auto" w:fill="1F496E"/>
            <w:tcBorders>
              <w:top w:val="single" w:sz="4" w:color="BBBBBB"/>
              <w:left w:val="single" w:sz="4" w:color="BBBBBB"/>
              <w:bottom w:val="single" w:sz="4" w:color="BBBBBB"/>
              <w:right w:val="single" w:sz="4" w:color="BBBBBB"/>
            </w:tcBorders>
          </w:tcPr>
          <w:p>
            <w:r/>
            <w:r>
              <w:rPr>
                <w:b/>
                <w:color w:val="FFFFFF"/>
                <w:sz w:val="19"/>
              </w:rPr>
              <w:t>Reversibility</w:t>
            </w:r>
          </w:p>
        </w:tc>
      </w:tr>
      <w:tr>
        <w:tc>
          <w:tcPr>
            <w:tcW w:type="dxa" w:w="2256"/>
            <w:tcBorders>
              <w:top w:val="single" w:sz="4" w:color="BBBBBB"/>
              <w:left w:val="single" w:sz="4" w:color="BBBBBB"/>
              <w:bottom w:val="single" w:sz="4" w:color="BBBBBB"/>
              <w:right w:val="single" w:sz="4" w:color="BBBBBB"/>
            </w:tcBorders>
          </w:tcPr>
          <w:p>
            <w:r/>
            <w:r>
              <w:rPr>
                <w:sz w:val="19"/>
              </w:rPr>
              <w:t>Humanitarian tranche ($250M)</w:t>
            </w:r>
          </w:p>
        </w:tc>
        <w:tc>
          <w:tcPr>
            <w:tcW w:type="dxa" w:w="2256"/>
            <w:tcBorders>
              <w:top w:val="single" w:sz="4" w:color="BBBBBB"/>
              <w:left w:val="single" w:sz="4" w:color="BBBBBB"/>
              <w:bottom w:val="single" w:sz="4" w:color="BBBBBB"/>
              <w:right w:val="single" w:sz="4" w:color="BBBBBB"/>
            </w:tcBorders>
          </w:tcPr>
          <w:p>
            <w:r/>
            <w:r>
              <w:rPr>
                <w:sz w:val="19"/>
              </w:rPr>
              <w:t>United States holding institution</w:t>
            </w:r>
          </w:p>
        </w:tc>
        <w:tc>
          <w:tcPr>
            <w:tcW w:type="dxa" w:w="2256"/>
            <w:tcBorders>
              <w:top w:val="single" w:sz="4" w:color="BBBBBB"/>
              <w:left w:val="single" w:sz="4" w:color="BBBBBB"/>
              <w:bottom w:val="single" w:sz="4" w:color="BBBBBB"/>
              <w:right w:val="single" w:sz="4" w:color="BBBBBB"/>
            </w:tcBorders>
          </w:tcPr>
          <w:p>
            <w:r/>
            <w:r>
              <w:rPr>
                <w:sz w:val="19"/>
              </w:rPr>
              <w:t>Released inside 48 hours (Section 2.4)</w:t>
            </w:r>
          </w:p>
        </w:tc>
        <w:tc>
          <w:tcPr>
            <w:tcW w:type="dxa" w:w="2256"/>
            <w:tcBorders>
              <w:top w:val="single" w:sz="4" w:color="BBBBBB"/>
              <w:left w:val="single" w:sz="4" w:color="BBBBBB"/>
              <w:bottom w:val="single" w:sz="4" w:color="BBBBBB"/>
              <w:right w:val="single" w:sz="4" w:color="BBBBBB"/>
            </w:tcBorders>
          </w:tcPr>
          <w:p>
            <w:r/>
            <w:r>
              <w:rPr>
                <w:sz w:val="19"/>
              </w:rPr>
              <w:t>Non-reversible</w:t>
            </w:r>
          </w:p>
        </w:tc>
      </w:tr>
      <w:tr>
        <w:tc>
          <w:tcPr>
            <w:tcW w:type="dxa" w:w="2256"/>
            <w:tcBorders>
              <w:top w:val="single" w:sz="4" w:color="BBBBBB"/>
              <w:left w:val="single" w:sz="4" w:color="BBBBBB"/>
              <w:bottom w:val="single" w:sz="4" w:color="BBBBBB"/>
              <w:right w:val="single" w:sz="4" w:color="BBBBBB"/>
            </w:tcBorders>
            <w:shd w:val="clear" w:color="auto" w:fill="EEF2F7"/>
          </w:tcPr>
          <w:p>
            <w:r/>
            <w:r>
              <w:rPr>
                <w:sz w:val="19"/>
              </w:rPr>
              <w:t>Restricted-purpose national funds</w:t>
            </w:r>
          </w:p>
        </w:tc>
        <w:tc>
          <w:tcPr>
            <w:tcW w:type="dxa" w:w="2256"/>
            <w:tcBorders>
              <w:top w:val="single" w:sz="4" w:color="BBBBBB"/>
              <w:left w:val="single" w:sz="4" w:color="BBBBBB"/>
              <w:bottom w:val="single" w:sz="4" w:color="BBBBBB"/>
              <w:right w:val="single" w:sz="4" w:color="BBBBBB"/>
            </w:tcBorders>
            <w:shd w:val="clear" w:color="auto" w:fill="EEF2F7"/>
          </w:tcPr>
          <w:p>
            <w:r/>
            <w:r>
              <w:rPr>
                <w:sz w:val="19"/>
              </w:rPr>
              <w:t>Third-country holding institutions</w:t>
            </w:r>
          </w:p>
        </w:tc>
        <w:tc>
          <w:tcPr>
            <w:tcW w:type="dxa" w:w="2256"/>
            <w:tcBorders>
              <w:top w:val="single" w:sz="4" w:color="BBBBBB"/>
              <w:left w:val="single" w:sz="4" w:color="BBBBBB"/>
              <w:bottom w:val="single" w:sz="4" w:color="BBBBBB"/>
              <w:right w:val="single" w:sz="4" w:color="BBBBBB"/>
            </w:tcBorders>
            <w:shd w:val="clear" w:color="auto" w:fill="EEF2F7"/>
          </w:tcPr>
          <w:p>
            <w:r/>
            <w:r>
              <w:rPr>
                <w:sz w:val="19"/>
              </w:rPr>
              <w:t>Phased release on verified milestones</w:t>
            </w:r>
          </w:p>
        </w:tc>
        <w:tc>
          <w:tcPr>
            <w:tcW w:type="dxa" w:w="2256"/>
            <w:tcBorders>
              <w:top w:val="single" w:sz="4" w:color="BBBBBB"/>
              <w:left w:val="single" w:sz="4" w:color="BBBBBB"/>
              <w:bottom w:val="single" w:sz="4" w:color="BBBBBB"/>
              <w:right w:val="single" w:sz="4" w:color="BBBBBB"/>
            </w:tcBorders>
            <w:shd w:val="clear" w:color="auto" w:fill="EEF2F7"/>
          </w:tcPr>
          <w:p>
            <w:r/>
            <w:r>
              <w:rPr>
                <w:sz w:val="19"/>
              </w:rPr>
              <w:t>Conditioned and escrow-held</w:t>
            </w:r>
          </w:p>
        </w:tc>
      </w:tr>
      <w:tr>
        <w:tc>
          <w:tcPr>
            <w:tcW w:type="dxa" w:w="2256"/>
            <w:tcBorders>
              <w:top w:val="single" w:sz="4" w:color="BBBBBB"/>
              <w:left w:val="single" w:sz="4" w:color="BBBBBB"/>
              <w:bottom w:val="single" w:sz="4" w:color="BBBBBB"/>
              <w:right w:val="single" w:sz="4" w:color="BBBBBB"/>
            </w:tcBorders>
          </w:tcPr>
          <w:p>
            <w:r/>
            <w:r>
              <w:rPr>
                <w:sz w:val="19"/>
              </w:rPr>
              <w:t>General national reserves</w:t>
            </w:r>
          </w:p>
        </w:tc>
        <w:tc>
          <w:tcPr>
            <w:tcW w:type="dxa" w:w="2256"/>
            <w:tcBorders>
              <w:top w:val="single" w:sz="4" w:color="BBBBBB"/>
              <w:left w:val="single" w:sz="4" w:color="BBBBBB"/>
              <w:bottom w:val="single" w:sz="4" w:color="BBBBBB"/>
              <w:right w:val="single" w:sz="4" w:color="BBBBBB"/>
            </w:tcBorders>
          </w:tcPr>
          <w:p>
            <w:r/>
            <w:r>
              <w:rPr>
                <w:sz w:val="19"/>
              </w:rPr>
              <w:t>Multiple custodial jurisdictions</w:t>
            </w:r>
          </w:p>
        </w:tc>
        <w:tc>
          <w:tcPr>
            <w:tcW w:type="dxa" w:w="2256"/>
            <w:tcBorders>
              <w:top w:val="single" w:sz="4" w:color="BBBBBB"/>
              <w:left w:val="single" w:sz="4" w:color="BBBBBB"/>
              <w:bottom w:val="single" w:sz="4" w:color="BBBBBB"/>
              <w:right w:val="single" w:sz="4" w:color="BBBBBB"/>
            </w:tcBorders>
          </w:tcPr>
          <w:p>
            <w:r/>
            <w:r>
              <w:rPr>
                <w:sz w:val="19"/>
              </w:rPr>
              <w:t>Release on sustained verified compliance</w:t>
            </w:r>
          </w:p>
        </w:tc>
        <w:tc>
          <w:tcPr>
            <w:tcW w:type="dxa" w:w="2256"/>
            <w:tcBorders>
              <w:top w:val="single" w:sz="4" w:color="BBBBBB"/>
              <w:left w:val="single" w:sz="4" w:color="BBBBBB"/>
              <w:bottom w:val="single" w:sz="4" w:color="BBBBBB"/>
              <w:right w:val="single" w:sz="4" w:color="BBBBBB"/>
            </w:tcBorders>
          </w:tcPr>
          <w:p>
            <w:r/>
            <w:r>
              <w:rPr>
                <w:sz w:val="19"/>
              </w:rPr>
              <w:t>Conditioned on the window record</w:t>
            </w:r>
          </w:p>
        </w:tc>
      </w:tr>
    </w:tbl>
    <w:p>
      <w:pPr>
        <w:spacing w:after="40"/>
      </w:pPr>
    </w:p>
    <w:p>
      <w:pPr>
        <w:spacing w:after="120"/>
      </w:pPr>
      <w:r>
        <w:rPr>
          <w:i w:val="0"/>
        </w:rPr>
        <w:t>The accounting framework records each asset category, its custodian class, and the verified condition that activates release. The humanitarian tranche releases without reversibility, which anchors the framework's good-faith floor. Every other category releases through the escrow architecture against its paired milestone, and a milestone gap holds the category rather than releasing it.</w:t>
      </w:r>
    </w:p>
    <w:p>
      <w:r>
        <w:br w:type="page"/>
      </w:r>
    </w:p>
    <w:p>
      <w:pPr>
        <w:pStyle w:val="Heading1"/>
      </w:pPr>
      <w:r>
        <w:t>Annex M: Maritime and Security Protocols</w:t>
      </w:r>
    </w:p>
    <w:p>
      <w:pPr>
        <w:spacing w:after="120"/>
      </w:pPr>
      <w:r>
        <w:rPr>
          <w:i w:val="0"/>
        </w:rPr>
        <w:t>This annex supports Article II and the Strait reopening architecture. It states the traffic framework for the Strait of Hormuz, the naval deconfliction protocol, the coastal-state rights legal framework, and the operating manual for the Joint Maritime Coordination Center. The architecture keeps the Strait open to commercial transit under a shared governance design rather than under either Party's unilateral control.</w:t>
      </w:r>
    </w:p>
    <w:p>
      <w:pPr>
        <w:pStyle w:val="Heading2"/>
      </w:pPr>
      <w:r>
        <w:t>M.1 Strait of Hormuz Traffic Framework</w:t>
      </w:r>
    </w:p>
    <w:p>
      <w:pPr>
        <w:spacing w:after="120"/>
      </w:pPr>
      <w:r>
        <w:rPr>
          <w:i w:val="0"/>
        </w:rPr>
        <w:t>This section frames the transit data architecture that the Joint Maritime Coordination Center operates. It states the data sources, the volume baseline, and the choke-point analysis that informs deconfliction. Commercial transit operates under an absolute non-interdiction protocol within the framework.</w:t>
      </w:r>
    </w:p>
    <w:p>
      <w:pPr>
        <w:pStyle w:val="Heading3"/>
      </w:pPr>
      <w:r>
        <w:t>M.1.1 — Data Sources</w:t>
      </w:r>
    </w:p>
    <w:p>
      <w:pPr>
        <w:spacing w:after="80"/>
        <w:ind w:left="360"/>
      </w:pPr>
      <w:r>
        <w:rPr>
          <w:b/>
        </w:rPr>
        <w:t xml:space="preserve">Automatic identification data — </w:t>
      </w:r>
      <w:r>
        <w:rPr>
          <w:b w:val="0"/>
        </w:rPr>
        <w:t>Vessel position and identity data feed the Center's traffic picture in real time, and the Center publishes aggregate transit volumes to the public dashboard.</w:t>
      </w:r>
    </w:p>
    <w:p>
      <w:pPr>
        <w:spacing w:after="80"/>
        <w:ind w:left="360"/>
      </w:pPr>
      <w:r>
        <w:rPr>
          <w:b/>
        </w:rPr>
        <w:t xml:space="preserve">Transit logs — </w:t>
      </w:r>
      <w:r>
        <w:rPr>
          <w:b w:val="0"/>
        </w:rPr>
        <w:t>The Center logs each transit event and reconciles the log against the position data, so that the public volume figure rests on a verified record.</w:t>
      </w:r>
    </w:p>
    <w:p>
      <w:pPr>
        <w:spacing w:after="80"/>
        <w:ind w:left="360"/>
      </w:pPr>
      <w:r>
        <w:rPr>
          <w:b/>
        </w:rPr>
        <w:t xml:space="preserve">Recovery tracking — </w:t>
      </w:r>
      <w:r>
        <w:rPr>
          <w:b w:val="0"/>
        </w:rPr>
        <w:t>During the 30-day recovery period, the Center tracks the return toward pre-conflict volumes and the Neutral Guarantor publishes weekly recovery reports.</w:t>
      </w:r>
    </w:p>
    <w:p>
      <w:pPr>
        <w:pStyle w:val="Heading3"/>
      </w:pPr>
      <w:r>
        <w:t>M.1.2 — Volume Baseline and Recovery Curve</w:t>
      </w:r>
    </w:p>
    <w:tbl>
      <w:tblPr>
        <w:tblW w:type="auto" w:w="0"/>
        <w:jc w:val="center"/>
        <w:tblLayout w:type="autofit"/>
        <w:tblLook w:firstColumn="1" w:firstRow="1" w:lastColumn="0" w:lastRow="0" w:noHBand="0" w:noVBand="1" w:val="04A0"/>
      </w:tblPr>
      <w:tblGrid>
        <w:gridCol w:w="3009"/>
        <w:gridCol w:w="3009"/>
        <w:gridCol w:w="3009"/>
      </w:tblGrid>
      <w:tr>
        <w:tc>
          <w:tcPr>
            <w:tcW w:type="dxa" w:w="3009"/>
            <w:shd w:val="clear" w:color="auto" w:fill="1F496E"/>
            <w:tcBorders>
              <w:top w:val="single" w:sz="4" w:color="BBBBBB"/>
              <w:left w:val="single" w:sz="4" w:color="BBBBBB"/>
              <w:bottom w:val="single" w:sz="4" w:color="BBBBBB"/>
              <w:right w:val="single" w:sz="4" w:color="BBBBBB"/>
            </w:tcBorders>
          </w:tcPr>
          <w:p>
            <w:r/>
            <w:r>
              <w:rPr>
                <w:b/>
                <w:color w:val="FFFFFF"/>
                <w:sz w:val="19"/>
              </w:rPr>
              <w:t>Phase</w:t>
            </w:r>
          </w:p>
        </w:tc>
        <w:tc>
          <w:tcPr>
            <w:tcW w:type="dxa" w:w="3009"/>
            <w:shd w:val="clear" w:color="auto" w:fill="1F496E"/>
            <w:tcBorders>
              <w:top w:val="single" w:sz="4" w:color="BBBBBB"/>
              <w:left w:val="single" w:sz="4" w:color="BBBBBB"/>
              <w:bottom w:val="single" w:sz="4" w:color="BBBBBB"/>
              <w:right w:val="single" w:sz="4" w:color="BBBBBB"/>
            </w:tcBorders>
          </w:tcPr>
          <w:p>
            <w:r/>
            <w:r>
              <w:rPr>
                <w:b/>
                <w:color w:val="FFFFFF"/>
                <w:sz w:val="19"/>
              </w:rPr>
              <w:t>Transit Posture</w:t>
            </w:r>
          </w:p>
        </w:tc>
        <w:tc>
          <w:tcPr>
            <w:tcW w:type="dxa" w:w="3009"/>
            <w:shd w:val="clear" w:color="auto" w:fill="1F496E"/>
            <w:tcBorders>
              <w:top w:val="single" w:sz="4" w:color="BBBBBB"/>
              <w:left w:val="single" w:sz="4" w:color="BBBBBB"/>
              <w:bottom w:val="single" w:sz="4" w:color="BBBBBB"/>
              <w:right w:val="single" w:sz="4" w:color="BBBBBB"/>
            </w:tcBorders>
          </w:tcPr>
          <w:p>
            <w:r/>
            <w:r>
              <w:rPr>
                <w:b/>
                <w:color w:val="FFFFFF"/>
                <w:sz w:val="19"/>
              </w:rPr>
              <w:t>Center Function</w:t>
            </w:r>
          </w:p>
        </w:tc>
      </w:tr>
      <w:tr>
        <w:tc>
          <w:tcPr>
            <w:tcW w:type="dxa" w:w="3009"/>
            <w:tcBorders>
              <w:top w:val="single" w:sz="4" w:color="BBBBBB"/>
              <w:left w:val="single" w:sz="4" w:color="BBBBBB"/>
              <w:bottom w:val="single" w:sz="4" w:color="BBBBBB"/>
              <w:right w:val="single" w:sz="4" w:color="BBBBBB"/>
            </w:tcBorders>
          </w:tcPr>
          <w:p>
            <w:r/>
            <w:r>
              <w:rPr>
                <w:sz w:val="19"/>
              </w:rPr>
              <w:t>Day 1</w:t>
            </w:r>
          </w:p>
        </w:tc>
        <w:tc>
          <w:tcPr>
            <w:tcW w:type="dxa" w:w="3009"/>
            <w:tcBorders>
              <w:top w:val="single" w:sz="4" w:color="BBBBBB"/>
              <w:left w:val="single" w:sz="4" w:color="BBBBBB"/>
              <w:bottom w:val="single" w:sz="4" w:color="BBBBBB"/>
              <w:right w:val="single" w:sz="4" w:color="BBBBBB"/>
            </w:tcBorders>
          </w:tcPr>
          <w:p>
            <w:r/>
            <w:r>
              <w:rPr>
                <w:sz w:val="19"/>
              </w:rPr>
              <w:t>Strait open to unrestricted commercial transit</w:t>
            </w:r>
          </w:p>
        </w:tc>
        <w:tc>
          <w:tcPr>
            <w:tcW w:type="dxa" w:w="3009"/>
            <w:tcBorders>
              <w:top w:val="single" w:sz="4" w:color="BBBBBB"/>
              <w:left w:val="single" w:sz="4" w:color="BBBBBB"/>
              <w:bottom w:val="single" w:sz="4" w:color="BBBBBB"/>
              <w:right w:val="single" w:sz="4" w:color="BBBBBB"/>
            </w:tcBorders>
          </w:tcPr>
          <w:p>
            <w:r/>
            <w:r>
              <w:rPr>
                <w:sz w:val="19"/>
              </w:rPr>
              <w:t>Real-time dashboard activates</w:t>
            </w:r>
          </w:p>
        </w:tc>
      </w:tr>
      <w:tr>
        <w:tc>
          <w:tcPr>
            <w:tcW w:type="dxa" w:w="3009"/>
            <w:tcBorders>
              <w:top w:val="single" w:sz="4" w:color="BBBBBB"/>
              <w:left w:val="single" w:sz="4" w:color="BBBBBB"/>
              <w:bottom w:val="single" w:sz="4" w:color="BBBBBB"/>
              <w:right w:val="single" w:sz="4" w:color="BBBBBB"/>
            </w:tcBorders>
            <w:shd w:val="clear" w:color="auto" w:fill="EEF2F7"/>
          </w:tcPr>
          <w:p>
            <w:r/>
            <w:r>
              <w:rPr>
                <w:sz w:val="19"/>
              </w:rPr>
              <w:t>Days 1-30</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Phased recovery toward pre-conflict volumes</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Traffic management and weekly reporting</w:t>
            </w:r>
          </w:p>
        </w:tc>
      </w:tr>
      <w:tr>
        <w:tc>
          <w:tcPr>
            <w:tcW w:type="dxa" w:w="3009"/>
            <w:tcBorders>
              <w:top w:val="single" w:sz="4" w:color="BBBBBB"/>
              <w:left w:val="single" w:sz="4" w:color="BBBBBB"/>
              <w:bottom w:val="single" w:sz="4" w:color="BBBBBB"/>
              <w:right w:val="single" w:sz="4" w:color="BBBBBB"/>
            </w:tcBorders>
          </w:tcPr>
          <w:p>
            <w:r/>
            <w:r>
              <w:rPr>
                <w:sz w:val="19"/>
              </w:rPr>
              <w:t>Day 30+</w:t>
            </w:r>
          </w:p>
        </w:tc>
        <w:tc>
          <w:tcPr>
            <w:tcW w:type="dxa" w:w="3009"/>
            <w:tcBorders>
              <w:top w:val="single" w:sz="4" w:color="BBBBBB"/>
              <w:left w:val="single" w:sz="4" w:color="BBBBBB"/>
              <w:bottom w:val="single" w:sz="4" w:color="BBBBBB"/>
              <w:right w:val="single" w:sz="4" w:color="BBBBBB"/>
            </w:tcBorders>
          </w:tcPr>
          <w:p>
            <w:r/>
            <w:r>
              <w:rPr>
                <w:sz w:val="19"/>
              </w:rPr>
              <w:t>Normalized commercial transit</w:t>
            </w:r>
          </w:p>
        </w:tc>
        <w:tc>
          <w:tcPr>
            <w:tcW w:type="dxa" w:w="3009"/>
            <w:tcBorders>
              <w:top w:val="single" w:sz="4" w:color="BBBBBB"/>
              <w:left w:val="single" w:sz="4" w:color="BBBBBB"/>
              <w:bottom w:val="single" w:sz="4" w:color="BBBBBB"/>
              <w:right w:val="single" w:sz="4" w:color="BBBBBB"/>
            </w:tcBorders>
          </w:tcPr>
          <w:p>
            <w:r/>
            <w:r>
              <w:rPr>
                <w:sz w:val="19"/>
              </w:rPr>
              <w:t>Continuous monitoring and incident logging</w:t>
            </w:r>
          </w:p>
        </w:tc>
      </w:tr>
    </w:tbl>
    <w:p>
      <w:pPr>
        <w:spacing w:after="40"/>
      </w:pPr>
    </w:p>
    <w:p>
      <w:pPr>
        <w:pStyle w:val="Heading3"/>
      </w:pPr>
      <w:r>
        <w:t>M.1.3 — Choke-Point Analysis</w:t>
      </w:r>
    </w:p>
    <w:p>
      <w:pPr>
        <w:spacing w:after="120"/>
      </w:pPr>
      <w:r>
        <w:rPr>
          <w:i w:val="0"/>
        </w:rPr>
        <w:t>The Strait's narrow transit lanes concentrate traffic, and the concentration creates the deconfliction requirement the next section addresses. The Center maps the inbound and outbound traffic-separation scheme, identifies the points where naval and commercial paths converge, and feeds the analysis to the deconfliction channel so that each convergence point carries a defined communication procedure.</w:t>
      </w:r>
    </w:p>
    <w:p>
      <w:pPr>
        <w:pStyle w:val="Heading3"/>
        <w:keepNext w:val="true"/>
        <w:keepLines/>
        <w:bidi w:val="0"/>
        <w:spacing w:before="280" w:after="120"/>
        <w:rPr/>
      </w:pPr>
      <w:r>
        <w:rPr>
          <w:rFonts w:ascii="Cambria" w:hAnsi="Cambria" w:eastAsia="Microsoft YaHei" w:cs="Cambria"/>
          <w:b/>
          <w:color w:val="2C3E5E"/>
          <w:sz w:val="26"/>
        </w:rPr>
        <w:t>M.1.4 - Service-Fee Schedule</w:t>
      </w:r>
    </w:p>
    <w:p>
      <w:pPr>
        <w:pStyle w:val="Normal"/>
        <w:bidi w:val="0"/>
        <w:spacing w:before="0" w:after="180"/>
        <w:rPr/>
      </w:pPr>
      <w:r>
        <w:rPr>
          <w:rFonts w:eastAsia="Microsoft YaHei" w:cs="Cambria"/>
          <w:color w:val="1E2530"/>
          <w:sz w:val="22"/>
          <w:szCs w:val="22"/>
        </w:rPr>
        <w:t>The framework draws a firm line between a transit toll and a service fee. A transit toll charges a vessel for the act of passage itself; the framework architecture excludes transit tolls entirely. A service fee compensates an actual marine service that the coastal state renders; the framework permits a capped, transparent, non-discriminatory service fee and treats it as a coastal-state user charge consistent with the rights Section M.3 describes.</w:t>
      </w:r>
    </w:p>
    <w:p>
      <w:pPr>
        <w:pStyle w:val="Normal"/>
        <w:bidi w:val="0"/>
        <w:spacing w:before="0" w:after="180"/>
        <w:rPr/>
      </w:pPr>
      <w:r>
        <w:rPr>
          <w:rFonts w:eastAsia="Microsoft YaHei" w:cs="Cambria"/>
          <w:color w:val="1E2530"/>
          <w:sz w:val="22"/>
          <w:szCs w:val="22"/>
        </w:rPr>
        <w:t>The service fee covers defined marine services only. The fee stays at or below a per-vessel cap that the Parties set jointly and publish, and it stays proportionate to the service the vessel receives. The fee never conditions passage: a vessel transits whether or not a fee dispute remains open, and the non-interdiction protocol governs throughout.</w:t>
      </w:r>
    </w:p>
    <w:p>
      <w:pPr>
        <w:pStyle w:val="Normal"/>
        <w:bidi w:val="0"/>
        <w:spacing w:before="0" w:after="120"/>
        <w:ind w:left="360"/>
        <w:rPr/>
      </w:pPr>
      <w:r>
        <w:rPr>
          <w:rFonts w:eastAsia="Microsoft YaHei" w:cs="Cambria"/>
          <w:b/>
          <w:color w:val="1E2530"/>
          <w:sz w:val="22"/>
          <w:szCs w:val="22"/>
        </w:rPr>
        <w:t xml:space="preserve">Pilotage support — </w:t>
      </w:r>
      <w:r>
        <w:rPr>
          <w:rFonts w:eastAsia="Microsoft YaHei" w:cs="Cambria"/>
          <w:color w:val="1E2530"/>
          <w:sz w:val="22"/>
          <w:szCs w:val="22"/>
        </w:rPr>
        <w:t>covers boarding-pilot service and transit assistance through the traffic-separation scheme; the schedule charges it per vessel, at or below the published cap.</w:t>
      </w:r>
    </w:p>
    <w:p>
      <w:pPr>
        <w:pStyle w:val="Normal"/>
        <w:bidi w:val="0"/>
        <w:spacing w:before="0" w:after="120"/>
        <w:ind w:left="360"/>
        <w:rPr/>
      </w:pPr>
      <w:r>
        <w:rPr>
          <w:rFonts w:eastAsia="Microsoft YaHei" w:cs="Cambria"/>
          <w:b/>
          <w:color w:val="1E2530"/>
          <w:sz w:val="22"/>
          <w:szCs w:val="22"/>
        </w:rPr>
        <w:t xml:space="preserve">Search-and-rescue coordination — </w:t>
      </w:r>
      <w:r>
        <w:rPr>
          <w:rFonts w:eastAsia="Microsoft YaHei" w:cs="Cambria"/>
          <w:color w:val="1E2530"/>
          <w:sz w:val="22"/>
          <w:szCs w:val="22"/>
        </w:rPr>
        <w:t>covers standby readiness and incident-response coordination for the transit corridor; the schedule charges it per vessel, at or below the published cap.</w:t>
      </w:r>
    </w:p>
    <w:p>
      <w:pPr>
        <w:pStyle w:val="Normal"/>
        <w:bidi w:val="0"/>
        <w:spacing w:before="0" w:after="120"/>
        <w:ind w:left="360"/>
        <w:rPr/>
      </w:pPr>
      <w:r>
        <w:rPr>
          <w:rFonts w:eastAsia="Microsoft YaHei" w:cs="Cambria"/>
          <w:b/>
          <w:color w:val="1E2530"/>
          <w:sz w:val="22"/>
          <w:szCs w:val="22"/>
        </w:rPr>
        <w:t xml:space="preserve">Navigational guidance — </w:t>
      </w:r>
      <w:r>
        <w:rPr>
          <w:rFonts w:eastAsia="Microsoft YaHei" w:cs="Cambria"/>
          <w:color w:val="1E2530"/>
          <w:sz w:val="22"/>
          <w:szCs w:val="22"/>
        </w:rPr>
        <w:t>covers traffic management, lane-status information, and hydrographic guidance; the schedule charges it per vessel, at or below the published cap.</w:t>
      </w:r>
    </w:p>
    <w:p>
      <w:pPr>
        <w:pStyle w:val="Normal"/>
        <w:bidi w:val="0"/>
        <w:spacing w:before="0" w:after="180"/>
        <w:rPr/>
      </w:pPr>
      <w:r>
        <w:rPr>
          <w:rFonts w:eastAsia="Microsoft YaHei" w:cs="Cambria"/>
          <w:color w:val="1E2530"/>
          <w:sz w:val="22"/>
          <w:szCs w:val="22"/>
        </w:rPr>
        <w:t>A single published schedule applies to every vessel regardless of flag, origin, or destination. The Joint Maritime Coordination Center logs each fee against each transit, and the public dashboard displays both the schedule and the aggregate fee record. The Neutral Guarantor confirms that the schedule operates transparently and applies equally to all transit.</w:t>
      </w:r>
    </w:p>
    <w:p>
      <w:pPr>
        <w:pStyle w:val="Normal"/>
        <w:bidi w:val="0"/>
        <w:spacing w:before="0" w:after="180"/>
        <w:rPr/>
      </w:pPr>
      <w:r>
        <w:rPr>
          <w:rFonts w:eastAsia="Microsoft YaHei" w:cs="Cambria"/>
          <w:color w:val="1E2530"/>
          <w:sz w:val="22"/>
          <w:szCs w:val="22"/>
        </w:rPr>
        <w:t>An excessive fee, a discriminatory fee, or a fee that conditions passage breaches the schedule. Such a breach suspends only the Hormuz transit reciprocity unit under the proportionality scale of Annex N, and verified correction restores the unit through Earn-Back. The firewall keeps every other reciprocity unit operating.</w:t>
      </w:r>
    </w:p>
    <w:p>
      <w:pPr>
        <w:pStyle w:val="Heading2"/>
      </w:pPr>
      <w:r>
        <w:t>M.2 Naval Deconfliction Protocol</w:t>
      </w:r>
    </w:p>
    <w:p>
      <w:pPr>
        <w:spacing w:after="120"/>
      </w:pPr>
      <w:r>
        <w:rPr>
          <w:i w:val="0"/>
        </w:rPr>
        <w:t>This section states the rules that keep naval forces and commercial traffic separated and that prevent a transit event from reading as a hostile act. The protocol defines engagement posture, patrol zones, and communication channels.</w:t>
      </w:r>
    </w:p>
    <w:p>
      <w:pPr>
        <w:pStyle w:val="Heading3"/>
      </w:pPr>
      <w:r>
        <w:t>M.2.1 — Engagement Posture</w:t>
      </w:r>
    </w:p>
    <w:p>
      <w:pPr>
        <w:spacing w:after="80"/>
        <w:ind w:left="360"/>
      </w:pPr>
      <w:r>
        <w:rPr>
          <w:b/>
        </w:rPr>
        <w:t xml:space="preserve">Defensive posture — </w:t>
      </w:r>
      <w:r>
        <w:rPr>
          <w:b w:val="0"/>
        </w:rPr>
        <w:t>United States forces maintain defensive positions only, consistent with Section 2.2, and the framework architecture excludes offensive naval operations in the Persian Gulf and the Strait.</w:t>
      </w:r>
    </w:p>
    <w:p>
      <w:pPr>
        <w:spacing w:after="80"/>
        <w:ind w:left="360"/>
      </w:pPr>
      <w:r>
        <w:rPr>
          <w:b/>
        </w:rPr>
        <w:t xml:space="preserve">Non-interdiction — </w:t>
      </w:r>
      <w:r>
        <w:rPr>
          <w:b w:val="0"/>
        </w:rPr>
        <w:t>Commercial transit operates under an absolute non-interdiction protocol within the framework; the architecture excludes transit tolls and inspection delays and never conditions passage on a fee. The capped service-fee schedule of Section M.1.4 operates separately and compensates defined marine services only.</w:t>
      </w:r>
    </w:p>
    <w:p>
      <w:pPr>
        <w:spacing w:after="80"/>
        <w:ind w:left="360"/>
      </w:pPr>
      <w:r>
        <w:rPr>
          <w:b/>
        </w:rPr>
        <w:t xml:space="preserve">Incident discipline — </w:t>
      </w:r>
      <w:r>
        <w:rPr>
          <w:b w:val="0"/>
        </w:rPr>
        <w:t>A vessel encounter resolves through the deconfliction channel, not through unilateral escalation, and the no-surprise commitment governs the exchange.</w:t>
      </w:r>
    </w:p>
    <w:p>
      <w:pPr>
        <w:pStyle w:val="Heading3"/>
      </w:pPr>
      <w:r>
        <w:t>M.2.2 — Patrol Zones</w:t>
      </w:r>
    </w:p>
    <w:tbl>
      <w:tblPr>
        <w:tblW w:type="auto" w:w="0"/>
        <w:jc w:val="center"/>
        <w:tblLayout w:type="autofit"/>
        <w:tblLook w:firstColumn="1" w:firstRow="1" w:lastColumn="0" w:lastRow="0" w:noHBand="0" w:noVBand="1" w:val="04A0"/>
      </w:tblPr>
      <w:tblGrid>
        <w:gridCol w:w="3009"/>
        <w:gridCol w:w="3009"/>
        <w:gridCol w:w="3009"/>
      </w:tblGrid>
      <w:tr>
        <w:tc>
          <w:tcPr>
            <w:tcW w:type="dxa" w:w="3009"/>
            <w:shd w:val="clear" w:color="auto" w:fill="1F496E"/>
            <w:tcBorders>
              <w:top w:val="single" w:sz="4" w:color="BBBBBB"/>
              <w:left w:val="single" w:sz="4" w:color="BBBBBB"/>
              <w:bottom w:val="single" w:sz="4" w:color="BBBBBB"/>
              <w:right w:val="single" w:sz="4" w:color="BBBBBB"/>
            </w:tcBorders>
          </w:tcPr>
          <w:p>
            <w:r/>
            <w:r>
              <w:rPr>
                <w:b/>
                <w:color w:val="FFFFFF"/>
                <w:sz w:val="19"/>
              </w:rPr>
              <w:t>Zone</w:t>
            </w:r>
          </w:p>
        </w:tc>
        <w:tc>
          <w:tcPr>
            <w:tcW w:type="dxa" w:w="3009"/>
            <w:shd w:val="clear" w:color="auto" w:fill="1F496E"/>
            <w:tcBorders>
              <w:top w:val="single" w:sz="4" w:color="BBBBBB"/>
              <w:left w:val="single" w:sz="4" w:color="BBBBBB"/>
              <w:bottom w:val="single" w:sz="4" w:color="BBBBBB"/>
              <w:right w:val="single" w:sz="4" w:color="BBBBBB"/>
            </w:tcBorders>
          </w:tcPr>
          <w:p>
            <w:r/>
            <w:r>
              <w:rPr>
                <w:b/>
                <w:color w:val="FFFFFF"/>
                <w:sz w:val="19"/>
              </w:rPr>
              <w:t>Posture</w:t>
            </w:r>
          </w:p>
        </w:tc>
        <w:tc>
          <w:tcPr>
            <w:tcW w:type="dxa" w:w="3009"/>
            <w:shd w:val="clear" w:color="auto" w:fill="1F496E"/>
            <w:tcBorders>
              <w:top w:val="single" w:sz="4" w:color="BBBBBB"/>
              <w:left w:val="single" w:sz="4" w:color="BBBBBB"/>
              <w:bottom w:val="single" w:sz="4" w:color="BBBBBB"/>
              <w:right w:val="single" w:sz="4" w:color="BBBBBB"/>
            </w:tcBorders>
          </w:tcPr>
          <w:p>
            <w:r/>
            <w:r>
              <w:rPr>
                <w:b/>
                <w:color w:val="FFFFFF"/>
                <w:sz w:val="19"/>
              </w:rPr>
              <w:t>Coordinating Authority</w:t>
            </w:r>
          </w:p>
        </w:tc>
      </w:tr>
      <w:tr>
        <w:tc>
          <w:tcPr>
            <w:tcW w:type="dxa" w:w="3009"/>
            <w:tcBorders>
              <w:top w:val="single" w:sz="4" w:color="BBBBBB"/>
              <w:left w:val="single" w:sz="4" w:color="BBBBBB"/>
              <w:bottom w:val="single" w:sz="4" w:color="BBBBBB"/>
              <w:right w:val="single" w:sz="4" w:color="BBBBBB"/>
            </w:tcBorders>
          </w:tcPr>
          <w:p>
            <w:r/>
            <w:r>
              <w:rPr>
                <w:sz w:val="19"/>
              </w:rPr>
              <w:t>Commercial transit lanes</w:t>
            </w:r>
          </w:p>
        </w:tc>
        <w:tc>
          <w:tcPr>
            <w:tcW w:type="dxa" w:w="3009"/>
            <w:tcBorders>
              <w:top w:val="single" w:sz="4" w:color="BBBBBB"/>
              <w:left w:val="single" w:sz="4" w:color="BBBBBB"/>
              <w:bottom w:val="single" w:sz="4" w:color="BBBBBB"/>
              <w:right w:val="single" w:sz="4" w:color="BBBBBB"/>
            </w:tcBorders>
          </w:tcPr>
          <w:p>
            <w:r/>
            <w:r>
              <w:rPr>
                <w:sz w:val="19"/>
              </w:rPr>
              <w:t>Unimpeded transit; non-interdiction</w:t>
            </w:r>
          </w:p>
        </w:tc>
        <w:tc>
          <w:tcPr>
            <w:tcW w:type="dxa" w:w="3009"/>
            <w:tcBorders>
              <w:top w:val="single" w:sz="4" w:color="BBBBBB"/>
              <w:left w:val="single" w:sz="4" w:color="BBBBBB"/>
              <w:bottom w:val="single" w:sz="4" w:color="BBBBBB"/>
              <w:right w:val="single" w:sz="4" w:color="BBBBBB"/>
            </w:tcBorders>
          </w:tcPr>
          <w:p>
            <w:r/>
            <w:r>
              <w:rPr>
                <w:sz w:val="19"/>
              </w:rPr>
              <w:t>Joint Maritime Coordination Center</w:t>
            </w:r>
          </w:p>
        </w:tc>
      </w:tr>
      <w:tr>
        <w:tc>
          <w:tcPr>
            <w:tcW w:type="dxa" w:w="3009"/>
            <w:tcBorders>
              <w:top w:val="single" w:sz="4" w:color="BBBBBB"/>
              <w:left w:val="single" w:sz="4" w:color="BBBBBB"/>
              <w:bottom w:val="single" w:sz="4" w:color="BBBBBB"/>
              <w:right w:val="single" w:sz="4" w:color="BBBBBB"/>
            </w:tcBorders>
            <w:shd w:val="clear" w:color="auto" w:fill="EEF2F7"/>
          </w:tcPr>
          <w:p>
            <w:r/>
            <w:r>
              <w:rPr>
                <w:sz w:val="19"/>
              </w:rPr>
              <w:t>Defensive naval zones</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Defensive positioning only</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Respective national command under deconfliction</w:t>
            </w:r>
          </w:p>
        </w:tc>
      </w:tr>
      <w:tr>
        <w:tc>
          <w:tcPr>
            <w:tcW w:type="dxa" w:w="3009"/>
            <w:tcBorders>
              <w:top w:val="single" w:sz="4" w:color="BBBBBB"/>
              <w:left w:val="single" w:sz="4" w:color="BBBBBB"/>
              <w:bottom w:val="single" w:sz="4" w:color="BBBBBB"/>
              <w:right w:val="single" w:sz="4" w:color="BBBBBB"/>
            </w:tcBorders>
          </w:tcPr>
          <w:p>
            <w:r/>
            <w:r>
              <w:rPr>
                <w:sz w:val="19"/>
              </w:rPr>
              <w:t>Convergence points</w:t>
            </w:r>
          </w:p>
        </w:tc>
        <w:tc>
          <w:tcPr>
            <w:tcW w:type="dxa" w:w="3009"/>
            <w:tcBorders>
              <w:top w:val="single" w:sz="4" w:color="BBBBBB"/>
              <w:left w:val="single" w:sz="4" w:color="BBBBBB"/>
              <w:bottom w:val="single" w:sz="4" w:color="BBBBBB"/>
              <w:right w:val="single" w:sz="4" w:color="BBBBBB"/>
            </w:tcBorders>
          </w:tcPr>
          <w:p>
            <w:r/>
            <w:r>
              <w:rPr>
                <w:sz w:val="19"/>
              </w:rPr>
              <w:t>Pre-agreed separation procedure</w:t>
            </w:r>
          </w:p>
        </w:tc>
        <w:tc>
          <w:tcPr>
            <w:tcW w:type="dxa" w:w="3009"/>
            <w:tcBorders>
              <w:top w:val="single" w:sz="4" w:color="BBBBBB"/>
              <w:left w:val="single" w:sz="4" w:color="BBBBBB"/>
              <w:bottom w:val="single" w:sz="4" w:color="BBBBBB"/>
              <w:right w:val="single" w:sz="4" w:color="BBBBBB"/>
            </w:tcBorders>
          </w:tcPr>
          <w:p>
            <w:r/>
            <w:r>
              <w:rPr>
                <w:sz w:val="19"/>
              </w:rPr>
              <w:t>Center-managed real-time coordination</w:t>
            </w:r>
          </w:p>
        </w:tc>
      </w:tr>
    </w:tbl>
    <w:p>
      <w:pPr>
        <w:spacing w:after="40"/>
      </w:pPr>
    </w:p>
    <w:p>
      <w:pPr>
        <w:pStyle w:val="Heading3"/>
      </w:pPr>
      <w:r>
        <w:t>M.2.3 — Communication Channels</w:t>
      </w:r>
    </w:p>
    <w:p>
      <w:pPr>
        <w:spacing w:after="80"/>
        <w:ind w:left="360"/>
      </w:pPr>
      <w:r>
        <w:rPr>
          <w:b/>
        </w:rPr>
        <w:t xml:space="preserve">Primary channel — </w:t>
      </w:r>
      <w:r>
        <w:rPr>
          <w:b w:val="0"/>
        </w:rPr>
        <w:t>A dedicated maritime deconfliction channel links the two navies through the Joint Maritime Coordination Center, and the channel operates continuously.</w:t>
      </w:r>
    </w:p>
    <w:p>
      <w:pPr>
        <w:spacing w:after="80"/>
        <w:ind w:left="360"/>
      </w:pPr>
      <w:r>
        <w:rPr>
          <w:b/>
        </w:rPr>
        <w:t xml:space="preserve">Escalation-prevention link — </w:t>
      </w:r>
      <w:r>
        <w:rPr>
          <w:b w:val="0"/>
        </w:rPr>
        <w:t>A direct technical-liaison link activates inside the crisis-communication timeline of Annex I when an event exceeds routine coordination.</w:t>
      </w:r>
    </w:p>
    <w:p>
      <w:pPr>
        <w:spacing w:after="80"/>
        <w:ind w:left="360"/>
      </w:pPr>
      <w:r>
        <w:rPr>
          <w:b/>
        </w:rPr>
        <w:t xml:space="preserve">Verbatim relay — </w:t>
      </w:r>
      <w:r>
        <w:rPr>
          <w:b w:val="0"/>
        </w:rPr>
        <w:t>The Center relays each notification verbatim to both Parties and the Neutral Guarantor, so that both navies read the same text.</w:t>
      </w:r>
    </w:p>
    <w:p>
      <w:pPr>
        <w:pStyle w:val="Heading2"/>
      </w:pPr>
      <w:r>
        <w:t>M.3 Coastal-State Rights Legal Framework</w:t>
      </w:r>
    </w:p>
    <w:p>
      <w:pPr>
        <w:spacing w:after="120"/>
      </w:pPr>
      <w:r>
        <w:rPr>
          <w:i w:val="0"/>
        </w:rPr>
        <w:t>This section states the legal framework that grounds Iran's coastal-state position and the corresponding transit rights of all states. It frames the maritime architecture inside recognized law of the sea rather than inside either Party's unilateral assertion.</w:t>
      </w:r>
    </w:p>
    <w:p>
      <w:pPr>
        <w:pStyle w:val="Heading3"/>
      </w:pPr>
      <w:r>
        <w:t>M.3.1 — Coastal-State Position</w:t>
      </w:r>
    </w:p>
    <w:p>
      <w:pPr>
        <w:spacing w:after="80"/>
        <w:ind w:left="360"/>
      </w:pPr>
      <w:r>
        <w:rPr>
          <w:b/>
        </w:rPr>
        <w:t xml:space="preserve">Recognized rights and responsibilities — </w:t>
      </w:r>
      <w:r>
        <w:rPr>
          <w:b w:val="0"/>
        </w:rPr>
        <w:t>Iran holds the rights and responsibilities of a coastal state bordering an international strait, consistent with the maritime-law framework the Compact references.</w:t>
      </w:r>
    </w:p>
    <w:p>
      <w:pPr>
        <w:spacing w:after="80"/>
        <w:ind w:left="360"/>
      </w:pPr>
      <w:r>
        <w:rPr>
          <w:b/>
        </w:rPr>
        <w:t xml:space="preserve">Transit-passage architecture — </w:t>
      </w:r>
      <w:r>
        <w:rPr>
          <w:b w:val="0"/>
        </w:rPr>
        <w:t>The framework treats the Strait as a passage open to the continuous transit of all vessels, and the non-interdiction protocol gives this principle operational force.</w:t>
      </w:r>
    </w:p>
    <w:p>
      <w:pPr>
        <w:spacing w:after="80"/>
        <w:ind w:left="360"/>
      </w:pPr>
      <w:r>
        <w:rPr>
          <w:b/>
        </w:rPr>
        <w:t xml:space="preserve">Balance — </w:t>
      </w:r>
      <w:r>
        <w:rPr>
          <w:b w:val="0"/>
        </w:rPr>
        <w:t>The framework balances the coastal state's rights with the transit rights of all states, so that neither the coastal-state position nor the transit principle overrides the other.</w:t>
      </w:r>
    </w:p>
    <w:p>
      <w:pPr>
        <w:pStyle w:val="Heading3"/>
      </w:pPr>
      <w:r>
        <w:t>M.3.2 — Interpretive Anchors (Model)</w:t>
      </w:r>
    </w:p>
    <w:p>
      <w:pPr>
        <w:spacing w:after="120"/>
      </w:pPr>
      <w:r>
        <w:rPr>
          <w:i w:val="0"/>
        </w:rPr>
        <w:t>The framework anchors its maritime provisions on recognized law-of-the-sea concepts: the regime of transit passage through straits used for international navigation, the coastal state's regulatory rights consistent with non-suspension of passage, and the duty of all vessels to transit without threat. These anchors hold whether or not every party is a formal signatory to a given instrument, because the framework adopts the concepts directly into its own architecture.</w:t>
      </w:r>
    </w:p>
    <w:p>
      <w:pPr>
        <w:pStyle w:val="Heading2"/>
      </w:pPr>
      <w:r>
        <w:t>M.4 Joint Maritime Coordination Center Operating Manual</w:t>
      </w:r>
    </w:p>
    <w:p>
      <w:pPr>
        <w:spacing w:after="120"/>
      </w:pPr>
      <w:r>
        <w:rPr>
          <w:i w:val="0"/>
        </w:rPr>
        <w:t>This section states the operating architecture of the Joint Maritime Coordination Center in Bandar Abbas, with its coordinating partner function in Muscat. It defines staffing, dashboards, and reporting.</w:t>
      </w:r>
    </w:p>
    <w:p>
      <w:pPr>
        <w:pStyle w:val="Heading3"/>
      </w:pPr>
      <w:r>
        <w:t>M.4.1 — Staffing Architecture</w:t>
      </w:r>
    </w:p>
    <w:p>
      <w:pPr>
        <w:spacing w:after="80"/>
        <w:ind w:left="360"/>
      </w:pPr>
      <w:r>
        <w:rPr>
          <w:b/>
        </w:rPr>
        <w:t xml:space="preserve">Composition — </w:t>
      </w:r>
      <w:r>
        <w:rPr>
          <w:b w:val="0"/>
        </w:rPr>
        <w:t>The Center seats maritime liaisons from both Parties and a Neutral-Guarantor coordinator, so that no single Party operates the Center alone.</w:t>
      </w:r>
    </w:p>
    <w:p>
      <w:pPr>
        <w:spacing w:after="80"/>
        <w:ind w:left="360"/>
      </w:pPr>
      <w:r>
        <w:rPr>
          <w:b/>
        </w:rPr>
        <w:t xml:space="preserve">Watch structure — </w:t>
      </w:r>
      <w:r>
        <w:rPr>
          <w:b w:val="0"/>
        </w:rPr>
        <w:t>A continuous watch covers the traffic picture around the clock, and each watch logs its handover to the next.</w:t>
      </w:r>
    </w:p>
    <w:p>
      <w:pPr>
        <w:spacing w:after="80"/>
        <w:ind w:left="360"/>
      </w:pPr>
      <w:r>
        <w:rPr>
          <w:b/>
        </w:rPr>
        <w:t xml:space="preserve">Authority — </w:t>
      </w:r>
      <w:r>
        <w:rPr>
          <w:b w:val="0"/>
        </w:rPr>
        <w:t>The Center coordinates and communicates; it issues no compliance determination, consistent with the guarantor's facilitation role.</w:t>
      </w:r>
    </w:p>
    <w:p>
      <w:pPr>
        <w:pStyle w:val="Heading3"/>
      </w:pPr>
      <w:r>
        <w:t>M.4.2 — Dashboards</w:t>
      </w:r>
    </w:p>
    <w:tbl>
      <w:tblPr>
        <w:tblW w:type="auto" w:w="0"/>
        <w:jc w:val="center"/>
        <w:tblLayout w:type="autofit"/>
        <w:tblLook w:firstColumn="1" w:firstRow="1" w:lastColumn="0" w:lastRow="0" w:noHBand="0" w:noVBand="1" w:val="04A0"/>
      </w:tblPr>
      <w:tblGrid>
        <w:gridCol w:w="3009"/>
        <w:gridCol w:w="3009"/>
        <w:gridCol w:w="3009"/>
      </w:tblGrid>
      <w:tr>
        <w:tc>
          <w:tcPr>
            <w:tcW w:type="dxa" w:w="3009"/>
            <w:shd w:val="clear" w:color="auto" w:fill="1F496E"/>
            <w:tcBorders>
              <w:top w:val="single" w:sz="4" w:color="BBBBBB"/>
              <w:left w:val="single" w:sz="4" w:color="BBBBBB"/>
              <w:bottom w:val="single" w:sz="4" w:color="BBBBBB"/>
              <w:right w:val="single" w:sz="4" w:color="BBBBBB"/>
            </w:tcBorders>
          </w:tcPr>
          <w:p>
            <w:r/>
            <w:r>
              <w:rPr>
                <w:b/>
                <w:color w:val="FFFFFF"/>
                <w:sz w:val="19"/>
              </w:rPr>
              <w:t>Dashboard</w:t>
            </w:r>
          </w:p>
        </w:tc>
        <w:tc>
          <w:tcPr>
            <w:tcW w:type="dxa" w:w="3009"/>
            <w:shd w:val="clear" w:color="auto" w:fill="1F496E"/>
            <w:tcBorders>
              <w:top w:val="single" w:sz="4" w:color="BBBBBB"/>
              <w:left w:val="single" w:sz="4" w:color="BBBBBB"/>
              <w:bottom w:val="single" w:sz="4" w:color="BBBBBB"/>
              <w:right w:val="single" w:sz="4" w:color="BBBBBB"/>
            </w:tcBorders>
          </w:tcPr>
          <w:p>
            <w:r/>
            <w:r>
              <w:rPr>
                <w:b/>
                <w:color w:val="FFFFFF"/>
                <w:sz w:val="19"/>
              </w:rPr>
              <w:t>Content</w:t>
            </w:r>
          </w:p>
        </w:tc>
        <w:tc>
          <w:tcPr>
            <w:tcW w:type="dxa" w:w="3009"/>
            <w:shd w:val="clear" w:color="auto" w:fill="1F496E"/>
            <w:tcBorders>
              <w:top w:val="single" w:sz="4" w:color="BBBBBB"/>
              <w:left w:val="single" w:sz="4" w:color="BBBBBB"/>
              <w:bottom w:val="single" w:sz="4" w:color="BBBBBB"/>
              <w:right w:val="single" w:sz="4" w:color="BBBBBB"/>
            </w:tcBorders>
          </w:tcPr>
          <w:p>
            <w:r/>
            <w:r>
              <w:rPr>
                <w:b/>
                <w:color w:val="FFFFFF"/>
                <w:sz w:val="19"/>
              </w:rPr>
              <w:t>Audience</w:t>
            </w:r>
          </w:p>
        </w:tc>
      </w:tr>
      <w:tr>
        <w:tc>
          <w:tcPr>
            <w:tcW w:type="dxa" w:w="3009"/>
            <w:tcBorders>
              <w:top w:val="single" w:sz="4" w:color="BBBBBB"/>
              <w:left w:val="single" w:sz="4" w:color="BBBBBB"/>
              <w:bottom w:val="single" w:sz="4" w:color="BBBBBB"/>
              <w:right w:val="single" w:sz="4" w:color="BBBBBB"/>
            </w:tcBorders>
          </w:tcPr>
          <w:p>
            <w:r/>
            <w:r>
              <w:rPr>
                <w:sz w:val="19"/>
              </w:rPr>
              <w:t>Public transit dashboard</w:t>
            </w:r>
          </w:p>
        </w:tc>
        <w:tc>
          <w:tcPr>
            <w:tcW w:type="dxa" w:w="3009"/>
            <w:tcBorders>
              <w:top w:val="single" w:sz="4" w:color="BBBBBB"/>
              <w:left w:val="single" w:sz="4" w:color="BBBBBB"/>
              <w:bottom w:val="single" w:sz="4" w:color="BBBBBB"/>
              <w:right w:val="single" w:sz="4" w:color="BBBBBB"/>
            </w:tcBorders>
          </w:tcPr>
          <w:p>
            <w:r/>
            <w:r>
              <w:rPr>
                <w:sz w:val="19"/>
              </w:rPr>
              <w:t>Aggregate transit volumes and recovery curve</w:t>
            </w:r>
          </w:p>
        </w:tc>
        <w:tc>
          <w:tcPr>
            <w:tcW w:type="dxa" w:w="3009"/>
            <w:tcBorders>
              <w:top w:val="single" w:sz="4" w:color="BBBBBB"/>
              <w:left w:val="single" w:sz="4" w:color="BBBBBB"/>
              <w:bottom w:val="single" w:sz="4" w:color="BBBBBB"/>
              <w:right w:val="single" w:sz="4" w:color="BBBBBB"/>
            </w:tcBorders>
          </w:tcPr>
          <w:p>
            <w:r/>
            <w:r>
              <w:rPr>
                <w:sz w:val="19"/>
              </w:rPr>
              <w:t>Public</w:t>
            </w:r>
          </w:p>
        </w:tc>
      </w:tr>
      <w:tr>
        <w:tc>
          <w:tcPr>
            <w:tcW w:type="dxa" w:w="3009"/>
            <w:tcBorders>
              <w:top w:val="single" w:sz="4" w:color="BBBBBB"/>
              <w:left w:val="single" w:sz="4" w:color="BBBBBB"/>
              <w:bottom w:val="single" w:sz="4" w:color="BBBBBB"/>
              <w:right w:val="single" w:sz="4" w:color="BBBBBB"/>
            </w:tcBorders>
            <w:shd w:val="clear" w:color="auto" w:fill="EEF2F7"/>
          </w:tcPr>
          <w:p>
            <w:r/>
            <w:r>
              <w:rPr>
                <w:sz w:val="19"/>
              </w:rPr>
              <w:t>Operational traffic picture</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Real-time vessel positions and convergence alerts</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Center watch and both navies</w:t>
            </w:r>
          </w:p>
        </w:tc>
      </w:tr>
      <w:tr>
        <w:tc>
          <w:tcPr>
            <w:tcW w:type="dxa" w:w="3009"/>
            <w:tcBorders>
              <w:top w:val="single" w:sz="4" w:color="BBBBBB"/>
              <w:left w:val="single" w:sz="4" w:color="BBBBBB"/>
              <w:bottom w:val="single" w:sz="4" w:color="BBBBBB"/>
              <w:right w:val="single" w:sz="4" w:color="BBBBBB"/>
            </w:tcBorders>
          </w:tcPr>
          <w:p>
            <w:r/>
            <w:r>
              <w:rPr>
                <w:sz w:val="19"/>
              </w:rPr>
              <w:t>Incident log</w:t>
            </w:r>
          </w:p>
        </w:tc>
        <w:tc>
          <w:tcPr>
            <w:tcW w:type="dxa" w:w="3009"/>
            <w:tcBorders>
              <w:top w:val="single" w:sz="4" w:color="BBBBBB"/>
              <w:left w:val="single" w:sz="4" w:color="BBBBBB"/>
              <w:bottom w:val="single" w:sz="4" w:color="BBBBBB"/>
              <w:right w:val="single" w:sz="4" w:color="BBBBBB"/>
            </w:tcBorders>
          </w:tcPr>
          <w:p>
            <w:r/>
            <w:r>
              <w:rPr>
                <w:sz w:val="19"/>
              </w:rPr>
              <w:t>Logged events and their resolution status</w:t>
            </w:r>
          </w:p>
        </w:tc>
        <w:tc>
          <w:tcPr>
            <w:tcW w:type="dxa" w:w="3009"/>
            <w:tcBorders>
              <w:top w:val="single" w:sz="4" w:color="BBBBBB"/>
              <w:left w:val="single" w:sz="4" w:color="BBBBBB"/>
              <w:bottom w:val="single" w:sz="4" w:color="BBBBBB"/>
              <w:right w:val="single" w:sz="4" w:color="BBBBBB"/>
            </w:tcBorders>
          </w:tcPr>
          <w:p>
            <w:r/>
            <w:r>
              <w:rPr>
                <w:sz w:val="19"/>
              </w:rPr>
              <w:t>Both Parties and the Neutral Guarantor</w:t>
            </w:r>
          </w:p>
        </w:tc>
      </w:tr>
    </w:tbl>
    <w:p>
      <w:pPr>
        <w:spacing w:after="40"/>
      </w:pPr>
    </w:p>
    <w:p>
      <w:pPr>
        <w:pStyle w:val="Heading3"/>
      </w:pPr>
      <w:r>
        <w:t>M.4.3 — Reporting Cadence</w:t>
      </w:r>
    </w:p>
    <w:p>
      <w:pPr>
        <w:spacing w:after="80"/>
        <w:ind w:left="360"/>
      </w:pPr>
      <w:r>
        <w:rPr>
          <w:b/>
        </w:rPr>
        <w:t xml:space="preserve">Weekly recovery report — </w:t>
      </w:r>
      <w:r>
        <w:rPr>
          <w:b w:val="0"/>
        </w:rPr>
        <w:t>The Neutral Guarantor publishes a weekly recovery report during the 30-day window and posts it to the public dashboard.</w:t>
      </w:r>
    </w:p>
    <w:p>
      <w:pPr>
        <w:spacing w:after="80"/>
        <w:ind w:left="360"/>
      </w:pPr>
      <w:r>
        <w:rPr>
          <w:b/>
        </w:rPr>
        <w:t xml:space="preserve">Incident closure — </w:t>
      </w:r>
      <w:r>
        <w:rPr>
          <w:b w:val="0"/>
        </w:rPr>
        <w:t>Each logged incident carries a closure entry that both Parties confirm, and the entry records the factual resolution.</w:t>
      </w:r>
    </w:p>
    <w:p>
      <w:pPr>
        <w:spacing w:after="80"/>
        <w:ind w:left="360"/>
      </w:pPr>
      <w:r>
        <w:rPr>
          <w:b/>
        </w:rPr>
        <w:t xml:space="preserve">Milestone confirmation — </w:t>
      </w:r>
      <w:r>
        <w:rPr>
          <w:b w:val="0"/>
        </w:rPr>
        <w:t>The Center confirms the transit-normalization milestone that pairs with the Day 1 relief tranche, and the confirmation posts to the verification dashboard.</w:t>
      </w:r>
    </w:p>
    <w:p>
      <w:r>
        <w:br w:type="page"/>
      </w:r>
    </w:p>
    <w:p>
      <w:pPr>
        <w:pStyle w:val="Heading1"/>
      </w:pPr>
      <w:r>
        <w:t>Annex N: Verification, Compliance, and Dispute Resolution Frameworks</w:t>
      </w:r>
    </w:p>
    <w:p>
      <w:pPr>
        <w:spacing w:after="120"/>
      </w:pPr>
      <w:r>
        <w:rPr>
          <w:i w:val="0"/>
        </w:rPr>
        <w:t>This annex builds the machinery that Articles V, VI, VII, and VIII operate upon. It states the Human-in-the-Loop Review charter, the neutral-guarantor agreements for Oman, Qatar, and Switzerland, the telemetry dashboard specification, and the Step-Back and Earn-Back protocol. The architecture keeps compliance determinations anchored on the telemetry record and keeps every dispute inside a proportionate, reversible pathway.</w:t>
      </w:r>
    </w:p>
    <w:p>
      <w:pPr>
        <w:pStyle w:val="Heading2"/>
      </w:pPr>
      <w:r>
        <w:t>N.1 Human-in-the-Loop Review Charter</w:t>
      </w:r>
    </w:p>
    <w:p>
      <w:pPr>
        <w:spacing w:after="120"/>
      </w:pPr>
      <w:r>
        <w:rPr>
          <w:i w:val="0"/>
        </w:rPr>
        <w:t>This section states the composition, authority, and timelines of the Human-in-the-Loop Review. The Review supplements the mechanical record: it interprets an anomaly that the telemetry flags, and its judgment refines rather than overrides the sensor data.</w:t>
      </w:r>
    </w:p>
    <w:p>
      <w:pPr>
        <w:pStyle w:val="Heading3"/>
      </w:pPr>
      <w:r>
        <w:t>N.1.1 — Composition</w:t>
      </w:r>
    </w:p>
    <w:p>
      <w:pPr>
        <w:spacing w:after="80"/>
        <w:ind w:left="360"/>
      </w:pPr>
      <w:r>
        <w:rPr>
          <w:b/>
        </w:rPr>
        <w:t xml:space="preserve">Membership — </w:t>
      </w:r>
      <w:r>
        <w:rPr>
          <w:b w:val="0"/>
        </w:rPr>
        <w:t>The Review seats technical representatives from both Parties and a Neutral-Guarantor chair, so that neither Party holds a majority and the chair holds no compliance vote.</w:t>
      </w:r>
    </w:p>
    <w:p>
      <w:pPr>
        <w:spacing w:after="80"/>
        <w:ind w:left="360"/>
      </w:pPr>
      <w:r>
        <w:rPr>
          <w:b/>
        </w:rPr>
        <w:t xml:space="preserve">Technical advisors — </w:t>
      </w:r>
      <w:r>
        <w:rPr>
          <w:b w:val="0"/>
        </w:rPr>
        <w:t>IAEA and maritime technical advisors support the Review with the verification record relevant to the flagged anomaly.</w:t>
      </w:r>
    </w:p>
    <w:p>
      <w:pPr>
        <w:spacing w:after="80"/>
        <w:ind w:left="360"/>
      </w:pPr>
      <w:r>
        <w:rPr>
          <w:b/>
        </w:rPr>
        <w:t xml:space="preserve">Quorum — </w:t>
      </w:r>
      <w:r>
        <w:rPr>
          <w:b w:val="0"/>
        </w:rPr>
        <w:t>The Review convenes with both Parties present; the architecture excludes a determination reached in the absence of either Party.</w:t>
      </w:r>
    </w:p>
    <w:p>
      <w:pPr>
        <w:pStyle w:val="Heading3"/>
      </w:pPr>
      <w:r>
        <w:t>N.1.2 — Authority</w:t>
      </w:r>
    </w:p>
    <w:p>
      <w:pPr>
        <w:spacing w:after="80"/>
        <w:ind w:left="360"/>
      </w:pPr>
      <w:r>
        <w:rPr>
          <w:b/>
        </w:rPr>
        <w:t xml:space="preserve">Interpretive authority — </w:t>
      </w:r>
      <w:r>
        <w:rPr>
          <w:b w:val="0"/>
        </w:rPr>
        <w:t>The Review interprets a flagged anomaly against the telemetry record and recommends a correction pathway.</w:t>
      </w:r>
    </w:p>
    <w:p>
      <w:pPr>
        <w:spacing w:after="80"/>
        <w:ind w:left="360"/>
      </w:pPr>
      <w:r>
        <w:rPr>
          <w:b/>
        </w:rPr>
        <w:t xml:space="preserve">Boundary — </w:t>
      </w:r>
      <w:r>
        <w:rPr>
          <w:b w:val="0"/>
        </w:rPr>
        <w:t>The Review's judgment supplements the mechanical confirmation and refines its interpretation; the architecture excludes any Review action that overrides a clear dashboard-verified reading.</w:t>
      </w:r>
    </w:p>
    <w:p>
      <w:pPr>
        <w:spacing w:after="80"/>
        <w:ind w:left="360"/>
      </w:pPr>
      <w:r>
        <w:rPr>
          <w:b/>
        </w:rPr>
        <w:t xml:space="preserve">Output — </w:t>
      </w:r>
      <w:r>
        <w:rPr>
          <w:b w:val="0"/>
        </w:rPr>
        <w:t>The Review issues a factual finding and a correction window; it issues no penalty beyond the proportionate Step-Back the next protocol defines.</w:t>
      </w:r>
    </w:p>
    <w:p>
      <w:pPr>
        <w:pStyle w:val="Heading3"/>
      </w:pPr>
      <w:r>
        <w:t>N.1.3 — Timelines</w:t>
      </w:r>
    </w:p>
    <w:tbl>
      <w:tblPr>
        <w:tblW w:type="auto" w:w="0"/>
        <w:jc w:val="center"/>
        <w:tblLayout w:type="autofit"/>
        <w:tblLook w:firstColumn="1" w:firstRow="1" w:lastColumn="0" w:lastRow="0" w:noHBand="0" w:noVBand="1" w:val="04A0"/>
      </w:tblPr>
      <w:tblGrid>
        <w:gridCol w:w="3009"/>
        <w:gridCol w:w="3009"/>
        <w:gridCol w:w="3009"/>
      </w:tblGrid>
      <w:tr>
        <w:tc>
          <w:tcPr>
            <w:tcW w:type="dxa" w:w="3009"/>
            <w:shd w:val="clear" w:color="auto" w:fill="1F496E"/>
            <w:tcBorders>
              <w:top w:val="single" w:sz="4" w:color="BBBBBB"/>
              <w:left w:val="single" w:sz="4" w:color="BBBBBB"/>
              <w:bottom w:val="single" w:sz="4" w:color="BBBBBB"/>
              <w:right w:val="single" w:sz="4" w:color="BBBBBB"/>
            </w:tcBorders>
          </w:tcPr>
          <w:p>
            <w:r/>
            <w:r>
              <w:rPr>
                <w:b/>
                <w:color w:val="FFFFFF"/>
                <w:sz w:val="19"/>
              </w:rPr>
              <w:t>Stage</w:t>
            </w:r>
          </w:p>
        </w:tc>
        <w:tc>
          <w:tcPr>
            <w:tcW w:type="dxa" w:w="3009"/>
            <w:shd w:val="clear" w:color="auto" w:fill="1F496E"/>
            <w:tcBorders>
              <w:top w:val="single" w:sz="4" w:color="BBBBBB"/>
              <w:left w:val="single" w:sz="4" w:color="BBBBBB"/>
              <w:bottom w:val="single" w:sz="4" w:color="BBBBBB"/>
              <w:right w:val="single" w:sz="4" w:color="BBBBBB"/>
            </w:tcBorders>
          </w:tcPr>
          <w:p>
            <w:r/>
            <w:r>
              <w:rPr>
                <w:b/>
                <w:color w:val="FFFFFF"/>
                <w:sz w:val="19"/>
              </w:rPr>
              <w:t>Window</w:t>
            </w:r>
          </w:p>
        </w:tc>
        <w:tc>
          <w:tcPr>
            <w:tcW w:type="dxa" w:w="3009"/>
            <w:shd w:val="clear" w:color="auto" w:fill="1F496E"/>
            <w:tcBorders>
              <w:top w:val="single" w:sz="4" w:color="BBBBBB"/>
              <w:left w:val="single" w:sz="4" w:color="BBBBBB"/>
              <w:bottom w:val="single" w:sz="4" w:color="BBBBBB"/>
              <w:right w:val="single" w:sz="4" w:color="BBBBBB"/>
            </w:tcBorders>
          </w:tcPr>
          <w:p>
            <w:r/>
            <w:r>
              <w:rPr>
                <w:b/>
                <w:color w:val="FFFFFF"/>
                <w:sz w:val="19"/>
              </w:rPr>
              <w:t>Action</w:t>
            </w:r>
          </w:p>
        </w:tc>
      </w:tr>
      <w:tr>
        <w:tc>
          <w:tcPr>
            <w:tcW w:type="dxa" w:w="3009"/>
            <w:tcBorders>
              <w:top w:val="single" w:sz="4" w:color="BBBBBB"/>
              <w:left w:val="single" w:sz="4" w:color="BBBBBB"/>
              <w:bottom w:val="single" w:sz="4" w:color="BBBBBB"/>
              <w:right w:val="single" w:sz="4" w:color="BBBBBB"/>
            </w:tcBorders>
          </w:tcPr>
          <w:p>
            <w:r/>
            <w:r>
              <w:rPr>
                <w:sz w:val="19"/>
              </w:rPr>
              <w:t>Convening</w:t>
            </w:r>
          </w:p>
        </w:tc>
        <w:tc>
          <w:tcPr>
            <w:tcW w:type="dxa" w:w="3009"/>
            <w:tcBorders>
              <w:top w:val="single" w:sz="4" w:color="BBBBBB"/>
              <w:left w:val="single" w:sz="4" w:color="BBBBBB"/>
              <w:bottom w:val="single" w:sz="4" w:color="BBBBBB"/>
              <w:right w:val="single" w:sz="4" w:color="BBBBBB"/>
            </w:tcBorders>
          </w:tcPr>
          <w:p>
            <w:r/>
            <w:r>
              <w:rPr>
                <w:sz w:val="19"/>
              </w:rPr>
              <w:t>Inside the charter window after an anomaly flag</w:t>
            </w:r>
          </w:p>
        </w:tc>
        <w:tc>
          <w:tcPr>
            <w:tcW w:type="dxa" w:w="3009"/>
            <w:tcBorders>
              <w:top w:val="single" w:sz="4" w:color="BBBBBB"/>
              <w:left w:val="single" w:sz="4" w:color="BBBBBB"/>
              <w:bottom w:val="single" w:sz="4" w:color="BBBBBB"/>
              <w:right w:val="single" w:sz="4" w:color="BBBBBB"/>
            </w:tcBorders>
          </w:tcPr>
          <w:p>
            <w:r/>
            <w:r>
              <w:rPr>
                <w:sz w:val="19"/>
              </w:rPr>
              <w:t>Review seats both Parties and the chair</w:t>
            </w:r>
          </w:p>
        </w:tc>
      </w:tr>
      <w:tr>
        <w:tc>
          <w:tcPr>
            <w:tcW w:type="dxa" w:w="3009"/>
            <w:tcBorders>
              <w:top w:val="single" w:sz="4" w:color="BBBBBB"/>
              <w:left w:val="single" w:sz="4" w:color="BBBBBB"/>
              <w:bottom w:val="single" w:sz="4" w:color="BBBBBB"/>
              <w:right w:val="single" w:sz="4" w:color="BBBBBB"/>
            </w:tcBorders>
            <w:shd w:val="clear" w:color="auto" w:fill="EEF2F7"/>
          </w:tcPr>
          <w:p>
            <w:r/>
            <w:r>
              <w:rPr>
                <w:sz w:val="19"/>
              </w:rPr>
              <w:t>Fact-finding</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Defined fact-finding period</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Review examines the telemetry record</w:t>
            </w:r>
          </w:p>
        </w:tc>
      </w:tr>
      <w:tr>
        <w:tc>
          <w:tcPr>
            <w:tcW w:type="dxa" w:w="3009"/>
            <w:tcBorders>
              <w:top w:val="single" w:sz="4" w:color="BBBBBB"/>
              <w:left w:val="single" w:sz="4" w:color="BBBBBB"/>
              <w:bottom w:val="single" w:sz="4" w:color="BBBBBB"/>
              <w:right w:val="single" w:sz="4" w:color="BBBBBB"/>
            </w:tcBorders>
          </w:tcPr>
          <w:p>
            <w:r/>
            <w:r>
              <w:rPr>
                <w:sz w:val="19"/>
              </w:rPr>
              <w:t>Finding</w:t>
            </w:r>
          </w:p>
        </w:tc>
        <w:tc>
          <w:tcPr>
            <w:tcW w:type="dxa" w:w="3009"/>
            <w:tcBorders>
              <w:top w:val="single" w:sz="4" w:color="BBBBBB"/>
              <w:left w:val="single" w:sz="4" w:color="BBBBBB"/>
              <w:bottom w:val="single" w:sz="4" w:color="BBBBBB"/>
              <w:right w:val="single" w:sz="4" w:color="BBBBBB"/>
            </w:tcBorders>
          </w:tcPr>
          <w:p>
            <w:r/>
            <w:r>
              <w:rPr>
                <w:sz w:val="19"/>
              </w:rPr>
              <w:t>On completion of fact-finding</w:t>
            </w:r>
          </w:p>
        </w:tc>
        <w:tc>
          <w:tcPr>
            <w:tcW w:type="dxa" w:w="3009"/>
            <w:tcBorders>
              <w:top w:val="single" w:sz="4" w:color="BBBBBB"/>
              <w:left w:val="single" w:sz="4" w:color="BBBBBB"/>
              <w:bottom w:val="single" w:sz="4" w:color="BBBBBB"/>
              <w:right w:val="single" w:sz="4" w:color="BBBBBB"/>
            </w:tcBorders>
          </w:tcPr>
          <w:p>
            <w:r/>
            <w:r>
              <w:rPr>
                <w:sz w:val="19"/>
              </w:rPr>
              <w:t>Review issues a factual finding</w:t>
            </w:r>
          </w:p>
        </w:tc>
      </w:tr>
      <w:tr>
        <w:tc>
          <w:tcPr>
            <w:tcW w:type="dxa" w:w="3009"/>
            <w:tcBorders>
              <w:top w:val="single" w:sz="4" w:color="BBBBBB"/>
              <w:left w:val="single" w:sz="4" w:color="BBBBBB"/>
              <w:bottom w:val="single" w:sz="4" w:color="BBBBBB"/>
              <w:right w:val="single" w:sz="4" w:color="BBBBBB"/>
            </w:tcBorders>
            <w:shd w:val="clear" w:color="auto" w:fill="EEF2F7"/>
          </w:tcPr>
          <w:p>
            <w:r/>
            <w:r>
              <w:rPr>
                <w:sz w:val="19"/>
              </w:rPr>
              <w:t>Correction window</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Proportionate to the anomaly</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Affected Party corrects; Earn-Back re-activates the paired unit</w:t>
            </w:r>
          </w:p>
        </w:tc>
      </w:tr>
    </w:tbl>
    <w:p>
      <w:pPr>
        <w:spacing w:after="40"/>
      </w:pPr>
    </w:p>
    <w:p>
      <w:pPr>
        <w:pStyle w:val="Heading2"/>
      </w:pPr>
      <w:r>
        <w:t>N.2 Neutral Guarantor Agreements</w:t>
      </w:r>
    </w:p>
    <w:p>
      <w:pPr>
        <w:spacing w:after="120"/>
      </w:pPr>
      <w:r>
        <w:rPr>
          <w:i w:val="0"/>
        </w:rPr>
        <w:t>This section states the distinct roles of the three guarantor functions. Oman serves as the diplomatic guarantor, Switzerland as the technical guarantor, and Qatar as a regional facilitation partner. Each guarantor facilitates and protects infrastructure; none enforces compliance.</w:t>
      </w:r>
    </w:p>
    <w:p>
      <w:pPr>
        <w:pStyle w:val="Heading3"/>
      </w:pPr>
      <w:r>
        <w:t>N.2.1 — Oman (Diplomatic Guarantor)</w:t>
      </w:r>
    </w:p>
    <w:p>
      <w:pPr>
        <w:spacing w:after="80"/>
        <w:ind w:left="360"/>
      </w:pPr>
      <w:r>
        <w:rPr>
          <w:b/>
        </w:rPr>
        <w:t xml:space="preserve">Role — </w:t>
      </w:r>
      <w:r>
        <w:rPr>
          <w:b w:val="0"/>
        </w:rPr>
        <w:t>Oman hosts the Joint Coordination Center, facilitates communication, and offers its good offices to both Parties.</w:t>
      </w:r>
    </w:p>
    <w:p>
      <w:pPr>
        <w:spacing w:after="80"/>
        <w:ind w:left="360"/>
      </w:pPr>
      <w:r>
        <w:rPr>
          <w:b/>
        </w:rPr>
        <w:t xml:space="preserve">Boundary — </w:t>
      </w:r>
      <w:r>
        <w:rPr>
          <w:b w:val="0"/>
        </w:rPr>
        <w:t>Oman facilitates rather than enforces; Oman takes no side and issues no compliance determination.</w:t>
      </w:r>
    </w:p>
    <w:p>
      <w:pPr>
        <w:pStyle w:val="Heading3"/>
      </w:pPr>
      <w:r>
        <w:t>N.2.2 — Switzerland (Technical Guarantor)</w:t>
      </w:r>
    </w:p>
    <w:p>
      <w:pPr>
        <w:spacing w:after="80"/>
        <w:ind w:left="360"/>
      </w:pPr>
      <w:r>
        <w:rPr>
          <w:b/>
        </w:rPr>
        <w:t xml:space="preserve">Role — </w:t>
      </w:r>
      <w:r>
        <w:rPr>
          <w:b w:val="0"/>
        </w:rPr>
        <w:t>Switzerland hosts the verification dashboard and protects the escrow architecture, so that data and financial flows operate transparently.</w:t>
      </w:r>
    </w:p>
    <w:p>
      <w:pPr>
        <w:spacing w:after="80"/>
        <w:ind w:left="360"/>
      </w:pPr>
      <w:r>
        <w:rPr>
          <w:b/>
        </w:rPr>
        <w:t xml:space="preserve">Boundary — </w:t>
      </w:r>
      <w:r>
        <w:rPr>
          <w:b w:val="0"/>
        </w:rPr>
        <w:t>Switzerland provides technical infrastructure rather than political judgment, and it determines neither compliance nor relief.</w:t>
      </w:r>
    </w:p>
    <w:p>
      <w:pPr>
        <w:pStyle w:val="Heading3"/>
      </w:pPr>
      <w:r>
        <w:t>N.2.3 — Qatar (Regional Facilitation Partner)</w:t>
      </w:r>
    </w:p>
    <w:p>
      <w:pPr>
        <w:spacing w:after="80"/>
        <w:ind w:left="360"/>
      </w:pPr>
      <w:r>
        <w:rPr>
          <w:b/>
        </w:rPr>
        <w:t xml:space="preserve">Role — </w:t>
      </w:r>
      <w:r>
        <w:rPr>
          <w:b w:val="0"/>
        </w:rPr>
        <w:t>Qatar supports regional facilitation and backchannel communication, and its long-standing channels with both Parties position it to relay sensitive matters.</w:t>
      </w:r>
    </w:p>
    <w:p>
      <w:pPr>
        <w:spacing w:after="80"/>
        <w:ind w:left="360"/>
      </w:pPr>
      <w:r>
        <w:rPr>
          <w:b/>
        </w:rPr>
        <w:t xml:space="preserve">Boundary — </w:t>
      </w:r>
      <w:r>
        <w:rPr>
          <w:b w:val="0"/>
        </w:rPr>
        <w:t>Qatar facilitates communication and takes no enforcement role, consistent with the neutral-facilitation architecture.</w:t>
      </w:r>
    </w:p>
    <w:p>
      <w:pPr>
        <w:pStyle w:val="Heading3"/>
      </w:pPr>
      <w:r>
        <w:t>N.2.4 — Coordinated Guarantor Function</w:t>
      </w:r>
    </w:p>
    <w:p>
      <w:pPr>
        <w:spacing w:after="120"/>
      </w:pPr>
      <w:r>
        <w:rPr>
          <w:i w:val="0"/>
        </w:rPr>
        <w:t>On each major milestone, the guarantors issue a coordinated factual statement that records the dashboard status and confirms that the escrow mechanisms operate as designed. The coordinated function keeps the guarantor voice factual and aligned, and the architecture excludes any guarantor characterization that assigns blame or claims knowledge beyond the dashboard.</w:t>
      </w:r>
    </w:p>
    <w:p>
      <w:pPr>
        <w:pStyle w:val="Heading2"/>
      </w:pPr>
      <w:r>
        <w:t>N.3 Telemetry Dashboard Specification</w:t>
      </w:r>
    </w:p>
    <w:p>
      <w:pPr>
        <w:spacing w:after="120"/>
      </w:pPr>
      <w:r>
        <w:rPr>
          <w:i w:val="0"/>
        </w:rPr>
        <w:t>This section specifies the dashboard that the Swiss guarantor hosts. It states the data sources, the encryption architecture, and the access rules. The dashboard supplies the single shared record that every compliance determination rests upon.</w:t>
      </w:r>
    </w:p>
    <w:p>
      <w:pPr>
        <w:pStyle w:val="Heading3"/>
      </w:pPr>
      <w:r>
        <w:t>N.3.1 — Data Sources</w:t>
      </w:r>
    </w:p>
    <w:tbl>
      <w:tblPr>
        <w:tblW w:type="auto" w:w="0"/>
        <w:jc w:val="center"/>
        <w:tblLayout w:type="autofit"/>
        <w:tblLook w:firstColumn="1" w:firstRow="1" w:lastColumn="0" w:lastRow="0" w:noHBand="0" w:noVBand="1" w:val="04A0"/>
      </w:tblPr>
      <w:tblGrid>
        <w:gridCol w:w="3009"/>
        <w:gridCol w:w="3009"/>
        <w:gridCol w:w="3009"/>
      </w:tblGrid>
      <w:tr>
        <w:tc>
          <w:tcPr>
            <w:tcW w:type="dxa" w:w="3009"/>
            <w:shd w:val="clear" w:color="auto" w:fill="1F496E"/>
            <w:tcBorders>
              <w:top w:val="single" w:sz="4" w:color="BBBBBB"/>
              <w:left w:val="single" w:sz="4" w:color="BBBBBB"/>
              <w:bottom w:val="single" w:sz="4" w:color="BBBBBB"/>
              <w:right w:val="single" w:sz="4" w:color="BBBBBB"/>
            </w:tcBorders>
          </w:tcPr>
          <w:p>
            <w:r/>
            <w:r>
              <w:rPr>
                <w:b/>
                <w:color w:val="FFFFFF"/>
                <w:sz w:val="19"/>
              </w:rPr>
              <w:t>Source</w:t>
            </w:r>
          </w:p>
        </w:tc>
        <w:tc>
          <w:tcPr>
            <w:tcW w:type="dxa" w:w="3009"/>
            <w:shd w:val="clear" w:color="auto" w:fill="1F496E"/>
            <w:tcBorders>
              <w:top w:val="single" w:sz="4" w:color="BBBBBB"/>
              <w:left w:val="single" w:sz="4" w:color="BBBBBB"/>
              <w:bottom w:val="single" w:sz="4" w:color="BBBBBB"/>
              <w:right w:val="single" w:sz="4" w:color="BBBBBB"/>
            </w:tcBorders>
          </w:tcPr>
          <w:p>
            <w:r/>
            <w:r>
              <w:rPr>
                <w:b/>
                <w:color w:val="FFFFFF"/>
                <w:sz w:val="19"/>
              </w:rPr>
              <w:t>Feed</w:t>
            </w:r>
          </w:p>
        </w:tc>
        <w:tc>
          <w:tcPr>
            <w:tcW w:type="dxa" w:w="3009"/>
            <w:shd w:val="clear" w:color="auto" w:fill="1F496E"/>
            <w:tcBorders>
              <w:top w:val="single" w:sz="4" w:color="BBBBBB"/>
              <w:left w:val="single" w:sz="4" w:color="BBBBBB"/>
              <w:bottom w:val="single" w:sz="4" w:color="BBBBBB"/>
              <w:right w:val="single" w:sz="4" w:color="BBBBBB"/>
            </w:tcBorders>
          </w:tcPr>
          <w:p>
            <w:r/>
            <w:r>
              <w:rPr>
                <w:b/>
                <w:color w:val="FFFFFF"/>
                <w:sz w:val="19"/>
              </w:rPr>
              <w:t>Determination Role</w:t>
            </w:r>
          </w:p>
        </w:tc>
      </w:tr>
      <w:tr>
        <w:tc>
          <w:tcPr>
            <w:tcW w:type="dxa" w:w="3009"/>
            <w:tcBorders>
              <w:top w:val="single" w:sz="4" w:color="BBBBBB"/>
              <w:left w:val="single" w:sz="4" w:color="BBBBBB"/>
              <w:bottom w:val="single" w:sz="4" w:color="BBBBBB"/>
              <w:right w:val="single" w:sz="4" w:color="BBBBBB"/>
            </w:tcBorders>
          </w:tcPr>
          <w:p>
            <w:r/>
            <w:r>
              <w:rPr>
                <w:sz w:val="19"/>
              </w:rPr>
              <w:t>Nuclear telemetry</w:t>
            </w:r>
          </w:p>
        </w:tc>
        <w:tc>
          <w:tcPr>
            <w:tcW w:type="dxa" w:w="3009"/>
            <w:tcBorders>
              <w:top w:val="single" w:sz="4" w:color="BBBBBB"/>
              <w:left w:val="single" w:sz="4" w:color="BBBBBB"/>
              <w:bottom w:val="single" w:sz="4" w:color="BBBBBB"/>
              <w:right w:val="single" w:sz="4" w:color="BBBBBB"/>
            </w:tcBorders>
          </w:tcPr>
          <w:p>
            <w:r/>
            <w:r>
              <w:rPr>
                <w:sz w:val="19"/>
              </w:rPr>
              <w:t>IAEA monitors, cameras, electronic seals</w:t>
            </w:r>
          </w:p>
        </w:tc>
        <w:tc>
          <w:tcPr>
            <w:tcW w:type="dxa" w:w="3009"/>
            <w:tcBorders>
              <w:top w:val="single" w:sz="4" w:color="BBBBBB"/>
              <w:left w:val="single" w:sz="4" w:color="BBBBBB"/>
              <w:bottom w:val="single" w:sz="4" w:color="BBBBBB"/>
              <w:right w:val="single" w:sz="4" w:color="BBBBBB"/>
            </w:tcBorders>
          </w:tcPr>
          <w:p>
            <w:r/>
            <w:r>
              <w:rPr>
                <w:sz w:val="19"/>
              </w:rPr>
              <w:t>Anchors nuclear compliance readings</w:t>
            </w:r>
          </w:p>
        </w:tc>
      </w:tr>
      <w:tr>
        <w:tc>
          <w:tcPr>
            <w:tcW w:type="dxa" w:w="3009"/>
            <w:tcBorders>
              <w:top w:val="single" w:sz="4" w:color="BBBBBB"/>
              <w:left w:val="single" w:sz="4" w:color="BBBBBB"/>
              <w:bottom w:val="single" w:sz="4" w:color="BBBBBB"/>
              <w:right w:val="single" w:sz="4" w:color="BBBBBB"/>
            </w:tcBorders>
            <w:shd w:val="clear" w:color="auto" w:fill="EEF2F7"/>
          </w:tcPr>
          <w:p>
            <w:r/>
            <w:r>
              <w:rPr>
                <w:sz w:val="19"/>
              </w:rPr>
              <w:t>Financial escrow</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Escrow movement and milestone confirmations</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Anchors relief-tranche activation</w:t>
            </w:r>
          </w:p>
        </w:tc>
      </w:tr>
      <w:tr>
        <w:tc>
          <w:tcPr>
            <w:tcW w:type="dxa" w:w="3009"/>
            <w:tcBorders>
              <w:top w:val="single" w:sz="4" w:color="BBBBBB"/>
              <w:left w:val="single" w:sz="4" w:color="BBBBBB"/>
              <w:bottom w:val="single" w:sz="4" w:color="BBBBBB"/>
              <w:right w:val="single" w:sz="4" w:color="BBBBBB"/>
            </w:tcBorders>
          </w:tcPr>
          <w:p>
            <w:r/>
            <w:r>
              <w:rPr>
                <w:sz w:val="19"/>
              </w:rPr>
              <w:t>Maritime traffic</w:t>
            </w:r>
          </w:p>
        </w:tc>
        <w:tc>
          <w:tcPr>
            <w:tcW w:type="dxa" w:w="3009"/>
            <w:tcBorders>
              <w:top w:val="single" w:sz="4" w:color="BBBBBB"/>
              <w:left w:val="single" w:sz="4" w:color="BBBBBB"/>
              <w:bottom w:val="single" w:sz="4" w:color="BBBBBB"/>
              <w:right w:val="single" w:sz="4" w:color="BBBBBB"/>
            </w:tcBorders>
          </w:tcPr>
          <w:p>
            <w:r/>
            <w:r>
              <w:rPr>
                <w:sz w:val="19"/>
              </w:rPr>
              <w:t>Transit volumes and incident log</w:t>
            </w:r>
          </w:p>
        </w:tc>
        <w:tc>
          <w:tcPr>
            <w:tcW w:type="dxa" w:w="3009"/>
            <w:tcBorders>
              <w:top w:val="single" w:sz="4" w:color="BBBBBB"/>
              <w:left w:val="single" w:sz="4" w:color="BBBBBB"/>
              <w:bottom w:val="single" w:sz="4" w:color="BBBBBB"/>
              <w:right w:val="single" w:sz="4" w:color="BBBBBB"/>
            </w:tcBorders>
          </w:tcPr>
          <w:p>
            <w:r/>
            <w:r>
              <w:rPr>
                <w:sz w:val="19"/>
              </w:rPr>
              <w:t>Anchors Strait-reopening confirmation</w:t>
            </w:r>
          </w:p>
        </w:tc>
      </w:tr>
      <w:tr>
        <w:tc>
          <w:tcPr>
            <w:tcW w:type="dxa" w:w="3009"/>
            <w:tcBorders>
              <w:top w:val="single" w:sz="4" w:color="BBBBBB"/>
              <w:left w:val="single" w:sz="4" w:color="BBBBBB"/>
              <w:bottom w:val="single" w:sz="4" w:color="BBBBBB"/>
              <w:right w:val="single" w:sz="4" w:color="BBBBBB"/>
            </w:tcBorders>
            <w:shd w:val="clear" w:color="auto" w:fill="EEF2F7"/>
          </w:tcPr>
          <w:p>
            <w:r/>
            <w:r>
              <w:rPr>
                <w:sz w:val="19"/>
              </w:rPr>
              <w:t>Communication record</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Crisis-channel notifications and closures</w:t>
            </w:r>
          </w:p>
        </w:tc>
        <w:tc>
          <w:tcPr>
            <w:tcW w:type="dxa" w:w="3009"/>
            <w:tcBorders>
              <w:top w:val="single" w:sz="4" w:color="BBBBBB"/>
              <w:left w:val="single" w:sz="4" w:color="BBBBBB"/>
              <w:bottom w:val="single" w:sz="4" w:color="BBBBBB"/>
              <w:right w:val="single" w:sz="4" w:color="BBBBBB"/>
            </w:tcBorders>
            <w:shd w:val="clear" w:color="auto" w:fill="EEF2F7"/>
          </w:tcPr>
          <w:p>
            <w:r/>
            <w:r>
              <w:rPr>
                <w:sz w:val="19"/>
              </w:rPr>
              <w:t>Anchors no-surprise verification</w:t>
            </w:r>
          </w:p>
        </w:tc>
      </w:tr>
    </w:tbl>
    <w:p>
      <w:pPr>
        <w:spacing w:after="40"/>
      </w:pPr>
    </w:p>
    <w:p>
      <w:pPr>
        <w:pStyle w:val="Heading3"/>
      </w:pPr>
      <w:r>
        <w:t>N.3.2 — Encryption and Integrity</w:t>
      </w:r>
    </w:p>
    <w:p>
      <w:pPr>
        <w:spacing w:after="80"/>
        <w:ind w:left="360"/>
      </w:pPr>
      <w:r>
        <w:rPr>
          <w:b/>
        </w:rPr>
        <w:t xml:space="preserve">Encryption — </w:t>
      </w:r>
      <w:r>
        <w:rPr>
          <w:b w:val="0"/>
        </w:rPr>
        <w:t>End-to-end encryption protects every feed, and the architecture excludes unilateral alteration of the record.</w:t>
      </w:r>
    </w:p>
    <w:p>
      <w:pPr>
        <w:spacing w:after="80"/>
        <w:ind w:left="360"/>
      </w:pPr>
      <w:r>
        <w:rPr>
          <w:b/>
        </w:rPr>
        <w:t xml:space="preserve">Tamper evidence — </w:t>
      </w:r>
      <w:r>
        <w:rPr>
          <w:b w:val="0"/>
        </w:rPr>
        <w:t>A break in any feed registers as an anomaly flag rather than a silent gap, and the flag routes to the Human-in-the-Loop Review.</w:t>
      </w:r>
    </w:p>
    <w:p>
      <w:pPr>
        <w:spacing w:after="80"/>
        <w:ind w:left="360"/>
      </w:pPr>
      <w:r>
        <w:rPr>
          <w:b/>
        </w:rPr>
        <w:t xml:space="preserve">Archival integrity — </w:t>
      </w:r>
      <w:r>
        <w:rPr>
          <w:b w:val="0"/>
        </w:rPr>
        <w:t>The Swiss guarantor maintains an immutable archive of every reading for the duration of the framework.</w:t>
      </w:r>
    </w:p>
    <w:p>
      <w:pPr>
        <w:pStyle w:val="Heading3"/>
      </w:pPr>
      <w:r>
        <w:t>N.3.3 — Access Rules</w:t>
      </w:r>
    </w:p>
    <w:p>
      <w:pPr>
        <w:spacing w:after="80"/>
        <w:ind w:left="360"/>
      </w:pPr>
      <w:r>
        <w:rPr>
          <w:b/>
        </w:rPr>
        <w:t xml:space="preserve">Equal access — </w:t>
      </w:r>
      <w:r>
        <w:rPr>
          <w:b w:val="0"/>
        </w:rPr>
        <w:t>Both Parties hold identical access to the dashboard, and neither Party holds a private channel the other lacks.</w:t>
      </w:r>
    </w:p>
    <w:p>
      <w:pPr>
        <w:spacing w:after="80"/>
        <w:ind w:left="360"/>
      </w:pPr>
      <w:r>
        <w:rPr>
          <w:b/>
        </w:rPr>
        <w:t xml:space="preserve">Guarantor access — </w:t>
      </w:r>
      <w:r>
        <w:rPr>
          <w:b w:val="0"/>
        </w:rPr>
        <w:t>The guarantors hold the access their facilitation and protection functions define, and they alter no reading.</w:t>
      </w:r>
    </w:p>
    <w:p>
      <w:pPr>
        <w:spacing w:after="80"/>
        <w:ind w:left="360"/>
      </w:pPr>
      <w:r>
        <w:rPr>
          <w:b/>
        </w:rPr>
        <w:t xml:space="preserve">Public layer — </w:t>
      </w:r>
      <w:r>
        <w:rPr>
          <w:b w:val="0"/>
        </w:rPr>
        <w:t>A public layer publishes the aggregate transit and milestone status that the Compact designates for public release, and it excludes classified operational detail.</w:t>
      </w:r>
    </w:p>
    <w:p>
      <w:pPr>
        <w:pStyle w:val="Heading2"/>
      </w:pPr>
      <w:r>
        <w:t>N.4 Step-Back and Earn-Back Protocol</w:t>
      </w:r>
    </w:p>
    <w:p>
      <w:pPr>
        <w:spacing w:after="120"/>
      </w:pPr>
      <w:r>
        <w:rPr>
          <w:i w:val="0"/>
        </w:rPr>
        <w:t>This section states the proportionality architecture that governs a compliance failure and its correction. A non-compliance event triggers a proportionate Step-Back of the affected reciprocity unit, a correction window opens, and verified correction re-activates the unit through Earn-Back. The protocol keeps every failure inside a reversible, proportionate pathway rather than a binary collapse.</w:t>
      </w:r>
    </w:p>
    <w:p>
      <w:pPr>
        <w:pStyle w:val="Heading3"/>
      </w:pPr>
      <w:r>
        <w:t>N.4.1 — Proportionality Scale</w:t>
      </w:r>
    </w:p>
    <w:tbl>
      <w:tblPr>
        <w:tblW w:type="auto" w:w="0"/>
        <w:jc w:val="center"/>
        <w:tblLayout w:type="autofit"/>
        <w:tblLook w:firstColumn="1" w:firstRow="1" w:lastColumn="0" w:lastRow="0" w:noHBand="0" w:noVBand="1" w:val="04A0"/>
      </w:tblPr>
      <w:tblGrid>
        <w:gridCol w:w="2256"/>
        <w:gridCol w:w="2256"/>
        <w:gridCol w:w="2256"/>
        <w:gridCol w:w="2256"/>
      </w:tblGrid>
      <w:tr>
        <w:tc>
          <w:tcPr>
            <w:tcW w:type="dxa" w:w="2256"/>
            <w:shd w:val="clear" w:color="auto" w:fill="1F496E"/>
            <w:tcBorders>
              <w:top w:val="single" w:sz="4" w:color="BBBBBB"/>
              <w:left w:val="single" w:sz="4" w:color="BBBBBB"/>
              <w:bottom w:val="single" w:sz="4" w:color="BBBBBB"/>
              <w:right w:val="single" w:sz="4" w:color="BBBBBB"/>
            </w:tcBorders>
          </w:tcPr>
          <w:p>
            <w:r/>
            <w:r>
              <w:rPr>
                <w:b/>
                <w:color w:val="FFFFFF"/>
                <w:sz w:val="19"/>
              </w:rPr>
              <w:t>Breach Class</w:t>
            </w:r>
          </w:p>
        </w:tc>
        <w:tc>
          <w:tcPr>
            <w:tcW w:type="dxa" w:w="2256"/>
            <w:shd w:val="clear" w:color="auto" w:fill="1F496E"/>
            <w:tcBorders>
              <w:top w:val="single" w:sz="4" w:color="BBBBBB"/>
              <w:left w:val="single" w:sz="4" w:color="BBBBBB"/>
              <w:bottom w:val="single" w:sz="4" w:color="BBBBBB"/>
              <w:right w:val="single" w:sz="4" w:color="BBBBBB"/>
            </w:tcBorders>
          </w:tcPr>
          <w:p>
            <w:r/>
            <w:r>
              <w:rPr>
                <w:b/>
                <w:color w:val="FFFFFF"/>
                <w:sz w:val="19"/>
              </w:rPr>
              <w:t>Step-Back Magnitude</w:t>
            </w:r>
          </w:p>
        </w:tc>
        <w:tc>
          <w:tcPr>
            <w:tcW w:type="dxa" w:w="2256"/>
            <w:shd w:val="clear" w:color="auto" w:fill="1F496E"/>
            <w:tcBorders>
              <w:top w:val="single" w:sz="4" w:color="BBBBBB"/>
              <w:left w:val="single" w:sz="4" w:color="BBBBBB"/>
              <w:bottom w:val="single" w:sz="4" w:color="BBBBBB"/>
              <w:right w:val="single" w:sz="4" w:color="BBBBBB"/>
            </w:tcBorders>
          </w:tcPr>
          <w:p>
            <w:r/>
            <w:r>
              <w:rPr>
                <w:b/>
                <w:color w:val="FFFFFF"/>
                <w:sz w:val="19"/>
              </w:rPr>
              <w:t>Correction Window</w:t>
            </w:r>
          </w:p>
        </w:tc>
        <w:tc>
          <w:tcPr>
            <w:tcW w:type="dxa" w:w="2256"/>
            <w:shd w:val="clear" w:color="auto" w:fill="1F496E"/>
            <w:tcBorders>
              <w:top w:val="single" w:sz="4" w:color="BBBBBB"/>
              <w:left w:val="single" w:sz="4" w:color="BBBBBB"/>
              <w:bottom w:val="single" w:sz="4" w:color="BBBBBB"/>
              <w:right w:val="single" w:sz="4" w:color="BBBBBB"/>
            </w:tcBorders>
          </w:tcPr>
          <w:p>
            <w:r/>
            <w:r>
              <w:rPr>
                <w:b/>
                <w:color w:val="FFFFFF"/>
                <w:sz w:val="19"/>
              </w:rPr>
              <w:t>Earn-Back Trigger</w:t>
            </w:r>
          </w:p>
        </w:tc>
      </w:tr>
      <w:tr>
        <w:tc>
          <w:tcPr>
            <w:tcW w:type="dxa" w:w="2256"/>
            <w:tcBorders>
              <w:top w:val="single" w:sz="4" w:color="BBBBBB"/>
              <w:left w:val="single" w:sz="4" w:color="BBBBBB"/>
              <w:bottom w:val="single" w:sz="4" w:color="BBBBBB"/>
              <w:right w:val="single" w:sz="4" w:color="BBBBBB"/>
            </w:tcBorders>
          </w:tcPr>
          <w:p>
            <w:r/>
            <w:r>
              <w:rPr>
                <w:sz w:val="19"/>
              </w:rPr>
              <w:t>Technical anomaly</w:t>
            </w:r>
          </w:p>
        </w:tc>
        <w:tc>
          <w:tcPr>
            <w:tcW w:type="dxa" w:w="2256"/>
            <w:tcBorders>
              <w:top w:val="single" w:sz="4" w:color="BBBBBB"/>
              <w:left w:val="single" w:sz="4" w:color="BBBBBB"/>
              <w:bottom w:val="single" w:sz="4" w:color="BBBBBB"/>
              <w:right w:val="single" w:sz="4" w:color="BBBBBB"/>
            </w:tcBorders>
          </w:tcPr>
          <w:p>
            <w:r/>
            <w:r>
              <w:rPr>
                <w:sz w:val="19"/>
              </w:rPr>
              <w:t>No step-back; flag only</w:t>
            </w:r>
          </w:p>
        </w:tc>
        <w:tc>
          <w:tcPr>
            <w:tcW w:type="dxa" w:w="2256"/>
            <w:tcBorders>
              <w:top w:val="single" w:sz="4" w:color="BBBBBB"/>
              <w:left w:val="single" w:sz="4" w:color="BBBBBB"/>
              <w:bottom w:val="single" w:sz="4" w:color="BBBBBB"/>
              <w:right w:val="single" w:sz="4" w:color="BBBBBB"/>
            </w:tcBorders>
          </w:tcPr>
          <w:p>
            <w:r/>
            <w:r>
              <w:rPr>
                <w:sz w:val="19"/>
              </w:rPr>
              <w:t>Immediate technical conference</w:t>
            </w:r>
          </w:p>
        </w:tc>
        <w:tc>
          <w:tcPr>
            <w:tcW w:type="dxa" w:w="2256"/>
            <w:tcBorders>
              <w:top w:val="single" w:sz="4" w:color="BBBBBB"/>
              <w:left w:val="single" w:sz="4" w:color="BBBBBB"/>
              <w:bottom w:val="single" w:sz="4" w:color="BBBBBB"/>
              <w:right w:val="single" w:sz="4" w:color="BBBBBB"/>
            </w:tcBorders>
          </w:tcPr>
          <w:p>
            <w:r/>
            <w:r>
              <w:rPr>
                <w:sz w:val="19"/>
              </w:rPr>
              <w:t>Anomaly explained on the record</w:t>
            </w:r>
          </w:p>
        </w:tc>
      </w:tr>
      <w:tr>
        <w:tc>
          <w:tcPr>
            <w:tcW w:type="dxa" w:w="2256"/>
            <w:tcBorders>
              <w:top w:val="single" w:sz="4" w:color="BBBBBB"/>
              <w:left w:val="single" w:sz="4" w:color="BBBBBB"/>
              <w:bottom w:val="single" w:sz="4" w:color="BBBBBB"/>
              <w:right w:val="single" w:sz="4" w:color="BBBBBB"/>
            </w:tcBorders>
            <w:shd w:val="clear" w:color="auto" w:fill="EEF2F7"/>
          </w:tcPr>
          <w:p>
            <w:r/>
            <w:r>
              <w:rPr>
                <w:sz w:val="19"/>
              </w:rPr>
              <w:t>Single-unit lapse</w:t>
            </w:r>
          </w:p>
        </w:tc>
        <w:tc>
          <w:tcPr>
            <w:tcW w:type="dxa" w:w="2256"/>
            <w:tcBorders>
              <w:top w:val="single" w:sz="4" w:color="BBBBBB"/>
              <w:left w:val="single" w:sz="4" w:color="BBBBBB"/>
              <w:bottom w:val="single" w:sz="4" w:color="BBBBBB"/>
              <w:right w:val="single" w:sz="4" w:color="BBBBBB"/>
            </w:tcBorders>
            <w:shd w:val="clear" w:color="auto" w:fill="EEF2F7"/>
          </w:tcPr>
          <w:p>
            <w:r/>
            <w:r>
              <w:rPr>
                <w:sz w:val="19"/>
              </w:rPr>
              <w:t>Suspend the affected reciprocity unit only</w:t>
            </w:r>
          </w:p>
        </w:tc>
        <w:tc>
          <w:tcPr>
            <w:tcW w:type="dxa" w:w="2256"/>
            <w:tcBorders>
              <w:top w:val="single" w:sz="4" w:color="BBBBBB"/>
              <w:left w:val="single" w:sz="4" w:color="BBBBBB"/>
              <w:bottom w:val="single" w:sz="4" w:color="BBBBBB"/>
              <w:right w:val="single" w:sz="4" w:color="BBBBBB"/>
            </w:tcBorders>
            <w:shd w:val="clear" w:color="auto" w:fill="EEF2F7"/>
          </w:tcPr>
          <w:p>
            <w:r/>
            <w:r>
              <w:rPr>
                <w:sz w:val="19"/>
              </w:rPr>
              <w:t>Proportionate short window</w:t>
            </w:r>
          </w:p>
        </w:tc>
        <w:tc>
          <w:tcPr>
            <w:tcW w:type="dxa" w:w="2256"/>
            <w:tcBorders>
              <w:top w:val="single" w:sz="4" w:color="BBBBBB"/>
              <w:left w:val="single" w:sz="4" w:color="BBBBBB"/>
              <w:bottom w:val="single" w:sz="4" w:color="BBBBBB"/>
              <w:right w:val="single" w:sz="4" w:color="BBBBBB"/>
            </w:tcBorders>
            <w:shd w:val="clear" w:color="auto" w:fill="EEF2F7"/>
          </w:tcPr>
          <w:p>
            <w:r/>
            <w:r>
              <w:rPr>
                <w:sz w:val="19"/>
              </w:rPr>
              <w:t>Verified correction of the unit</w:t>
            </w:r>
          </w:p>
        </w:tc>
      </w:tr>
      <w:tr>
        <w:tc>
          <w:tcPr>
            <w:tcW w:type="dxa" w:w="2256"/>
            <w:tcBorders>
              <w:top w:val="single" w:sz="4" w:color="BBBBBB"/>
              <w:left w:val="single" w:sz="4" w:color="BBBBBB"/>
              <w:bottom w:val="single" w:sz="4" w:color="BBBBBB"/>
              <w:right w:val="single" w:sz="4" w:color="BBBBBB"/>
            </w:tcBorders>
          </w:tcPr>
          <w:p>
            <w:r/>
            <w:r>
              <w:rPr>
                <w:sz w:val="19"/>
              </w:rPr>
              <w:t>Repeated lapse</w:t>
            </w:r>
          </w:p>
        </w:tc>
        <w:tc>
          <w:tcPr>
            <w:tcW w:type="dxa" w:w="2256"/>
            <w:tcBorders>
              <w:top w:val="single" w:sz="4" w:color="BBBBBB"/>
              <w:left w:val="single" w:sz="4" w:color="BBBBBB"/>
              <w:bottom w:val="single" w:sz="4" w:color="BBBBBB"/>
              <w:right w:val="single" w:sz="4" w:color="BBBBBB"/>
            </w:tcBorders>
          </w:tcPr>
          <w:p>
            <w:r/>
            <w:r>
              <w:rPr>
                <w:sz w:val="19"/>
              </w:rPr>
              <w:t>Suspend the unit and the paired tranche</w:t>
            </w:r>
          </w:p>
        </w:tc>
        <w:tc>
          <w:tcPr>
            <w:tcW w:type="dxa" w:w="2256"/>
            <w:tcBorders>
              <w:top w:val="single" w:sz="4" w:color="BBBBBB"/>
              <w:left w:val="single" w:sz="4" w:color="BBBBBB"/>
              <w:bottom w:val="single" w:sz="4" w:color="BBBBBB"/>
              <w:right w:val="single" w:sz="4" w:color="BBBBBB"/>
            </w:tcBorders>
          </w:tcPr>
          <w:p>
            <w:r/>
            <w:r>
              <w:rPr>
                <w:sz w:val="19"/>
              </w:rPr>
              <w:t>Defined medium window</w:t>
            </w:r>
          </w:p>
        </w:tc>
        <w:tc>
          <w:tcPr>
            <w:tcW w:type="dxa" w:w="2256"/>
            <w:tcBorders>
              <w:top w:val="single" w:sz="4" w:color="BBBBBB"/>
              <w:left w:val="single" w:sz="4" w:color="BBBBBB"/>
              <w:bottom w:val="single" w:sz="4" w:color="BBBBBB"/>
              <w:right w:val="single" w:sz="4" w:color="BBBBBB"/>
            </w:tcBorders>
          </w:tcPr>
          <w:p>
            <w:r/>
            <w:r>
              <w:rPr>
                <w:sz w:val="19"/>
              </w:rPr>
              <w:t>Sustained verified correction</w:t>
            </w:r>
          </w:p>
        </w:tc>
      </w:tr>
      <w:tr>
        <w:tc>
          <w:tcPr>
            <w:tcW w:type="dxa" w:w="2256"/>
            <w:tcBorders>
              <w:top w:val="single" w:sz="4" w:color="BBBBBB"/>
              <w:left w:val="single" w:sz="4" w:color="BBBBBB"/>
              <w:bottom w:val="single" w:sz="4" w:color="BBBBBB"/>
              <w:right w:val="single" w:sz="4" w:color="BBBBBB"/>
            </w:tcBorders>
            <w:shd w:val="clear" w:color="auto" w:fill="EEF2F7"/>
          </w:tcPr>
          <w:p>
            <w:r/>
            <w:r>
              <w:rPr>
                <w:sz w:val="19"/>
              </w:rPr>
              <w:t>Material breach</w:t>
            </w:r>
          </w:p>
        </w:tc>
        <w:tc>
          <w:tcPr>
            <w:tcW w:type="dxa" w:w="2256"/>
            <w:tcBorders>
              <w:top w:val="single" w:sz="4" w:color="BBBBBB"/>
              <w:left w:val="single" w:sz="4" w:color="BBBBBB"/>
              <w:bottom w:val="single" w:sz="4" w:color="BBBBBB"/>
              <w:right w:val="single" w:sz="4" w:color="BBBBBB"/>
            </w:tcBorders>
            <w:shd w:val="clear" w:color="auto" w:fill="EEF2F7"/>
          </w:tcPr>
          <w:p>
            <w:r/>
            <w:r>
              <w:rPr>
                <w:sz w:val="19"/>
              </w:rPr>
              <w:t>Suspend the affected module</w:t>
            </w:r>
          </w:p>
        </w:tc>
        <w:tc>
          <w:tcPr>
            <w:tcW w:type="dxa" w:w="2256"/>
            <w:tcBorders>
              <w:top w:val="single" w:sz="4" w:color="BBBBBB"/>
              <w:left w:val="single" w:sz="4" w:color="BBBBBB"/>
              <w:bottom w:val="single" w:sz="4" w:color="BBBBBB"/>
              <w:right w:val="single" w:sz="4" w:color="BBBBBB"/>
            </w:tcBorders>
            <w:shd w:val="clear" w:color="auto" w:fill="EEF2F7"/>
          </w:tcPr>
          <w:p>
            <w:r/>
            <w:r>
              <w:rPr>
                <w:sz w:val="19"/>
              </w:rPr>
              <w:t>Charter-defined window</w:t>
            </w:r>
          </w:p>
        </w:tc>
        <w:tc>
          <w:tcPr>
            <w:tcW w:type="dxa" w:w="2256"/>
            <w:tcBorders>
              <w:top w:val="single" w:sz="4" w:color="BBBBBB"/>
              <w:left w:val="single" w:sz="4" w:color="BBBBBB"/>
              <w:bottom w:val="single" w:sz="4" w:color="BBBBBB"/>
              <w:right w:val="single" w:sz="4" w:color="BBBBBB"/>
            </w:tcBorders>
            <w:shd w:val="clear" w:color="auto" w:fill="EEF2F7"/>
          </w:tcPr>
          <w:p>
            <w:r/>
            <w:r>
              <w:rPr>
                <w:sz w:val="19"/>
              </w:rPr>
              <w:t>Full verified restoration</w:t>
            </w:r>
          </w:p>
        </w:tc>
      </w:tr>
      <w:tr>
        <w:tc>
          <w:tcPr>
            <w:tcW w:type="dxa" w:w="2256"/>
            <w:tcBorders>
              <w:top w:val="single" w:sz="4" w:color="BBBBBB"/>
              <w:left w:val="single" w:sz="4" w:color="BBBBBB"/>
              <w:bottom w:val="single" w:sz="4" w:color="BBBBBB"/>
              <w:right w:val="single" w:sz="4" w:color="BBBBBB"/>
            </w:tcBorders>
          </w:tcPr>
          <w:p>
            <w:r/>
            <w:r>
              <w:rPr>
                <w:sz w:val="19"/>
              </w:rPr>
              <w:t>Sustained uncorrected breach</w:t>
            </w:r>
          </w:p>
        </w:tc>
        <w:tc>
          <w:tcPr>
            <w:tcW w:type="dxa" w:w="2256"/>
            <w:tcBorders>
              <w:top w:val="single" w:sz="4" w:color="BBBBBB"/>
              <w:left w:val="single" w:sz="4" w:color="BBBBBB"/>
              <w:bottom w:val="single" w:sz="4" w:color="BBBBBB"/>
              <w:right w:val="single" w:sz="4" w:color="BBBBBB"/>
            </w:tcBorders>
          </w:tcPr>
          <w:p>
            <w:r/>
            <w:r>
              <w:rPr>
                <w:sz w:val="19"/>
              </w:rPr>
              <w:t>Module exit under Article VI</w:t>
            </w:r>
          </w:p>
        </w:tc>
        <w:tc>
          <w:tcPr>
            <w:tcW w:type="dxa" w:w="2256"/>
            <w:tcBorders>
              <w:top w:val="single" w:sz="4" w:color="BBBBBB"/>
              <w:left w:val="single" w:sz="4" w:color="BBBBBB"/>
              <w:bottom w:val="single" w:sz="4" w:color="BBBBBB"/>
              <w:right w:val="single" w:sz="4" w:color="BBBBBB"/>
            </w:tcBorders>
          </w:tcPr>
          <w:p>
            <w:r/>
            <w:r>
              <w:rPr>
                <w:sz w:val="19"/>
              </w:rPr>
              <w:t>Final window before exit</w:t>
            </w:r>
          </w:p>
        </w:tc>
        <w:tc>
          <w:tcPr>
            <w:tcW w:type="dxa" w:w="2256"/>
            <w:tcBorders>
              <w:top w:val="single" w:sz="4" w:color="BBBBBB"/>
              <w:left w:val="single" w:sz="4" w:color="BBBBBB"/>
              <w:bottom w:val="single" w:sz="4" w:color="BBBBBB"/>
              <w:right w:val="single" w:sz="4" w:color="BBBBBB"/>
            </w:tcBorders>
          </w:tcPr>
          <w:p>
            <w:r/>
            <w:r>
              <w:rPr>
                <w:sz w:val="19"/>
              </w:rPr>
              <w:t>Restoration before window close</w:t>
            </w:r>
          </w:p>
        </w:tc>
      </w:tr>
    </w:tbl>
    <w:p>
      <w:pPr>
        <w:spacing w:after="40"/>
      </w:pPr>
    </w:p>
    <w:p>
      <w:pPr>
        <w:pStyle w:val="Heading3"/>
      </w:pPr>
      <w:r>
        <w:t>N.4.2 — Proportionality Discipline</w:t>
      </w:r>
    </w:p>
    <w:p>
      <w:pPr>
        <w:spacing w:after="80"/>
        <w:ind w:left="360"/>
      </w:pPr>
      <w:r>
        <w:rPr>
          <w:b/>
        </w:rPr>
        <w:t xml:space="preserve">Match — </w:t>
      </w:r>
      <w:r>
        <w:rPr>
          <w:b w:val="0"/>
        </w:rPr>
        <w:t>The Step-Back magnitude matches the breach class; the architecture excludes a disproportionate response that suspends unrelated units.</w:t>
      </w:r>
    </w:p>
    <w:p>
      <w:pPr>
        <w:spacing w:after="80"/>
        <w:ind w:left="360"/>
      </w:pPr>
      <w:r>
        <w:rPr>
          <w:b/>
        </w:rPr>
        <w:t xml:space="preserve">Firewall — </w:t>
      </w:r>
      <w:r>
        <w:rPr>
          <w:b w:val="0"/>
        </w:rPr>
        <w:t>Suspension confines itself to the affected unit, tranche, or module, and every unaffected provision continues operating.</w:t>
      </w:r>
    </w:p>
    <w:p>
      <w:pPr>
        <w:spacing w:after="80"/>
        <w:ind w:left="360"/>
      </w:pPr>
      <w:r>
        <w:rPr>
          <w:b/>
        </w:rPr>
        <w:t xml:space="preserve">Reversibility — </w:t>
      </w:r>
      <w:r>
        <w:rPr>
          <w:b w:val="0"/>
        </w:rPr>
        <w:t>Verified correction re-activates the suspended element through Earn-Back, so that a corrected lapse restores rather than penalizes.</w:t>
      </w:r>
    </w:p>
    <w:p>
      <w:pPr>
        <w:pStyle w:val="Heading3"/>
      </w:pPr>
      <w:r>
        <w:t>N.4.3 — Correction Windows</w:t>
      </w:r>
    </w:p>
    <w:p>
      <w:pPr>
        <w:spacing w:after="120"/>
      </w:pPr>
      <w:r>
        <w:rPr>
          <w:i w:val="0"/>
        </w:rPr>
        <w:t>Each breach class carries a correction window proportionate to its magnitude. The window opens on the finding, runs for its defined duration, and closes on verified correction or, in the sustained-uncorrected case, on activation of the module exit. The Human-in-the-Loop Review sets the window inside its charter, and the dashboard records its open and close.</w:t>
      </w:r>
    </w:p>
    <w:p>
      <w:pPr>
        <w:pStyle w:val="Heading3"/>
      </w:pPr>
      <w:r>
        <w:t>N.4.4 — Exit Architecture</w:t>
      </w:r>
    </w:p>
    <w:p>
      <w:pPr>
        <w:spacing w:after="120"/>
      </w:pPr>
      <w:r>
        <w:rPr>
          <w:i w:val="0"/>
        </w:rPr>
        <w:t>Module exit activates only on a sustained, dashboard-verified, uncorrected material breach after the final correction window closes. Exit confines itself to the affected module; the Firewalled Provisions principle keeps every other module and the core Compact intact. The exiting Party records the dashboard basis for exit, so that the exit rests on the verification record rather than on assertion.</w:t>
      </w:r>
    </w:p>
    <w:sectPr>
      <w:headerReference w:type="default" r:id="rId20"/>
      <w:footerReference w:type="default" r:id="rId21"/>
      <w:pgSz w:w="11906" w:h="16838"/>
      <w:pgMar w:top="57" w:right="0" w:bottom="57" w:left="0" w:header="0" w:footer="0"/>
      <w:pgNumType/>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libri">
    <w:charset w:val="00" w:characterSet="iso-8859-1"/>
    <w:family w:val="roman"/>
    <w:pitch w:val="variable"/>
  </w:font>
  <w:font w:name="Cambria">
    <w:charset w:val="00" w:characterSet="iso-8859-1"/>
    <w:family w:val="roman"/>
    <w:pitch w:val="variable"/>
  </w:font>
  <w:font w:name="Liberation Sans">
    <w:altName w:val="Arial"/>
    <w:charset w:val="00" w:characterSet="iso-8859-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spacing w:before="0" w:after="160"/>
      <w:jc w:val="center"/>
      <w:rPr/>
    </w:pPr>
    <w:r>
      <w:rPr/>
      <w:fldChar w:fldCharType="begin"/>
    </w:r>
    <w:r>
      <w:rPr/>
      <w:instrText xml:space="preserve"> PAGE </w:instrText>
    </w:r>
    <w:r>
      <w:rPr/>
      <w:fldChar w:fldCharType="separate"/>
    </w:r>
    <w:r>
      <w:rPr/>
      <w:t>20</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spacing w:before="0" w:after="160"/>
      <w:jc w:val="center"/>
      <w:rPr/>
    </w:pPr>
    <w:r>
      <w:rPr/>
      <w:fldChar w:fldCharType="begin"/>
    </w:r>
    <w:r>
      <w:rPr/>
      <w:instrText xml:space="preserve"> PAGE </w:instrText>
    </w:r>
    <w:r>
      <w:rPr/>
      <w:fldChar w:fldCharType="separate"/>
    </w:r>
    <w:r>
      <w:rPr/>
      <w:t>23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spacing w:before="0" w:after="160"/>
      <w:jc w:val="center"/>
      <w:rPr/>
    </w:pPr>
    <w:r>
      <w:rPr/>
      <w:fldChar w:fldCharType="begin"/>
    </w:r>
    <w:r>
      <w:rPr/>
      <w:instrText xml:space="preserve"> PAGE </w:instrText>
    </w:r>
    <w:r>
      <w:rPr/>
      <w:fldChar w:fldCharType="separate"/>
    </w:r>
    <w:r>
      <w:rPr/>
      <w:t>26</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spacing w:before="0" w:after="160"/>
      <w:jc w:val="center"/>
      <w:rPr/>
    </w:pPr>
    <w:r>
      <w:rPr/>
      <w:fldChar w:fldCharType="begin"/>
    </w:r>
    <w:r>
      <w:rPr/>
      <w:instrText xml:space="preserve"> PAGE </w:instrText>
    </w:r>
    <w:r>
      <w:rPr/>
      <w:fldChar w:fldCharType="separate"/>
    </w:r>
    <w:r>
      <w:rPr/>
      <w:t>32</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spacing w:before="0" w:after="160"/>
      <w:jc w:val="center"/>
      <w:rPr/>
    </w:pPr>
    <w:r>
      <w:rPr/>
      <w:fldChar w:fldCharType="begin"/>
    </w:r>
    <w:r>
      <w:rPr/>
      <w:instrText xml:space="preserve"> PAGE </w:instrText>
    </w:r>
    <w:r>
      <w:rPr/>
      <w:fldChar w:fldCharType="separate"/>
    </w:r>
    <w:r>
      <w:rPr/>
      <w:t>36</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spacing w:before="0" w:after="160"/>
      <w:jc w:val="center"/>
      <w:rPr/>
    </w:pPr>
    <w:r>
      <w:rPr/>
      <w:fldChar w:fldCharType="begin"/>
    </w:r>
    <w:r>
      <w:rPr/>
      <w:instrText xml:space="preserve"> PAGE </w:instrText>
    </w:r>
    <w:r>
      <w:rPr/>
      <w:fldChar w:fldCharType="separate"/>
    </w:r>
    <w:r>
      <w:rPr/>
      <w:t>42</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spacing w:before="0" w:after="160"/>
      <w:jc w:val="center"/>
      <w:rPr/>
    </w:pPr>
    <w:r>
      <w:rPr/>
      <w:fldChar w:fldCharType="begin"/>
    </w:r>
    <w:r>
      <w:rPr/>
      <w:instrText xml:space="preserve"> PAGE </w:instrText>
    </w:r>
    <w:r>
      <w:rPr/>
      <w:fldChar w:fldCharType="separate"/>
    </w:r>
    <w:r>
      <w:rPr/>
      <w:t>46</w:t>
    </w:r>
    <w:r>
      <w:rPr/>
      <w:fldChar w:fldCharType="end"/>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spacing w:before="0" w:after="160"/>
      <w:jc w:val="center"/>
      <w:rPr/>
    </w:pPr>
    <w:r>
      <w:rPr/>
      <w:fldChar w:fldCharType="begin"/>
    </w:r>
    <w:r>
      <w:rPr/>
      <w:instrText xml:space="preserve"> PAGE </w:instrText>
    </w:r>
    <w:r>
      <w:rPr/>
      <w:fldChar w:fldCharType="separate"/>
    </w:r>
    <w:r>
      <w:rPr/>
      <w:t>50</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spacing w:before="0" w:after="160"/>
      <w:jc w:val="center"/>
      <w:rPr/>
    </w:pPr>
    <w:r>
      <w:rPr/>
      <w:fldChar w:fldCharType="begin"/>
    </w:r>
    <w:r>
      <w:rPr/>
      <w:instrText xml:space="preserve"> PAGE </w:instrText>
    </w:r>
    <w:r>
      <w:rPr/>
      <w:fldChar w:fldCharType="separate"/>
    </w:r>
    <w:r>
      <w:rPr/>
      <w:t>51</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spacing w:lineRule="auto" w:line="300" w:before="0" w:after="160"/>
      <w:jc w:val="both"/>
      <w:rPr/>
    </w:pPr>
    <w:r>
      <w:rPr/>
    </w:r>
  </w:p>
  <w:p>
    <w:pPr>
      <w:pStyle w:val="Normal"/>
      <w:bidi w:val="0"/>
      <w:spacing w:before="0" w:after="160"/>
      <w:jc w:val="end"/>
      <w:rPr/>
    </w:pPr>
    <w:r>
      <w:rPr>
        <w:i/>
        <w:color w:val="7A8288"/>
        <w:sz w:val="16"/>
      </w:rPr>
      <w:t>The Hormuz Synchronization Compact</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spacing w:lineRule="auto" w:line="300" w:before="0" w:after="160"/>
      <w:jc w:val="both"/>
      <w:rPr/>
    </w:pPr>
    <w:r>
      <w:rPr/>
    </w:r>
  </w:p>
  <w:p>
    <w:pPr>
      <w:pStyle w:val="Normal"/>
      <w:bidi w:val="0"/>
      <w:spacing w:before="0" w:after="160"/>
      <w:jc w:val="end"/>
      <w:rPr/>
    </w:pPr>
    <w:r>
      <w:rPr>
        <w:i/>
        <w:color w:val="7A8288"/>
        <w:sz w:val="16"/>
      </w:rPr>
      <w:t>The Hormuz Synchronization Compact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spacing w:lineRule="auto" w:line="300" w:before="0" w:after="160"/>
      <w:jc w:val="both"/>
      <w:rPr/>
    </w:pPr>
    <w:r>
      <w:rPr/>
    </w:r>
  </w:p>
  <w:p>
    <w:pPr>
      <w:pStyle w:val="Normal"/>
      <w:bidi w:val="0"/>
      <w:spacing w:before="0" w:after="160"/>
      <w:jc w:val="end"/>
      <w:rPr/>
    </w:pPr>
    <w:r>
      <w:rPr>
        <w:i/>
        <w:color w:val="7A8288"/>
        <w:sz w:val="16"/>
      </w:rPr>
      <w:t>The Hormuz Synchronization Compact</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spacing w:lineRule="auto" w:line="300" w:before="0" w:after="160"/>
      <w:jc w:val="both"/>
      <w:rPr/>
    </w:pPr>
    <w:r>
      <w:rPr/>
    </w:r>
  </w:p>
  <w:p>
    <w:pPr>
      <w:pStyle w:val="Normal"/>
      <w:bidi w:val="0"/>
      <w:spacing w:before="0" w:after="160"/>
      <w:jc w:val="end"/>
      <w:rPr/>
    </w:pPr>
    <w:r>
      <w:rPr>
        <w:i/>
        <w:color w:val="7A8288"/>
        <w:sz w:val="16"/>
      </w:rPr>
      <w:t>The Hormuz Synchronization Compact</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spacing w:lineRule="auto" w:line="300" w:before="0" w:after="160"/>
      <w:jc w:val="both"/>
      <w:rPr/>
    </w:pPr>
    <w:r>
      <w:rPr/>
    </w:r>
  </w:p>
  <w:p>
    <w:pPr>
      <w:pStyle w:val="Normal"/>
      <w:bidi w:val="0"/>
      <w:spacing w:before="0" w:after="160"/>
      <w:jc w:val="end"/>
      <w:rPr/>
    </w:pPr>
    <w:r>
      <w:rPr>
        <w:i/>
        <w:color w:val="7A8288"/>
        <w:sz w:val="16"/>
      </w:rPr>
      <w:t>The Hormuz Synchronization Compact</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spacing w:lineRule="auto" w:line="300" w:before="0" w:after="160"/>
      <w:jc w:val="both"/>
      <w:rPr/>
    </w:pPr>
    <w:r>
      <w:rPr/>
    </w:r>
  </w:p>
  <w:p>
    <w:pPr>
      <w:pStyle w:val="Normal"/>
      <w:bidi w:val="0"/>
      <w:spacing w:before="0" w:after="160"/>
      <w:jc w:val="end"/>
      <w:rPr/>
    </w:pPr>
    <w:r>
      <w:rPr>
        <w:i/>
        <w:color w:val="7A8288"/>
        <w:sz w:val="16"/>
      </w:rPr>
      <w:t>The Hormuz Synchronization Compact</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spacing w:lineRule="auto" w:line="300" w:before="0" w:after="160"/>
      <w:jc w:val="both"/>
      <w:rPr/>
    </w:pPr>
    <w:r>
      <w:rPr/>
    </w:r>
  </w:p>
  <w:p>
    <w:pPr>
      <w:pStyle w:val="Normal"/>
      <w:bidi w:val="0"/>
      <w:spacing w:before="0" w:after="160"/>
      <w:jc w:val="end"/>
      <w:rPr/>
    </w:pPr>
    <w:r>
      <w:rPr>
        <w:i/>
        <w:color w:val="7A8288"/>
        <w:sz w:val="16"/>
      </w:rPr>
      <w:t>The Hormuz Synchronization Compact</w:t>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spacing w:lineRule="auto" w:line="300" w:before="0" w:after="160"/>
      <w:jc w:val="both"/>
      <w:rPr/>
    </w:pPr>
    <w:r>
      <w:rPr/>
    </w:r>
  </w:p>
  <w:p>
    <w:pPr>
      <w:pStyle w:val="Normal"/>
      <w:bidi w:val="0"/>
      <w:spacing w:before="0" w:after="160"/>
      <w:jc w:val="end"/>
      <w:rPr/>
    </w:pPr>
    <w:r>
      <w:rPr>
        <w:i/>
        <w:color w:val="7A8288"/>
        <w:sz w:val="16"/>
      </w:rPr>
      <w:t>The Hormuz Synchronization Compact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spacing w:lineRule="auto" w:line="300" w:before="0" w:after="160"/>
      <w:jc w:val="both"/>
      <w:rPr/>
    </w:pPr>
    <w:r>
      <w:rPr/>
    </w:r>
  </w:p>
  <w:p>
    <w:pPr>
      <w:pStyle w:val="Normal"/>
      <w:bidi w:val="0"/>
      <w:spacing w:before="0" w:after="160"/>
      <w:jc w:val="end"/>
      <w:rPr/>
    </w:pPr>
    <w:r>
      <w:rPr>
        <w:i/>
        <w:color w:val="7A8288"/>
        <w:sz w:val="16"/>
      </w:rPr>
      <w:t>The Hormuz Synchronization Compact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FreeSans"/>
        <w:kern w:val="2"/>
        <w:sz w:val="22"/>
        <w:szCs w:val="24"/>
        <w:lang w:val="en-US" w:eastAsia="zh-CN" w:bidi="hi-IN"/>
      </w:rPr>
    </w:rPrDefault>
    <w:pPrDefault>
      <w:pPr>
        <w:suppressAutoHyphens w:val="true"/>
      </w:pPr>
    </w:pPrDefault>
  </w:docDefaults>
  <w:style w:type="paragraph" w:styleId="Normal" w:default="1">
    <w:name w:val="Normal"/>
    <w:qFormat/>
    <w:pPr>
      <w:widowControl w:val="false"/>
      <w:bidi w:val="0"/>
      <w:spacing w:lineRule="auto" w:line="300" w:before="0" w:after="160"/>
      <w:jc w:val="both"/>
    </w:pPr>
    <w:rPr>
      <w:rFonts w:ascii="Cambria" w:hAnsi="Cambria" w:eastAsia="Microsoft YaHei" w:cs="FreeSans"/>
      <w:color w:val="1E2530"/>
      <w:kern w:val="2"/>
      <w:sz w:val="22"/>
      <w:szCs w:val="24"/>
      <w:lang w:val="en-US" w:eastAsia="zh-CN" w:bidi="hi-IN"/>
    </w:rPr>
  </w:style>
  <w:style w:type="paragraph" w:styleId="Heading1">
    <w:name w:val="Heading 1"/>
    <w:basedOn w:val="Normal"/>
    <w:qFormat/>
    <w:pPr>
      <w:keepNext w:val="true"/>
      <w:keepLines/>
      <w:spacing w:before="480" w:after="240"/>
      <w:outlineLvl w:val="0"/>
    </w:pPr>
    <w:rPr>
      <w:rFonts w:ascii="Cambria" w:hAnsi="Cambria" w:eastAsia="Microsoft YaHei"/>
      <w:b/>
      <w:color w:val="1A2744"/>
      <w:sz w:val="40"/>
    </w:rPr>
  </w:style>
  <w:style w:type="paragraph" w:styleId="Heading2">
    <w:name w:val="Heading 2"/>
    <w:basedOn w:val="Normal"/>
    <w:qFormat/>
    <w:pPr>
      <w:keepNext w:val="true"/>
      <w:keepLines/>
      <w:spacing w:before="360" w:after="160"/>
      <w:outlineLvl w:val="1"/>
    </w:pPr>
    <w:rPr>
      <w:rFonts w:ascii="Cambria" w:hAnsi="Cambria" w:eastAsia="Microsoft YaHei"/>
      <w:b/>
      <w:color w:val="2C3E5E"/>
      <w:sz w:val="30"/>
    </w:rPr>
  </w:style>
  <w:style w:type="paragraph" w:styleId="Heading3">
    <w:name w:val="Heading 3"/>
    <w:basedOn w:val="Normal"/>
    <w:qFormat/>
    <w:pPr>
      <w:keepNext w:val="true"/>
      <w:keepLines/>
      <w:spacing w:before="280" w:after="120"/>
      <w:outlineLvl w:val="2"/>
    </w:pPr>
    <w:rPr>
      <w:rFonts w:ascii="Cambria" w:hAnsi="Cambria" w:eastAsia="Microsoft YaHei"/>
      <w:b/>
      <w:color w:val="4A5568"/>
      <w:sz w:val="26"/>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pacing w:before="60" w:after="240"/>
      <w:jc w:val="center"/>
    </w:pPr>
    <w:rPr>
      <w:color w:val="7A8288"/>
      <w:sz w:val="18"/>
    </w:rPr>
  </w:style>
  <w:style w:type="paragraph" w:styleId="Index">
    <w:name w:val="Index"/>
    <w:basedOn w:val="Normal"/>
    <w:qFormat/>
    <w:pPr>
      <w:suppressLineNumbers/>
    </w:pPr>
    <w:rPr>
      <w:rFonts w:cs="FreeSans"/>
    </w:rPr>
  </w:style>
  <w:style w:type="paragraph" w:styleId="Contents1">
    <w:name w:val="TOC 1"/>
    <w:basedOn w:val="Normal"/>
    <w:pPr>
      <w:tabs>
        <w:tab w:val="clear" w:pos="720"/>
        <w:tab w:val="right" w:pos="9350" w:leader="dot"/>
      </w:tabs>
      <w:spacing w:before="200" w:after="60"/>
      <w:ind w:start="0" w:hanging="0"/>
    </w:pPr>
    <w:rPr>
      <w:b/>
      <w:color w:val="1E2530"/>
    </w:rPr>
  </w:style>
  <w:style w:type="paragraph" w:styleId="Contents2">
    <w:name w:val="TOC 2"/>
    <w:basedOn w:val="Normal"/>
    <w:pPr>
      <w:tabs>
        <w:tab w:val="clear" w:pos="720"/>
        <w:tab w:val="right" w:pos="9350" w:leader="dot"/>
      </w:tabs>
      <w:spacing w:before="60" w:after="60"/>
      <w:ind w:start="360" w:hanging="0"/>
    </w:pPr>
    <w:rPr>
      <w:color w:val="4A5568"/>
    </w:rPr>
  </w:style>
  <w:style w:type="paragraph" w:styleId="Contents3">
    <w:name w:val="TOC 3"/>
    <w:basedOn w:val="Normal"/>
    <w:pPr>
      <w:tabs>
        <w:tab w:val="clear" w:pos="720"/>
        <w:tab w:val="right" w:pos="9350" w:leader="dot"/>
      </w:tabs>
      <w:spacing w:before="40" w:after="60"/>
      <w:ind w:start="720" w:hanging="0"/>
    </w:pPr>
    <w:rPr>
      <w:color w:val="4A556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image" Target="media/image1.png" /><Relationship Id="rId3" Type="http://schemas.openxmlformats.org/officeDocument/2006/relationships/header" Target="header1.xml" /><Relationship Id="rId4" Type="http://schemas.openxmlformats.org/officeDocument/2006/relationships/footer" Target="footer1.xml" /><Relationship Id="rId5" Type="http://schemas.openxmlformats.org/officeDocument/2006/relationships/header" Target="header2.xml" /><Relationship Id="rId6" Type="http://schemas.openxmlformats.org/officeDocument/2006/relationships/footer" Target="footer2.xml" /><Relationship Id="rId7" Type="http://schemas.openxmlformats.org/officeDocument/2006/relationships/header" Target="header3.xml" /><Relationship Id="rId8" Type="http://schemas.openxmlformats.org/officeDocument/2006/relationships/footer" Target="footer3.xml" /><Relationship Id="rId9" Type="http://schemas.openxmlformats.org/officeDocument/2006/relationships/header" Target="header4.xml" /><Relationship Id="rId10" Type="http://schemas.openxmlformats.org/officeDocument/2006/relationships/footer" Target="footer4.xml" /><Relationship Id="rId11" Type="http://schemas.openxmlformats.org/officeDocument/2006/relationships/header" Target="header5.xml" /><Relationship Id="rId12" Type="http://schemas.openxmlformats.org/officeDocument/2006/relationships/footer" Target="footer5.xml" /><Relationship Id="rId13" Type="http://schemas.openxmlformats.org/officeDocument/2006/relationships/header" Target="header6.xml" /><Relationship Id="rId14" Type="http://schemas.openxmlformats.org/officeDocument/2006/relationships/footer" Target="footer6.xml" /><Relationship Id="rId15" Type="http://schemas.openxmlformats.org/officeDocument/2006/relationships/header" Target="header7.xml" /><Relationship Id="rId16" Type="http://schemas.openxmlformats.org/officeDocument/2006/relationships/footer" Target="footer7.xml" /><Relationship Id="rId17" Type="http://schemas.openxmlformats.org/officeDocument/2006/relationships/header" Target="header8.xml" /><Relationship Id="rId18" Type="http://schemas.openxmlformats.org/officeDocument/2006/relationships/footer" Target="footer8.xml" /><Relationship Id="rId19" Type="http://schemas.openxmlformats.org/officeDocument/2006/relationships/image" Target="media/image3.png" /><Relationship Id="rId20" Type="http://schemas.openxmlformats.org/officeDocument/2006/relationships/header" Target="header9.xml" /><Relationship Id="rId21" Type="http://schemas.openxmlformats.org/officeDocument/2006/relationships/footer" Target="footer9.xml" /><Relationship Id="rId22" Type="http://schemas.openxmlformats.org/officeDocument/2006/relationships/numbering" Target="numbering.xml" /><Relationship Id="rId23" Type="http://schemas.openxmlformats.org/officeDocument/2006/relationships/fontTable" Target="fontTable.xml" /><Relationship Id="rId24"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2.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word/_rels/header4.xml.rels><?xml version='1.0' encoding='UTF-8'?>
<Relationships xmlns="http://schemas.openxmlformats.org/package/2006/relationships"><Relationship Id="rId1" Type="http://schemas.openxmlformats.org/officeDocument/2006/relationships/image" Target="media/image2.png" /></Relationships>
</file>

<file path=word/_rels/header5.xml.rels><?xml version='1.0' encoding='UTF-8'?>
<Relationships xmlns="http://schemas.openxmlformats.org/package/2006/relationships"><Relationship Id="rId1" Type="http://schemas.openxmlformats.org/officeDocument/2006/relationships/image" Target="media/image2.png" /></Relationships>
</file>

<file path=word/_rels/header6.xml.rels><?xml version='1.0' encoding='UTF-8'?>
<Relationships xmlns="http://schemas.openxmlformats.org/package/2006/relationships"><Relationship Id="rId1" Type="http://schemas.openxmlformats.org/officeDocument/2006/relationships/image" Target="media/image2.png" /></Relationships>
</file>

<file path=word/_rels/header7.xml.rels><?xml version='1.0' encoding='UTF-8'?>
<Relationships xmlns="http://schemas.openxmlformats.org/package/2006/relationships"><Relationship Id="rId1" Type="http://schemas.openxmlformats.org/officeDocument/2006/relationships/image" Target="media/image2.png" /></Relationships>
</file>

<file path=word/_rels/header8.xml.rels><?xml version='1.0' encoding='UTF-8'?>
<Relationships xmlns="http://schemas.openxmlformats.org/package/2006/relationships"><Relationship Id="rId1" Type="http://schemas.openxmlformats.org/officeDocument/2006/relationships/image" Target="media/image2.png" /></Relationships>
</file>

<file path=word/_rels/header9.xml.rels><?xml version='1.0' encoding='UTF-8'?>
<Relationships xmlns="http://schemas.openxmlformats.org/package/2006/relationships"><Relationship Id="rId1" Type="http://schemas.openxmlformats.org/officeDocument/2006/relationships/image" Target="media/image2.png" /></Relationships>
</file>

<file path=docProps/app.xml><?xml version="1.0" encoding="utf-8"?>
<Properties xmlns="http://schemas.openxmlformats.org/officeDocument/2006/extended-properties" xmlns:vt="http://schemas.openxmlformats.org/officeDocument/2006/docPropsVTypes">
  <Template/>
  <TotalTime>0</TotalTime>
  <Application>LibreOffice/7.4.7.2$Linux_X86_64 LibreOffice_project/40$Build-2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