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9D363" w14:textId="77777777" w:rsidR="00723F18" w:rsidRDefault="00000000">
      <w:pPr>
        <w:pStyle w:val="FirstParagraph"/>
        <w:keepNext/>
        <w:spacing w:before="1800" w:after="0"/>
        <w:jc w:val="center"/>
      </w:pPr>
      <w:r>
        <w:rPr>
          <w:b/>
          <w:color w:val="37474F"/>
          <w:spacing w:val="40"/>
          <w:sz w:val="44"/>
        </w:rPr>
        <w:t>Hormuz Three-Corridor Transit Scheme Accord</w:t>
      </w:r>
    </w:p>
    <w:p w14:paraId="5DBF5574" w14:textId="77777777" w:rsidR="00723F18" w:rsidRDefault="00000000">
      <w:pPr>
        <w:pStyle w:val="FirstParagraph"/>
        <w:keepNext/>
        <w:spacing w:before="120" w:after="0"/>
        <w:jc w:val="center"/>
      </w:pPr>
      <w:r>
        <w:rPr>
          <w:b/>
          <w:color w:val="37474F"/>
          <w:spacing w:val="80"/>
          <w:sz w:val="32"/>
        </w:rPr>
        <w:t>(HTCSA)</w:t>
      </w:r>
    </w:p>
    <w:p w14:paraId="103E30D7" w14:textId="77777777" w:rsidR="00723F18" w:rsidRDefault="00000000">
      <w:pPr>
        <w:pStyle w:val="FirstParagraph"/>
        <w:keepNext/>
        <w:spacing w:before="360" w:after="0"/>
        <w:ind w:left="900" w:right="900"/>
        <w:jc w:val="center"/>
      </w:pPr>
      <w:r>
        <w:rPr>
          <w:i/>
          <w:color w:val="546E7A"/>
        </w:rPr>
        <w:t>An Operative System for Three-Corridor Transit, Shared Stewardship, Verified Service Compensation, and Synchronized De-escalation in the Strait of Hormuz</w:t>
      </w:r>
    </w:p>
    <w:p w14:paraId="3CE45896" w14:textId="77777777" w:rsidR="00723F18" w:rsidRDefault="00000000">
      <w:pPr>
        <w:pStyle w:val="FirstParagraph"/>
        <w:keepNext/>
        <w:pBdr>
          <w:bottom w:val="single" w:sz="6" w:space="1" w:color="37474F"/>
        </w:pBdr>
        <w:spacing w:before="360" w:after="0"/>
        <w:ind w:left="3600" w:right="3600"/>
        <w:jc w:val="center"/>
      </w:pPr>
      <w:r>
        <w:rPr>
          <w:rFonts w:eastAsia="Cambria" w:cs="Cambria"/>
          <w:sz w:val="8"/>
          <w:szCs w:val="8"/>
        </w:rPr>
        <w:t xml:space="preserve"> </w:t>
      </w:r>
    </w:p>
    <w:p w14:paraId="1F2739FA" w14:textId="77777777" w:rsidR="00723F18" w:rsidRDefault="00000000">
      <w:pPr>
        <w:pStyle w:val="FirstParagraph"/>
        <w:keepNext/>
        <w:spacing w:before="360" w:after="0"/>
        <w:jc w:val="center"/>
      </w:pPr>
      <w:r>
        <w:rPr>
          <w:b/>
          <w:color w:val="37474F"/>
        </w:rPr>
        <w:t xml:space="preserve">Version </w:t>
      </w:r>
      <w:proofErr w:type="gramStart"/>
      <w:r>
        <w:rPr>
          <w:b/>
          <w:color w:val="37474F"/>
        </w:rPr>
        <w:t>1.0 .</w:t>
      </w:r>
      <w:proofErr w:type="gramEnd"/>
      <w:r>
        <w:rPr>
          <w:b/>
          <w:color w:val="37474F"/>
        </w:rPr>
        <w:t xml:space="preserve"> August 2026</w:t>
      </w:r>
    </w:p>
    <w:p w14:paraId="3EE7EA3C" w14:textId="77777777" w:rsidR="00723F18" w:rsidRDefault="00000000">
      <w:pPr>
        <w:pStyle w:val="FirstParagraph"/>
        <w:keepNext/>
        <w:spacing w:before="120" w:after="0"/>
        <w:jc w:val="center"/>
      </w:pPr>
      <w:r>
        <w:rPr>
          <w:color w:val="37474F"/>
        </w:rPr>
        <w:t>Negotiating Draft for Authorized Participants</w:t>
      </w:r>
    </w:p>
    <w:p w14:paraId="6211E566" w14:textId="77777777" w:rsidR="00723F18" w:rsidRDefault="00000000">
      <w:pPr>
        <w:pStyle w:val="FirstParagraph"/>
        <w:keepNext/>
        <w:spacing w:before="120" w:after="0"/>
        <w:jc w:val="center"/>
      </w:pPr>
      <w:r>
        <w:rPr>
          <w:color w:val="78909C"/>
          <w:sz w:val="20"/>
        </w:rPr>
        <w:t>Negotiation Reference: HTCSA-2026-v1.0</w:t>
      </w:r>
    </w:p>
    <w:p w14:paraId="639A5F95" w14:textId="77777777" w:rsidR="00723F18" w:rsidRDefault="00000000">
      <w:pPr>
        <w:pStyle w:val="FirstParagraph"/>
        <w:keepNext/>
        <w:spacing w:before="240" w:after="0"/>
        <w:ind w:left="720" w:right="720"/>
        <w:jc w:val="center"/>
      </w:pPr>
      <w:r>
        <w:rPr>
          <w:i/>
          <w:color w:val="78909C"/>
          <w:sz w:val="19"/>
        </w:rPr>
        <w:t>Drafted in strict adherence to the Immutable Present-Tense Matrix</w:t>
      </w:r>
    </w:p>
    <w:p w14:paraId="3451B5B0" w14:textId="77777777" w:rsidR="00723F18" w:rsidRDefault="00000000">
      <w:pPr>
        <w:pStyle w:val="FirstParagraph"/>
        <w:keepNext/>
        <w:spacing w:before="1600" w:after="0"/>
        <w:ind w:left="360" w:right="360"/>
        <w:jc w:val="center"/>
      </w:pPr>
      <w:r>
        <w:rPr>
          <w:b/>
          <w:color w:val="37474F"/>
          <w:sz w:val="22"/>
        </w:rPr>
        <w:t xml:space="preserve">The Islamic Republic of </w:t>
      </w:r>
      <w:proofErr w:type="gramStart"/>
      <w:r>
        <w:rPr>
          <w:b/>
          <w:color w:val="37474F"/>
          <w:sz w:val="22"/>
        </w:rPr>
        <w:t>Iran .</w:t>
      </w:r>
      <w:proofErr w:type="gramEnd"/>
      <w:r>
        <w:rPr>
          <w:b/>
          <w:color w:val="37474F"/>
          <w:sz w:val="22"/>
        </w:rPr>
        <w:t xml:space="preserve"> The United States of </w:t>
      </w:r>
      <w:proofErr w:type="gramStart"/>
      <w:r>
        <w:rPr>
          <w:b/>
          <w:color w:val="37474F"/>
          <w:sz w:val="22"/>
        </w:rPr>
        <w:t>America .</w:t>
      </w:r>
      <w:proofErr w:type="gramEnd"/>
      <w:r>
        <w:rPr>
          <w:b/>
          <w:color w:val="37474F"/>
          <w:sz w:val="22"/>
        </w:rPr>
        <w:t xml:space="preserve"> The Sultanate of </w:t>
      </w:r>
      <w:proofErr w:type="gramStart"/>
      <w:r>
        <w:rPr>
          <w:b/>
          <w:color w:val="37474F"/>
          <w:sz w:val="22"/>
        </w:rPr>
        <w:t>Oman .</w:t>
      </w:r>
      <w:proofErr w:type="gramEnd"/>
      <w:r>
        <w:rPr>
          <w:b/>
          <w:color w:val="37474F"/>
          <w:sz w:val="22"/>
        </w:rPr>
        <w:t xml:space="preserve"> The State of Qatar</w:t>
      </w:r>
    </w:p>
    <w:p w14:paraId="3DB4039E" w14:textId="77777777" w:rsidR="00723F18" w:rsidRDefault="00000000">
      <w:pPr>
        <w:pStyle w:val="FirstParagraph"/>
        <w:keepNext/>
        <w:spacing w:before="240" w:after="0"/>
        <w:jc w:val="center"/>
      </w:pPr>
      <w:r>
        <w:rPr>
          <w:color w:val="546E7A"/>
          <w:sz w:val="22"/>
        </w:rPr>
        <w:t>Co-Facilitators: The Sultanate of Oman and the State of Qatar</w:t>
      </w:r>
    </w:p>
    <w:p w14:paraId="3DFBA6B4" w14:textId="77777777" w:rsidR="00723F18" w:rsidRDefault="00000000">
      <w:pPr>
        <w:pStyle w:val="FirstParagraph"/>
        <w:keepNext/>
        <w:spacing w:before="60" w:after="0"/>
        <w:jc w:val="center"/>
      </w:pPr>
      <w:r>
        <w:rPr>
          <w:color w:val="546E7A"/>
          <w:sz w:val="22"/>
        </w:rPr>
        <w:t>Neutral Administrator and Depositary: The Swiss Confederation</w:t>
      </w:r>
    </w:p>
    <w:p w14:paraId="7A372D37" w14:textId="77777777" w:rsidR="00723F18" w:rsidRDefault="00000000">
      <w:pPr>
        <w:pStyle w:val="FirstParagraph"/>
        <w:keepNext/>
        <w:spacing w:before="60" w:after="0"/>
        <w:jc w:val="center"/>
      </w:pPr>
      <w:r>
        <w:rPr>
          <w:color w:val="546E7A"/>
          <w:sz w:val="22"/>
        </w:rPr>
        <w:t xml:space="preserve">Technical Interface: International Maritime </w:t>
      </w:r>
      <w:proofErr w:type="gramStart"/>
      <w:r>
        <w:rPr>
          <w:color w:val="546E7A"/>
          <w:sz w:val="22"/>
        </w:rPr>
        <w:t>Organization .</w:t>
      </w:r>
      <w:proofErr w:type="gramEnd"/>
      <w:r>
        <w:rPr>
          <w:color w:val="546E7A"/>
          <w:sz w:val="22"/>
        </w:rPr>
        <w:t xml:space="preserve"> International Hydrographic Organization</w:t>
      </w:r>
    </w:p>
    <w:p w14:paraId="31CE916A" w14:textId="77777777" w:rsidR="00723F18" w:rsidRDefault="00000000">
      <w:pPr>
        <w:pStyle w:val="FirstParagraph"/>
        <w:spacing w:before="240" w:after="0"/>
        <w:ind w:left="720" w:right="720"/>
        <w:jc w:val="center"/>
      </w:pPr>
      <w:r>
        <w:rPr>
          <w:i/>
          <w:color w:val="78909C"/>
          <w:sz w:val="19"/>
        </w:rPr>
        <w:t>Seated at the Muscat Operations Center, Muscat, with the Mirror Center of Equal Rank at Bandar Abbas and the Economic Desk at Doha</w:t>
      </w:r>
    </w:p>
    <w:p w14:paraId="5CAD61DA" w14:textId="77777777" w:rsidR="00723F18" w:rsidRDefault="00000000">
      <w:pPr>
        <w:pStyle w:val="FirstParagraph"/>
        <w:spacing w:before="0" w:after="0"/>
      </w:pPr>
      <w:r>
        <w:br w:type="page"/>
      </w:r>
    </w:p>
    <w:p w14:paraId="028FD9F1" w14:textId="77777777" w:rsidR="00723F18" w:rsidRDefault="00000000">
      <w:pPr>
        <w:keepNext/>
        <w:spacing w:before="480" w:after="0"/>
      </w:pPr>
      <w:bookmarkStart w:id="0" w:name="__RefHeading___Toc6366_2939721771"/>
      <w:bookmarkEnd w:id="0"/>
      <w:r>
        <w:rPr>
          <w:rFonts w:ascii="Calibri" w:eastAsiaTheme="majorEastAsia" w:hAnsi="Calibri" w:cstheme="majorBidi"/>
          <w:b/>
          <w:color w:val="4F81BD" w:themeColor="accent1"/>
          <w:sz w:val="32"/>
          <w:szCs w:val="32"/>
        </w:rPr>
        <w:lastRenderedPageBreak/>
        <w:t>Table of Contents</w:t>
      </w:r>
    </w:p>
    <w:sdt>
      <w:sdtPr>
        <w:id w:val="-2107653112"/>
        <w:docPartObj>
          <w:docPartGallery w:val="Table of Contents"/>
          <w:docPartUnique/>
        </w:docPartObj>
      </w:sdtPr>
      <w:sdtContent>
        <w:p w14:paraId="63A89BAF" w14:textId="77777777" w:rsidR="00723F18" w:rsidRDefault="00000000">
          <w:pPr>
            <w:pStyle w:val="TOC1"/>
          </w:pPr>
          <w:r>
            <w:fldChar w:fldCharType="begin"/>
          </w:r>
          <w:r>
            <w:rPr>
              <w:rStyle w:val="IndexLink"/>
              <w:webHidden/>
            </w:rPr>
            <w:instrText xml:space="preserve"> TOC \z \o "1-2" \u \h</w:instrText>
          </w:r>
          <w:r>
            <w:rPr>
              <w:rStyle w:val="IndexLink"/>
            </w:rPr>
            <w:fldChar w:fldCharType="separate"/>
          </w:r>
          <w:hyperlink w:anchor="__RefHeading___Toc6368_2939721771">
            <w:r>
              <w:rPr>
                <w:rStyle w:val="IndexLink"/>
                <w:webHidden/>
              </w:rPr>
              <w:t>Document Control and Instrument Record</w:t>
            </w:r>
            <w:r>
              <w:rPr>
                <w:rStyle w:val="IndexLink"/>
                <w:webHidden/>
              </w:rPr>
              <w:tab/>
              <w:t>8</w:t>
            </w:r>
          </w:hyperlink>
        </w:p>
        <w:p w14:paraId="56697E10" w14:textId="77777777" w:rsidR="00723F18" w:rsidRDefault="00000000">
          <w:pPr>
            <w:pStyle w:val="TOC1"/>
          </w:pPr>
          <w:hyperlink w:anchor="__RefHeading___Toc6370_2939721771">
            <w:r>
              <w:rPr>
                <w:rStyle w:val="IndexLink"/>
                <w:webHidden/>
              </w:rPr>
              <w:t>Cover Note of the Co-Facilitating States</w:t>
            </w:r>
            <w:r>
              <w:rPr>
                <w:rStyle w:val="IndexLink"/>
                <w:webHidden/>
              </w:rPr>
              <w:tab/>
              <w:t>9</w:t>
            </w:r>
          </w:hyperlink>
        </w:p>
        <w:p w14:paraId="28161577" w14:textId="77777777" w:rsidR="00723F18" w:rsidRDefault="00000000">
          <w:pPr>
            <w:pStyle w:val="TOC1"/>
          </w:pPr>
          <w:hyperlink w:anchor="__RefHeading___Toc6372_2939721771">
            <w:r>
              <w:rPr>
                <w:rStyle w:val="IndexLink"/>
                <w:webHidden/>
              </w:rPr>
              <w:t>Drafting Convention and Method</w:t>
            </w:r>
            <w:r>
              <w:rPr>
                <w:rStyle w:val="IndexLink"/>
                <w:webHidden/>
              </w:rPr>
              <w:tab/>
              <w:t>10</w:t>
            </w:r>
          </w:hyperlink>
        </w:p>
        <w:p w14:paraId="72422E0D" w14:textId="77777777" w:rsidR="00723F18" w:rsidRDefault="00000000">
          <w:pPr>
            <w:pStyle w:val="TOC1"/>
          </w:pPr>
          <w:hyperlink w:anchor="__RefHeading___Toc6374_2939721771">
            <w:r>
              <w:rPr>
                <w:rStyle w:val="IndexLink"/>
                <w:webHidden/>
              </w:rPr>
              <w:t>Reader’s Guide: The Accord in Fifteen Minutes</w:t>
            </w:r>
            <w:r>
              <w:rPr>
                <w:rStyle w:val="IndexLink"/>
                <w:webHidden/>
              </w:rPr>
              <w:tab/>
              <w:t>11</w:t>
            </w:r>
          </w:hyperlink>
        </w:p>
        <w:p w14:paraId="6FED8EEC" w14:textId="77777777" w:rsidR="00723F18" w:rsidRDefault="00000000">
          <w:pPr>
            <w:pStyle w:val="TOC1"/>
          </w:pPr>
          <w:hyperlink w:anchor="__RefHeading___Toc6376_2939721771">
            <w:r>
              <w:rPr>
                <w:rStyle w:val="IndexLink"/>
                <w:webHidden/>
              </w:rPr>
              <w:t>The HTCSA Declaration of Principles</w:t>
            </w:r>
            <w:r>
              <w:rPr>
                <w:rStyle w:val="IndexLink"/>
                <w:webHidden/>
              </w:rPr>
              <w:tab/>
              <w:t>12</w:t>
            </w:r>
          </w:hyperlink>
        </w:p>
        <w:p w14:paraId="0790EAA6" w14:textId="77777777" w:rsidR="00723F18" w:rsidRDefault="00000000">
          <w:pPr>
            <w:pStyle w:val="TOC1"/>
          </w:pPr>
          <w:hyperlink w:anchor="__RefHeading___Toc6378_2939721771">
            <w:r>
              <w:rPr>
                <w:rStyle w:val="IndexLink"/>
                <w:webHidden/>
              </w:rPr>
              <w:t>Preamble: The Moment of August 2026</w:t>
            </w:r>
            <w:r>
              <w:rPr>
                <w:rStyle w:val="IndexLink"/>
                <w:webHidden/>
              </w:rPr>
              <w:tab/>
              <w:t>13</w:t>
            </w:r>
          </w:hyperlink>
        </w:p>
        <w:p w14:paraId="5D869FF8" w14:textId="77777777" w:rsidR="00723F18" w:rsidRDefault="00000000">
          <w:pPr>
            <w:pStyle w:val="TOC1"/>
          </w:pPr>
          <w:hyperlink w:anchor="__RefHeading___Toc6380_2939721771">
            <w:r>
              <w:rPr>
                <w:rStyle w:val="IndexLink"/>
                <w:webHidden/>
              </w:rPr>
              <w:t>Part I: Foundations</w:t>
            </w:r>
            <w:r>
              <w:rPr>
                <w:rStyle w:val="IndexLink"/>
                <w:webHidden/>
              </w:rPr>
              <w:tab/>
              <w:t>15</w:t>
            </w:r>
          </w:hyperlink>
        </w:p>
        <w:p w14:paraId="10B3D9BE" w14:textId="77777777" w:rsidR="00723F18" w:rsidRDefault="00000000">
          <w:pPr>
            <w:pStyle w:val="TOC2"/>
            <w:tabs>
              <w:tab w:val="clear" w:pos="9077"/>
              <w:tab w:val="right" w:leader="dot" w:pos="9360"/>
            </w:tabs>
          </w:pPr>
          <w:hyperlink w:anchor="__RefHeading___Toc6382_2939721771">
            <w:r>
              <w:rPr>
                <w:rStyle w:val="IndexLink"/>
                <w:webHidden/>
              </w:rPr>
              <w:t>Article 1: Establishment, Purpose, and Scope</w:t>
            </w:r>
            <w:r>
              <w:rPr>
                <w:rStyle w:val="IndexLink"/>
                <w:webHidden/>
              </w:rPr>
              <w:tab/>
              <w:t>15</w:t>
            </w:r>
          </w:hyperlink>
        </w:p>
        <w:p w14:paraId="5EB51009" w14:textId="77777777" w:rsidR="00723F18" w:rsidRDefault="00000000">
          <w:pPr>
            <w:pStyle w:val="TOC2"/>
            <w:tabs>
              <w:tab w:val="clear" w:pos="9077"/>
              <w:tab w:val="right" w:leader="dot" w:pos="9360"/>
            </w:tabs>
          </w:pPr>
          <w:hyperlink w:anchor="__RefHeading___Toc6384_2939721771">
            <w:r>
              <w:rPr>
                <w:rStyle w:val="IndexLink"/>
                <w:webHidden/>
              </w:rPr>
              <w:t>Article 2: Legal Foundations and the Non-Prejudice Architecture</w:t>
            </w:r>
            <w:r>
              <w:rPr>
                <w:rStyle w:val="IndexLink"/>
                <w:webHidden/>
              </w:rPr>
              <w:tab/>
              <w:t>16</w:t>
            </w:r>
          </w:hyperlink>
        </w:p>
        <w:p w14:paraId="63350415" w14:textId="77777777" w:rsidR="00723F18" w:rsidRDefault="00000000">
          <w:pPr>
            <w:pStyle w:val="TOC2"/>
            <w:tabs>
              <w:tab w:val="clear" w:pos="9077"/>
              <w:tab w:val="right" w:leader="dot" w:pos="9360"/>
            </w:tabs>
          </w:pPr>
          <w:hyperlink w:anchor="__RefHeading___Toc6386_2939721771">
            <w:r>
              <w:rPr>
                <w:rStyle w:val="IndexLink"/>
                <w:webHidden/>
              </w:rPr>
              <w:t>Article 3: Core Operating Principles</w:t>
            </w:r>
            <w:r>
              <w:rPr>
                <w:rStyle w:val="IndexLink"/>
                <w:webHidden/>
              </w:rPr>
              <w:tab/>
              <w:t>18</w:t>
            </w:r>
          </w:hyperlink>
        </w:p>
        <w:p w14:paraId="03EA792B" w14:textId="77777777" w:rsidR="00723F18" w:rsidRDefault="00000000">
          <w:pPr>
            <w:pStyle w:val="TOC2"/>
            <w:tabs>
              <w:tab w:val="clear" w:pos="9077"/>
              <w:tab w:val="right" w:leader="dot" w:pos="9360"/>
            </w:tabs>
          </w:pPr>
          <w:hyperlink w:anchor="__RefHeading___Toc6388_2939721771">
            <w:r>
              <w:rPr>
                <w:rStyle w:val="IndexLink"/>
                <w:webHidden/>
              </w:rPr>
              <w:t>Article 4: Provisional Character and the Continuity Rule</w:t>
            </w:r>
            <w:r>
              <w:rPr>
                <w:rStyle w:val="IndexLink"/>
                <w:webHidden/>
              </w:rPr>
              <w:tab/>
              <w:t>19</w:t>
            </w:r>
          </w:hyperlink>
        </w:p>
        <w:p w14:paraId="55370A70" w14:textId="77777777" w:rsidR="00723F18" w:rsidRDefault="00000000">
          <w:pPr>
            <w:pStyle w:val="TOC2"/>
            <w:tabs>
              <w:tab w:val="clear" w:pos="9077"/>
              <w:tab w:val="right" w:leader="dot" w:pos="9360"/>
            </w:tabs>
          </w:pPr>
          <w:hyperlink w:anchor="__RefHeading___Toc6390_2939721771">
            <w:r>
              <w:rPr>
                <w:rStyle w:val="IndexLink"/>
                <w:webHidden/>
              </w:rPr>
              <w:t>Article 5: Definitions and Interpretation</w:t>
            </w:r>
            <w:r>
              <w:rPr>
                <w:rStyle w:val="IndexLink"/>
                <w:webHidden/>
              </w:rPr>
              <w:tab/>
              <w:t>20</w:t>
            </w:r>
          </w:hyperlink>
        </w:p>
        <w:p w14:paraId="3B983DC9" w14:textId="77777777" w:rsidR="00723F18" w:rsidRDefault="00000000">
          <w:pPr>
            <w:pStyle w:val="TOC2"/>
            <w:tabs>
              <w:tab w:val="clear" w:pos="9077"/>
              <w:tab w:val="right" w:leader="dot" w:pos="9360"/>
            </w:tabs>
          </w:pPr>
          <w:hyperlink w:anchor="__RefHeading___Toc6392_2939721771">
            <w:r>
              <w:rPr>
                <w:rStyle w:val="IndexLink"/>
                <w:webHidden/>
              </w:rPr>
              <w:t>Article 6: The Red Lines Register and the Perimeter Test</w:t>
            </w:r>
            <w:r>
              <w:rPr>
                <w:rStyle w:val="IndexLink"/>
                <w:webHidden/>
              </w:rPr>
              <w:tab/>
              <w:t>20</w:t>
            </w:r>
          </w:hyperlink>
        </w:p>
        <w:p w14:paraId="5A870C5A" w14:textId="77777777" w:rsidR="00723F18" w:rsidRDefault="00000000">
          <w:pPr>
            <w:pStyle w:val="TOC1"/>
          </w:pPr>
          <w:hyperlink w:anchor="__RefHeading___Toc6394_2939721771">
            <w:r>
              <w:rPr>
                <w:rStyle w:val="IndexLink"/>
                <w:webHidden/>
              </w:rPr>
              <w:t>Part II: The Three-Corridor Transit Scheme</w:t>
            </w:r>
            <w:r>
              <w:rPr>
                <w:rStyle w:val="IndexLink"/>
                <w:webHidden/>
              </w:rPr>
              <w:tab/>
              <w:t>21</w:t>
            </w:r>
          </w:hyperlink>
        </w:p>
        <w:p w14:paraId="09F1CBB7" w14:textId="77777777" w:rsidR="00723F18" w:rsidRDefault="00000000">
          <w:pPr>
            <w:pStyle w:val="TOC2"/>
            <w:tabs>
              <w:tab w:val="clear" w:pos="9077"/>
              <w:tab w:val="right" w:leader="dot" w:pos="9360"/>
            </w:tabs>
          </w:pPr>
          <w:hyperlink w:anchor="__RefHeading___Toc6396_2939721771">
            <w:r>
              <w:rPr>
                <w:rStyle w:val="IndexLink"/>
                <w:webHidden/>
              </w:rPr>
              <w:t>Article 7: The Scheme Area and the Neutral Coordinate Registry</w:t>
            </w:r>
            <w:r>
              <w:rPr>
                <w:rStyle w:val="IndexLink"/>
                <w:webHidden/>
              </w:rPr>
              <w:tab/>
              <w:t>21</w:t>
            </w:r>
          </w:hyperlink>
        </w:p>
        <w:p w14:paraId="1C20D7FE" w14:textId="77777777" w:rsidR="00723F18" w:rsidRDefault="00000000">
          <w:pPr>
            <w:pStyle w:val="TOC2"/>
            <w:tabs>
              <w:tab w:val="clear" w:pos="9077"/>
              <w:tab w:val="right" w:leader="dot" w:pos="9360"/>
            </w:tabs>
          </w:pPr>
          <w:hyperlink w:anchor="__RefHeading___Toc6398_2939721771">
            <w:r>
              <w:rPr>
                <w:rStyle w:val="IndexLink"/>
                <w:webHidden/>
              </w:rPr>
              <w:t>Article 8: Corridor One: The Northern Stewardship Corridor</w:t>
            </w:r>
            <w:r>
              <w:rPr>
                <w:rStyle w:val="IndexLink"/>
                <w:webHidden/>
              </w:rPr>
              <w:tab/>
              <w:t>23</w:t>
            </w:r>
          </w:hyperlink>
        </w:p>
        <w:p w14:paraId="330ADAB4" w14:textId="77777777" w:rsidR="00723F18" w:rsidRDefault="00000000">
          <w:pPr>
            <w:pStyle w:val="TOC2"/>
            <w:tabs>
              <w:tab w:val="clear" w:pos="9077"/>
              <w:tab w:val="right" w:leader="dot" w:pos="9360"/>
            </w:tabs>
          </w:pPr>
          <w:hyperlink w:anchor="__RefHeading___Toc6400_2939721771">
            <w:r>
              <w:rPr>
                <w:rStyle w:val="IndexLink"/>
                <w:webHidden/>
              </w:rPr>
              <w:t>Article 9: Corridor Two: The Central Open Corridor</w:t>
            </w:r>
            <w:r>
              <w:rPr>
                <w:rStyle w:val="IndexLink"/>
                <w:webHidden/>
              </w:rPr>
              <w:tab/>
              <w:t>24</w:t>
            </w:r>
          </w:hyperlink>
        </w:p>
        <w:p w14:paraId="42750468" w14:textId="77777777" w:rsidR="00723F18" w:rsidRDefault="00000000">
          <w:pPr>
            <w:pStyle w:val="TOC2"/>
            <w:tabs>
              <w:tab w:val="clear" w:pos="9077"/>
              <w:tab w:val="right" w:leader="dot" w:pos="9360"/>
            </w:tabs>
          </w:pPr>
          <w:hyperlink w:anchor="__RefHeading___Toc6402_2939721771">
            <w:r>
              <w:rPr>
                <w:rStyle w:val="IndexLink"/>
                <w:webHidden/>
              </w:rPr>
              <w:t>Article 10: Corridor Three: The Southern Assurance Corridor</w:t>
            </w:r>
            <w:r>
              <w:rPr>
                <w:rStyle w:val="IndexLink"/>
                <w:webHidden/>
              </w:rPr>
              <w:tab/>
              <w:t>25</w:t>
            </w:r>
          </w:hyperlink>
        </w:p>
        <w:p w14:paraId="1E36DB88" w14:textId="77777777" w:rsidR="00723F18" w:rsidRDefault="00000000">
          <w:pPr>
            <w:pStyle w:val="TOC2"/>
            <w:tabs>
              <w:tab w:val="clear" w:pos="9077"/>
              <w:tab w:val="right" w:leader="dot" w:pos="9360"/>
            </w:tabs>
          </w:pPr>
          <w:hyperlink w:anchor="__RefHeading___Toc6404_2939721771">
            <w:r>
              <w:rPr>
                <w:rStyle w:val="IndexLink"/>
                <w:webHidden/>
              </w:rPr>
              <w:t>Article 11: Vessel Classification and Differentiated Treatment</w:t>
            </w:r>
            <w:r>
              <w:rPr>
                <w:rStyle w:val="IndexLink"/>
                <w:webHidden/>
              </w:rPr>
              <w:tab/>
              <w:t>26</w:t>
            </w:r>
          </w:hyperlink>
        </w:p>
        <w:p w14:paraId="3990AA67" w14:textId="77777777" w:rsidR="00723F18" w:rsidRDefault="00000000">
          <w:pPr>
            <w:pStyle w:val="TOC2"/>
            <w:tabs>
              <w:tab w:val="clear" w:pos="9077"/>
              <w:tab w:val="right" w:leader="dot" w:pos="9360"/>
            </w:tabs>
          </w:pPr>
          <w:hyperlink w:anchor="__RefHeading___Toc6406_2939721771">
            <w:r>
              <w:rPr>
                <w:rStyle w:val="IndexLink"/>
                <w:webHidden/>
              </w:rPr>
              <w:t>Article 12: Traffic Management, Flow States, and the Open Water Bulletin</w:t>
            </w:r>
            <w:r>
              <w:rPr>
                <w:rStyle w:val="IndexLink"/>
                <w:webHidden/>
              </w:rPr>
              <w:tab/>
              <w:t>28</w:t>
            </w:r>
          </w:hyperlink>
        </w:p>
        <w:p w14:paraId="7DE5FB85" w14:textId="77777777" w:rsidR="00723F18" w:rsidRDefault="00000000">
          <w:pPr>
            <w:pStyle w:val="TOC2"/>
            <w:tabs>
              <w:tab w:val="clear" w:pos="9077"/>
              <w:tab w:val="right" w:leader="dot" w:pos="9360"/>
            </w:tabs>
          </w:pPr>
          <w:hyperlink w:anchor="__RefHeading___Toc6408_2939721771">
            <w:r>
              <w:rPr>
                <w:rStyle w:val="IndexLink"/>
                <w:webHidden/>
              </w:rPr>
              <w:t>Article 13: Hazard Survey, Clearance, and the Reopening Sequence</w:t>
            </w:r>
            <w:r>
              <w:rPr>
                <w:rStyle w:val="IndexLink"/>
                <w:webHidden/>
              </w:rPr>
              <w:tab/>
              <w:t>29</w:t>
            </w:r>
          </w:hyperlink>
        </w:p>
        <w:p w14:paraId="7AEF0FCE" w14:textId="77777777" w:rsidR="00723F18" w:rsidRDefault="00000000">
          <w:pPr>
            <w:pStyle w:val="TOC1"/>
          </w:pPr>
          <w:hyperlink w:anchor="__RefHeading___Toc6410_2939721771">
            <w:r>
              <w:rPr>
                <w:rStyle w:val="IndexLink"/>
                <w:webHidden/>
              </w:rPr>
              <w:t>Part III: Institutional Architecture</w:t>
            </w:r>
            <w:r>
              <w:rPr>
                <w:rStyle w:val="IndexLink"/>
                <w:webHidden/>
              </w:rPr>
              <w:tab/>
              <w:t>31</w:t>
            </w:r>
          </w:hyperlink>
        </w:p>
        <w:p w14:paraId="403E40A8" w14:textId="77777777" w:rsidR="00723F18" w:rsidRDefault="00000000">
          <w:pPr>
            <w:pStyle w:val="TOC2"/>
            <w:tabs>
              <w:tab w:val="clear" w:pos="9077"/>
              <w:tab w:val="right" w:leader="dot" w:pos="9360"/>
            </w:tabs>
          </w:pPr>
          <w:hyperlink w:anchor="__RefHeading___Toc6412_2939721771">
            <w:r>
              <w:rPr>
                <w:rStyle w:val="IndexLink"/>
                <w:webHidden/>
              </w:rPr>
              <w:t>Article 14: The Hormuz Transit Commission</w:t>
            </w:r>
            <w:r>
              <w:rPr>
                <w:rStyle w:val="IndexLink"/>
                <w:webHidden/>
              </w:rPr>
              <w:tab/>
              <w:t>31</w:t>
            </w:r>
          </w:hyperlink>
        </w:p>
        <w:p w14:paraId="2F433962" w14:textId="77777777" w:rsidR="00723F18" w:rsidRDefault="00000000">
          <w:pPr>
            <w:pStyle w:val="TOC2"/>
            <w:tabs>
              <w:tab w:val="clear" w:pos="9077"/>
              <w:tab w:val="right" w:leader="dot" w:pos="9360"/>
            </w:tabs>
          </w:pPr>
          <w:hyperlink w:anchor="__RefHeading___Toc6414_2939721771">
            <w:r>
              <w:rPr>
                <w:rStyle w:val="IndexLink"/>
                <w:webHidden/>
              </w:rPr>
              <w:t>Article 15: The Tripartite Operations System</w:t>
            </w:r>
            <w:r>
              <w:rPr>
                <w:rStyle w:val="IndexLink"/>
                <w:webHidden/>
              </w:rPr>
              <w:tab/>
              <w:t>33</w:t>
            </w:r>
          </w:hyperlink>
        </w:p>
        <w:p w14:paraId="40FD41F6" w14:textId="77777777" w:rsidR="00723F18" w:rsidRDefault="00000000">
          <w:pPr>
            <w:pStyle w:val="TOC2"/>
            <w:tabs>
              <w:tab w:val="clear" w:pos="9077"/>
              <w:tab w:val="right" w:leader="dot" w:pos="9360"/>
            </w:tabs>
          </w:pPr>
          <w:hyperlink w:anchor="__RefHeading___Toc6416_2939721771">
            <w:r>
              <w:rPr>
                <w:rStyle w:val="IndexLink"/>
                <w:webHidden/>
              </w:rPr>
              <w:t>Article 16: The Neutral Administrator and the Shared Evidence Platform</w:t>
            </w:r>
            <w:r>
              <w:rPr>
                <w:rStyle w:val="IndexLink"/>
                <w:webHidden/>
              </w:rPr>
              <w:tab/>
              <w:t>35</w:t>
            </w:r>
          </w:hyperlink>
        </w:p>
        <w:p w14:paraId="4ED860A5" w14:textId="77777777" w:rsidR="00723F18" w:rsidRDefault="00000000">
          <w:pPr>
            <w:pStyle w:val="TOC2"/>
            <w:tabs>
              <w:tab w:val="clear" w:pos="9077"/>
              <w:tab w:val="right" w:leader="dot" w:pos="9360"/>
            </w:tabs>
          </w:pPr>
          <w:hyperlink w:anchor="__RefHeading___Toc6418_2939721771">
            <w:r>
              <w:rPr>
                <w:rStyle w:val="IndexLink"/>
                <w:webHidden/>
              </w:rPr>
              <w:t>Article 17: Observer Missions and Technical Interface</w:t>
            </w:r>
            <w:r>
              <w:rPr>
                <w:rStyle w:val="IndexLink"/>
                <w:webHidden/>
              </w:rPr>
              <w:tab/>
              <w:t>36</w:t>
            </w:r>
          </w:hyperlink>
        </w:p>
        <w:p w14:paraId="5E007175" w14:textId="77777777" w:rsidR="00723F18" w:rsidRDefault="00000000">
          <w:pPr>
            <w:pStyle w:val="TOC2"/>
            <w:tabs>
              <w:tab w:val="clear" w:pos="9077"/>
              <w:tab w:val="right" w:leader="dot" w:pos="9360"/>
            </w:tabs>
          </w:pPr>
          <w:hyperlink w:anchor="__RefHeading___Toc6420_2939721771">
            <w:r>
              <w:rPr>
                <w:rStyle w:val="IndexLink"/>
                <w:webHidden/>
              </w:rPr>
              <w:t>Article 18: Decision Rules and the Role of the United States</w:t>
            </w:r>
            <w:r>
              <w:rPr>
                <w:rStyle w:val="IndexLink"/>
                <w:webHidden/>
              </w:rPr>
              <w:tab/>
              <w:t>36</w:t>
            </w:r>
          </w:hyperlink>
        </w:p>
        <w:p w14:paraId="520D7556" w14:textId="77777777" w:rsidR="00723F18" w:rsidRDefault="00000000">
          <w:pPr>
            <w:pStyle w:val="TOC1"/>
          </w:pPr>
          <w:hyperlink w:anchor="__RefHeading___Toc6422_2939721771">
            <w:r>
              <w:rPr>
                <w:rStyle w:val="IndexLink"/>
                <w:webHidden/>
              </w:rPr>
              <w:t>Part IV: The Settlement of the Tolls Question</w:t>
            </w:r>
            <w:r>
              <w:rPr>
                <w:rStyle w:val="IndexLink"/>
                <w:webHidden/>
              </w:rPr>
              <w:tab/>
              <w:t>38</w:t>
            </w:r>
          </w:hyperlink>
        </w:p>
        <w:p w14:paraId="695B4A4B" w14:textId="77777777" w:rsidR="00723F18" w:rsidRDefault="00000000">
          <w:pPr>
            <w:pStyle w:val="TOC2"/>
            <w:tabs>
              <w:tab w:val="clear" w:pos="9077"/>
              <w:tab w:val="right" w:leader="dot" w:pos="9360"/>
            </w:tabs>
          </w:pPr>
          <w:hyperlink w:anchor="__RefHeading___Toc6424_2939721771">
            <w:r>
              <w:rPr>
                <w:rStyle w:val="IndexLink"/>
                <w:webHidden/>
              </w:rPr>
              <w:t>Article 19: The Zero-Toll Covenant</w:t>
            </w:r>
            <w:r>
              <w:rPr>
                <w:rStyle w:val="IndexLink"/>
                <w:webHidden/>
              </w:rPr>
              <w:tab/>
              <w:t>38</w:t>
            </w:r>
          </w:hyperlink>
        </w:p>
        <w:p w14:paraId="6E3E0838" w14:textId="77777777" w:rsidR="00723F18" w:rsidRDefault="00000000">
          <w:pPr>
            <w:pStyle w:val="TOC2"/>
            <w:tabs>
              <w:tab w:val="clear" w:pos="9077"/>
              <w:tab w:val="right" w:leader="dot" w:pos="9360"/>
            </w:tabs>
          </w:pPr>
          <w:hyperlink w:anchor="__RefHeading___Toc6426_2939721771">
            <w:r>
              <w:rPr>
                <w:rStyle w:val="IndexLink"/>
                <w:webHidden/>
              </w:rPr>
              <w:t>Article 20: The Verified Services Ledger and Reimbursement</w:t>
            </w:r>
            <w:r>
              <w:rPr>
                <w:rStyle w:val="IndexLink"/>
                <w:webHidden/>
              </w:rPr>
              <w:tab/>
              <w:t>39</w:t>
            </w:r>
          </w:hyperlink>
        </w:p>
        <w:p w14:paraId="5CCE388A" w14:textId="77777777" w:rsidR="00723F18" w:rsidRDefault="00000000">
          <w:pPr>
            <w:pStyle w:val="TOC2"/>
            <w:tabs>
              <w:tab w:val="clear" w:pos="9077"/>
              <w:tab w:val="right" w:leader="dot" w:pos="9360"/>
            </w:tabs>
          </w:pPr>
          <w:hyperlink w:anchor="__RefHeading___Toc6428_2939721771">
            <w:r>
              <w:rPr>
                <w:rStyle w:val="IndexLink"/>
                <w:webHidden/>
              </w:rPr>
              <w:t>Article 21: The Hormuz Cooperative Safety Fund</w:t>
            </w:r>
            <w:r>
              <w:rPr>
                <w:rStyle w:val="IndexLink"/>
                <w:webHidden/>
              </w:rPr>
              <w:tab/>
              <w:t>40</w:t>
            </w:r>
          </w:hyperlink>
        </w:p>
        <w:p w14:paraId="6E5BEB0F" w14:textId="77777777" w:rsidR="00723F18" w:rsidRDefault="00000000">
          <w:pPr>
            <w:pStyle w:val="TOC2"/>
            <w:tabs>
              <w:tab w:val="clear" w:pos="9077"/>
              <w:tab w:val="right" w:leader="dot" w:pos="9360"/>
            </w:tabs>
          </w:pPr>
          <w:hyperlink w:anchor="__RefHeading___Toc6430_2939721771">
            <w:r>
              <w:rPr>
                <w:rStyle w:val="IndexLink"/>
                <w:webHidden/>
              </w:rPr>
              <w:t>Article 22: The Performance-Linked Value Channels</w:t>
            </w:r>
            <w:r>
              <w:rPr>
                <w:rStyle w:val="IndexLink"/>
                <w:webHidden/>
              </w:rPr>
              <w:tab/>
              <w:t>41</w:t>
            </w:r>
          </w:hyperlink>
        </w:p>
        <w:p w14:paraId="575591FD" w14:textId="77777777" w:rsidR="00723F18" w:rsidRDefault="00000000">
          <w:pPr>
            <w:pStyle w:val="TOC2"/>
            <w:tabs>
              <w:tab w:val="clear" w:pos="9077"/>
              <w:tab w:val="right" w:leader="dot" w:pos="9360"/>
            </w:tabs>
          </w:pPr>
          <w:hyperlink w:anchor="__RefHeading___Toc6432_2939721771">
            <w:r>
              <w:rPr>
                <w:rStyle w:val="IndexLink"/>
                <w:webHidden/>
              </w:rPr>
              <w:t>Article 23: The Sanctions-Compliance Firewall and Domestic Law Reconciliation</w:t>
            </w:r>
            <w:r>
              <w:rPr>
                <w:rStyle w:val="IndexLink"/>
                <w:webHidden/>
              </w:rPr>
              <w:tab/>
              <w:t>43</w:t>
            </w:r>
          </w:hyperlink>
        </w:p>
        <w:p w14:paraId="08CE7459" w14:textId="77777777" w:rsidR="00723F18" w:rsidRDefault="00000000">
          <w:pPr>
            <w:pStyle w:val="TOC2"/>
            <w:tabs>
              <w:tab w:val="clear" w:pos="9077"/>
              <w:tab w:val="right" w:leader="dot" w:pos="9360"/>
            </w:tabs>
          </w:pPr>
          <w:hyperlink w:anchor="__RefHeading___Toc6434_2939721771">
            <w:r>
              <w:rPr>
                <w:rStyle w:val="IndexLink"/>
                <w:webHidden/>
              </w:rPr>
              <w:t>Article 24: Rate Setting, Audit, and Anti-Abuse Discipline</w:t>
            </w:r>
            <w:r>
              <w:rPr>
                <w:rStyle w:val="IndexLink"/>
                <w:webHidden/>
              </w:rPr>
              <w:tab/>
              <w:t>44</w:t>
            </w:r>
          </w:hyperlink>
        </w:p>
        <w:p w14:paraId="73524136" w14:textId="77777777" w:rsidR="00723F18" w:rsidRDefault="00000000">
          <w:pPr>
            <w:pStyle w:val="TOC1"/>
          </w:pPr>
          <w:hyperlink w:anchor="__RefHeading___Toc6436_2939721771">
            <w:r>
              <w:rPr>
                <w:rStyle w:val="IndexLink"/>
                <w:webHidden/>
              </w:rPr>
              <w:t>Part V: Verification and Evidence</w:t>
            </w:r>
            <w:r>
              <w:rPr>
                <w:rStyle w:val="IndexLink"/>
                <w:webHidden/>
              </w:rPr>
              <w:tab/>
              <w:t>45</w:t>
            </w:r>
          </w:hyperlink>
        </w:p>
        <w:p w14:paraId="359CAE60" w14:textId="77777777" w:rsidR="00723F18" w:rsidRDefault="00000000">
          <w:pPr>
            <w:pStyle w:val="TOC2"/>
            <w:tabs>
              <w:tab w:val="clear" w:pos="9077"/>
              <w:tab w:val="right" w:leader="dot" w:pos="9360"/>
            </w:tabs>
          </w:pPr>
          <w:hyperlink w:anchor="__RefHeading___Toc6438_2939721771">
            <w:r>
              <w:rPr>
                <w:rStyle w:val="IndexLink"/>
                <w:webHidden/>
              </w:rPr>
              <w:t>Article 25: The Three-Pillar Verification Architecture</w:t>
            </w:r>
            <w:r>
              <w:rPr>
                <w:rStyle w:val="IndexLink"/>
                <w:webHidden/>
              </w:rPr>
              <w:tab/>
              <w:t>45</w:t>
            </w:r>
          </w:hyperlink>
        </w:p>
        <w:p w14:paraId="56DA7928" w14:textId="77777777" w:rsidR="00723F18" w:rsidRDefault="00000000">
          <w:pPr>
            <w:pStyle w:val="TOC2"/>
            <w:tabs>
              <w:tab w:val="clear" w:pos="9077"/>
              <w:tab w:val="right" w:leader="dot" w:pos="9360"/>
            </w:tabs>
          </w:pPr>
          <w:hyperlink w:anchor="__RefHeading___Toc6440_2939721771">
            <w:r>
              <w:rPr>
                <w:rStyle w:val="IndexLink"/>
                <w:webHidden/>
              </w:rPr>
              <w:t>Article 26: The Convergence Standard and Evidence Rules</w:t>
            </w:r>
            <w:r>
              <w:rPr>
                <w:rStyle w:val="IndexLink"/>
                <w:webHidden/>
              </w:rPr>
              <w:tab/>
              <w:t>46</w:t>
            </w:r>
          </w:hyperlink>
        </w:p>
        <w:p w14:paraId="1666DD08" w14:textId="77777777" w:rsidR="00723F18" w:rsidRDefault="00000000">
          <w:pPr>
            <w:pStyle w:val="TOC2"/>
            <w:tabs>
              <w:tab w:val="clear" w:pos="9077"/>
              <w:tab w:val="right" w:leader="dot" w:pos="9360"/>
            </w:tabs>
          </w:pPr>
          <w:hyperlink w:anchor="__RefHeading___Toc6442_2939721771">
            <w:r>
              <w:rPr>
                <w:rStyle w:val="IndexLink"/>
                <w:webHidden/>
              </w:rPr>
              <w:t>Article 27: The Joint Watch and Human Anchoring</w:t>
            </w:r>
            <w:r>
              <w:rPr>
                <w:rStyle w:val="IndexLink"/>
                <w:webHidden/>
              </w:rPr>
              <w:tab/>
              <w:t>46</w:t>
            </w:r>
          </w:hyperlink>
        </w:p>
        <w:p w14:paraId="033A4C29" w14:textId="77777777" w:rsidR="00723F18" w:rsidRDefault="00000000">
          <w:pPr>
            <w:pStyle w:val="TOC2"/>
            <w:tabs>
              <w:tab w:val="clear" w:pos="9077"/>
              <w:tab w:val="right" w:leader="dot" w:pos="9360"/>
            </w:tabs>
          </w:pPr>
          <w:hyperlink w:anchor="__RefHeading___Toc6444_2939721771">
            <w:r>
              <w:rPr>
                <w:rStyle w:val="IndexLink"/>
                <w:webHidden/>
              </w:rPr>
              <w:t>Article 28: Data Custody, Escrow, and the Technical Arbitration Window</w:t>
            </w:r>
            <w:r>
              <w:rPr>
                <w:rStyle w:val="IndexLink"/>
                <w:webHidden/>
              </w:rPr>
              <w:tab/>
              <w:t>47</w:t>
            </w:r>
          </w:hyperlink>
        </w:p>
        <w:p w14:paraId="6E88629C" w14:textId="77777777" w:rsidR="00723F18" w:rsidRDefault="00000000">
          <w:pPr>
            <w:pStyle w:val="TOC1"/>
          </w:pPr>
          <w:hyperlink w:anchor="__RefHeading___Toc6446_2939721771">
            <w:r>
              <w:rPr>
                <w:rStyle w:val="IndexLink"/>
                <w:webHidden/>
              </w:rPr>
              <w:t>Part VI: Security, Safety, and Environmental Protection</w:t>
            </w:r>
            <w:r>
              <w:rPr>
                <w:rStyle w:val="IndexLink"/>
                <w:webHidden/>
              </w:rPr>
              <w:tab/>
              <w:t>48</w:t>
            </w:r>
          </w:hyperlink>
        </w:p>
        <w:p w14:paraId="013BF0D7" w14:textId="77777777" w:rsidR="00723F18" w:rsidRDefault="00000000">
          <w:pPr>
            <w:pStyle w:val="TOC2"/>
            <w:tabs>
              <w:tab w:val="clear" w:pos="9077"/>
              <w:tab w:val="right" w:leader="dot" w:pos="9360"/>
            </w:tabs>
          </w:pPr>
          <w:hyperlink w:anchor="__RefHeading___Toc6448_2939721771">
            <w:r>
              <w:rPr>
                <w:rStyle w:val="IndexLink"/>
                <w:webHidden/>
              </w:rPr>
              <w:t>Article 29: The Non-Interdiction Protocol</w:t>
            </w:r>
            <w:r>
              <w:rPr>
                <w:rStyle w:val="IndexLink"/>
                <w:webHidden/>
              </w:rPr>
              <w:tab/>
              <w:t>48</w:t>
            </w:r>
          </w:hyperlink>
        </w:p>
        <w:p w14:paraId="73931D60" w14:textId="77777777" w:rsidR="00723F18" w:rsidRDefault="00000000">
          <w:pPr>
            <w:pStyle w:val="TOC2"/>
            <w:tabs>
              <w:tab w:val="clear" w:pos="9077"/>
              <w:tab w:val="right" w:leader="dot" w:pos="9360"/>
            </w:tabs>
          </w:pPr>
          <w:hyperlink w:anchor="__RefHeading___Toc6450_2939721771">
            <w:r>
              <w:rPr>
                <w:rStyle w:val="IndexLink"/>
                <w:webHidden/>
              </w:rPr>
              <w:t>Article 30: Standoff Geometry and Naval De-confliction</w:t>
            </w:r>
            <w:r>
              <w:rPr>
                <w:rStyle w:val="IndexLink"/>
                <w:webHidden/>
              </w:rPr>
              <w:tab/>
              <w:t>49</w:t>
            </w:r>
          </w:hyperlink>
        </w:p>
        <w:p w14:paraId="6DDAF1B2" w14:textId="77777777" w:rsidR="00723F18" w:rsidRDefault="00000000">
          <w:pPr>
            <w:pStyle w:val="TOC2"/>
            <w:tabs>
              <w:tab w:val="clear" w:pos="9077"/>
              <w:tab w:val="right" w:leader="dot" w:pos="9360"/>
            </w:tabs>
          </w:pPr>
          <w:hyperlink w:anchor="__RefHeading___Toc6452_2939721771">
            <w:r>
              <w:rPr>
                <w:rStyle w:val="IndexLink"/>
                <w:webHidden/>
              </w:rPr>
              <w:t>Article 31: Search and Rescue</w:t>
            </w:r>
            <w:r>
              <w:rPr>
                <w:rStyle w:val="IndexLink"/>
                <w:webHidden/>
              </w:rPr>
              <w:tab/>
              <w:t>50</w:t>
            </w:r>
          </w:hyperlink>
        </w:p>
        <w:p w14:paraId="03772EC8" w14:textId="77777777" w:rsidR="00723F18" w:rsidRDefault="00000000">
          <w:pPr>
            <w:pStyle w:val="TOC2"/>
            <w:tabs>
              <w:tab w:val="clear" w:pos="9077"/>
              <w:tab w:val="right" w:leader="dot" w:pos="9360"/>
            </w:tabs>
          </w:pPr>
          <w:hyperlink w:anchor="__RefHeading___Toc6454_2939721771">
            <w:r>
              <w:rPr>
                <w:rStyle w:val="IndexLink"/>
                <w:webHidden/>
              </w:rPr>
              <w:t>Article 32: Environmental Protection and Pollution Response</w:t>
            </w:r>
            <w:r>
              <w:rPr>
                <w:rStyle w:val="IndexLink"/>
                <w:webHidden/>
              </w:rPr>
              <w:tab/>
              <w:t>51</w:t>
            </w:r>
          </w:hyperlink>
        </w:p>
        <w:p w14:paraId="0E4A5E8A" w14:textId="77777777" w:rsidR="00723F18" w:rsidRDefault="00000000">
          <w:pPr>
            <w:pStyle w:val="TOC2"/>
            <w:tabs>
              <w:tab w:val="clear" w:pos="9077"/>
              <w:tab w:val="right" w:leader="dot" w:pos="9360"/>
            </w:tabs>
          </w:pPr>
          <w:hyperlink w:anchor="__RefHeading___Toc6456_2939721771">
            <w:r>
              <w:rPr>
                <w:rStyle w:val="IndexLink"/>
                <w:webHidden/>
              </w:rPr>
              <w:t>Article 33: Incident Classification and Management</w:t>
            </w:r>
            <w:r>
              <w:rPr>
                <w:rStyle w:val="IndexLink"/>
                <w:webHidden/>
              </w:rPr>
              <w:tab/>
              <w:t>51</w:t>
            </w:r>
          </w:hyperlink>
        </w:p>
        <w:p w14:paraId="56198A3B" w14:textId="77777777" w:rsidR="00723F18" w:rsidRDefault="00000000">
          <w:pPr>
            <w:pStyle w:val="TOC1"/>
          </w:pPr>
          <w:hyperlink w:anchor="__RefHeading___Toc6458_2939721771">
            <w:r>
              <w:rPr>
                <w:rStyle w:val="IndexLink"/>
                <w:webHidden/>
              </w:rPr>
              <w:t>Part VII: Step-Function Execution and Reciprocal Milestones</w:t>
            </w:r>
            <w:r>
              <w:rPr>
                <w:rStyle w:val="IndexLink"/>
                <w:webHidden/>
              </w:rPr>
              <w:tab/>
              <w:t>52</w:t>
            </w:r>
          </w:hyperlink>
        </w:p>
        <w:p w14:paraId="2CD8D8D2" w14:textId="77777777" w:rsidR="00723F18" w:rsidRDefault="00000000">
          <w:pPr>
            <w:pStyle w:val="TOC2"/>
            <w:tabs>
              <w:tab w:val="clear" w:pos="9077"/>
              <w:tab w:val="right" w:leader="dot" w:pos="9360"/>
            </w:tabs>
          </w:pPr>
          <w:hyperlink w:anchor="__RefHeading___Toc6460_2939721771">
            <w:r>
              <w:rPr>
                <w:rStyle w:val="IndexLink"/>
                <w:webHidden/>
              </w:rPr>
              <w:t>Article 34: The Sixty-Day Trial Window</w:t>
            </w:r>
            <w:r>
              <w:rPr>
                <w:rStyle w:val="IndexLink"/>
                <w:webHidden/>
              </w:rPr>
              <w:tab/>
              <w:t>52</w:t>
            </w:r>
          </w:hyperlink>
        </w:p>
        <w:p w14:paraId="1602AC89" w14:textId="77777777" w:rsidR="00723F18" w:rsidRDefault="00000000">
          <w:pPr>
            <w:pStyle w:val="TOC2"/>
            <w:tabs>
              <w:tab w:val="clear" w:pos="9077"/>
              <w:tab w:val="right" w:leader="dot" w:pos="9360"/>
            </w:tabs>
          </w:pPr>
          <w:hyperlink w:anchor="__RefHeading___Toc6462_2939721771">
            <w:r>
              <w:rPr>
                <w:rStyle w:val="IndexLink"/>
                <w:webHidden/>
              </w:rPr>
              <w:t>Article 35: Phase One (Days 1 to 20): Clearance, Certification, and the First Tranche</w:t>
            </w:r>
            <w:r>
              <w:rPr>
                <w:rStyle w:val="IndexLink"/>
                <w:webHidden/>
              </w:rPr>
              <w:tab/>
              <w:t>53</w:t>
            </w:r>
          </w:hyperlink>
        </w:p>
        <w:p w14:paraId="7FA1B8BE" w14:textId="77777777" w:rsidR="00723F18" w:rsidRDefault="00000000">
          <w:pPr>
            <w:pStyle w:val="TOC2"/>
            <w:tabs>
              <w:tab w:val="clear" w:pos="9077"/>
              <w:tab w:val="right" w:leader="dot" w:pos="9360"/>
            </w:tabs>
          </w:pPr>
          <w:hyperlink w:anchor="__RefHeading___Toc6464_2939721771">
            <w:r>
              <w:rPr>
                <w:rStyle w:val="IndexLink"/>
                <w:webHidden/>
              </w:rPr>
              <w:t>Article 36: Phase Two (Days 21 to 40): Full Three-Corridor Operation and Energy Logistics Waivers</w:t>
            </w:r>
            <w:r>
              <w:rPr>
                <w:rStyle w:val="IndexLink"/>
                <w:webHidden/>
              </w:rPr>
              <w:tab/>
              <w:t>54</w:t>
            </w:r>
          </w:hyperlink>
        </w:p>
        <w:p w14:paraId="7A393AF8" w14:textId="77777777" w:rsidR="00723F18" w:rsidRDefault="00000000">
          <w:pPr>
            <w:pStyle w:val="TOC2"/>
            <w:tabs>
              <w:tab w:val="clear" w:pos="9077"/>
              <w:tab w:val="right" w:leader="dot" w:pos="9360"/>
            </w:tabs>
          </w:pPr>
          <w:hyperlink w:anchor="__RefHeading___Toc6466_2939721771">
            <w:r>
              <w:rPr>
                <w:rStyle w:val="IndexLink"/>
                <w:webHidden/>
              </w:rPr>
              <w:t>Article 37: Phase Three (Days 41 to 60): Consolidation, the Second Tranche, and Review</w:t>
            </w:r>
            <w:r>
              <w:rPr>
                <w:rStyle w:val="IndexLink"/>
                <w:webHidden/>
              </w:rPr>
              <w:tab/>
              <w:t>54</w:t>
            </w:r>
          </w:hyperlink>
        </w:p>
        <w:p w14:paraId="0098364E" w14:textId="77777777" w:rsidR="00723F18" w:rsidRDefault="00000000">
          <w:pPr>
            <w:pStyle w:val="TOC2"/>
            <w:tabs>
              <w:tab w:val="clear" w:pos="9077"/>
              <w:tab w:val="right" w:leader="dot" w:pos="9360"/>
            </w:tabs>
          </w:pPr>
          <w:hyperlink w:anchor="__RefHeading___Toc6468_2939721771">
            <w:r>
              <w:rPr>
                <w:rStyle w:val="IndexLink"/>
                <w:webHidden/>
              </w:rPr>
              <w:t>Article 38: The Emergency Brake and Reconstitution</w:t>
            </w:r>
            <w:r>
              <w:rPr>
                <w:rStyle w:val="IndexLink"/>
                <w:webHidden/>
              </w:rPr>
              <w:tab/>
              <w:t>55</w:t>
            </w:r>
          </w:hyperlink>
        </w:p>
        <w:p w14:paraId="6A680BB3" w14:textId="77777777" w:rsidR="00723F18" w:rsidRDefault="00000000">
          <w:pPr>
            <w:pStyle w:val="TOC1"/>
          </w:pPr>
          <w:hyperlink w:anchor="__RefHeading___Toc6470_2939721771">
            <w:r>
              <w:rPr>
                <w:rStyle w:val="IndexLink"/>
                <w:webHidden/>
              </w:rPr>
              <w:t>Part VIII: Compliance, Step-Back, and Dispute Resolution</w:t>
            </w:r>
            <w:r>
              <w:rPr>
                <w:rStyle w:val="IndexLink"/>
                <w:webHidden/>
              </w:rPr>
              <w:tab/>
              <w:t>56</w:t>
            </w:r>
          </w:hyperlink>
        </w:p>
        <w:p w14:paraId="3495C92A" w14:textId="77777777" w:rsidR="00723F18" w:rsidRDefault="00000000">
          <w:pPr>
            <w:pStyle w:val="TOC2"/>
            <w:tabs>
              <w:tab w:val="clear" w:pos="9077"/>
              <w:tab w:val="right" w:leader="dot" w:pos="9360"/>
            </w:tabs>
          </w:pPr>
          <w:hyperlink w:anchor="__RefHeading___Toc6472_2939721771">
            <w:r>
              <w:rPr>
                <w:rStyle w:val="IndexLink"/>
                <w:webHidden/>
              </w:rPr>
              <w:t>Article 39: The Compliance Engine</w:t>
            </w:r>
            <w:r>
              <w:rPr>
                <w:rStyle w:val="IndexLink"/>
                <w:webHidden/>
              </w:rPr>
              <w:tab/>
              <w:t>56</w:t>
            </w:r>
          </w:hyperlink>
        </w:p>
        <w:p w14:paraId="71532E37" w14:textId="77777777" w:rsidR="00723F18" w:rsidRDefault="00000000">
          <w:pPr>
            <w:pStyle w:val="TOC2"/>
            <w:tabs>
              <w:tab w:val="clear" w:pos="9077"/>
              <w:tab w:val="right" w:leader="dot" w:pos="9360"/>
            </w:tabs>
          </w:pPr>
          <w:hyperlink w:anchor="__RefHeading___Toc6474_2939721771">
            <w:r>
              <w:rPr>
                <w:rStyle w:val="IndexLink"/>
                <w:webHidden/>
              </w:rPr>
              <w:t>Article 40: Step-Back, Earn-Back, and the Humanitarian Firewall</w:t>
            </w:r>
            <w:r>
              <w:rPr>
                <w:rStyle w:val="IndexLink"/>
                <w:webHidden/>
              </w:rPr>
              <w:tab/>
              <w:t>56</w:t>
            </w:r>
          </w:hyperlink>
        </w:p>
        <w:p w14:paraId="1F20EBA5" w14:textId="77777777" w:rsidR="00723F18" w:rsidRDefault="00000000">
          <w:pPr>
            <w:pStyle w:val="TOC2"/>
            <w:tabs>
              <w:tab w:val="clear" w:pos="9077"/>
              <w:tab w:val="right" w:leader="dot" w:pos="9360"/>
            </w:tabs>
          </w:pPr>
          <w:hyperlink w:anchor="__RefHeading___Toc6476_2939721771">
            <w:r>
              <w:rPr>
                <w:rStyle w:val="IndexLink"/>
                <w:webHidden/>
              </w:rPr>
              <w:t>Article 41: Attribution, Rogue Actors, and the Proxy Pathway</w:t>
            </w:r>
            <w:r>
              <w:rPr>
                <w:rStyle w:val="IndexLink"/>
                <w:webHidden/>
              </w:rPr>
              <w:tab/>
              <w:t>57</w:t>
            </w:r>
          </w:hyperlink>
        </w:p>
        <w:p w14:paraId="4CFCCF90" w14:textId="77777777" w:rsidR="00723F18" w:rsidRDefault="00000000">
          <w:pPr>
            <w:pStyle w:val="TOC2"/>
            <w:tabs>
              <w:tab w:val="clear" w:pos="9077"/>
              <w:tab w:val="right" w:leader="dot" w:pos="9360"/>
            </w:tabs>
          </w:pPr>
          <w:hyperlink w:anchor="__RefHeading___Toc6478_2939721771">
            <w:r>
              <w:rPr>
                <w:rStyle w:val="IndexLink"/>
                <w:webHidden/>
              </w:rPr>
              <w:t>Article 42: Dispute Resolution</w:t>
            </w:r>
            <w:r>
              <w:rPr>
                <w:rStyle w:val="IndexLink"/>
                <w:webHidden/>
              </w:rPr>
              <w:tab/>
              <w:t>58</w:t>
            </w:r>
          </w:hyperlink>
        </w:p>
        <w:p w14:paraId="19B3B11D" w14:textId="77777777" w:rsidR="00723F18" w:rsidRDefault="00000000">
          <w:pPr>
            <w:pStyle w:val="TOC1"/>
          </w:pPr>
          <w:hyperlink w:anchor="__RefHeading___Toc6480_2939721771">
            <w:r>
              <w:rPr>
                <w:rStyle w:val="IndexLink"/>
                <w:webHidden/>
              </w:rPr>
              <w:t>Part IX: Political Sensitivity and Narrative Protocol</w:t>
            </w:r>
            <w:r>
              <w:rPr>
                <w:rStyle w:val="IndexLink"/>
                <w:webHidden/>
              </w:rPr>
              <w:tab/>
              <w:t>59</w:t>
            </w:r>
          </w:hyperlink>
        </w:p>
        <w:p w14:paraId="1D9E6B4C" w14:textId="77777777" w:rsidR="00723F18" w:rsidRDefault="00000000">
          <w:pPr>
            <w:pStyle w:val="TOC2"/>
            <w:tabs>
              <w:tab w:val="clear" w:pos="9077"/>
              <w:tab w:val="right" w:leader="dot" w:pos="9360"/>
            </w:tabs>
          </w:pPr>
          <w:hyperlink w:anchor="__RefHeading___Toc6482_2939721771">
            <w:r>
              <w:rPr>
                <w:rStyle w:val="IndexLink"/>
                <w:webHidden/>
              </w:rPr>
              <w:t>Article 43: Mutual Architecture and the Non-Humiliation Doctrine</w:t>
            </w:r>
            <w:r>
              <w:rPr>
                <w:rStyle w:val="IndexLink"/>
                <w:webHidden/>
              </w:rPr>
              <w:tab/>
              <w:t>59</w:t>
            </w:r>
          </w:hyperlink>
        </w:p>
        <w:p w14:paraId="6186FA34" w14:textId="77777777" w:rsidR="00723F18" w:rsidRDefault="00000000">
          <w:pPr>
            <w:pStyle w:val="TOC2"/>
            <w:tabs>
              <w:tab w:val="clear" w:pos="9077"/>
              <w:tab w:val="right" w:leader="dot" w:pos="9360"/>
            </w:tabs>
          </w:pPr>
          <w:hyperlink w:anchor="__RefHeading___Toc6484_2939721771">
            <w:r>
              <w:rPr>
                <w:rStyle w:val="IndexLink"/>
                <w:webHidden/>
              </w:rPr>
              <w:t>Article 44: Nomenclature Neutrality and Synchronized Announcements</w:t>
            </w:r>
            <w:r>
              <w:rPr>
                <w:rStyle w:val="IndexLink"/>
                <w:webHidden/>
              </w:rPr>
              <w:tab/>
              <w:t>59</w:t>
            </w:r>
          </w:hyperlink>
        </w:p>
        <w:p w14:paraId="1239948E" w14:textId="77777777" w:rsidR="00723F18" w:rsidRDefault="00000000">
          <w:pPr>
            <w:pStyle w:val="TOC2"/>
            <w:tabs>
              <w:tab w:val="clear" w:pos="9077"/>
              <w:tab w:val="right" w:leader="dot" w:pos="9360"/>
            </w:tabs>
          </w:pPr>
          <w:hyperlink w:anchor="__RefHeading___Toc6486_2939721771">
            <w:r>
              <w:rPr>
                <w:rStyle w:val="IndexLink"/>
                <w:webHidden/>
              </w:rPr>
              <w:t>Article 45: What Each Side States</w:t>
            </w:r>
            <w:r>
              <w:rPr>
                <w:rStyle w:val="IndexLink"/>
                <w:webHidden/>
              </w:rPr>
              <w:tab/>
              <w:t>60</w:t>
            </w:r>
          </w:hyperlink>
        </w:p>
        <w:p w14:paraId="4604C222" w14:textId="77777777" w:rsidR="00723F18" w:rsidRDefault="00000000">
          <w:pPr>
            <w:pStyle w:val="TOC1"/>
          </w:pPr>
          <w:hyperlink w:anchor="__RefHeading___Toc6488_2939721771">
            <w:r>
              <w:rPr>
                <w:rStyle w:val="IndexLink"/>
                <w:webHidden/>
              </w:rPr>
              <w:t>Part X: Continuity, Accession, and Final Provisions</w:t>
            </w:r>
            <w:r>
              <w:rPr>
                <w:rStyle w:val="IndexLink"/>
                <w:webHidden/>
              </w:rPr>
              <w:tab/>
              <w:t>61</w:t>
            </w:r>
          </w:hyperlink>
        </w:p>
        <w:p w14:paraId="3F98752F" w14:textId="77777777" w:rsidR="00723F18" w:rsidRDefault="00000000">
          <w:pPr>
            <w:pStyle w:val="TOC2"/>
            <w:tabs>
              <w:tab w:val="clear" w:pos="9077"/>
              <w:tab w:val="right" w:leader="dot" w:pos="9360"/>
            </w:tabs>
          </w:pPr>
          <w:hyperlink w:anchor="__RefHeading___Toc6490_2939721771">
            <w:r>
              <w:rPr>
                <w:rStyle w:val="IndexLink"/>
                <w:webHidden/>
              </w:rPr>
              <w:t>Article 46: Renewal by Silence and the Review Rhythm</w:t>
            </w:r>
            <w:r>
              <w:rPr>
                <w:rStyle w:val="IndexLink"/>
                <w:webHidden/>
              </w:rPr>
              <w:tab/>
              <w:t>61</w:t>
            </w:r>
          </w:hyperlink>
        </w:p>
        <w:p w14:paraId="56D455F4" w14:textId="77777777" w:rsidR="00723F18" w:rsidRDefault="00000000">
          <w:pPr>
            <w:pStyle w:val="TOC2"/>
            <w:tabs>
              <w:tab w:val="clear" w:pos="9077"/>
              <w:tab w:val="right" w:leader="dot" w:pos="9360"/>
            </w:tabs>
          </w:pPr>
          <w:hyperlink w:anchor="__RefHeading___Toc6492_2939721771">
            <w:r>
              <w:rPr>
                <w:rStyle w:val="IndexLink"/>
                <w:webHidden/>
              </w:rPr>
              <w:t>Article 47: Accession, Observer Participation, and the Expansion Path</w:t>
            </w:r>
            <w:r>
              <w:rPr>
                <w:rStyle w:val="IndexLink"/>
                <w:webHidden/>
              </w:rPr>
              <w:tab/>
              <w:t>61</w:t>
            </w:r>
          </w:hyperlink>
        </w:p>
        <w:p w14:paraId="2AF24F3A" w14:textId="77777777" w:rsidR="00723F18" w:rsidRDefault="00000000">
          <w:pPr>
            <w:pStyle w:val="TOC2"/>
            <w:tabs>
              <w:tab w:val="clear" w:pos="9077"/>
              <w:tab w:val="right" w:leader="dot" w:pos="9360"/>
            </w:tabs>
          </w:pPr>
          <w:hyperlink w:anchor="__RefHeading___Toc6494_2939721771">
            <w:r>
              <w:rPr>
                <w:rStyle w:val="IndexLink"/>
                <w:webHidden/>
              </w:rPr>
              <w:t>Article 48: Final Provisions</w:t>
            </w:r>
            <w:r>
              <w:rPr>
                <w:rStyle w:val="IndexLink"/>
                <w:webHidden/>
              </w:rPr>
              <w:tab/>
              <w:t>62</w:t>
            </w:r>
          </w:hyperlink>
        </w:p>
        <w:p w14:paraId="2CD638E4" w14:textId="77777777" w:rsidR="00723F18" w:rsidRDefault="00000000">
          <w:pPr>
            <w:pStyle w:val="TOC1"/>
          </w:pPr>
          <w:hyperlink w:anchor="__RefHeading___Toc6496_2939721771">
            <w:r>
              <w:rPr>
                <w:rStyle w:val="IndexLink"/>
                <w:webHidden/>
              </w:rPr>
              <w:t>Signature Block</w:t>
            </w:r>
            <w:r>
              <w:rPr>
                <w:rStyle w:val="IndexLink"/>
                <w:webHidden/>
              </w:rPr>
              <w:tab/>
              <w:t>63</w:t>
            </w:r>
          </w:hyperlink>
        </w:p>
        <w:p w14:paraId="31514DFC" w14:textId="77777777" w:rsidR="00723F18" w:rsidRDefault="00000000">
          <w:pPr>
            <w:pStyle w:val="TOC1"/>
          </w:pPr>
          <w:hyperlink w:anchor="__RefHeading___Toc6498_2939721771">
            <w:r>
              <w:rPr>
                <w:rStyle w:val="IndexLink"/>
                <w:webHidden/>
              </w:rPr>
              <w:t>Annex A: Scheme Coordinates and Geometry Registry</w:t>
            </w:r>
            <w:r>
              <w:rPr>
                <w:rStyle w:val="IndexLink"/>
                <w:webHidden/>
              </w:rPr>
              <w:tab/>
              <w:t>63</w:t>
            </w:r>
          </w:hyperlink>
        </w:p>
        <w:p w14:paraId="17297725" w14:textId="77777777" w:rsidR="00723F18" w:rsidRDefault="00000000">
          <w:pPr>
            <w:pStyle w:val="TOC2"/>
            <w:tabs>
              <w:tab w:val="clear" w:pos="9077"/>
              <w:tab w:val="right" w:leader="dot" w:pos="9360"/>
            </w:tabs>
          </w:pPr>
          <w:hyperlink w:anchor="__RefHeading___Toc6500_2939721771">
            <w:r>
              <w:rPr>
                <w:rStyle w:val="IndexLink"/>
                <w:webHidden/>
              </w:rPr>
              <w:t>A.1 Geodetic basis</w:t>
            </w:r>
            <w:r>
              <w:rPr>
                <w:rStyle w:val="IndexLink"/>
                <w:webHidden/>
              </w:rPr>
              <w:tab/>
              <w:t>63</w:t>
            </w:r>
          </w:hyperlink>
        </w:p>
        <w:p w14:paraId="2CCC7B91" w14:textId="77777777" w:rsidR="00723F18" w:rsidRDefault="00000000">
          <w:pPr>
            <w:pStyle w:val="TOC2"/>
            <w:tabs>
              <w:tab w:val="clear" w:pos="9077"/>
              <w:tab w:val="right" w:leader="dot" w:pos="9360"/>
            </w:tabs>
          </w:pPr>
          <w:hyperlink w:anchor="__RefHeading___Toc6502_2939721771">
            <w:r>
              <w:rPr>
                <w:rStyle w:val="IndexLink"/>
                <w:webHidden/>
              </w:rPr>
              <w:t>A.2 Table A.1: Scheme Area boundary polygon</w:t>
            </w:r>
            <w:r>
              <w:rPr>
                <w:rStyle w:val="IndexLink"/>
                <w:webHidden/>
              </w:rPr>
              <w:tab/>
              <w:t>63</w:t>
            </w:r>
          </w:hyperlink>
        </w:p>
        <w:p w14:paraId="3BAD3B33" w14:textId="77777777" w:rsidR="00723F18" w:rsidRDefault="00000000">
          <w:pPr>
            <w:pStyle w:val="TOC2"/>
            <w:tabs>
              <w:tab w:val="clear" w:pos="9077"/>
              <w:tab w:val="right" w:leader="dot" w:pos="9360"/>
            </w:tabs>
          </w:pPr>
          <w:hyperlink w:anchor="__RefHeading___Toc6504_2939721771">
            <w:r>
              <w:rPr>
                <w:rStyle w:val="IndexLink"/>
                <w:webHidden/>
              </w:rPr>
              <w:t>A.3 Table A.2: Corridor One (Northern Stewardship Corridor) centerline</w:t>
            </w:r>
            <w:r>
              <w:rPr>
                <w:rStyle w:val="IndexLink"/>
                <w:webHidden/>
              </w:rPr>
              <w:tab/>
              <w:t>64</w:t>
            </w:r>
          </w:hyperlink>
        </w:p>
        <w:p w14:paraId="7FC4DEFA" w14:textId="77777777" w:rsidR="00723F18" w:rsidRDefault="00000000">
          <w:pPr>
            <w:pStyle w:val="TOC2"/>
            <w:tabs>
              <w:tab w:val="clear" w:pos="9077"/>
              <w:tab w:val="right" w:leader="dot" w:pos="9360"/>
            </w:tabs>
          </w:pPr>
          <w:hyperlink w:anchor="__RefHeading___Toc6506_2939721771">
            <w:r>
              <w:rPr>
                <w:rStyle w:val="IndexLink"/>
                <w:webHidden/>
              </w:rPr>
              <w:t>A.4 Table A.3: Corridor Two (Central Open Corridor) centerline</w:t>
            </w:r>
            <w:r>
              <w:rPr>
                <w:rStyle w:val="IndexLink"/>
                <w:webHidden/>
              </w:rPr>
              <w:tab/>
              <w:t>65</w:t>
            </w:r>
          </w:hyperlink>
        </w:p>
        <w:p w14:paraId="3EAB19A7" w14:textId="77777777" w:rsidR="00723F18" w:rsidRDefault="00000000">
          <w:pPr>
            <w:pStyle w:val="TOC2"/>
            <w:tabs>
              <w:tab w:val="clear" w:pos="9077"/>
              <w:tab w:val="right" w:leader="dot" w:pos="9360"/>
            </w:tabs>
          </w:pPr>
          <w:hyperlink w:anchor="__RefHeading___Toc6508_2939721771">
            <w:r>
              <w:rPr>
                <w:rStyle w:val="IndexLink"/>
                <w:webHidden/>
              </w:rPr>
              <w:t>A.5 Table A.4: Corridor Three (Southern Assurance Corridor) centerline</w:t>
            </w:r>
            <w:r>
              <w:rPr>
                <w:rStyle w:val="IndexLink"/>
                <w:webHidden/>
              </w:rPr>
              <w:tab/>
              <w:t>65</w:t>
            </w:r>
          </w:hyperlink>
        </w:p>
        <w:p w14:paraId="4503E6D2" w14:textId="77777777" w:rsidR="00723F18" w:rsidRDefault="00000000">
          <w:pPr>
            <w:pStyle w:val="TOC2"/>
            <w:tabs>
              <w:tab w:val="clear" w:pos="9077"/>
              <w:tab w:val="right" w:leader="dot" w:pos="9360"/>
            </w:tabs>
          </w:pPr>
          <w:hyperlink w:anchor="__RefHeading___Toc6510_2939721771">
            <w:r>
              <w:rPr>
                <w:rStyle w:val="IndexLink"/>
                <w:webHidden/>
              </w:rPr>
              <w:t>A.6 Table A.5: Separation belts</w:t>
            </w:r>
            <w:r>
              <w:rPr>
                <w:rStyle w:val="IndexLink"/>
                <w:webHidden/>
              </w:rPr>
              <w:tab/>
              <w:t>66</w:t>
            </w:r>
          </w:hyperlink>
        </w:p>
        <w:p w14:paraId="41BAE73F" w14:textId="77777777" w:rsidR="00723F18" w:rsidRDefault="00000000">
          <w:pPr>
            <w:pStyle w:val="TOC2"/>
            <w:tabs>
              <w:tab w:val="clear" w:pos="9077"/>
              <w:tab w:val="right" w:leader="dot" w:pos="9360"/>
            </w:tabs>
          </w:pPr>
          <w:hyperlink w:anchor="__RefHeading___Toc6512_2939721771">
            <w:r>
              <w:rPr>
                <w:rStyle w:val="IndexLink"/>
                <w:webHidden/>
              </w:rPr>
              <w:t>A.7 Table A.6: Holding anchorages</w:t>
            </w:r>
            <w:r>
              <w:rPr>
                <w:rStyle w:val="IndexLink"/>
                <w:webHidden/>
              </w:rPr>
              <w:tab/>
              <w:t>66</w:t>
            </w:r>
          </w:hyperlink>
        </w:p>
        <w:p w14:paraId="3A463760" w14:textId="77777777" w:rsidR="00723F18" w:rsidRDefault="00000000">
          <w:pPr>
            <w:pStyle w:val="TOC2"/>
            <w:tabs>
              <w:tab w:val="clear" w:pos="9077"/>
              <w:tab w:val="right" w:leader="dot" w:pos="9360"/>
            </w:tabs>
          </w:pPr>
          <w:hyperlink w:anchor="__RefHeading___Toc6514_2939721771">
            <w:r>
              <w:rPr>
                <w:rStyle w:val="IndexLink"/>
                <w:webHidden/>
              </w:rPr>
              <w:t>A.8 Reporting points and crossing gates</w:t>
            </w:r>
            <w:r>
              <w:rPr>
                <w:rStyle w:val="IndexLink"/>
                <w:webHidden/>
              </w:rPr>
              <w:tab/>
              <w:t>66</w:t>
            </w:r>
          </w:hyperlink>
        </w:p>
        <w:p w14:paraId="32C72F66" w14:textId="77777777" w:rsidR="00723F18" w:rsidRDefault="00000000">
          <w:pPr>
            <w:pStyle w:val="TOC2"/>
            <w:tabs>
              <w:tab w:val="clear" w:pos="9077"/>
              <w:tab w:val="right" w:leader="dot" w:pos="9360"/>
            </w:tabs>
          </w:pPr>
          <w:hyperlink w:anchor="__RefHeading___Toc6516_2939721771">
            <w:r>
              <w:rPr>
                <w:rStyle w:val="IndexLink"/>
                <w:webHidden/>
              </w:rPr>
              <w:t>A.9 Chart edition</w:t>
            </w:r>
            <w:r>
              <w:rPr>
                <w:rStyle w:val="IndexLink"/>
                <w:webHidden/>
              </w:rPr>
              <w:tab/>
              <w:t>66</w:t>
            </w:r>
          </w:hyperlink>
        </w:p>
        <w:p w14:paraId="1E722783" w14:textId="77777777" w:rsidR="00723F18" w:rsidRDefault="00000000">
          <w:pPr>
            <w:pStyle w:val="TOC1"/>
          </w:pPr>
          <w:hyperlink w:anchor="__RefHeading___Toc6518_2939721771">
            <w:r>
              <w:rPr>
                <w:rStyle w:val="IndexLink"/>
                <w:webHidden/>
              </w:rPr>
              <w:t>Annex B: The Hormuz Cooperative Safety Fund Charter</w:t>
            </w:r>
            <w:r>
              <w:rPr>
                <w:rStyle w:val="IndexLink"/>
                <w:webHidden/>
              </w:rPr>
              <w:tab/>
              <w:t>66</w:t>
            </w:r>
          </w:hyperlink>
        </w:p>
        <w:p w14:paraId="1C627CB2" w14:textId="77777777" w:rsidR="00723F18" w:rsidRDefault="00000000">
          <w:pPr>
            <w:pStyle w:val="TOC2"/>
            <w:tabs>
              <w:tab w:val="clear" w:pos="9077"/>
              <w:tab w:val="right" w:leader="dot" w:pos="9360"/>
            </w:tabs>
          </w:pPr>
          <w:hyperlink w:anchor="__RefHeading___Toc6520_2939721771">
            <w:r>
              <w:rPr>
                <w:rStyle w:val="IndexLink"/>
                <w:webHidden/>
              </w:rPr>
              <w:t>B.1 Legal form and accounts</w:t>
            </w:r>
            <w:r>
              <w:rPr>
                <w:rStyle w:val="IndexLink"/>
                <w:webHidden/>
              </w:rPr>
              <w:tab/>
              <w:t>66</w:t>
            </w:r>
          </w:hyperlink>
        </w:p>
        <w:p w14:paraId="095683AC" w14:textId="77777777" w:rsidR="00723F18" w:rsidRDefault="00000000">
          <w:pPr>
            <w:pStyle w:val="TOC2"/>
            <w:tabs>
              <w:tab w:val="clear" w:pos="9077"/>
              <w:tab w:val="right" w:leader="dot" w:pos="9360"/>
            </w:tabs>
          </w:pPr>
          <w:hyperlink w:anchor="__RefHeading___Toc6522_2939721771">
            <w:r>
              <w:rPr>
                <w:rStyle w:val="IndexLink"/>
                <w:webHidden/>
              </w:rPr>
              <w:t>B.2 Sub-accounts</w:t>
            </w:r>
            <w:r>
              <w:rPr>
                <w:rStyle w:val="IndexLink"/>
                <w:webHidden/>
              </w:rPr>
              <w:tab/>
              <w:t>67</w:t>
            </w:r>
          </w:hyperlink>
        </w:p>
        <w:p w14:paraId="57060A24" w14:textId="77777777" w:rsidR="00723F18" w:rsidRDefault="00000000">
          <w:pPr>
            <w:pStyle w:val="TOC2"/>
            <w:tabs>
              <w:tab w:val="clear" w:pos="9077"/>
              <w:tab w:val="right" w:leader="dot" w:pos="9360"/>
            </w:tabs>
          </w:pPr>
          <w:hyperlink w:anchor="__RefHeading___Toc6524_2939721771">
            <w:r>
              <w:rPr>
                <w:rStyle w:val="IndexLink"/>
                <w:webHidden/>
              </w:rPr>
              <w:t>B.3 Initial capitalization</w:t>
            </w:r>
            <w:r>
              <w:rPr>
                <w:rStyle w:val="IndexLink"/>
                <w:webHidden/>
              </w:rPr>
              <w:tab/>
              <w:t>67</w:t>
            </w:r>
          </w:hyperlink>
        </w:p>
        <w:p w14:paraId="1DBFEACF" w14:textId="77777777" w:rsidR="00723F18" w:rsidRDefault="00000000">
          <w:pPr>
            <w:pStyle w:val="TOC2"/>
            <w:tabs>
              <w:tab w:val="clear" w:pos="9077"/>
              <w:tab w:val="right" w:leader="dot" w:pos="9360"/>
            </w:tabs>
          </w:pPr>
          <w:hyperlink w:anchor="__RefHeading___Toc6526_2939721771">
            <w:r>
              <w:rPr>
                <w:rStyle w:val="IndexLink"/>
                <w:webHidden/>
              </w:rPr>
              <w:t>B.4 The recommended contribution scale</w:t>
            </w:r>
            <w:r>
              <w:rPr>
                <w:rStyle w:val="IndexLink"/>
                <w:webHidden/>
              </w:rPr>
              <w:tab/>
              <w:t>67</w:t>
            </w:r>
          </w:hyperlink>
        </w:p>
        <w:p w14:paraId="669FD7F8" w14:textId="77777777" w:rsidR="00723F18" w:rsidRDefault="00000000">
          <w:pPr>
            <w:pStyle w:val="TOC2"/>
            <w:tabs>
              <w:tab w:val="clear" w:pos="9077"/>
              <w:tab w:val="right" w:leader="dot" w:pos="9360"/>
            </w:tabs>
          </w:pPr>
          <w:hyperlink w:anchor="__RefHeading___Toc6528_2939721771">
            <w:r>
              <w:rPr>
                <w:rStyle w:val="IndexLink"/>
                <w:webHidden/>
              </w:rPr>
              <w:t>B.5 The Services Catalog and initial rate card</w:t>
            </w:r>
            <w:r>
              <w:rPr>
                <w:rStyle w:val="IndexLink"/>
                <w:webHidden/>
              </w:rPr>
              <w:tab/>
              <w:t>67</w:t>
            </w:r>
          </w:hyperlink>
        </w:p>
        <w:p w14:paraId="1D2D3DF5" w14:textId="77777777" w:rsidR="00723F18" w:rsidRDefault="00000000">
          <w:pPr>
            <w:pStyle w:val="TOC2"/>
            <w:tabs>
              <w:tab w:val="clear" w:pos="9077"/>
              <w:tab w:val="right" w:leader="dot" w:pos="9360"/>
            </w:tabs>
          </w:pPr>
          <w:hyperlink w:anchor="__RefHeading___Toc6530_2939721771">
            <w:r>
              <w:rPr>
                <w:rStyle w:val="IndexLink"/>
                <w:webHidden/>
              </w:rPr>
              <w:t>B.6 Apportionment mechanics</w:t>
            </w:r>
            <w:r>
              <w:rPr>
                <w:rStyle w:val="IndexLink"/>
                <w:webHidden/>
              </w:rPr>
              <w:tab/>
              <w:t>68</w:t>
            </w:r>
          </w:hyperlink>
        </w:p>
        <w:p w14:paraId="6BAE92F4" w14:textId="77777777" w:rsidR="00723F18" w:rsidRDefault="00000000">
          <w:pPr>
            <w:pStyle w:val="TOC2"/>
            <w:tabs>
              <w:tab w:val="clear" w:pos="9077"/>
              <w:tab w:val="right" w:leader="dot" w:pos="9360"/>
            </w:tabs>
          </w:pPr>
          <w:hyperlink w:anchor="__RefHeading___Toc6532_2939721771">
            <w:r>
              <w:rPr>
                <w:rStyle w:val="IndexLink"/>
                <w:webHidden/>
              </w:rPr>
              <w:t>B.7 The custody structure for released funds</w:t>
            </w:r>
            <w:r>
              <w:rPr>
                <w:rStyle w:val="IndexLink"/>
                <w:webHidden/>
              </w:rPr>
              <w:tab/>
              <w:t>68</w:t>
            </w:r>
          </w:hyperlink>
        </w:p>
        <w:p w14:paraId="23488843" w14:textId="77777777" w:rsidR="00723F18" w:rsidRDefault="00000000">
          <w:pPr>
            <w:pStyle w:val="TOC2"/>
            <w:tabs>
              <w:tab w:val="clear" w:pos="9077"/>
              <w:tab w:val="right" w:leader="dot" w:pos="9360"/>
            </w:tabs>
          </w:pPr>
          <w:hyperlink w:anchor="__RefHeading___Toc6534_2939721771">
            <w:r>
              <w:rPr>
                <w:rStyle w:val="IndexLink"/>
                <w:webHidden/>
              </w:rPr>
              <w:t>B.8 The clean-day credit schedule</w:t>
            </w:r>
            <w:r>
              <w:rPr>
                <w:rStyle w:val="IndexLink"/>
                <w:webHidden/>
              </w:rPr>
              <w:tab/>
              <w:t>69</w:t>
            </w:r>
          </w:hyperlink>
        </w:p>
        <w:p w14:paraId="30A0424A" w14:textId="77777777" w:rsidR="00723F18" w:rsidRDefault="00000000">
          <w:pPr>
            <w:pStyle w:val="TOC2"/>
            <w:tabs>
              <w:tab w:val="clear" w:pos="9077"/>
              <w:tab w:val="right" w:leader="dot" w:pos="9360"/>
            </w:tabs>
          </w:pPr>
          <w:hyperlink w:anchor="__RefHeading___Toc6536_2939721771">
            <w:r>
              <w:rPr>
                <w:rStyle w:val="IndexLink"/>
                <w:webHidden/>
              </w:rPr>
              <w:t>B.9 The energy logistics volume framework</w:t>
            </w:r>
            <w:r>
              <w:rPr>
                <w:rStyle w:val="IndexLink"/>
                <w:webHidden/>
              </w:rPr>
              <w:tab/>
              <w:t>69</w:t>
            </w:r>
          </w:hyperlink>
        </w:p>
        <w:p w14:paraId="0F1BE375" w14:textId="77777777" w:rsidR="00723F18" w:rsidRDefault="00000000">
          <w:pPr>
            <w:pStyle w:val="TOC2"/>
            <w:tabs>
              <w:tab w:val="clear" w:pos="9077"/>
              <w:tab w:val="right" w:leader="dot" w:pos="9360"/>
            </w:tabs>
          </w:pPr>
          <w:hyperlink w:anchor="__RefHeading___Toc6538_2939721771">
            <w:r>
              <w:rPr>
                <w:rStyle w:val="IndexLink"/>
                <w:webHidden/>
              </w:rPr>
              <w:t>B.10 Audit calendar</w:t>
            </w:r>
            <w:r>
              <w:rPr>
                <w:rStyle w:val="IndexLink"/>
                <w:webHidden/>
              </w:rPr>
              <w:tab/>
              <w:t>69</w:t>
            </w:r>
          </w:hyperlink>
        </w:p>
        <w:p w14:paraId="3BF1B96D" w14:textId="77777777" w:rsidR="00723F18" w:rsidRDefault="00000000">
          <w:pPr>
            <w:pStyle w:val="TOC2"/>
            <w:tabs>
              <w:tab w:val="clear" w:pos="9077"/>
              <w:tab w:val="right" w:leader="dot" w:pos="9360"/>
            </w:tabs>
          </w:pPr>
          <w:hyperlink w:anchor="__RefHeading___Toc6540_2939721771">
            <w:r>
              <w:rPr>
                <w:rStyle w:val="IndexLink"/>
                <w:webHidden/>
              </w:rPr>
              <w:t>B.11 Anti-circumvention</w:t>
            </w:r>
            <w:r>
              <w:rPr>
                <w:rStyle w:val="IndexLink"/>
                <w:webHidden/>
              </w:rPr>
              <w:tab/>
              <w:t>69</w:t>
            </w:r>
          </w:hyperlink>
        </w:p>
        <w:p w14:paraId="43634DBC" w14:textId="77777777" w:rsidR="00723F18" w:rsidRDefault="00000000">
          <w:pPr>
            <w:pStyle w:val="TOC2"/>
            <w:tabs>
              <w:tab w:val="clear" w:pos="9077"/>
              <w:tab w:val="right" w:leader="dot" w:pos="9360"/>
            </w:tabs>
          </w:pPr>
          <w:hyperlink w:anchor="__RefHeading___Toc6542_2939721771">
            <w:r>
              <w:rPr>
                <w:rStyle w:val="IndexLink"/>
                <w:webHidden/>
              </w:rPr>
              <w:t>B.12 Worked disbursement example: pharmaceutical procurement</w:t>
            </w:r>
            <w:r>
              <w:rPr>
                <w:rStyle w:val="IndexLink"/>
                <w:webHidden/>
              </w:rPr>
              <w:tab/>
              <w:t>69</w:t>
            </w:r>
          </w:hyperlink>
        </w:p>
        <w:p w14:paraId="53A9F58B" w14:textId="77777777" w:rsidR="00723F18" w:rsidRDefault="00000000">
          <w:pPr>
            <w:pStyle w:val="TOC2"/>
            <w:tabs>
              <w:tab w:val="clear" w:pos="9077"/>
              <w:tab w:val="right" w:leader="dot" w:pos="9360"/>
            </w:tabs>
          </w:pPr>
          <w:hyperlink w:anchor="__RefHeading___Toc6544_2939721771">
            <w:r>
              <w:rPr>
                <w:rStyle w:val="IndexLink"/>
                <w:webHidden/>
              </w:rPr>
              <w:t>B.13 Worked disbursement example: desalination equipment</w:t>
            </w:r>
            <w:r>
              <w:rPr>
                <w:rStyle w:val="IndexLink"/>
                <w:webHidden/>
              </w:rPr>
              <w:tab/>
              <w:t>69</w:t>
            </w:r>
          </w:hyperlink>
        </w:p>
        <w:p w14:paraId="3A3DC3F1" w14:textId="77777777" w:rsidR="00723F18" w:rsidRDefault="00000000">
          <w:pPr>
            <w:pStyle w:val="TOC1"/>
          </w:pPr>
          <w:hyperlink w:anchor="__RefHeading___Toc6546_2939721771">
            <w:r>
              <w:rPr>
                <w:rStyle w:val="IndexLink"/>
                <w:webHidden/>
              </w:rPr>
              <w:t>Annex C: The Tolls Settlement Compendium</w:t>
            </w:r>
            <w:r>
              <w:rPr>
                <w:rStyle w:val="IndexLink"/>
                <w:webHidden/>
              </w:rPr>
              <w:tab/>
              <w:t>70</w:t>
            </w:r>
          </w:hyperlink>
        </w:p>
        <w:p w14:paraId="6E92C459" w14:textId="77777777" w:rsidR="00723F18" w:rsidRDefault="00000000">
          <w:pPr>
            <w:pStyle w:val="TOC2"/>
            <w:tabs>
              <w:tab w:val="clear" w:pos="9077"/>
              <w:tab w:val="right" w:leader="dot" w:pos="9360"/>
            </w:tabs>
          </w:pPr>
          <w:hyperlink w:anchor="__RefHeading___Toc6548_2939721771">
            <w:r>
              <w:rPr>
                <w:rStyle w:val="IndexLink"/>
                <w:webHidden/>
              </w:rPr>
              <w:t>C.1 Purpose</w:t>
            </w:r>
            <w:r>
              <w:rPr>
                <w:rStyle w:val="IndexLink"/>
                <w:webHidden/>
              </w:rPr>
              <w:tab/>
              <w:t>70</w:t>
            </w:r>
          </w:hyperlink>
        </w:p>
        <w:p w14:paraId="0F837555" w14:textId="77777777" w:rsidR="00723F18" w:rsidRDefault="00000000">
          <w:pPr>
            <w:pStyle w:val="TOC2"/>
            <w:tabs>
              <w:tab w:val="clear" w:pos="9077"/>
              <w:tab w:val="right" w:leader="dot" w:pos="9360"/>
            </w:tabs>
          </w:pPr>
          <w:hyperlink w:anchor="__RefHeading___Toc6550_2939721771">
            <w:r>
              <w:rPr>
                <w:rStyle w:val="IndexLink"/>
                <w:webHidden/>
              </w:rPr>
              <w:t>C.2 The evaluation frame</w:t>
            </w:r>
            <w:r>
              <w:rPr>
                <w:rStyle w:val="IndexLink"/>
                <w:webHidden/>
              </w:rPr>
              <w:tab/>
              <w:t>70</w:t>
            </w:r>
          </w:hyperlink>
        </w:p>
        <w:p w14:paraId="4139000A" w14:textId="77777777" w:rsidR="00723F18" w:rsidRDefault="00000000">
          <w:pPr>
            <w:pStyle w:val="TOC2"/>
            <w:tabs>
              <w:tab w:val="clear" w:pos="9077"/>
              <w:tab w:val="right" w:leader="dot" w:pos="9360"/>
            </w:tabs>
          </w:pPr>
          <w:hyperlink w:anchor="__RefHeading___Toc6552_2939721771">
            <w:r>
              <w:rPr>
                <w:rStyle w:val="IndexLink"/>
                <w:webHidden/>
              </w:rPr>
              <w:t>C.3 Model One: the voluntary safety contribution</w:t>
            </w:r>
            <w:r>
              <w:rPr>
                <w:rStyle w:val="IndexLink"/>
                <w:webHidden/>
              </w:rPr>
              <w:tab/>
              <w:t>70</w:t>
            </w:r>
          </w:hyperlink>
        </w:p>
        <w:p w14:paraId="42C36862" w14:textId="77777777" w:rsidR="00723F18" w:rsidRDefault="00000000">
          <w:pPr>
            <w:pStyle w:val="TOC2"/>
            <w:tabs>
              <w:tab w:val="clear" w:pos="9077"/>
              <w:tab w:val="right" w:leader="dot" w:pos="9360"/>
            </w:tabs>
          </w:pPr>
          <w:hyperlink w:anchor="__RefHeading___Toc6554_2939721771">
            <w:r>
              <w:rPr>
                <w:rStyle w:val="IndexLink"/>
                <w:webHidden/>
              </w:rPr>
              <w:t>C.4 Model Two: the annual navigation pass</w:t>
            </w:r>
            <w:r>
              <w:rPr>
                <w:rStyle w:val="IndexLink"/>
                <w:webHidden/>
              </w:rPr>
              <w:tab/>
              <w:t>70</w:t>
            </w:r>
          </w:hyperlink>
        </w:p>
        <w:p w14:paraId="5D884EE4" w14:textId="77777777" w:rsidR="00723F18" w:rsidRDefault="00000000">
          <w:pPr>
            <w:pStyle w:val="TOC2"/>
            <w:tabs>
              <w:tab w:val="clear" w:pos="9077"/>
              <w:tab w:val="right" w:leader="dot" w:pos="9360"/>
            </w:tabs>
          </w:pPr>
          <w:hyperlink w:anchor="__RefHeading___Toc6556_2939721771">
            <w:r>
              <w:rPr>
                <w:rStyle w:val="IndexLink"/>
                <w:webHidden/>
              </w:rPr>
              <w:t>C.5 Model Three: the in-kind service swap</w:t>
            </w:r>
            <w:r>
              <w:rPr>
                <w:rStyle w:val="IndexLink"/>
                <w:webHidden/>
              </w:rPr>
              <w:tab/>
              <w:t>70</w:t>
            </w:r>
          </w:hyperlink>
        </w:p>
        <w:p w14:paraId="5147721E" w14:textId="77777777" w:rsidR="00723F18" w:rsidRDefault="00000000">
          <w:pPr>
            <w:pStyle w:val="TOC2"/>
            <w:tabs>
              <w:tab w:val="clear" w:pos="9077"/>
              <w:tab w:val="right" w:leader="dot" w:pos="9360"/>
            </w:tabs>
          </w:pPr>
          <w:hyperlink w:anchor="__RefHeading___Toc6558_2939721771">
            <w:r>
              <w:rPr>
                <w:rStyle w:val="IndexLink"/>
                <w:webHidden/>
              </w:rPr>
              <w:t>C.6 Model Four: the two-tier pilotage mandate</w:t>
            </w:r>
            <w:r>
              <w:rPr>
                <w:rStyle w:val="IndexLink"/>
                <w:webHidden/>
              </w:rPr>
              <w:tab/>
              <w:t>70</w:t>
            </w:r>
          </w:hyperlink>
        </w:p>
        <w:p w14:paraId="3CF1DB50" w14:textId="77777777" w:rsidR="00723F18" w:rsidRDefault="00000000">
          <w:pPr>
            <w:pStyle w:val="TOC2"/>
            <w:tabs>
              <w:tab w:val="clear" w:pos="9077"/>
              <w:tab w:val="right" w:leader="dot" w:pos="9360"/>
            </w:tabs>
          </w:pPr>
          <w:hyperlink w:anchor="__RefHeading___Toc6560_2939721771">
            <w:r>
              <w:rPr>
                <w:rStyle w:val="IndexLink"/>
                <w:webHidden/>
              </w:rPr>
              <w:t>C.7 Model Five: the environmental bond and administration charge</w:t>
            </w:r>
            <w:r>
              <w:rPr>
                <w:rStyle w:val="IndexLink"/>
                <w:webHidden/>
              </w:rPr>
              <w:tab/>
              <w:t>71</w:t>
            </w:r>
          </w:hyperlink>
        </w:p>
        <w:p w14:paraId="257773EA" w14:textId="77777777" w:rsidR="00723F18" w:rsidRDefault="00000000">
          <w:pPr>
            <w:pStyle w:val="TOC2"/>
            <w:tabs>
              <w:tab w:val="clear" w:pos="9077"/>
              <w:tab w:val="right" w:leader="dot" w:pos="9360"/>
            </w:tabs>
          </w:pPr>
          <w:hyperlink w:anchor="__RefHeading___Toc6562_2939721771">
            <w:r>
              <w:rPr>
                <w:rStyle w:val="IndexLink"/>
                <w:webHidden/>
              </w:rPr>
              <w:t>C.8 Model Six: the service bundle</w:t>
            </w:r>
            <w:r>
              <w:rPr>
                <w:rStyle w:val="IndexLink"/>
                <w:webHidden/>
              </w:rPr>
              <w:tab/>
              <w:t>71</w:t>
            </w:r>
          </w:hyperlink>
        </w:p>
        <w:p w14:paraId="72A6A867" w14:textId="77777777" w:rsidR="00723F18" w:rsidRDefault="00000000">
          <w:pPr>
            <w:pStyle w:val="TOC2"/>
            <w:tabs>
              <w:tab w:val="clear" w:pos="9077"/>
              <w:tab w:val="right" w:leader="dot" w:pos="9360"/>
            </w:tabs>
          </w:pPr>
          <w:hyperlink w:anchor="__RefHeading___Toc6564_2939721771">
            <w:r>
              <w:rPr>
                <w:rStyle w:val="IndexLink"/>
                <w:webHidden/>
              </w:rPr>
              <w:t>C.9 Model Seven: deferred payment linked to asset release</w:t>
            </w:r>
            <w:r>
              <w:rPr>
                <w:rStyle w:val="IndexLink"/>
                <w:webHidden/>
              </w:rPr>
              <w:tab/>
              <w:t>71</w:t>
            </w:r>
          </w:hyperlink>
        </w:p>
        <w:p w14:paraId="7E9773CC" w14:textId="77777777" w:rsidR="00723F18" w:rsidRDefault="00000000">
          <w:pPr>
            <w:pStyle w:val="TOC2"/>
            <w:tabs>
              <w:tab w:val="clear" w:pos="9077"/>
              <w:tab w:val="right" w:leader="dot" w:pos="9360"/>
            </w:tabs>
          </w:pPr>
          <w:hyperlink w:anchor="__RefHeading___Toc6566_2939721771">
            <w:r>
              <w:rPr>
                <w:rStyle w:val="IndexLink"/>
                <w:webHidden/>
              </w:rPr>
              <w:t>C.10 Model Eight: the multilateral cost-recovery fee</w:t>
            </w:r>
            <w:r>
              <w:rPr>
                <w:rStyle w:val="IndexLink"/>
                <w:webHidden/>
              </w:rPr>
              <w:tab/>
              <w:t>71</w:t>
            </w:r>
          </w:hyperlink>
        </w:p>
        <w:p w14:paraId="13424708" w14:textId="77777777" w:rsidR="00723F18" w:rsidRDefault="00000000">
          <w:pPr>
            <w:pStyle w:val="TOC2"/>
            <w:tabs>
              <w:tab w:val="clear" w:pos="9077"/>
              <w:tab w:val="right" w:leader="dot" w:pos="9360"/>
            </w:tabs>
          </w:pPr>
          <w:hyperlink w:anchor="__RefHeading___Toc6568_2939721771">
            <w:r>
              <w:rPr>
                <w:rStyle w:val="IndexLink"/>
                <w:webHidden/>
              </w:rPr>
              <w:t>C.11 Model Nine: the transit data marketplace</w:t>
            </w:r>
            <w:r>
              <w:rPr>
                <w:rStyle w:val="IndexLink"/>
                <w:webHidden/>
              </w:rPr>
              <w:tab/>
              <w:t>71</w:t>
            </w:r>
          </w:hyperlink>
        </w:p>
        <w:p w14:paraId="70ABC35D" w14:textId="77777777" w:rsidR="00723F18" w:rsidRDefault="00000000">
          <w:pPr>
            <w:pStyle w:val="TOC2"/>
            <w:tabs>
              <w:tab w:val="clear" w:pos="9077"/>
              <w:tab w:val="right" w:leader="dot" w:pos="9360"/>
            </w:tabs>
          </w:pPr>
          <w:hyperlink w:anchor="__RefHeading___Toc6570_2939721771">
            <w:r>
              <w:rPr>
                <w:rStyle w:val="IndexLink"/>
                <w:webHidden/>
              </w:rPr>
              <w:t>C.12 Model Ten: the regional infrastructure bond</w:t>
            </w:r>
            <w:r>
              <w:rPr>
                <w:rStyle w:val="IndexLink"/>
                <w:webHidden/>
              </w:rPr>
              <w:tab/>
              <w:t>72</w:t>
            </w:r>
          </w:hyperlink>
        </w:p>
        <w:p w14:paraId="0872AF3D" w14:textId="77777777" w:rsidR="00723F18" w:rsidRDefault="00000000">
          <w:pPr>
            <w:pStyle w:val="TOC2"/>
            <w:tabs>
              <w:tab w:val="clear" w:pos="9077"/>
              <w:tab w:val="right" w:leader="dot" w:pos="9360"/>
            </w:tabs>
          </w:pPr>
          <w:hyperlink w:anchor="__RefHeading___Toc6572_2939721771">
            <w:r>
              <w:rPr>
                <w:rStyle w:val="IndexLink"/>
                <w:webHidden/>
              </w:rPr>
              <w:t>C.13 The selection: one covenant, three channels</w:t>
            </w:r>
            <w:r>
              <w:rPr>
                <w:rStyle w:val="IndexLink"/>
                <w:webHidden/>
              </w:rPr>
              <w:tab/>
              <w:t>72</w:t>
            </w:r>
          </w:hyperlink>
        </w:p>
        <w:p w14:paraId="32B972BB" w14:textId="77777777" w:rsidR="00723F18" w:rsidRDefault="00000000">
          <w:pPr>
            <w:pStyle w:val="TOC2"/>
            <w:tabs>
              <w:tab w:val="clear" w:pos="9077"/>
              <w:tab w:val="right" w:leader="dot" w:pos="9360"/>
            </w:tabs>
          </w:pPr>
          <w:hyperlink w:anchor="__RefHeading___Toc6574_2939721771">
            <w:r>
              <w:rPr>
                <w:rStyle w:val="IndexLink"/>
                <w:webHidden/>
              </w:rPr>
              <w:t>C.14 The red-line screen</w:t>
            </w:r>
            <w:r>
              <w:rPr>
                <w:rStyle w:val="IndexLink"/>
                <w:webHidden/>
              </w:rPr>
              <w:tab/>
              <w:t>72</w:t>
            </w:r>
          </w:hyperlink>
        </w:p>
        <w:p w14:paraId="0F7332EC" w14:textId="77777777" w:rsidR="00723F18" w:rsidRDefault="00000000">
          <w:pPr>
            <w:pStyle w:val="TOC1"/>
          </w:pPr>
          <w:hyperlink w:anchor="__RefHeading___Toc6576_2939721771">
            <w:r>
              <w:rPr>
                <w:rStyle w:val="IndexLink"/>
                <w:webHidden/>
              </w:rPr>
              <w:t>Annex D: The Verification Schedule</w:t>
            </w:r>
            <w:r>
              <w:rPr>
                <w:rStyle w:val="IndexLink"/>
                <w:webHidden/>
              </w:rPr>
              <w:tab/>
              <w:t>73</w:t>
            </w:r>
          </w:hyperlink>
        </w:p>
        <w:p w14:paraId="51754A0C" w14:textId="77777777" w:rsidR="00723F18" w:rsidRDefault="00000000">
          <w:pPr>
            <w:pStyle w:val="TOC2"/>
            <w:tabs>
              <w:tab w:val="clear" w:pos="9077"/>
              <w:tab w:val="right" w:leader="dot" w:pos="9360"/>
            </w:tabs>
          </w:pPr>
          <w:hyperlink w:anchor="__RefHeading___Toc6578_2939721771">
            <w:r>
              <w:rPr>
                <w:rStyle w:val="IndexLink"/>
                <w:webHidden/>
              </w:rPr>
              <w:t>D.1 Evidence streams</w:t>
            </w:r>
            <w:r>
              <w:rPr>
                <w:rStyle w:val="IndexLink"/>
                <w:webHidden/>
              </w:rPr>
              <w:tab/>
              <w:t>73</w:t>
            </w:r>
          </w:hyperlink>
        </w:p>
        <w:p w14:paraId="1BA67EAF" w14:textId="77777777" w:rsidR="00723F18" w:rsidRDefault="00000000">
          <w:pPr>
            <w:pStyle w:val="TOC2"/>
            <w:tabs>
              <w:tab w:val="clear" w:pos="9077"/>
              <w:tab w:val="right" w:leader="dot" w:pos="9360"/>
            </w:tabs>
          </w:pPr>
          <w:hyperlink w:anchor="__RefHeading___Toc6580_2939721771">
            <w:r>
              <w:rPr>
                <w:rStyle w:val="IndexLink"/>
                <w:webHidden/>
              </w:rPr>
              <w:t>D.2 The Convergence Matrix</w:t>
            </w:r>
            <w:r>
              <w:rPr>
                <w:rStyle w:val="IndexLink"/>
                <w:webHidden/>
              </w:rPr>
              <w:tab/>
              <w:t>73</w:t>
            </w:r>
          </w:hyperlink>
        </w:p>
        <w:p w14:paraId="5D56CE9F" w14:textId="77777777" w:rsidR="00723F18" w:rsidRDefault="00000000">
          <w:pPr>
            <w:pStyle w:val="TOC2"/>
            <w:tabs>
              <w:tab w:val="clear" w:pos="9077"/>
              <w:tab w:val="right" w:leader="dot" w:pos="9360"/>
            </w:tabs>
          </w:pPr>
          <w:hyperlink w:anchor="__RefHeading___Toc6582_2939721771">
            <w:r>
              <w:rPr>
                <w:rStyle w:val="IndexLink"/>
                <w:webHidden/>
              </w:rPr>
              <w:t>D.3 The Technical Arbitration Window roster</w:t>
            </w:r>
            <w:r>
              <w:rPr>
                <w:rStyle w:val="IndexLink"/>
                <w:webHidden/>
              </w:rPr>
              <w:tab/>
              <w:t>74</w:t>
            </w:r>
          </w:hyperlink>
        </w:p>
        <w:p w14:paraId="66419BCD" w14:textId="77777777" w:rsidR="00723F18" w:rsidRDefault="00000000">
          <w:pPr>
            <w:pStyle w:val="TOC2"/>
            <w:tabs>
              <w:tab w:val="clear" w:pos="9077"/>
              <w:tab w:val="right" w:leader="dot" w:pos="9360"/>
            </w:tabs>
          </w:pPr>
          <w:hyperlink w:anchor="__RefHeading___Toc6584_2939721771">
            <w:r>
              <w:rPr>
                <w:rStyle w:val="IndexLink"/>
                <w:webHidden/>
              </w:rPr>
              <w:t>D.4 Ruling standards</w:t>
            </w:r>
            <w:r>
              <w:rPr>
                <w:rStyle w:val="IndexLink"/>
                <w:webHidden/>
              </w:rPr>
              <w:tab/>
              <w:t>74</w:t>
            </w:r>
          </w:hyperlink>
        </w:p>
        <w:p w14:paraId="7E02F2D7" w14:textId="77777777" w:rsidR="00723F18" w:rsidRDefault="00000000">
          <w:pPr>
            <w:pStyle w:val="TOC2"/>
            <w:tabs>
              <w:tab w:val="clear" w:pos="9077"/>
              <w:tab w:val="right" w:leader="dot" w:pos="9360"/>
            </w:tabs>
          </w:pPr>
          <w:hyperlink w:anchor="__RefHeading___Toc6586_2939721771">
            <w:r>
              <w:rPr>
                <w:rStyle w:val="IndexLink"/>
                <w:webHidden/>
              </w:rPr>
              <w:t>D.5 The degraded-mode protocol</w:t>
            </w:r>
            <w:r>
              <w:rPr>
                <w:rStyle w:val="IndexLink"/>
                <w:webHidden/>
              </w:rPr>
              <w:tab/>
              <w:t>74</w:t>
            </w:r>
          </w:hyperlink>
        </w:p>
        <w:p w14:paraId="522B2D79" w14:textId="77777777" w:rsidR="00723F18" w:rsidRDefault="00000000">
          <w:pPr>
            <w:pStyle w:val="TOC2"/>
            <w:tabs>
              <w:tab w:val="clear" w:pos="9077"/>
              <w:tab w:val="right" w:leader="dot" w:pos="9360"/>
            </w:tabs>
          </w:pPr>
          <w:hyperlink w:anchor="__RefHeading___Toc6588_2939721771">
            <w:r>
              <w:rPr>
                <w:rStyle w:val="IndexLink"/>
                <w:webHidden/>
              </w:rPr>
              <w:t>D.6 The audit of verification</w:t>
            </w:r>
            <w:r>
              <w:rPr>
                <w:rStyle w:val="IndexLink"/>
                <w:webHidden/>
              </w:rPr>
              <w:tab/>
              <w:t>74</w:t>
            </w:r>
          </w:hyperlink>
        </w:p>
        <w:p w14:paraId="5D7C4F1A" w14:textId="77777777" w:rsidR="00723F18" w:rsidRDefault="00000000">
          <w:pPr>
            <w:pStyle w:val="TOC1"/>
          </w:pPr>
          <w:hyperlink w:anchor="__RefHeading___Toc6590_2939721771">
            <w:r>
              <w:rPr>
                <w:rStyle w:val="IndexLink"/>
                <w:webHidden/>
              </w:rPr>
              <w:t>Annex E: Implementation Timeline, Activation Checklists, and Staffing Table</w:t>
            </w:r>
            <w:r>
              <w:rPr>
                <w:rStyle w:val="IndexLink"/>
                <w:webHidden/>
              </w:rPr>
              <w:tab/>
              <w:t>74</w:t>
            </w:r>
          </w:hyperlink>
        </w:p>
        <w:p w14:paraId="04F3719D" w14:textId="77777777" w:rsidR="00723F18" w:rsidRDefault="00000000">
          <w:pPr>
            <w:pStyle w:val="TOC2"/>
            <w:tabs>
              <w:tab w:val="clear" w:pos="9077"/>
              <w:tab w:val="right" w:leader="dot" w:pos="9360"/>
            </w:tabs>
          </w:pPr>
          <w:hyperlink w:anchor="__RefHeading___Toc6592_2939721771">
            <w:r>
              <w:rPr>
                <w:rStyle w:val="IndexLink"/>
                <w:webHidden/>
              </w:rPr>
              <w:t>E.1 The activation sequence (signature to Hour 96)</w:t>
            </w:r>
            <w:r>
              <w:rPr>
                <w:rStyle w:val="IndexLink"/>
                <w:webHidden/>
              </w:rPr>
              <w:tab/>
              <w:t>74</w:t>
            </w:r>
          </w:hyperlink>
        </w:p>
        <w:p w14:paraId="0A5A4D5C" w14:textId="77777777" w:rsidR="00723F18" w:rsidRDefault="00000000">
          <w:pPr>
            <w:pStyle w:val="TOC2"/>
            <w:tabs>
              <w:tab w:val="clear" w:pos="9077"/>
              <w:tab w:val="right" w:leader="dot" w:pos="9360"/>
            </w:tabs>
          </w:pPr>
          <w:hyperlink w:anchor="__RefHeading___Toc6594_2939721771">
            <w:r>
              <w:rPr>
                <w:rStyle w:val="IndexLink"/>
                <w:webHidden/>
              </w:rPr>
              <w:t>E.2 Days 1 to 10: clearance surge and first certifications</w:t>
            </w:r>
            <w:r>
              <w:rPr>
                <w:rStyle w:val="IndexLink"/>
                <w:webHidden/>
              </w:rPr>
              <w:tab/>
              <w:t>74</w:t>
            </w:r>
          </w:hyperlink>
        </w:p>
        <w:p w14:paraId="4556742D" w14:textId="77777777" w:rsidR="00723F18" w:rsidRDefault="00000000">
          <w:pPr>
            <w:pStyle w:val="TOC2"/>
            <w:tabs>
              <w:tab w:val="clear" w:pos="9077"/>
              <w:tab w:val="right" w:leader="dot" w:pos="9360"/>
            </w:tabs>
          </w:pPr>
          <w:hyperlink w:anchor="__RefHeading___Toc6596_2939721771">
            <w:r>
              <w:rPr>
                <w:rStyle w:val="IndexLink"/>
                <w:webHidden/>
              </w:rPr>
              <w:t>E.3 Days 11 to 20: Phase One close</w:t>
            </w:r>
            <w:r>
              <w:rPr>
                <w:rStyle w:val="IndexLink"/>
                <w:webHidden/>
              </w:rPr>
              <w:tab/>
              <w:t>75</w:t>
            </w:r>
          </w:hyperlink>
        </w:p>
        <w:p w14:paraId="20B3AD34" w14:textId="77777777" w:rsidR="00723F18" w:rsidRDefault="00000000">
          <w:pPr>
            <w:pStyle w:val="TOC2"/>
            <w:tabs>
              <w:tab w:val="clear" w:pos="9077"/>
              <w:tab w:val="right" w:leader="dot" w:pos="9360"/>
            </w:tabs>
          </w:pPr>
          <w:hyperlink w:anchor="__RefHeading___Toc6598_2939721771">
            <w:r>
              <w:rPr>
                <w:rStyle w:val="IndexLink"/>
                <w:webHidden/>
              </w:rPr>
              <w:t>E.4 Days 21 to 40: Phase Two</w:t>
            </w:r>
            <w:r>
              <w:rPr>
                <w:rStyle w:val="IndexLink"/>
                <w:webHidden/>
              </w:rPr>
              <w:tab/>
              <w:t>75</w:t>
            </w:r>
          </w:hyperlink>
        </w:p>
        <w:p w14:paraId="280868FA" w14:textId="77777777" w:rsidR="00723F18" w:rsidRDefault="00000000">
          <w:pPr>
            <w:pStyle w:val="TOC2"/>
            <w:tabs>
              <w:tab w:val="clear" w:pos="9077"/>
              <w:tab w:val="right" w:leader="dot" w:pos="9360"/>
            </w:tabs>
          </w:pPr>
          <w:hyperlink w:anchor="__RefHeading___Toc6600_2939721771">
            <w:r>
              <w:rPr>
                <w:rStyle w:val="IndexLink"/>
                <w:webHidden/>
              </w:rPr>
              <w:t>E.5 Days 41 to 60: Phase Three</w:t>
            </w:r>
            <w:r>
              <w:rPr>
                <w:rStyle w:val="IndexLink"/>
                <w:webHidden/>
              </w:rPr>
              <w:tab/>
              <w:t>75</w:t>
            </w:r>
          </w:hyperlink>
        </w:p>
        <w:p w14:paraId="65B0046D" w14:textId="77777777" w:rsidR="00723F18" w:rsidRDefault="00000000">
          <w:pPr>
            <w:pStyle w:val="TOC2"/>
            <w:tabs>
              <w:tab w:val="clear" w:pos="9077"/>
              <w:tab w:val="right" w:leader="dot" w:pos="9360"/>
            </w:tabs>
          </w:pPr>
          <w:hyperlink w:anchor="__RefHeading___Toc6602_2939721771">
            <w:r>
              <w:rPr>
                <w:rStyle w:val="IndexLink"/>
                <w:webHidden/>
              </w:rPr>
              <w:t>E.6 The transit recovery ramp</w:t>
            </w:r>
            <w:r>
              <w:rPr>
                <w:rStyle w:val="IndexLink"/>
                <w:webHidden/>
              </w:rPr>
              <w:tab/>
              <w:t>75</w:t>
            </w:r>
          </w:hyperlink>
        </w:p>
        <w:p w14:paraId="2CA6BFFC" w14:textId="77777777" w:rsidR="00723F18" w:rsidRDefault="00000000">
          <w:pPr>
            <w:pStyle w:val="TOC2"/>
            <w:tabs>
              <w:tab w:val="clear" w:pos="9077"/>
              <w:tab w:val="right" w:leader="dot" w:pos="9360"/>
            </w:tabs>
          </w:pPr>
          <w:hyperlink w:anchor="__RefHeading___Toc6604_2939721771">
            <w:r>
              <w:rPr>
                <w:rStyle w:val="IndexLink"/>
                <w:webHidden/>
              </w:rPr>
              <w:t>E.7 Staffing table</w:t>
            </w:r>
            <w:r>
              <w:rPr>
                <w:rStyle w:val="IndexLink"/>
                <w:webHidden/>
              </w:rPr>
              <w:tab/>
              <w:t>75</w:t>
            </w:r>
          </w:hyperlink>
        </w:p>
        <w:p w14:paraId="14200017" w14:textId="77777777" w:rsidR="00723F18" w:rsidRDefault="00000000">
          <w:pPr>
            <w:pStyle w:val="TOC2"/>
            <w:tabs>
              <w:tab w:val="clear" w:pos="9077"/>
              <w:tab w:val="right" w:leader="dot" w:pos="9360"/>
            </w:tabs>
          </w:pPr>
          <w:hyperlink w:anchor="__RefHeading___Toc6606_2939721771">
            <w:r>
              <w:rPr>
                <w:rStyle w:val="IndexLink"/>
                <w:webHidden/>
              </w:rPr>
              <w:t>E.8 The Day One checklist</w:t>
            </w:r>
            <w:r>
              <w:rPr>
                <w:rStyle w:val="IndexLink"/>
                <w:webHidden/>
              </w:rPr>
              <w:tab/>
              <w:t>76</w:t>
            </w:r>
          </w:hyperlink>
        </w:p>
        <w:p w14:paraId="2AB02828" w14:textId="77777777" w:rsidR="00723F18" w:rsidRDefault="00000000">
          <w:pPr>
            <w:pStyle w:val="TOC2"/>
            <w:tabs>
              <w:tab w:val="clear" w:pos="9077"/>
              <w:tab w:val="right" w:leader="dot" w:pos="9360"/>
            </w:tabs>
          </w:pPr>
          <w:hyperlink w:anchor="__RefHeading___Toc6608_2939721771">
            <w:r>
              <w:rPr>
                <w:rStyle w:val="IndexLink"/>
                <w:webHidden/>
              </w:rPr>
              <w:t>E.9 The early harvest</w:t>
            </w:r>
            <w:r>
              <w:rPr>
                <w:rStyle w:val="IndexLink"/>
                <w:webHidden/>
              </w:rPr>
              <w:tab/>
              <w:t>76</w:t>
            </w:r>
          </w:hyperlink>
        </w:p>
        <w:p w14:paraId="43014A0B" w14:textId="77777777" w:rsidR="00723F18" w:rsidRDefault="00000000">
          <w:pPr>
            <w:pStyle w:val="TOC1"/>
          </w:pPr>
          <w:hyperlink w:anchor="__RefHeading___Toc6610_2939721771">
            <w:r>
              <w:rPr>
                <w:rStyle w:val="IndexLink"/>
                <w:webHidden/>
              </w:rPr>
              <w:t>Annex F: The Red Lines Register (Full Operative Text)</w:t>
            </w:r>
            <w:r>
              <w:rPr>
                <w:rStyle w:val="IndexLink"/>
                <w:webHidden/>
              </w:rPr>
              <w:tab/>
              <w:t>77</w:t>
            </w:r>
          </w:hyperlink>
        </w:p>
        <w:p w14:paraId="238254BA" w14:textId="77777777" w:rsidR="00723F18" w:rsidRDefault="00000000">
          <w:pPr>
            <w:pStyle w:val="TOC2"/>
            <w:tabs>
              <w:tab w:val="clear" w:pos="9077"/>
              <w:tab w:val="right" w:leader="dot" w:pos="9360"/>
            </w:tabs>
          </w:pPr>
          <w:hyperlink w:anchor="__RefHeading___Toc6612_2939721771">
            <w:r>
              <w:rPr>
                <w:rStyle w:val="IndexLink"/>
                <w:webHidden/>
              </w:rPr>
              <w:t>F.1 Method</w:t>
            </w:r>
            <w:r>
              <w:rPr>
                <w:rStyle w:val="IndexLink"/>
                <w:webHidden/>
              </w:rPr>
              <w:tab/>
              <w:t>77</w:t>
            </w:r>
          </w:hyperlink>
        </w:p>
        <w:p w14:paraId="59F9170B" w14:textId="77777777" w:rsidR="00723F18" w:rsidRDefault="00000000">
          <w:pPr>
            <w:pStyle w:val="TOC2"/>
            <w:tabs>
              <w:tab w:val="clear" w:pos="9077"/>
              <w:tab w:val="right" w:leader="dot" w:pos="9360"/>
            </w:tabs>
          </w:pPr>
          <w:hyperlink w:anchor="__RefHeading___Toc6614_2939721771">
            <w:r>
              <w:rPr>
                <w:rStyle w:val="IndexLink"/>
                <w:webHidden/>
              </w:rPr>
              <w:t>F.2 The Register</w:t>
            </w:r>
            <w:r>
              <w:rPr>
                <w:rStyle w:val="IndexLink"/>
                <w:webHidden/>
              </w:rPr>
              <w:tab/>
              <w:t>77</w:t>
            </w:r>
          </w:hyperlink>
        </w:p>
        <w:p w14:paraId="43F5F908" w14:textId="77777777" w:rsidR="00723F18" w:rsidRDefault="00000000">
          <w:pPr>
            <w:pStyle w:val="TOC2"/>
            <w:tabs>
              <w:tab w:val="clear" w:pos="9077"/>
              <w:tab w:val="right" w:leader="dot" w:pos="9360"/>
            </w:tabs>
          </w:pPr>
          <w:hyperlink w:anchor="__RefHeading___Toc6616_2939721771">
            <w:r>
              <w:rPr>
                <w:rStyle w:val="IndexLink"/>
                <w:webHidden/>
              </w:rPr>
              <w:t>F.3 Consultation</w:t>
            </w:r>
            <w:r>
              <w:rPr>
                <w:rStyle w:val="IndexLink"/>
                <w:webHidden/>
              </w:rPr>
              <w:tab/>
              <w:t>78</w:t>
            </w:r>
          </w:hyperlink>
        </w:p>
        <w:p w14:paraId="4E5F814C" w14:textId="77777777" w:rsidR="00723F18" w:rsidRDefault="00000000">
          <w:pPr>
            <w:pStyle w:val="TOC1"/>
          </w:pPr>
          <w:hyperlink w:anchor="__RefHeading___Toc6618_2939721771">
            <w:r>
              <w:rPr>
                <w:rStyle w:val="IndexLink"/>
                <w:webHidden/>
              </w:rPr>
              <w:t>Annex G: The Negotiation Map</w:t>
            </w:r>
            <w:r>
              <w:rPr>
                <w:rStyle w:val="IndexLink"/>
                <w:webHidden/>
              </w:rPr>
              <w:tab/>
              <w:t>79</w:t>
            </w:r>
          </w:hyperlink>
        </w:p>
        <w:p w14:paraId="40F00ED6" w14:textId="77777777" w:rsidR="00723F18" w:rsidRDefault="00000000">
          <w:pPr>
            <w:pStyle w:val="TOC2"/>
            <w:tabs>
              <w:tab w:val="clear" w:pos="9077"/>
              <w:tab w:val="right" w:leader="dot" w:pos="9360"/>
            </w:tabs>
          </w:pPr>
          <w:hyperlink w:anchor="__RefHeading___Toc6620_2939721771">
            <w:r>
              <w:rPr>
                <w:rStyle w:val="IndexLink"/>
                <w:webHidden/>
              </w:rPr>
              <w:t>G.1 Purpose and method</w:t>
            </w:r>
            <w:r>
              <w:rPr>
                <w:rStyle w:val="IndexLink"/>
                <w:webHidden/>
              </w:rPr>
              <w:tab/>
              <w:t>79</w:t>
            </w:r>
          </w:hyperlink>
        </w:p>
        <w:p w14:paraId="5475F37E" w14:textId="77777777" w:rsidR="00723F18" w:rsidRDefault="00000000">
          <w:pPr>
            <w:pStyle w:val="TOC2"/>
            <w:tabs>
              <w:tab w:val="clear" w:pos="9077"/>
              <w:tab w:val="right" w:leader="dot" w:pos="9360"/>
            </w:tabs>
          </w:pPr>
          <w:hyperlink w:anchor="__RefHeading___Toc6622_2939721771">
            <w:r>
              <w:rPr>
                <w:rStyle w:val="IndexLink"/>
                <w:webHidden/>
              </w:rPr>
              <w:t>G.2 The Iranian positions</w:t>
            </w:r>
            <w:r>
              <w:rPr>
                <w:rStyle w:val="IndexLink"/>
                <w:webHidden/>
              </w:rPr>
              <w:tab/>
              <w:t>79</w:t>
            </w:r>
          </w:hyperlink>
        </w:p>
        <w:p w14:paraId="4C0B1B1D" w14:textId="77777777" w:rsidR="00723F18" w:rsidRDefault="00000000">
          <w:pPr>
            <w:pStyle w:val="TOC2"/>
            <w:tabs>
              <w:tab w:val="clear" w:pos="9077"/>
              <w:tab w:val="right" w:leader="dot" w:pos="9360"/>
            </w:tabs>
          </w:pPr>
          <w:hyperlink w:anchor="__RefHeading___Toc6624_2939721771">
            <w:r>
              <w:rPr>
                <w:rStyle w:val="IndexLink"/>
                <w:webHidden/>
              </w:rPr>
              <w:t>G.3 The United States positions</w:t>
            </w:r>
            <w:r>
              <w:rPr>
                <w:rStyle w:val="IndexLink"/>
                <w:webHidden/>
              </w:rPr>
              <w:tab/>
              <w:t>80</w:t>
            </w:r>
          </w:hyperlink>
        </w:p>
        <w:p w14:paraId="611C086A" w14:textId="77777777" w:rsidR="00723F18" w:rsidRDefault="00000000">
          <w:pPr>
            <w:pStyle w:val="TOC2"/>
            <w:tabs>
              <w:tab w:val="clear" w:pos="9077"/>
              <w:tab w:val="right" w:leader="dot" w:pos="9360"/>
            </w:tabs>
          </w:pPr>
          <w:hyperlink w:anchor="__RefHeading___Toc6626_2939721771">
            <w:r>
              <w:rPr>
                <w:rStyle w:val="IndexLink"/>
                <w:webHidden/>
              </w:rPr>
              <w:t>G.4 The Omani positions</w:t>
            </w:r>
            <w:r>
              <w:rPr>
                <w:rStyle w:val="IndexLink"/>
                <w:webHidden/>
              </w:rPr>
              <w:tab/>
              <w:t>80</w:t>
            </w:r>
          </w:hyperlink>
        </w:p>
        <w:p w14:paraId="0B7BC565" w14:textId="77777777" w:rsidR="00723F18" w:rsidRDefault="00000000">
          <w:pPr>
            <w:pStyle w:val="TOC2"/>
            <w:tabs>
              <w:tab w:val="clear" w:pos="9077"/>
              <w:tab w:val="right" w:leader="dot" w:pos="9360"/>
            </w:tabs>
          </w:pPr>
          <w:hyperlink w:anchor="__RefHeading___Toc6628_2939721771">
            <w:r>
              <w:rPr>
                <w:rStyle w:val="IndexLink"/>
                <w:webHidden/>
              </w:rPr>
              <w:t>G.5 The Qatari positions</w:t>
            </w:r>
            <w:r>
              <w:rPr>
                <w:rStyle w:val="IndexLink"/>
                <w:webHidden/>
              </w:rPr>
              <w:tab/>
              <w:t>81</w:t>
            </w:r>
          </w:hyperlink>
        </w:p>
        <w:p w14:paraId="265062F9" w14:textId="77777777" w:rsidR="00723F18" w:rsidRDefault="00000000">
          <w:pPr>
            <w:pStyle w:val="TOC2"/>
            <w:tabs>
              <w:tab w:val="clear" w:pos="9077"/>
              <w:tab w:val="right" w:leader="dot" w:pos="9360"/>
            </w:tabs>
          </w:pPr>
          <w:hyperlink w:anchor="__RefHeading___Toc6630_2939721771">
            <w:r>
              <w:rPr>
                <w:rStyle w:val="IndexLink"/>
                <w:webHidden/>
              </w:rPr>
              <w:t>G.6 The intersection set</w:t>
            </w:r>
            <w:r>
              <w:rPr>
                <w:rStyle w:val="IndexLink"/>
                <w:webHidden/>
              </w:rPr>
              <w:tab/>
              <w:t>81</w:t>
            </w:r>
          </w:hyperlink>
        </w:p>
        <w:p w14:paraId="74F1B588" w14:textId="77777777" w:rsidR="00723F18" w:rsidRDefault="00000000">
          <w:pPr>
            <w:pStyle w:val="TOC1"/>
          </w:pPr>
          <w:hyperlink w:anchor="__RefHeading___Toc6632_2939721771">
            <w:r>
              <w:rPr>
                <w:rStyle w:val="IndexLink"/>
                <w:webHidden/>
              </w:rPr>
              <w:t>Annex H: The Narrative Symmetry Note</w:t>
            </w:r>
            <w:r>
              <w:rPr>
                <w:rStyle w:val="IndexLink"/>
                <w:webHidden/>
              </w:rPr>
              <w:tab/>
              <w:t>81</w:t>
            </w:r>
          </w:hyperlink>
        </w:p>
        <w:p w14:paraId="77CE22C1" w14:textId="77777777" w:rsidR="00723F18" w:rsidRDefault="00000000">
          <w:pPr>
            <w:pStyle w:val="TOC2"/>
            <w:tabs>
              <w:tab w:val="clear" w:pos="9077"/>
              <w:tab w:val="right" w:leader="dot" w:pos="9360"/>
            </w:tabs>
          </w:pPr>
          <w:hyperlink w:anchor="__RefHeading___Toc6634_2939721771">
            <w:r>
              <w:rPr>
                <w:rStyle w:val="IndexLink"/>
                <w:webHidden/>
              </w:rPr>
              <w:t>H.1 Purpose</w:t>
            </w:r>
            <w:r>
              <w:rPr>
                <w:rStyle w:val="IndexLink"/>
                <w:webHidden/>
              </w:rPr>
              <w:tab/>
              <w:t>81</w:t>
            </w:r>
          </w:hyperlink>
        </w:p>
        <w:p w14:paraId="3A184C29" w14:textId="77777777" w:rsidR="00723F18" w:rsidRDefault="00000000">
          <w:pPr>
            <w:pStyle w:val="TOC2"/>
            <w:tabs>
              <w:tab w:val="clear" w:pos="9077"/>
              <w:tab w:val="right" w:leader="dot" w:pos="9360"/>
            </w:tabs>
          </w:pPr>
          <w:hyperlink w:anchor="__RefHeading___Toc6636_2939721771">
            <w:r>
              <w:rPr>
                <w:rStyle w:val="IndexLink"/>
                <w:webHidden/>
              </w:rPr>
              <w:t>H.2 How Tehran frames the Accord</w:t>
            </w:r>
            <w:r>
              <w:rPr>
                <w:rStyle w:val="IndexLink"/>
                <w:webHidden/>
              </w:rPr>
              <w:tab/>
              <w:t>81</w:t>
            </w:r>
          </w:hyperlink>
        </w:p>
        <w:p w14:paraId="512E9916" w14:textId="77777777" w:rsidR="00723F18" w:rsidRDefault="00000000">
          <w:pPr>
            <w:pStyle w:val="TOC2"/>
            <w:tabs>
              <w:tab w:val="clear" w:pos="9077"/>
              <w:tab w:val="right" w:leader="dot" w:pos="9360"/>
            </w:tabs>
          </w:pPr>
          <w:hyperlink w:anchor="__RefHeading___Toc6638_2939721771">
            <w:r>
              <w:rPr>
                <w:rStyle w:val="IndexLink"/>
                <w:webHidden/>
              </w:rPr>
              <w:t>H.3 How Washington frames the Accord</w:t>
            </w:r>
            <w:r>
              <w:rPr>
                <w:rStyle w:val="IndexLink"/>
                <w:webHidden/>
              </w:rPr>
              <w:tab/>
              <w:t>82</w:t>
            </w:r>
          </w:hyperlink>
        </w:p>
        <w:p w14:paraId="03B3B2D1" w14:textId="77777777" w:rsidR="00723F18" w:rsidRDefault="00000000">
          <w:pPr>
            <w:pStyle w:val="TOC2"/>
            <w:tabs>
              <w:tab w:val="clear" w:pos="9077"/>
              <w:tab w:val="right" w:leader="dot" w:pos="9360"/>
            </w:tabs>
          </w:pPr>
          <w:hyperlink w:anchor="__RefHeading___Toc6640_2939721771">
            <w:r>
              <w:rPr>
                <w:rStyle w:val="IndexLink"/>
                <w:webHidden/>
              </w:rPr>
              <w:t>H.4 How Muscat frames the Accord</w:t>
            </w:r>
            <w:r>
              <w:rPr>
                <w:rStyle w:val="IndexLink"/>
                <w:webHidden/>
              </w:rPr>
              <w:tab/>
              <w:t>82</w:t>
            </w:r>
          </w:hyperlink>
        </w:p>
        <w:p w14:paraId="1FDFBCE4" w14:textId="77777777" w:rsidR="00723F18" w:rsidRDefault="00000000">
          <w:pPr>
            <w:pStyle w:val="TOC2"/>
            <w:tabs>
              <w:tab w:val="clear" w:pos="9077"/>
              <w:tab w:val="right" w:leader="dot" w:pos="9360"/>
            </w:tabs>
          </w:pPr>
          <w:hyperlink w:anchor="__RefHeading___Toc6642_2939721771">
            <w:r>
              <w:rPr>
                <w:rStyle w:val="IndexLink"/>
                <w:webHidden/>
              </w:rPr>
              <w:t>H.5 How Doha frames the Accord</w:t>
            </w:r>
            <w:r>
              <w:rPr>
                <w:rStyle w:val="IndexLink"/>
                <w:webHidden/>
              </w:rPr>
              <w:tab/>
              <w:t>82</w:t>
            </w:r>
          </w:hyperlink>
        </w:p>
        <w:p w14:paraId="655E3CCF" w14:textId="77777777" w:rsidR="00723F18" w:rsidRDefault="00000000">
          <w:pPr>
            <w:pStyle w:val="TOC2"/>
            <w:tabs>
              <w:tab w:val="clear" w:pos="9077"/>
              <w:tab w:val="right" w:leader="dot" w:pos="9360"/>
            </w:tabs>
          </w:pPr>
          <w:hyperlink w:anchor="__RefHeading___Toc6644_2939721771">
            <w:r>
              <w:rPr>
                <w:rStyle w:val="IndexLink"/>
                <w:webHidden/>
              </w:rPr>
              <w:t>H.6 The non-contradiction principle</w:t>
            </w:r>
            <w:r>
              <w:rPr>
                <w:rStyle w:val="IndexLink"/>
                <w:webHidden/>
              </w:rPr>
              <w:tab/>
              <w:t>82</w:t>
            </w:r>
          </w:hyperlink>
        </w:p>
        <w:p w14:paraId="6B4FC410" w14:textId="77777777" w:rsidR="00723F18" w:rsidRDefault="00000000">
          <w:pPr>
            <w:pStyle w:val="TOC1"/>
          </w:pPr>
          <w:hyperlink w:anchor="__RefHeading___Toc6646_2939721771">
            <w:r>
              <w:rPr>
                <w:rStyle w:val="IndexLink"/>
                <w:webHidden/>
              </w:rPr>
              <w:t>Annex I: Communications, Notification Formats, and the Mariners’ Handbook</w:t>
            </w:r>
            <w:r>
              <w:rPr>
                <w:rStyle w:val="IndexLink"/>
                <w:webHidden/>
              </w:rPr>
              <w:tab/>
              <w:t>82</w:t>
            </w:r>
          </w:hyperlink>
        </w:p>
        <w:p w14:paraId="6E21851B" w14:textId="77777777" w:rsidR="00723F18" w:rsidRDefault="00000000">
          <w:pPr>
            <w:pStyle w:val="TOC2"/>
            <w:tabs>
              <w:tab w:val="clear" w:pos="9077"/>
              <w:tab w:val="right" w:leader="dot" w:pos="9360"/>
            </w:tabs>
          </w:pPr>
          <w:hyperlink w:anchor="__RefHeading___Toc6648_2939721771">
            <w:r>
              <w:rPr>
                <w:rStyle w:val="IndexLink"/>
                <w:webHidden/>
              </w:rPr>
              <w:t>I.1 The twelve-field transit declaration</w:t>
            </w:r>
            <w:r>
              <w:rPr>
                <w:rStyle w:val="IndexLink"/>
                <w:webHidden/>
              </w:rPr>
              <w:tab/>
              <w:t>82</w:t>
            </w:r>
          </w:hyperlink>
        </w:p>
        <w:p w14:paraId="16FC6136" w14:textId="77777777" w:rsidR="00723F18" w:rsidRDefault="00000000">
          <w:pPr>
            <w:pStyle w:val="TOC2"/>
            <w:tabs>
              <w:tab w:val="clear" w:pos="9077"/>
              <w:tab w:val="right" w:leader="dot" w:pos="9360"/>
            </w:tabs>
          </w:pPr>
          <w:hyperlink w:anchor="__RefHeading___Toc6650_2939721771">
            <w:r>
              <w:rPr>
                <w:rStyle w:val="IndexLink"/>
                <w:webHidden/>
              </w:rPr>
              <w:t>I.2 The voice discipline</w:t>
            </w:r>
            <w:r>
              <w:rPr>
                <w:rStyle w:val="IndexLink"/>
                <w:webHidden/>
              </w:rPr>
              <w:tab/>
              <w:t>83</w:t>
            </w:r>
          </w:hyperlink>
        </w:p>
        <w:p w14:paraId="6B2A0698" w14:textId="77777777" w:rsidR="00723F18" w:rsidRDefault="00000000">
          <w:pPr>
            <w:pStyle w:val="TOC2"/>
            <w:tabs>
              <w:tab w:val="clear" w:pos="9077"/>
              <w:tab w:val="right" w:leader="dot" w:pos="9360"/>
            </w:tabs>
          </w:pPr>
          <w:hyperlink w:anchor="__RefHeading___Toc6652_2939721771">
            <w:r>
              <w:rPr>
                <w:rStyle w:val="IndexLink"/>
                <w:webHidden/>
              </w:rPr>
              <w:t>I.3 The VHF plan</w:t>
            </w:r>
            <w:r>
              <w:rPr>
                <w:rStyle w:val="IndexLink"/>
                <w:webHidden/>
              </w:rPr>
              <w:tab/>
              <w:t>83</w:t>
            </w:r>
          </w:hyperlink>
        </w:p>
        <w:p w14:paraId="464BD4FA" w14:textId="77777777" w:rsidR="00723F18" w:rsidRDefault="00000000">
          <w:pPr>
            <w:pStyle w:val="TOC2"/>
            <w:tabs>
              <w:tab w:val="clear" w:pos="9077"/>
              <w:tab w:val="right" w:leader="dot" w:pos="9360"/>
            </w:tabs>
          </w:pPr>
          <w:hyperlink w:anchor="__RefHeading___Toc6654_2939721771">
            <w:r>
              <w:rPr>
                <w:rStyle w:val="IndexLink"/>
                <w:webHidden/>
              </w:rPr>
              <w:t>I.4 The hotline matrix</w:t>
            </w:r>
            <w:r>
              <w:rPr>
                <w:rStyle w:val="IndexLink"/>
                <w:webHidden/>
              </w:rPr>
              <w:tab/>
              <w:t>83</w:t>
            </w:r>
          </w:hyperlink>
        </w:p>
        <w:p w14:paraId="66365A0D" w14:textId="77777777" w:rsidR="00723F18" w:rsidRDefault="00000000">
          <w:pPr>
            <w:pStyle w:val="TOC2"/>
            <w:tabs>
              <w:tab w:val="clear" w:pos="9077"/>
              <w:tab w:val="right" w:leader="dot" w:pos="9360"/>
            </w:tabs>
          </w:pPr>
          <w:hyperlink w:anchor="__RefHeading___Toc6656_2939721771">
            <w:r>
              <w:rPr>
                <w:rStyle w:val="IndexLink"/>
                <w:webHidden/>
              </w:rPr>
              <w:t>I.5 The standard message form</w:t>
            </w:r>
            <w:r>
              <w:rPr>
                <w:rStyle w:val="IndexLink"/>
                <w:webHidden/>
              </w:rPr>
              <w:tab/>
              <w:t>83</w:t>
            </w:r>
          </w:hyperlink>
        </w:p>
        <w:p w14:paraId="4E299FC1" w14:textId="77777777" w:rsidR="00723F18" w:rsidRDefault="00000000">
          <w:pPr>
            <w:pStyle w:val="TOC2"/>
            <w:tabs>
              <w:tab w:val="clear" w:pos="9077"/>
              <w:tab w:val="right" w:leader="dot" w:pos="9360"/>
            </w:tabs>
          </w:pPr>
          <w:hyperlink w:anchor="__RefHeading___Toc6658_2939721771">
            <w:r>
              <w:rPr>
                <w:rStyle w:val="IndexLink"/>
                <w:webHidden/>
              </w:rPr>
              <w:t>I.6 The one-page cards</w:t>
            </w:r>
            <w:r>
              <w:rPr>
                <w:rStyle w:val="IndexLink"/>
                <w:webHidden/>
              </w:rPr>
              <w:tab/>
              <w:t>83</w:t>
            </w:r>
          </w:hyperlink>
        </w:p>
        <w:p w14:paraId="2DE292B2" w14:textId="77777777" w:rsidR="00723F18" w:rsidRDefault="00000000">
          <w:pPr>
            <w:pStyle w:val="TOC2"/>
            <w:tabs>
              <w:tab w:val="clear" w:pos="9077"/>
              <w:tab w:val="right" w:leader="dot" w:pos="9360"/>
            </w:tabs>
          </w:pPr>
          <w:hyperlink w:anchor="__RefHeading___Toc6660_2939721771">
            <w:r>
              <w:rPr>
                <w:rStyle w:val="IndexLink"/>
                <w:webHidden/>
              </w:rPr>
              <w:t>I.7 The non-telemetry mode</w:t>
            </w:r>
            <w:r>
              <w:rPr>
                <w:rStyle w:val="IndexLink"/>
                <w:webHidden/>
              </w:rPr>
              <w:tab/>
              <w:t>84</w:t>
            </w:r>
          </w:hyperlink>
        </w:p>
        <w:p w14:paraId="6822797F" w14:textId="77777777" w:rsidR="00723F18" w:rsidRDefault="00000000">
          <w:pPr>
            <w:pStyle w:val="TOC2"/>
            <w:tabs>
              <w:tab w:val="clear" w:pos="9077"/>
              <w:tab w:val="right" w:leader="dot" w:pos="9360"/>
            </w:tabs>
          </w:pPr>
          <w:hyperlink w:anchor="__RefHeading___Toc6662_2939721771">
            <w:r>
              <w:rPr>
                <w:rStyle w:val="IndexLink"/>
                <w:webHidden/>
              </w:rPr>
              <w:t>I.8 The standing pre-authorization for clearance</w:t>
            </w:r>
            <w:r>
              <w:rPr>
                <w:rStyle w:val="IndexLink"/>
                <w:webHidden/>
              </w:rPr>
              <w:tab/>
              <w:t>84</w:t>
            </w:r>
          </w:hyperlink>
        </w:p>
        <w:p w14:paraId="0D9BFE3E" w14:textId="77777777" w:rsidR="00723F18" w:rsidRDefault="00000000">
          <w:pPr>
            <w:pStyle w:val="TOC1"/>
          </w:pPr>
          <w:hyperlink w:anchor="__RefHeading___Toc6664_2939721771">
            <w:r>
              <w:rPr>
                <w:rStyle w:val="IndexLink"/>
                <w:webHidden/>
              </w:rPr>
              <w:t>Annex J: Risk Register and Spoiler Management</w:t>
            </w:r>
            <w:r>
              <w:rPr>
                <w:rStyle w:val="IndexLink"/>
                <w:webHidden/>
              </w:rPr>
              <w:tab/>
              <w:t>84</w:t>
            </w:r>
          </w:hyperlink>
        </w:p>
        <w:p w14:paraId="347542BA" w14:textId="77777777" w:rsidR="00723F18" w:rsidRDefault="00000000">
          <w:pPr>
            <w:pStyle w:val="TOC2"/>
            <w:tabs>
              <w:tab w:val="clear" w:pos="9077"/>
              <w:tab w:val="right" w:leader="dot" w:pos="9360"/>
            </w:tabs>
          </w:pPr>
          <w:hyperlink w:anchor="__RefHeading___Toc6666_2939721771">
            <w:r>
              <w:rPr>
                <w:rStyle w:val="IndexLink"/>
                <w:webHidden/>
              </w:rPr>
              <w:t>J.1 Design logic</w:t>
            </w:r>
            <w:r>
              <w:rPr>
                <w:rStyle w:val="IndexLink"/>
                <w:webHidden/>
              </w:rPr>
              <w:tab/>
              <w:t>84</w:t>
            </w:r>
          </w:hyperlink>
        </w:p>
        <w:p w14:paraId="118DA7E0" w14:textId="77777777" w:rsidR="00723F18" w:rsidRDefault="00000000">
          <w:pPr>
            <w:pStyle w:val="TOC2"/>
            <w:tabs>
              <w:tab w:val="clear" w:pos="9077"/>
              <w:tab w:val="right" w:leader="dot" w:pos="9360"/>
            </w:tabs>
          </w:pPr>
          <w:hyperlink w:anchor="__RefHeading___Toc6668_2939721771">
            <w:r>
              <w:rPr>
                <w:rStyle w:val="IndexLink"/>
                <w:webHidden/>
              </w:rPr>
              <w:t>J.2 The register</w:t>
            </w:r>
            <w:r>
              <w:rPr>
                <w:rStyle w:val="IndexLink"/>
                <w:webHidden/>
              </w:rPr>
              <w:tab/>
              <w:t>84</w:t>
            </w:r>
          </w:hyperlink>
        </w:p>
        <w:p w14:paraId="026DE8BD" w14:textId="77777777" w:rsidR="00723F18" w:rsidRDefault="00000000">
          <w:pPr>
            <w:pStyle w:val="TOC2"/>
            <w:tabs>
              <w:tab w:val="clear" w:pos="9077"/>
              <w:tab w:val="right" w:leader="dot" w:pos="9360"/>
            </w:tabs>
          </w:pPr>
          <w:hyperlink w:anchor="__RefHeading___Toc6670_2939721771">
            <w:r>
              <w:rPr>
                <w:rStyle w:val="IndexLink"/>
                <w:webHidden/>
              </w:rPr>
              <w:t>J.3 Spoiler management protocol</w:t>
            </w:r>
            <w:r>
              <w:rPr>
                <w:rStyle w:val="IndexLink"/>
                <w:webHidden/>
              </w:rPr>
              <w:tab/>
              <w:t>85</w:t>
            </w:r>
          </w:hyperlink>
        </w:p>
        <w:p w14:paraId="4D863C27" w14:textId="77777777" w:rsidR="00723F18" w:rsidRDefault="00000000">
          <w:pPr>
            <w:pStyle w:val="TOC2"/>
            <w:tabs>
              <w:tab w:val="clear" w:pos="9077"/>
              <w:tab w:val="right" w:leader="dot" w:pos="9360"/>
            </w:tabs>
          </w:pPr>
          <w:hyperlink w:anchor="__RefHeading___Toc6672_2939721771">
            <w:r>
              <w:rPr>
                <w:rStyle w:val="IndexLink"/>
                <w:webHidden/>
              </w:rPr>
              <w:t>J.4 Domestic friction management</w:t>
            </w:r>
            <w:r>
              <w:rPr>
                <w:rStyle w:val="IndexLink"/>
                <w:webHidden/>
              </w:rPr>
              <w:tab/>
              <w:t>86</w:t>
            </w:r>
          </w:hyperlink>
        </w:p>
        <w:p w14:paraId="31BE856E" w14:textId="77777777" w:rsidR="00723F18" w:rsidRDefault="00000000">
          <w:pPr>
            <w:pStyle w:val="TOC1"/>
          </w:pPr>
          <w:hyperlink w:anchor="__RefHeading___Toc6674_2939721771">
            <w:r>
              <w:rPr>
                <w:rStyle w:val="IndexLink"/>
                <w:webHidden/>
              </w:rPr>
              <w:t>Annex K: Insurance Normalization and the Market Re-Entry Path</w:t>
            </w:r>
            <w:r>
              <w:rPr>
                <w:rStyle w:val="IndexLink"/>
                <w:webHidden/>
              </w:rPr>
              <w:tab/>
              <w:t>86</w:t>
            </w:r>
          </w:hyperlink>
        </w:p>
        <w:p w14:paraId="75118E98" w14:textId="77777777" w:rsidR="00723F18" w:rsidRDefault="00000000">
          <w:pPr>
            <w:pStyle w:val="TOC2"/>
            <w:tabs>
              <w:tab w:val="clear" w:pos="9077"/>
              <w:tab w:val="right" w:leader="dot" w:pos="9360"/>
            </w:tabs>
          </w:pPr>
          <w:hyperlink w:anchor="__RefHeading___Toc6676_2939721771">
            <w:r>
              <w:rPr>
                <w:rStyle w:val="IndexLink"/>
                <w:webHidden/>
              </w:rPr>
              <w:t>K.1 The market problem</w:t>
            </w:r>
            <w:r>
              <w:rPr>
                <w:rStyle w:val="IndexLink"/>
                <w:webHidden/>
              </w:rPr>
              <w:tab/>
              <w:t>86</w:t>
            </w:r>
          </w:hyperlink>
        </w:p>
        <w:p w14:paraId="3D9861EB" w14:textId="77777777" w:rsidR="00723F18" w:rsidRDefault="00000000">
          <w:pPr>
            <w:pStyle w:val="TOC2"/>
            <w:tabs>
              <w:tab w:val="clear" w:pos="9077"/>
              <w:tab w:val="right" w:leader="dot" w:pos="9360"/>
            </w:tabs>
          </w:pPr>
          <w:hyperlink w:anchor="__RefHeading___Toc6678_2939721771">
            <w:r>
              <w:rPr>
                <w:rStyle w:val="IndexLink"/>
                <w:webHidden/>
              </w:rPr>
              <w:t>K.2 The data product</w:t>
            </w:r>
            <w:r>
              <w:rPr>
                <w:rStyle w:val="IndexLink"/>
                <w:webHidden/>
              </w:rPr>
              <w:tab/>
              <w:t>86</w:t>
            </w:r>
          </w:hyperlink>
        </w:p>
        <w:p w14:paraId="19F14239" w14:textId="77777777" w:rsidR="00723F18" w:rsidRDefault="00000000">
          <w:pPr>
            <w:pStyle w:val="TOC2"/>
            <w:tabs>
              <w:tab w:val="clear" w:pos="9077"/>
              <w:tab w:val="right" w:leader="dot" w:pos="9360"/>
            </w:tabs>
          </w:pPr>
          <w:hyperlink w:anchor="__RefHeading___Toc6680_2939721771">
            <w:r>
              <w:rPr>
                <w:rStyle w:val="IndexLink"/>
                <w:webHidden/>
              </w:rPr>
              <w:t>K.3 The normalization ladder</w:t>
            </w:r>
            <w:r>
              <w:rPr>
                <w:rStyle w:val="IndexLink"/>
                <w:webHidden/>
              </w:rPr>
              <w:tab/>
              <w:t>86</w:t>
            </w:r>
          </w:hyperlink>
        </w:p>
        <w:p w14:paraId="578653FB" w14:textId="77777777" w:rsidR="00723F18" w:rsidRDefault="00000000">
          <w:pPr>
            <w:pStyle w:val="TOC2"/>
            <w:tabs>
              <w:tab w:val="clear" w:pos="9077"/>
              <w:tab w:val="right" w:leader="dot" w:pos="9360"/>
            </w:tabs>
          </w:pPr>
          <w:hyperlink w:anchor="__RefHeading___Toc6682_2939721771">
            <w:r>
              <w:rPr>
                <w:rStyle w:val="IndexLink"/>
                <w:webHidden/>
              </w:rPr>
              <w:t>K.4 The war-risk dialogue</w:t>
            </w:r>
            <w:r>
              <w:rPr>
                <w:rStyle w:val="IndexLink"/>
                <w:webHidden/>
              </w:rPr>
              <w:tab/>
              <w:t>87</w:t>
            </w:r>
          </w:hyperlink>
        </w:p>
        <w:p w14:paraId="5750A4C4" w14:textId="77777777" w:rsidR="00723F18" w:rsidRDefault="00000000">
          <w:pPr>
            <w:pStyle w:val="TOC2"/>
            <w:tabs>
              <w:tab w:val="clear" w:pos="9077"/>
              <w:tab w:val="right" w:leader="dot" w:pos="9360"/>
            </w:tabs>
          </w:pPr>
          <w:hyperlink w:anchor="__RefHeading___Toc6684_2939721771">
            <w:r>
              <w:rPr>
                <w:rStyle w:val="IndexLink"/>
                <w:webHidden/>
              </w:rPr>
              <w:t>K.5 The re-entry ramp for owners</w:t>
            </w:r>
            <w:r>
              <w:rPr>
                <w:rStyle w:val="IndexLink"/>
                <w:webHidden/>
              </w:rPr>
              <w:tab/>
              <w:t>87</w:t>
            </w:r>
          </w:hyperlink>
        </w:p>
        <w:p w14:paraId="4BCDD236" w14:textId="77777777" w:rsidR="00723F18" w:rsidRDefault="00000000">
          <w:pPr>
            <w:pStyle w:val="TOC1"/>
          </w:pPr>
          <w:hyperlink w:anchor="__RefHeading___Toc6686_2939721771">
            <w:r>
              <w:rPr>
                <w:rStyle w:val="IndexLink"/>
                <w:webHidden/>
              </w:rPr>
              <w:t>Annex L: Operative Definitions</w:t>
            </w:r>
            <w:r>
              <w:rPr>
                <w:rStyle w:val="IndexLink"/>
                <w:webHidden/>
              </w:rPr>
              <w:tab/>
              <w:t>87</w:t>
            </w:r>
          </w:hyperlink>
        </w:p>
        <w:p w14:paraId="320647BF" w14:textId="77777777" w:rsidR="00723F18" w:rsidRDefault="00000000">
          <w:pPr>
            <w:pStyle w:val="TOC1"/>
          </w:pPr>
          <w:hyperlink w:anchor="__RefHeading___Toc6688_2939721771">
            <w:r>
              <w:rPr>
                <w:rStyle w:val="IndexLink"/>
                <w:webHidden/>
              </w:rPr>
              <w:t>Annex M: Provenance and Context Note</w:t>
            </w:r>
            <w:r>
              <w:rPr>
                <w:rStyle w:val="IndexLink"/>
                <w:webHidden/>
              </w:rPr>
              <w:tab/>
              <w:t>89</w:t>
            </w:r>
          </w:hyperlink>
        </w:p>
        <w:p w14:paraId="35FB33F8" w14:textId="77777777" w:rsidR="00723F18" w:rsidRDefault="00000000">
          <w:pPr>
            <w:pStyle w:val="TOC2"/>
            <w:tabs>
              <w:tab w:val="clear" w:pos="9077"/>
              <w:tab w:val="right" w:leader="dot" w:pos="9360"/>
            </w:tabs>
          </w:pPr>
          <w:hyperlink w:anchor="__RefHeading___Toc6690_2939721771">
            <w:r>
              <w:rPr>
                <w:rStyle w:val="IndexLink"/>
                <w:webHidden/>
              </w:rPr>
              <w:t>M.1 What this note is</w:t>
            </w:r>
            <w:r>
              <w:rPr>
                <w:rStyle w:val="IndexLink"/>
                <w:webHidden/>
              </w:rPr>
              <w:tab/>
              <w:t>89</w:t>
            </w:r>
          </w:hyperlink>
        </w:p>
        <w:p w14:paraId="010572CF" w14:textId="77777777" w:rsidR="00723F18" w:rsidRDefault="00000000">
          <w:pPr>
            <w:pStyle w:val="TOC2"/>
            <w:tabs>
              <w:tab w:val="clear" w:pos="9077"/>
              <w:tab w:val="right" w:leader="dot" w:pos="9360"/>
            </w:tabs>
          </w:pPr>
          <w:hyperlink w:anchor="__RefHeading___Toc6692_2939721771">
            <w:r>
              <w:rPr>
                <w:rStyle w:val="IndexLink"/>
                <w:webHidden/>
              </w:rPr>
              <w:t>M.2 The crisis record</w:t>
            </w:r>
            <w:r>
              <w:rPr>
                <w:rStyle w:val="IndexLink"/>
                <w:webHidden/>
              </w:rPr>
              <w:tab/>
              <w:t>89</w:t>
            </w:r>
          </w:hyperlink>
        </w:p>
        <w:p w14:paraId="49122E24" w14:textId="77777777" w:rsidR="00723F18" w:rsidRDefault="00000000">
          <w:pPr>
            <w:pStyle w:val="TOC2"/>
            <w:tabs>
              <w:tab w:val="clear" w:pos="9077"/>
              <w:tab w:val="right" w:leader="dot" w:pos="9360"/>
            </w:tabs>
          </w:pPr>
          <w:hyperlink w:anchor="__RefHeading___Toc6694_2939721771">
            <w:r>
              <w:rPr>
                <w:rStyle w:val="IndexLink"/>
                <w:webHidden/>
              </w:rPr>
              <w:t>M.3 The June Framework and its erosion</w:t>
            </w:r>
            <w:r>
              <w:rPr>
                <w:rStyle w:val="IndexLink"/>
                <w:webHidden/>
              </w:rPr>
              <w:tab/>
              <w:t>89</w:t>
            </w:r>
          </w:hyperlink>
        </w:p>
        <w:p w14:paraId="5980E4BC" w14:textId="77777777" w:rsidR="00723F18" w:rsidRDefault="00000000">
          <w:pPr>
            <w:pStyle w:val="TOC2"/>
            <w:tabs>
              <w:tab w:val="clear" w:pos="9077"/>
              <w:tab w:val="right" w:leader="dot" w:pos="9360"/>
            </w:tabs>
          </w:pPr>
          <w:hyperlink w:anchor="__RefHeading___Toc6696_2939721771">
            <w:r>
              <w:rPr>
                <w:rStyle w:val="IndexLink"/>
                <w:webHidden/>
              </w:rPr>
              <w:t>M.4 The late July proposals</w:t>
            </w:r>
            <w:r>
              <w:rPr>
                <w:rStyle w:val="IndexLink"/>
                <w:webHidden/>
              </w:rPr>
              <w:tab/>
              <w:t>89</w:t>
            </w:r>
          </w:hyperlink>
        </w:p>
        <w:p w14:paraId="40D3D471" w14:textId="77777777" w:rsidR="00723F18" w:rsidRDefault="00000000">
          <w:pPr>
            <w:pStyle w:val="TOC2"/>
            <w:tabs>
              <w:tab w:val="clear" w:pos="9077"/>
              <w:tab w:val="right" w:leader="dot" w:pos="9360"/>
            </w:tabs>
          </w:pPr>
          <w:hyperlink w:anchor="__RefHeading___Toc6698_2939721771">
            <w:r>
              <w:rPr>
                <w:rStyle w:val="IndexLink"/>
                <w:webHidden/>
              </w:rPr>
              <w:t>M.5 The August opening</w:t>
            </w:r>
            <w:r>
              <w:rPr>
                <w:rStyle w:val="IndexLink"/>
                <w:webHidden/>
              </w:rPr>
              <w:tab/>
              <w:t>90</w:t>
            </w:r>
          </w:hyperlink>
        </w:p>
        <w:p w14:paraId="1989CC38" w14:textId="77777777" w:rsidR="00723F18" w:rsidRDefault="00000000">
          <w:pPr>
            <w:pStyle w:val="TOC2"/>
            <w:tabs>
              <w:tab w:val="clear" w:pos="9077"/>
              <w:tab w:val="right" w:leader="dot" w:pos="9360"/>
            </w:tabs>
          </w:pPr>
          <w:hyperlink w:anchor="__RefHeading___Toc6700_2939721771">
            <w:r>
              <w:rPr>
                <w:rStyle w:val="IndexLink"/>
                <w:webHidden/>
              </w:rPr>
              <w:t>M.6 Sources of design</w:t>
            </w:r>
            <w:r>
              <w:rPr>
                <w:rStyle w:val="IndexLink"/>
                <w:webHidden/>
              </w:rPr>
              <w:tab/>
              <w:t>90</w:t>
            </w:r>
          </w:hyperlink>
        </w:p>
        <w:p w14:paraId="566C39AA" w14:textId="77777777" w:rsidR="00723F18" w:rsidRDefault="00000000">
          <w:pPr>
            <w:pStyle w:val="TOC2"/>
            <w:tabs>
              <w:tab w:val="clear" w:pos="9077"/>
              <w:tab w:val="right" w:leader="dot" w:pos="9360"/>
            </w:tabs>
          </w:pPr>
          <w:hyperlink w:anchor="__RefHeading___Toc6702_2939721771">
            <w:r>
              <w:rPr>
                <w:rStyle w:val="IndexLink"/>
                <w:webHidden/>
              </w:rPr>
              <w:t>M.7 Closing note</w:t>
            </w:r>
            <w:r>
              <w:rPr>
                <w:rStyle w:val="IndexLink"/>
                <w:webHidden/>
              </w:rPr>
              <w:tab/>
              <w:t>90</w:t>
            </w:r>
          </w:hyperlink>
          <w:r>
            <w:rPr>
              <w:rStyle w:val="IndexLink"/>
            </w:rPr>
            <w:fldChar w:fldCharType="end"/>
          </w:r>
        </w:p>
      </w:sdtContent>
    </w:sdt>
    <w:p w14:paraId="10ED06E0" w14:textId="77777777" w:rsidR="00723F18" w:rsidRDefault="00723F18"/>
    <w:p w14:paraId="1E1CBE85" w14:textId="77777777" w:rsidR="00723F18" w:rsidRDefault="00000000">
      <w:pPr>
        <w:pStyle w:val="Heading1"/>
      </w:pPr>
      <w:bookmarkStart w:id="1" w:name="__RefHeading___Toc6368_2939721771"/>
      <w:bookmarkEnd w:id="1"/>
      <w:r>
        <w:t>Document Control and Instrument Record</w:t>
      </w:r>
    </w:p>
    <w:tbl>
      <w:tblPr>
        <w:tblStyle w:val="Table"/>
        <w:tblW w:w="5000" w:type="pct"/>
        <w:tblInd w:w="0" w:type="dxa"/>
        <w:tblLayout w:type="fixed"/>
        <w:tblLook w:val="0020" w:firstRow="1" w:lastRow="0" w:firstColumn="0" w:lastColumn="0" w:noHBand="0" w:noVBand="0"/>
      </w:tblPr>
      <w:tblGrid>
        <w:gridCol w:w="4787"/>
        <w:gridCol w:w="4789"/>
      </w:tblGrid>
      <w:tr w:rsidR="00723F18" w14:paraId="27781796"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4679" w:type="dxa"/>
            <w:tcBorders>
              <w:bottom w:val="single" w:sz="6" w:space="0" w:color="000000"/>
            </w:tcBorders>
          </w:tcPr>
          <w:p w14:paraId="4FC5BA13" w14:textId="77777777" w:rsidR="00723F18" w:rsidRDefault="00000000">
            <w:pPr>
              <w:pStyle w:val="Compact"/>
              <w:widowControl w:val="0"/>
              <w:rPr>
                <w:rFonts w:ascii="Cambria" w:eastAsia="Cambria" w:hAnsi="Cambria"/>
              </w:rPr>
            </w:pPr>
            <w:r>
              <w:rPr>
                <w:rFonts w:eastAsia="Cambria"/>
                <w:b/>
              </w:rPr>
              <w:t>Field</w:t>
            </w:r>
          </w:p>
        </w:tc>
        <w:tc>
          <w:tcPr>
            <w:tcW w:w="4680" w:type="dxa"/>
            <w:tcBorders>
              <w:bottom w:val="single" w:sz="6" w:space="0" w:color="000000"/>
            </w:tcBorders>
          </w:tcPr>
          <w:p w14:paraId="6F8048DC" w14:textId="77777777" w:rsidR="00723F18" w:rsidRDefault="00000000">
            <w:pPr>
              <w:pStyle w:val="Compact"/>
              <w:widowControl w:val="0"/>
              <w:rPr>
                <w:rFonts w:ascii="Cambria" w:eastAsia="Cambria" w:hAnsi="Cambria"/>
              </w:rPr>
            </w:pPr>
            <w:r>
              <w:rPr>
                <w:rFonts w:eastAsia="Cambria"/>
                <w:b/>
              </w:rPr>
              <w:t>Record</w:t>
            </w:r>
          </w:p>
        </w:tc>
      </w:tr>
      <w:tr w:rsidR="00723F18" w14:paraId="65498F00" w14:textId="77777777" w:rsidTr="00723F18">
        <w:tc>
          <w:tcPr>
            <w:tcW w:w="4679" w:type="dxa"/>
          </w:tcPr>
          <w:p w14:paraId="452D8C1D" w14:textId="77777777" w:rsidR="00723F18" w:rsidRDefault="00000000">
            <w:pPr>
              <w:pStyle w:val="Compact"/>
              <w:widowControl w:val="0"/>
              <w:rPr>
                <w:rFonts w:ascii="Cambria" w:eastAsia="Cambria" w:hAnsi="Cambria"/>
              </w:rPr>
            </w:pPr>
            <w:r>
              <w:rPr>
                <w:rFonts w:eastAsia="Cambria"/>
              </w:rPr>
              <w:t>Instrument</w:t>
            </w:r>
          </w:p>
        </w:tc>
        <w:tc>
          <w:tcPr>
            <w:tcW w:w="4680" w:type="dxa"/>
          </w:tcPr>
          <w:p w14:paraId="7F651E55" w14:textId="77777777" w:rsidR="00723F18" w:rsidRDefault="00000000">
            <w:pPr>
              <w:pStyle w:val="Compact"/>
              <w:widowControl w:val="0"/>
              <w:rPr>
                <w:rFonts w:ascii="Cambria" w:eastAsia="Cambria" w:hAnsi="Cambria"/>
              </w:rPr>
            </w:pPr>
            <w:r>
              <w:rPr>
                <w:rFonts w:eastAsia="Cambria"/>
              </w:rPr>
              <w:t>Hormuz Three-Corridor Transit Scheme Accord (HTCSA), Version 1.0</w:t>
            </w:r>
          </w:p>
        </w:tc>
      </w:tr>
      <w:tr w:rsidR="00723F18" w14:paraId="38B7468F" w14:textId="77777777" w:rsidTr="00723F18">
        <w:tc>
          <w:tcPr>
            <w:tcW w:w="4679" w:type="dxa"/>
          </w:tcPr>
          <w:p w14:paraId="51FFD109" w14:textId="77777777" w:rsidR="00723F18" w:rsidRDefault="00000000">
            <w:pPr>
              <w:pStyle w:val="Compact"/>
              <w:widowControl w:val="0"/>
              <w:rPr>
                <w:rFonts w:ascii="Cambria" w:eastAsia="Cambria" w:hAnsi="Cambria"/>
              </w:rPr>
            </w:pPr>
            <w:r>
              <w:rPr>
                <w:rFonts w:eastAsia="Cambria"/>
              </w:rPr>
              <w:t>Short title</w:t>
            </w:r>
          </w:p>
        </w:tc>
        <w:tc>
          <w:tcPr>
            <w:tcW w:w="4680" w:type="dxa"/>
          </w:tcPr>
          <w:p w14:paraId="5E031E89" w14:textId="77777777" w:rsidR="00723F18" w:rsidRDefault="00000000">
            <w:pPr>
              <w:pStyle w:val="Compact"/>
              <w:widowControl w:val="0"/>
              <w:rPr>
                <w:rFonts w:ascii="Cambria" w:eastAsia="Cambria" w:hAnsi="Cambria"/>
              </w:rPr>
            </w:pPr>
            <w:r>
              <w:rPr>
                <w:rFonts w:eastAsia="Cambria"/>
              </w:rPr>
              <w:t>The Accord</w:t>
            </w:r>
          </w:p>
        </w:tc>
      </w:tr>
      <w:tr w:rsidR="00723F18" w14:paraId="491B1ECF" w14:textId="77777777" w:rsidTr="00723F18">
        <w:tc>
          <w:tcPr>
            <w:tcW w:w="4679" w:type="dxa"/>
          </w:tcPr>
          <w:p w14:paraId="6A1ABF27" w14:textId="77777777" w:rsidR="00723F18" w:rsidRDefault="00000000">
            <w:pPr>
              <w:pStyle w:val="Compact"/>
              <w:widowControl w:val="0"/>
              <w:rPr>
                <w:rFonts w:ascii="Cambria" w:eastAsia="Cambria" w:hAnsi="Cambria"/>
              </w:rPr>
            </w:pPr>
            <w:r>
              <w:rPr>
                <w:rFonts w:eastAsia="Cambria"/>
              </w:rPr>
              <w:t>Status</w:t>
            </w:r>
          </w:p>
        </w:tc>
        <w:tc>
          <w:tcPr>
            <w:tcW w:w="4680" w:type="dxa"/>
          </w:tcPr>
          <w:p w14:paraId="1F2427E4" w14:textId="77777777" w:rsidR="00723F18" w:rsidRDefault="00000000">
            <w:pPr>
              <w:pStyle w:val="Compact"/>
              <w:widowControl w:val="0"/>
              <w:rPr>
                <w:rFonts w:ascii="Cambria" w:eastAsia="Cambria" w:hAnsi="Cambria"/>
              </w:rPr>
            </w:pPr>
            <w:r>
              <w:rPr>
                <w:rFonts w:eastAsia="Cambria"/>
              </w:rPr>
              <w:t>Negotiation draft, operative edition, prepared for signature review</w:t>
            </w:r>
          </w:p>
        </w:tc>
      </w:tr>
      <w:tr w:rsidR="00723F18" w14:paraId="68D14451" w14:textId="77777777" w:rsidTr="00723F18">
        <w:tc>
          <w:tcPr>
            <w:tcW w:w="4679" w:type="dxa"/>
          </w:tcPr>
          <w:p w14:paraId="3079C1E4" w14:textId="77777777" w:rsidR="00723F18" w:rsidRDefault="00000000">
            <w:pPr>
              <w:pStyle w:val="Compact"/>
              <w:widowControl w:val="0"/>
              <w:rPr>
                <w:rFonts w:ascii="Cambria" w:eastAsia="Cambria" w:hAnsi="Cambria"/>
              </w:rPr>
            </w:pPr>
            <w:r>
              <w:rPr>
                <w:rFonts w:eastAsia="Cambria"/>
              </w:rPr>
              <w:t>Date of Issue</w:t>
            </w:r>
          </w:p>
        </w:tc>
        <w:tc>
          <w:tcPr>
            <w:tcW w:w="4680" w:type="dxa"/>
          </w:tcPr>
          <w:p w14:paraId="4A1027BC" w14:textId="77777777" w:rsidR="00723F18" w:rsidRDefault="00000000">
            <w:pPr>
              <w:pStyle w:val="Compact"/>
              <w:widowControl w:val="0"/>
              <w:rPr>
                <w:rFonts w:ascii="Cambria" w:eastAsia="Cambria" w:hAnsi="Cambria"/>
              </w:rPr>
            </w:pPr>
            <w:r>
              <w:rPr>
                <w:rFonts w:eastAsia="Cambria"/>
              </w:rPr>
              <w:t>3 August 2026</w:t>
            </w:r>
          </w:p>
        </w:tc>
      </w:tr>
      <w:tr w:rsidR="00723F18" w14:paraId="40CFBD31" w14:textId="77777777" w:rsidTr="00723F18">
        <w:tc>
          <w:tcPr>
            <w:tcW w:w="4679" w:type="dxa"/>
          </w:tcPr>
          <w:p w14:paraId="3F36BC48" w14:textId="77777777" w:rsidR="00723F18" w:rsidRDefault="00000000">
            <w:pPr>
              <w:pStyle w:val="Compact"/>
              <w:widowControl w:val="0"/>
              <w:rPr>
                <w:rFonts w:ascii="Cambria" w:eastAsia="Cambria" w:hAnsi="Cambria"/>
              </w:rPr>
            </w:pPr>
            <w:r>
              <w:rPr>
                <w:rFonts w:eastAsia="Cambria"/>
              </w:rPr>
              <w:t>Negotiation Reference</w:t>
            </w:r>
          </w:p>
        </w:tc>
        <w:tc>
          <w:tcPr>
            <w:tcW w:w="4680" w:type="dxa"/>
          </w:tcPr>
          <w:p w14:paraId="31E1DC5E" w14:textId="77777777" w:rsidR="00723F18" w:rsidRDefault="00000000">
            <w:pPr>
              <w:pStyle w:val="Compact"/>
              <w:widowControl w:val="0"/>
              <w:rPr>
                <w:rFonts w:ascii="Cambria" w:eastAsia="Cambria" w:hAnsi="Cambria"/>
              </w:rPr>
            </w:pPr>
            <w:r>
              <w:rPr>
                <w:rFonts w:eastAsia="Cambria"/>
              </w:rPr>
              <w:t>HTCSA-2026-v1.0</w:t>
            </w:r>
          </w:p>
        </w:tc>
      </w:tr>
      <w:tr w:rsidR="00723F18" w14:paraId="601C6C5A" w14:textId="77777777" w:rsidTr="00723F18">
        <w:tc>
          <w:tcPr>
            <w:tcW w:w="4679" w:type="dxa"/>
          </w:tcPr>
          <w:p w14:paraId="7C99DFBB" w14:textId="77777777" w:rsidR="00723F18" w:rsidRDefault="00000000">
            <w:pPr>
              <w:pStyle w:val="Compact"/>
              <w:widowControl w:val="0"/>
              <w:rPr>
                <w:rFonts w:ascii="Cambria" w:eastAsia="Cambria" w:hAnsi="Cambria"/>
              </w:rPr>
            </w:pPr>
            <w:r>
              <w:rPr>
                <w:rFonts w:eastAsia="Cambria"/>
              </w:rPr>
              <w:t>Anchor instruments</w:t>
            </w:r>
          </w:p>
        </w:tc>
        <w:tc>
          <w:tcPr>
            <w:tcW w:w="4680" w:type="dxa"/>
          </w:tcPr>
          <w:p w14:paraId="36290E75" w14:textId="77777777" w:rsidR="00723F18" w:rsidRDefault="00000000">
            <w:pPr>
              <w:pStyle w:val="Compact"/>
              <w:widowControl w:val="0"/>
              <w:rPr>
                <w:rFonts w:ascii="Cambria" w:eastAsia="Cambria" w:hAnsi="Cambria"/>
              </w:rPr>
            </w:pPr>
            <w:r>
              <w:rPr>
                <w:rFonts w:eastAsia="Cambria"/>
              </w:rPr>
              <w:t>The memorandum of understanding signed at Islamabad on 17 June 2026 (the June Framework), and the transit layout formulated by the United States and the State of Qatar over the weekend of 1 and 2 August 2026 (the August Layout)</w:t>
            </w:r>
          </w:p>
        </w:tc>
      </w:tr>
      <w:tr w:rsidR="00723F18" w14:paraId="359634E1" w14:textId="77777777" w:rsidTr="00723F18">
        <w:tc>
          <w:tcPr>
            <w:tcW w:w="4679" w:type="dxa"/>
          </w:tcPr>
          <w:p w14:paraId="3D75AE55" w14:textId="77777777" w:rsidR="00723F18" w:rsidRDefault="00000000">
            <w:pPr>
              <w:pStyle w:val="Compact"/>
              <w:widowControl w:val="0"/>
              <w:rPr>
                <w:rFonts w:ascii="Cambria" w:eastAsia="Cambria" w:hAnsi="Cambria"/>
              </w:rPr>
            </w:pPr>
            <w:r>
              <w:rPr>
                <w:rFonts w:eastAsia="Cambria"/>
              </w:rPr>
              <w:t>Parties</w:t>
            </w:r>
          </w:p>
        </w:tc>
        <w:tc>
          <w:tcPr>
            <w:tcW w:w="4680" w:type="dxa"/>
          </w:tcPr>
          <w:p w14:paraId="66ADD376" w14:textId="77777777" w:rsidR="00723F18" w:rsidRDefault="00000000">
            <w:pPr>
              <w:pStyle w:val="Compact"/>
              <w:widowControl w:val="0"/>
              <w:rPr>
                <w:rFonts w:ascii="Cambria" w:eastAsia="Cambria" w:hAnsi="Cambria"/>
              </w:rPr>
            </w:pPr>
            <w:r>
              <w:rPr>
                <w:rFonts w:eastAsia="Cambria"/>
              </w:rPr>
              <w:t>The Islamic Republic of Iran, the United States of America, the Sultanate of Oman, the State of Qatar</w:t>
            </w:r>
          </w:p>
        </w:tc>
      </w:tr>
      <w:tr w:rsidR="00723F18" w14:paraId="69223020" w14:textId="77777777" w:rsidTr="00723F18">
        <w:tc>
          <w:tcPr>
            <w:tcW w:w="4679" w:type="dxa"/>
          </w:tcPr>
          <w:p w14:paraId="5E775B80" w14:textId="77777777" w:rsidR="00723F18" w:rsidRDefault="00000000">
            <w:pPr>
              <w:pStyle w:val="Compact"/>
              <w:widowControl w:val="0"/>
              <w:rPr>
                <w:rFonts w:ascii="Cambria" w:eastAsia="Cambria" w:hAnsi="Cambria"/>
              </w:rPr>
            </w:pPr>
            <w:r>
              <w:rPr>
                <w:rFonts w:eastAsia="Cambria"/>
              </w:rPr>
              <w:t>Co-Facilitating States</w:t>
            </w:r>
          </w:p>
        </w:tc>
        <w:tc>
          <w:tcPr>
            <w:tcW w:w="4680" w:type="dxa"/>
          </w:tcPr>
          <w:p w14:paraId="23FE2D72" w14:textId="77777777" w:rsidR="00723F18" w:rsidRDefault="00000000">
            <w:pPr>
              <w:pStyle w:val="Compact"/>
              <w:widowControl w:val="0"/>
              <w:rPr>
                <w:rFonts w:ascii="Cambria" w:eastAsia="Cambria" w:hAnsi="Cambria"/>
              </w:rPr>
            </w:pPr>
            <w:r>
              <w:rPr>
                <w:rFonts w:eastAsia="Cambria"/>
              </w:rPr>
              <w:t xml:space="preserve">The Sultanate of Oman (maritime and corridor track) and the State of Qatar (economic bridging track and the </w:t>
            </w:r>
            <w:proofErr w:type="gramStart"/>
            <w:r>
              <w:rPr>
                <w:rFonts w:eastAsia="Cambria"/>
              </w:rPr>
              <w:t>principals</w:t>
            </w:r>
            <w:proofErr w:type="gramEnd"/>
            <w:r>
              <w:rPr>
                <w:rFonts w:eastAsia="Cambria"/>
              </w:rPr>
              <w:t xml:space="preserve"> channel to all military commands)</w:t>
            </w:r>
          </w:p>
        </w:tc>
      </w:tr>
      <w:tr w:rsidR="00723F18" w14:paraId="1FE18B95" w14:textId="77777777" w:rsidTr="00723F18">
        <w:tc>
          <w:tcPr>
            <w:tcW w:w="4679" w:type="dxa"/>
          </w:tcPr>
          <w:p w14:paraId="5F9D20ED" w14:textId="77777777" w:rsidR="00723F18" w:rsidRDefault="00000000">
            <w:pPr>
              <w:pStyle w:val="Compact"/>
              <w:widowControl w:val="0"/>
              <w:rPr>
                <w:rFonts w:ascii="Cambria" w:eastAsia="Cambria" w:hAnsi="Cambria"/>
              </w:rPr>
            </w:pPr>
            <w:r>
              <w:rPr>
                <w:rFonts w:eastAsia="Cambria"/>
              </w:rPr>
              <w:t>Neutral Administrator and Depositary</w:t>
            </w:r>
          </w:p>
        </w:tc>
        <w:tc>
          <w:tcPr>
            <w:tcW w:w="4680" w:type="dxa"/>
          </w:tcPr>
          <w:p w14:paraId="2A05141E" w14:textId="77777777" w:rsidR="00723F18" w:rsidRDefault="00000000">
            <w:pPr>
              <w:pStyle w:val="Compact"/>
              <w:widowControl w:val="0"/>
              <w:rPr>
                <w:rFonts w:ascii="Cambria" w:eastAsia="Cambria" w:hAnsi="Cambria"/>
              </w:rPr>
            </w:pPr>
            <w:r>
              <w:rPr>
                <w:rFonts w:eastAsia="Cambria"/>
              </w:rPr>
              <w:t>The Swiss Confederation</w:t>
            </w:r>
          </w:p>
        </w:tc>
      </w:tr>
      <w:tr w:rsidR="00723F18" w14:paraId="508C34DB" w14:textId="77777777" w:rsidTr="00723F18">
        <w:tc>
          <w:tcPr>
            <w:tcW w:w="4679" w:type="dxa"/>
          </w:tcPr>
          <w:p w14:paraId="2AB48DF3" w14:textId="77777777" w:rsidR="00723F18" w:rsidRDefault="00000000">
            <w:pPr>
              <w:pStyle w:val="Compact"/>
              <w:widowControl w:val="0"/>
              <w:rPr>
                <w:rFonts w:ascii="Cambria" w:eastAsia="Cambria" w:hAnsi="Cambria"/>
              </w:rPr>
            </w:pPr>
            <w:r>
              <w:rPr>
                <w:rFonts w:eastAsia="Cambria"/>
              </w:rPr>
              <w:t>Technical Interface</w:t>
            </w:r>
          </w:p>
        </w:tc>
        <w:tc>
          <w:tcPr>
            <w:tcW w:w="4680" w:type="dxa"/>
          </w:tcPr>
          <w:p w14:paraId="6BB66D4E" w14:textId="77777777" w:rsidR="00723F18" w:rsidRDefault="00000000">
            <w:pPr>
              <w:pStyle w:val="Compact"/>
              <w:widowControl w:val="0"/>
              <w:rPr>
                <w:rFonts w:ascii="Cambria" w:eastAsia="Cambria" w:hAnsi="Cambria"/>
              </w:rPr>
            </w:pPr>
            <w:r>
              <w:rPr>
                <w:rFonts w:eastAsia="Cambria"/>
              </w:rPr>
              <w:t>The International Maritime Organization (IMO) and the International Hydrographic Organization (IHO), in observer attendance</w:t>
            </w:r>
          </w:p>
        </w:tc>
      </w:tr>
      <w:tr w:rsidR="00723F18" w14:paraId="771C6D38" w14:textId="77777777" w:rsidTr="00723F18">
        <w:tc>
          <w:tcPr>
            <w:tcW w:w="4679" w:type="dxa"/>
          </w:tcPr>
          <w:p w14:paraId="2DD4A893" w14:textId="77777777" w:rsidR="00723F18" w:rsidRDefault="00000000">
            <w:pPr>
              <w:pStyle w:val="Compact"/>
              <w:widowControl w:val="0"/>
              <w:rPr>
                <w:rFonts w:ascii="Cambria" w:eastAsia="Cambria" w:hAnsi="Cambria"/>
              </w:rPr>
            </w:pPr>
            <w:r>
              <w:rPr>
                <w:rFonts w:eastAsia="Cambria"/>
              </w:rPr>
              <w:lastRenderedPageBreak/>
              <w:t>Seat</w:t>
            </w:r>
          </w:p>
        </w:tc>
        <w:tc>
          <w:tcPr>
            <w:tcW w:w="4680" w:type="dxa"/>
          </w:tcPr>
          <w:p w14:paraId="5253E246" w14:textId="77777777" w:rsidR="00723F18" w:rsidRDefault="00000000">
            <w:pPr>
              <w:pStyle w:val="Compact"/>
              <w:widowControl w:val="0"/>
              <w:rPr>
                <w:rFonts w:ascii="Cambria" w:eastAsia="Cambria" w:hAnsi="Cambria"/>
              </w:rPr>
            </w:pPr>
            <w:r>
              <w:rPr>
                <w:rFonts w:eastAsia="Cambria"/>
              </w:rPr>
              <w:t>The Hormuz Transit Commission, seated at the Muscat Operations Center, Muscat, with a mirror center of equal rank at Bandar Abbas and an economic desk at Doha</w:t>
            </w:r>
          </w:p>
        </w:tc>
      </w:tr>
      <w:tr w:rsidR="00723F18" w14:paraId="47FF6F00" w14:textId="77777777" w:rsidTr="00723F18">
        <w:tc>
          <w:tcPr>
            <w:tcW w:w="4679" w:type="dxa"/>
          </w:tcPr>
          <w:p w14:paraId="1896FCB9" w14:textId="77777777" w:rsidR="00723F18" w:rsidRDefault="00000000">
            <w:pPr>
              <w:pStyle w:val="Compact"/>
              <w:widowControl w:val="0"/>
              <w:rPr>
                <w:rFonts w:ascii="Cambria" w:eastAsia="Cambria" w:hAnsi="Cambria"/>
              </w:rPr>
            </w:pPr>
            <w:r>
              <w:rPr>
                <w:rFonts w:eastAsia="Cambria"/>
              </w:rPr>
              <w:t>Languages</w:t>
            </w:r>
          </w:p>
        </w:tc>
        <w:tc>
          <w:tcPr>
            <w:tcW w:w="4680" w:type="dxa"/>
          </w:tcPr>
          <w:p w14:paraId="736A16F3" w14:textId="77777777" w:rsidR="00723F18" w:rsidRDefault="00000000">
            <w:pPr>
              <w:pStyle w:val="Compact"/>
              <w:widowControl w:val="0"/>
              <w:rPr>
                <w:rFonts w:ascii="Cambria" w:eastAsia="Cambria" w:hAnsi="Cambria"/>
              </w:rPr>
            </w:pPr>
            <w:r>
              <w:rPr>
                <w:rFonts w:eastAsia="Cambria"/>
              </w:rPr>
              <w:t>Persian, Arabic, and English; the three texts carry equal authority</w:t>
            </w:r>
          </w:p>
        </w:tc>
      </w:tr>
      <w:tr w:rsidR="00723F18" w14:paraId="24A7736D" w14:textId="77777777" w:rsidTr="00723F18">
        <w:tc>
          <w:tcPr>
            <w:tcW w:w="4679" w:type="dxa"/>
          </w:tcPr>
          <w:p w14:paraId="2D521D41" w14:textId="77777777" w:rsidR="00723F18" w:rsidRDefault="00000000">
            <w:pPr>
              <w:pStyle w:val="Compact"/>
              <w:widowControl w:val="0"/>
              <w:rPr>
                <w:rFonts w:ascii="Cambria" w:eastAsia="Cambria" w:hAnsi="Cambria"/>
              </w:rPr>
            </w:pPr>
            <w:r>
              <w:rPr>
                <w:rFonts w:eastAsia="Cambria"/>
              </w:rPr>
              <w:t>Continuity rule</w:t>
            </w:r>
          </w:p>
        </w:tc>
        <w:tc>
          <w:tcPr>
            <w:tcW w:w="4680" w:type="dxa"/>
          </w:tcPr>
          <w:p w14:paraId="423920AD" w14:textId="77777777" w:rsidR="00723F18" w:rsidRDefault="00000000">
            <w:pPr>
              <w:pStyle w:val="Compact"/>
              <w:widowControl w:val="0"/>
              <w:rPr>
                <w:rFonts w:ascii="Cambria" w:eastAsia="Cambria" w:hAnsi="Cambria"/>
              </w:rPr>
            </w:pPr>
            <w:r>
              <w:rPr>
                <w:rFonts w:eastAsia="Cambria"/>
              </w:rPr>
              <w:t>Provisional continuity under Article 46: renewal occurs by silence; change occurs by joint written instrument; exit is a deliberate, notified, time-buffered sovereign act, never a drift</w:t>
            </w:r>
          </w:p>
        </w:tc>
      </w:tr>
    </w:tbl>
    <w:p w14:paraId="4703E9A0" w14:textId="77777777" w:rsidR="00723F18" w:rsidRDefault="00723F18"/>
    <w:tbl>
      <w:tblPr>
        <w:tblStyle w:val="Table"/>
        <w:tblW w:w="5000" w:type="pct"/>
        <w:tblInd w:w="0" w:type="dxa"/>
        <w:tblLayout w:type="fixed"/>
        <w:tblLook w:val="0000" w:firstRow="0" w:lastRow="0" w:firstColumn="0" w:lastColumn="0" w:noHBand="0" w:noVBand="0"/>
      </w:tblPr>
      <w:tblGrid>
        <w:gridCol w:w="9576"/>
      </w:tblGrid>
      <w:tr w:rsidR="00723F18" w14:paraId="6968FF81" w14:textId="77777777" w:rsidTr="00723F18">
        <w:tc>
          <w:tcPr>
            <w:tcW w:w="9360" w:type="dxa"/>
          </w:tcPr>
          <w:p w14:paraId="7C266E79" w14:textId="77777777" w:rsidR="00723F18" w:rsidRDefault="00000000">
            <w:pPr>
              <w:pStyle w:val="Compact"/>
              <w:widowControl w:val="0"/>
              <w:rPr>
                <w:rFonts w:ascii="Cambria" w:eastAsia="Cambria" w:hAnsi="Cambria"/>
              </w:rPr>
            </w:pPr>
            <w:bookmarkStart w:id="2" w:name="document-control-and-instrument-record"/>
            <w:r>
              <w:rPr>
                <w:rFonts w:eastAsia="Cambria"/>
                <w:i/>
              </w:rPr>
              <w:t>This instrument is a technical stabilization accord. It records no admission of fault, liability, or belligerency by any Party. It recognizes no government, no political system, and no regional policy. It creates no precedent, it settles no boundary, and it prejudges no legal position of any Party under any treaty or under customary international law. Each capital selects its own vocabulary for this instrument, and no provision stages humiliation optics for any side.</w:t>
            </w:r>
            <w:bookmarkEnd w:id="2"/>
          </w:p>
        </w:tc>
      </w:tr>
    </w:tbl>
    <w:p w14:paraId="7C1EF943" w14:textId="77777777" w:rsidR="00723F18" w:rsidRDefault="00000000">
      <w:pPr>
        <w:pStyle w:val="Heading1"/>
      </w:pPr>
      <w:bookmarkStart w:id="3" w:name="__RefHeading___Toc6370_2939721771"/>
      <w:bookmarkEnd w:id="3"/>
      <w:r>
        <w:t>Cover Note of the Co-Facilitating States</w:t>
      </w:r>
    </w:p>
    <w:p w14:paraId="4B4D73C7" w14:textId="77777777" w:rsidR="00723F18" w:rsidRDefault="00000000">
      <w:pPr>
        <w:pStyle w:val="FirstParagraph"/>
      </w:pPr>
      <w:r>
        <w:t>Muscat and Doha. 3 August 2026.</w:t>
      </w:r>
    </w:p>
    <w:p w14:paraId="755F7D9E" w14:textId="77777777" w:rsidR="00723F18" w:rsidRDefault="00000000">
      <w:pPr>
        <w:pStyle w:val="BodyText"/>
      </w:pPr>
      <w:r>
        <w:t>The Sultanate of Oman and the State of Qatar, acting as co-facilitating states, present the Hormuz Three-Corridor Transit Scheme Accord to the Parties for review and adoption. The Accord converts the transit layout formulated on 1 and 2 August 2026 into operative, implementable text, and it answers the one question that layout left open: how the water earns its keep without a toll.</w:t>
      </w:r>
    </w:p>
    <w:p w14:paraId="6B631EEA" w14:textId="77777777" w:rsidR="00723F18" w:rsidRDefault="00000000">
      <w:pPr>
        <w:pStyle w:val="BodyText"/>
      </w:pPr>
      <w:r>
        <w:t xml:space="preserve">The Accord rests on one organizing idea: three corridors, one scheme, zero tolls. Corridor One runs adjacent to the Iranian coastline under Iranian stewardship. Corridor Three runs adjacent to the Omani coastline under Omani stewardship. Corridor Two runs between them as an open international lane under joint administration, and it carries the default traffic of every flag. No corridor carries a sovereignty label. Every corridor carries a rulebook. The scheme separates the mechanics of safe vessel </w:t>
      </w:r>
      <w:proofErr w:type="gramStart"/>
      <w:r>
        <w:t>routing</w:t>
      </w:r>
      <w:proofErr w:type="gramEnd"/>
      <w:r>
        <w:t xml:space="preserve"> from the legal status of the water itself, and it settles the mechanics completely while it settles the law not at all.</w:t>
      </w:r>
    </w:p>
    <w:p w14:paraId="54A5F569" w14:textId="77777777" w:rsidR="00723F18" w:rsidRDefault="00000000">
      <w:pPr>
        <w:pStyle w:val="BodyText"/>
      </w:pPr>
      <w:r>
        <w:t xml:space="preserve">The Accord settles the tolls question by splitting it into three honest parts. Passage stays free, everywhere, for every vessel, forever: the Zero-Toll Covenant of Article 19 holds that line without exception. Services carry a </w:t>
      </w:r>
      <w:proofErr w:type="gramStart"/>
      <w:r>
        <w:t>price</w:t>
      </w:r>
      <w:proofErr w:type="gramEnd"/>
      <w:r>
        <w:t xml:space="preserve">: the Verified Services Ledger of Article 20 pays each steward, from a multilateral fund, for documented, benchmarked, audited work. Value flows to Iran at scale: the Performance-Linked Value Channels of Article 22 convert verified clean transit into frozen-asset releases, energy logistics waivers, data-service </w:t>
      </w:r>
      <w:r>
        <w:lastRenderedPageBreak/>
        <w:t>revenue, and readiness allocations, so that the northern steward earns more from a working scheme than any toll regime yields from a closed one.</w:t>
      </w:r>
    </w:p>
    <w:p w14:paraId="7DC4A777" w14:textId="77777777" w:rsidR="00723F18" w:rsidRDefault="00000000">
      <w:pPr>
        <w:pStyle w:val="BodyText"/>
      </w:pPr>
      <w:r>
        <w:t>The Accord sequences trust rather than demanding it. A sixty (60) day trial window operates in three phases, and self-executing triggers tie every step of maritime performance to a corresponding step of economic normalization. No Party moves first, because the Accord moves both sides together, on the same clock, against the same telemetry.</w:t>
      </w:r>
    </w:p>
    <w:p w14:paraId="7C5976C4" w14:textId="77777777" w:rsidR="00723F18" w:rsidRDefault="00000000">
      <w:pPr>
        <w:pStyle w:val="BodyText"/>
      </w:pPr>
      <w:r>
        <w:t>The co-facilitating states confirm the drafting disciplines of this instrument. Every clause executes in the active present tense under the Immutable Present-Tense Matrix. Every constraint appears as a feature of the shared architecture, never as a restraint by one Party for the benefit of another. No commitment fades at any date boundary. The emergency brake of Article 38 gives every Party a face-saving exit from crisis without penalty, so that a single misfire pauses the system rather than destroying it.</w:t>
      </w:r>
    </w:p>
    <w:p w14:paraId="0F2E24D5" w14:textId="77777777" w:rsidR="00723F18" w:rsidRDefault="00000000">
      <w:pPr>
        <w:pStyle w:val="BodyText"/>
      </w:pPr>
      <w:r>
        <w:t xml:space="preserve">Adoption of the Accord occurs as a single package. Technical corrections </w:t>
      </w:r>
      <w:proofErr w:type="gramStart"/>
      <w:r>
        <w:t>route</w:t>
      </w:r>
      <w:proofErr w:type="gramEnd"/>
      <w:r>
        <w:t xml:space="preserve"> through the governance channel of Article 18 at any time without reopening the package.</w:t>
      </w:r>
    </w:p>
    <w:p w14:paraId="7847BAF2" w14:textId="77777777" w:rsidR="00723F18" w:rsidRDefault="00000000">
      <w:pPr>
        <w:pStyle w:val="BodyText"/>
      </w:pPr>
      <w:r>
        <w:t>Signed for the co-facilitating states: the Office of the Special Envoy for Maritime Stabilization, Muscat; the Office of the Minister of State for Mediation Affairs, Doha.</w:t>
      </w:r>
    </w:p>
    <w:p w14:paraId="72DBBF43" w14:textId="77777777" w:rsidR="00723F18" w:rsidRDefault="00000000">
      <w:pPr>
        <w:pStyle w:val="Heading1"/>
      </w:pPr>
      <w:bookmarkStart w:id="4" w:name="__RefHeading___Toc6372_2939721771"/>
      <w:bookmarkStart w:id="5" w:name="drafting-convention-and-method"/>
      <w:bookmarkEnd w:id="4"/>
      <w:r>
        <w:t>Drafting Convention and Method</w:t>
      </w:r>
    </w:p>
    <w:p w14:paraId="73455629" w14:textId="77777777" w:rsidR="00723F18" w:rsidRDefault="00000000">
      <w:pPr>
        <w:pStyle w:val="FirstParagraph"/>
      </w:pPr>
      <w:r>
        <w:t>This Accord converts the August Layout and the accumulated technical record of the June Framework into operative text. Six drafting disciplines govern every clause, applied under the Immutable Present-Tense Matrix.</w:t>
      </w:r>
    </w:p>
    <w:p w14:paraId="46076798" w14:textId="77777777" w:rsidR="00723F18" w:rsidRDefault="00000000">
      <w:pPr>
        <w:numPr>
          <w:ilvl w:val="0"/>
          <w:numId w:val="8"/>
        </w:numPr>
      </w:pPr>
      <w:r>
        <w:rPr>
          <w:b/>
          <w:bCs/>
        </w:rPr>
        <w:t>Active present tense.</w:t>
      </w:r>
      <w:r>
        <w:t xml:space="preserve"> Every obligation reads as a state of the scheme engine, not as a command addressed to a sovereign and not as a promise about a later time. The corridor operates; the desk issues; the platform publishes. The text recognizes no </w:t>
      </w:r>
      <w:proofErr w:type="gramStart"/>
      <w:r>
        <w:t>command</w:t>
      </w:r>
      <w:proofErr w:type="gramEnd"/>
      <w:r>
        <w:t xml:space="preserve"> vocabulary anywhere in its operative clauses.</w:t>
      </w:r>
    </w:p>
    <w:p w14:paraId="251E0012" w14:textId="77777777" w:rsidR="00723F18" w:rsidRDefault="00000000">
      <w:pPr>
        <w:numPr>
          <w:ilvl w:val="0"/>
          <w:numId w:val="9"/>
        </w:numPr>
      </w:pPr>
      <w:r>
        <w:rPr>
          <w:b/>
          <w:bCs/>
        </w:rPr>
        <w:t>The sovereign operational filter.</w:t>
      </w:r>
      <w:r>
        <w:t xml:space="preserve"> No clause frames an obligation as an external requirement imposed on a Party. Dependencies read as direct operational triggers: verification access activates the subsequent phase; certification opens the corridor; notification pauses operations.</w:t>
      </w:r>
    </w:p>
    <w:p w14:paraId="0AF581D1" w14:textId="77777777" w:rsidR="00723F18" w:rsidRDefault="00000000">
      <w:pPr>
        <w:numPr>
          <w:ilvl w:val="0"/>
          <w:numId w:val="10"/>
        </w:numPr>
      </w:pPr>
      <w:r>
        <w:rPr>
          <w:b/>
          <w:bCs/>
        </w:rPr>
        <w:t>Mutual architecture.</w:t>
      </w:r>
      <w:r>
        <w:t xml:space="preserve"> Every prohibitive commitment reads as a feature of the shared framework, binding every Party equally, never as a unilateral restraint by one Party for the benefit of another. The framework architecture excludes kinetic enforcement. Commercial transit operates under an absolute non-interdiction protocol. Sovereign equality holds in the grammar itself.</w:t>
      </w:r>
    </w:p>
    <w:p w14:paraId="0781E926" w14:textId="77777777" w:rsidR="00723F18" w:rsidRDefault="00000000">
      <w:pPr>
        <w:numPr>
          <w:ilvl w:val="0"/>
          <w:numId w:val="11"/>
        </w:numPr>
      </w:pPr>
      <w:r>
        <w:rPr>
          <w:b/>
          <w:bCs/>
        </w:rPr>
        <w:t>Automatic triggers.</w:t>
      </w:r>
      <w:r>
        <w:t xml:space="preserve"> Automated clauses state the consequence as an immediate, real-time reality: notification automatically pauses operations; a certified breach </w:t>
      </w:r>
      <w:r>
        <w:lastRenderedPageBreak/>
        <w:t>automatically suspends the affected module; certification automatically opens the next phase.</w:t>
      </w:r>
    </w:p>
    <w:p w14:paraId="1DDA0F74" w14:textId="77777777" w:rsidR="00723F18" w:rsidRDefault="00000000">
      <w:pPr>
        <w:numPr>
          <w:ilvl w:val="0"/>
          <w:numId w:val="12"/>
        </w:numPr>
      </w:pPr>
      <w:r>
        <w:rPr>
          <w:b/>
          <w:bCs/>
        </w:rPr>
        <w:t>Provisional continuity.</w:t>
      </w:r>
      <w:r>
        <w:t xml:space="preserve"> No commitment fades at any date boundary. Verified performance banks permanently for the life of the Accord. Automatic continuation carries every operational state forward across every review boundary unless the Parties amend it in writing or one Party exits through the orderly transition of Article 48.</w:t>
      </w:r>
    </w:p>
    <w:p w14:paraId="518F94E7" w14:textId="77777777" w:rsidR="00723F18" w:rsidRDefault="00000000">
      <w:pPr>
        <w:numPr>
          <w:ilvl w:val="0"/>
          <w:numId w:val="13"/>
        </w:numPr>
      </w:pPr>
      <w:r>
        <w:rPr>
          <w:b/>
          <w:bCs/>
        </w:rPr>
        <w:t>Mechanical enforcement.</w:t>
      </w:r>
      <w:r>
        <w:t xml:space="preserve"> A strict verification sweep governs the final text. Any clause carrying command vocabulary, permissive leaks, passive placeholders, or hierarchical phrasing returns to drafting before issuance. The sweep covers every article, every annex, every table, and every form.</w:t>
      </w:r>
      <w:bookmarkEnd w:id="5"/>
    </w:p>
    <w:p w14:paraId="0C5051DD" w14:textId="77777777" w:rsidR="00723F18" w:rsidRDefault="00000000">
      <w:pPr>
        <w:pStyle w:val="Heading1"/>
      </w:pPr>
      <w:bookmarkStart w:id="6" w:name="__RefHeading___Toc6374_2939721771"/>
      <w:bookmarkStart w:id="7" w:name="Xeab53da999420b04a138a5b63afc4716b3c172a"/>
      <w:bookmarkEnd w:id="6"/>
      <w:r>
        <w:t>Reader’s Guide: The Accord in Fifteen Minutes</w:t>
      </w:r>
    </w:p>
    <w:p w14:paraId="00614D00" w14:textId="77777777" w:rsidR="00723F18" w:rsidRDefault="00000000">
      <w:pPr>
        <w:pStyle w:val="FirstParagraph"/>
      </w:pPr>
      <w:r>
        <w:t xml:space="preserve">A reader with fifteen minutes reads this page and the Declaration of Principles that follows </w:t>
      </w:r>
      <w:proofErr w:type="gramStart"/>
      <w:r>
        <w:t>it, and</w:t>
      </w:r>
      <w:proofErr w:type="gramEnd"/>
      <w:r>
        <w:t xml:space="preserve"> understands the whole instrument.</w:t>
      </w:r>
    </w:p>
    <w:p w14:paraId="2FD3B7F1" w14:textId="77777777" w:rsidR="00723F18" w:rsidRDefault="00000000">
      <w:pPr>
        <w:pStyle w:val="BodyText"/>
      </w:pPr>
      <w:r>
        <w:rPr>
          <w:b/>
          <w:bCs/>
        </w:rPr>
        <w:t>The problem the Accord solves.</w:t>
      </w:r>
      <w:r>
        <w:t xml:space="preserve"> Four positions block the water. Iran seeks recognition of its coastal role, a revenue stream for its services, exclusive control of hazard clearance in its own waters, cessation of strikes, and graduated economic relief. The United States seeks complete reopening of the Strait, permanently toll-free passage, and no recognition of any sovereign chokehold over an international waterway. Oman seeks a </w:t>
      </w:r>
      <w:proofErr w:type="gramStart"/>
      <w:r>
        <w:t>genuine shared</w:t>
      </w:r>
      <w:proofErr w:type="gramEnd"/>
      <w:r>
        <w:t xml:space="preserve"> role, a voluntary funding model rather than a toll regime, and its standing as the indispensable maritime facilitator. Qatar seeks an open strait under international law, a protected path for its liquefied natural gas exports, and an institutionalized mediation role. The Accord gives each Party its core need and denies each Party only the elements that cross another Party’s red line.</w:t>
      </w:r>
    </w:p>
    <w:p w14:paraId="68446234" w14:textId="77777777" w:rsidR="00723F18" w:rsidRDefault="00000000">
      <w:pPr>
        <w:pStyle w:val="BodyText"/>
      </w:pPr>
      <w:r>
        <w:rPr>
          <w:b/>
          <w:bCs/>
        </w:rPr>
        <w:t>The layout.</w:t>
      </w:r>
      <w:r>
        <w:t xml:space="preserve"> Three corridors operate under one scheme. Corridor One, the Northern Stewardship Corridor, runs adjacent to the Iranian coastline under Iranian stewardship and a notification regime. Corridor Two, the Central Open Corridor, runs between the two coasts under joint administration and carries the default traffic of every flag without permission from any coastal state. Corridor Three, the Southern Assurance Corridor, runs adjacent to the Omani coastline under Omani stewardship and the free-navigation rule. A neutral coordinate registry designates all three corridors by numbers alone. Designation settles operations; it settles nothing else.</w:t>
      </w:r>
    </w:p>
    <w:p w14:paraId="22786253" w14:textId="77777777" w:rsidR="00723F18" w:rsidRDefault="00000000">
      <w:pPr>
        <w:pStyle w:val="BodyText"/>
      </w:pPr>
      <w:r>
        <w:rPr>
          <w:b/>
          <w:bCs/>
        </w:rPr>
        <w:t>The stewards.</w:t>
      </w:r>
      <w:r>
        <w:t xml:space="preserve"> Iran serves as Northern Steward and Oman </w:t>
      </w:r>
      <w:proofErr w:type="gramStart"/>
      <w:r>
        <w:t>serves</w:t>
      </w:r>
      <w:proofErr w:type="gramEnd"/>
      <w:r>
        <w:t xml:space="preserve"> as Southern Steward: each maintains aids to navigation, provides pilotage and safety communications, executes hazard survey and clearance in its sector, and invoices the Cooperative Safety Fund for verified work at pre-approved rates. Stewardship is a job description, not a jurisdiction. Neither steward holds a veto over the transit of any vessel in any corridor. The Central Open Corridor answers to the Hormuz Transit Commission, never to one coast.</w:t>
      </w:r>
    </w:p>
    <w:p w14:paraId="7F60C02C" w14:textId="77777777" w:rsidR="00723F18" w:rsidRDefault="00000000">
      <w:pPr>
        <w:pStyle w:val="BodyText"/>
      </w:pPr>
      <w:r>
        <w:rPr>
          <w:b/>
          <w:bCs/>
        </w:rPr>
        <w:lastRenderedPageBreak/>
        <w:t>The money.</w:t>
      </w:r>
      <w:r>
        <w:t xml:space="preserve"> Transit carries no charge, in any corridor, for any vessel, ever. Three financial channels </w:t>
      </w:r>
      <w:proofErr w:type="gramStart"/>
      <w:r>
        <w:t>replace</w:t>
      </w:r>
      <w:proofErr w:type="gramEnd"/>
      <w:r>
        <w:t xml:space="preserve"> the toll. First, the Verified Services Ledger pays each steward for catalog services at benchmarked rates. Second, the Hormuz Cooperative Safety Fund, modeled on the cooperative practice of the Strait of Malacca, collects voluntary contributions from user states and transiting entities and finances navigation aids, survey, environmental readiness, and rescue. Third, the Performance-Linked Value Channels convert verified clean transit into frozen-asset tranches, energy logistics waivers, data-service revenue, and stewardship readiness allocations. The architecture draws a bright line between payment for work performed and a charge on passage itself, and it prices everything on the service side of that line.</w:t>
      </w:r>
    </w:p>
    <w:p w14:paraId="3DB956C3" w14:textId="77777777" w:rsidR="00723F18" w:rsidRDefault="00000000">
      <w:pPr>
        <w:pStyle w:val="BodyText"/>
      </w:pPr>
      <w:r>
        <w:rPr>
          <w:b/>
          <w:bCs/>
        </w:rPr>
        <w:t>The clock.</w:t>
      </w:r>
      <w:r>
        <w:t xml:space="preserve"> A sixty (60) day trial window runs in three phases. Phase One clears hazards, certifies corridor segments, restores commercial transit, and releases a first humanitarian tranche. Phase Two opens all three corridors at full depth and extends energy logistics waivers. Phase Three consolidates the record, releases a second tranche, and seats the architecture review. Renewal occurs by silence in successive sixty (60) day increments.</w:t>
      </w:r>
    </w:p>
    <w:p w14:paraId="0A425D92" w14:textId="77777777" w:rsidR="00723F18" w:rsidRDefault="00000000">
      <w:pPr>
        <w:pStyle w:val="BodyText"/>
      </w:pPr>
      <w:r>
        <w:rPr>
          <w:b/>
          <w:bCs/>
        </w:rPr>
        <w:t>The brake.</w:t>
      </w:r>
      <w:r>
        <w:t xml:space="preserve"> Any Party pauses the Accord on forty-eight (48) </w:t>
      </w:r>
      <w:proofErr w:type="spellStart"/>
      <w:r>
        <w:t>hours notice</w:t>
      </w:r>
      <w:proofErr w:type="spellEnd"/>
      <w:r>
        <w:t xml:space="preserve"> where it records a verifiable security violation. The pause returns every Party to the baseline status quo ante without legal penalty, and the reconstitution channel of Article 38 reopens the system from its last certified checkpoint.</w:t>
      </w:r>
    </w:p>
    <w:p w14:paraId="2F0C5EA4" w14:textId="77777777" w:rsidR="00723F18" w:rsidRDefault="00000000">
      <w:pPr>
        <w:pStyle w:val="BodyText"/>
      </w:pPr>
      <w:r>
        <w:rPr>
          <w:b/>
          <w:bCs/>
        </w:rPr>
        <w:t>The face-saving exemption.</w:t>
      </w:r>
      <w:r>
        <w:t xml:space="preserve"> A standing non-prejudice clause states that adoption of this three-corridor scheme alters no maritime boundary, forfeits no claim, recognizes no claim, and establishes no precedent for any Party’s interpretation of international law. Tehran, Washington, Muscat, and Doha each describe the same water accurately in their own vocabulary.</w:t>
      </w:r>
      <w:bookmarkEnd w:id="7"/>
    </w:p>
    <w:p w14:paraId="089780B0" w14:textId="77777777" w:rsidR="00723F18" w:rsidRDefault="00000000">
      <w:pPr>
        <w:pStyle w:val="Heading1"/>
      </w:pPr>
      <w:bookmarkStart w:id="8" w:name="__RefHeading___Toc6376_2939721771"/>
      <w:bookmarkEnd w:id="8"/>
      <w:r>
        <w:t>The HTCSA Declaration of Principles</w:t>
      </w:r>
    </w:p>
    <w:p w14:paraId="3730A1E0" w14:textId="77777777" w:rsidR="00723F18" w:rsidRDefault="00000000">
      <w:pPr>
        <w:pStyle w:val="FirstParagraph"/>
      </w:pPr>
      <w:r>
        <w:t xml:space="preserve">Before the articles, the Parties state what this Accord protects, in one place and in plain terms. The sixteen lines below constitute the Red Lines Register of Annex F in summary form. Every organ, </w:t>
      </w:r>
      <w:proofErr w:type="gramStart"/>
      <w:r>
        <w:t>every officer</w:t>
      </w:r>
      <w:proofErr w:type="gramEnd"/>
      <w:r>
        <w:t xml:space="preserve">, and every reader of this Accord </w:t>
      </w:r>
      <w:proofErr w:type="gramStart"/>
      <w:r>
        <w:t>holds</w:t>
      </w:r>
      <w:proofErr w:type="gramEnd"/>
      <w:r>
        <w:t xml:space="preserve"> this page as the measure of the system: a measure that touches one of these lines proceeds only in the exact form the corresponding safeguard permits, and a measure that crosses one of these lines fails.</w:t>
      </w:r>
    </w:p>
    <w:tbl>
      <w:tblPr>
        <w:tblStyle w:val="Table"/>
        <w:tblW w:w="5000" w:type="pct"/>
        <w:tblInd w:w="0" w:type="dxa"/>
        <w:tblLayout w:type="fixed"/>
        <w:tblLook w:val="0020" w:firstRow="1" w:lastRow="0" w:firstColumn="0" w:lastColumn="0" w:noHBand="0" w:noVBand="0"/>
      </w:tblPr>
      <w:tblGrid>
        <w:gridCol w:w="4787"/>
        <w:gridCol w:w="4789"/>
      </w:tblGrid>
      <w:tr w:rsidR="00723F18" w14:paraId="523163CE"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4679" w:type="dxa"/>
            <w:tcBorders>
              <w:bottom w:val="single" w:sz="6" w:space="0" w:color="000000"/>
            </w:tcBorders>
          </w:tcPr>
          <w:p w14:paraId="5FBEE238" w14:textId="77777777" w:rsidR="00723F18" w:rsidRDefault="00000000">
            <w:pPr>
              <w:pStyle w:val="Compact"/>
              <w:widowControl w:val="0"/>
              <w:rPr>
                <w:rFonts w:ascii="Cambria" w:eastAsia="Cambria" w:hAnsi="Cambria"/>
              </w:rPr>
            </w:pPr>
            <w:r>
              <w:rPr>
                <w:rFonts w:eastAsia="Cambria"/>
                <w:b/>
                <w:bCs/>
              </w:rPr>
              <w:t>Ref</w:t>
            </w:r>
          </w:p>
        </w:tc>
        <w:tc>
          <w:tcPr>
            <w:tcW w:w="4680" w:type="dxa"/>
            <w:tcBorders>
              <w:bottom w:val="single" w:sz="6" w:space="0" w:color="000000"/>
            </w:tcBorders>
          </w:tcPr>
          <w:p w14:paraId="38F96200" w14:textId="77777777" w:rsidR="00723F18" w:rsidRDefault="00000000">
            <w:pPr>
              <w:pStyle w:val="Compact"/>
              <w:widowControl w:val="0"/>
              <w:rPr>
                <w:rFonts w:ascii="Cambria" w:eastAsia="Cambria" w:hAnsi="Cambria"/>
              </w:rPr>
            </w:pPr>
            <w:r>
              <w:rPr>
                <w:rFonts w:eastAsia="Cambria"/>
                <w:b/>
                <w:bCs/>
              </w:rPr>
              <w:t>Principle</w:t>
            </w:r>
          </w:p>
        </w:tc>
      </w:tr>
      <w:tr w:rsidR="00723F18" w14:paraId="600E6B68" w14:textId="77777777" w:rsidTr="00723F18">
        <w:tc>
          <w:tcPr>
            <w:tcW w:w="4679" w:type="dxa"/>
          </w:tcPr>
          <w:p w14:paraId="4BCEAC74" w14:textId="77777777" w:rsidR="00723F18" w:rsidRDefault="00000000">
            <w:pPr>
              <w:pStyle w:val="Compact"/>
              <w:widowControl w:val="0"/>
              <w:rPr>
                <w:rFonts w:ascii="Cambria" w:eastAsia="Cambria" w:hAnsi="Cambria"/>
              </w:rPr>
            </w:pPr>
            <w:r>
              <w:rPr>
                <w:rFonts w:eastAsia="Cambria"/>
              </w:rPr>
              <w:t>RL-1</w:t>
            </w:r>
          </w:p>
        </w:tc>
        <w:tc>
          <w:tcPr>
            <w:tcW w:w="4680" w:type="dxa"/>
          </w:tcPr>
          <w:p w14:paraId="52BAB714" w14:textId="77777777" w:rsidR="00723F18" w:rsidRDefault="00000000">
            <w:pPr>
              <w:pStyle w:val="Compact"/>
              <w:widowControl w:val="0"/>
              <w:rPr>
                <w:rFonts w:ascii="Cambria" w:eastAsia="Cambria" w:hAnsi="Cambria"/>
              </w:rPr>
            </w:pPr>
            <w:r>
              <w:rPr>
                <w:rFonts w:eastAsia="Cambria"/>
              </w:rPr>
              <w:t>Transit carries no charge, in any corridor, for any vessel, ever.</w:t>
            </w:r>
          </w:p>
        </w:tc>
      </w:tr>
      <w:tr w:rsidR="00723F18" w14:paraId="00206731" w14:textId="77777777" w:rsidTr="00723F18">
        <w:tc>
          <w:tcPr>
            <w:tcW w:w="4679" w:type="dxa"/>
          </w:tcPr>
          <w:p w14:paraId="243B5943" w14:textId="77777777" w:rsidR="00723F18" w:rsidRDefault="00000000">
            <w:pPr>
              <w:pStyle w:val="Compact"/>
              <w:widowControl w:val="0"/>
              <w:rPr>
                <w:rFonts w:ascii="Cambria" w:eastAsia="Cambria" w:hAnsi="Cambria"/>
              </w:rPr>
            </w:pPr>
            <w:r>
              <w:rPr>
                <w:rFonts w:eastAsia="Cambria"/>
              </w:rPr>
              <w:t>RL-2</w:t>
            </w:r>
          </w:p>
        </w:tc>
        <w:tc>
          <w:tcPr>
            <w:tcW w:w="4680" w:type="dxa"/>
          </w:tcPr>
          <w:p w14:paraId="13DC2913" w14:textId="77777777" w:rsidR="00723F18" w:rsidRDefault="00000000">
            <w:pPr>
              <w:pStyle w:val="Compact"/>
              <w:widowControl w:val="0"/>
              <w:rPr>
                <w:rFonts w:ascii="Cambria" w:eastAsia="Cambria" w:hAnsi="Cambria"/>
              </w:rPr>
            </w:pPr>
            <w:r>
              <w:rPr>
                <w:rFonts w:eastAsia="Cambria"/>
              </w:rPr>
              <w:t>No authority halts, boards, seizes, detains, diverts, or harasses a compliant commercial vessel in transit.</w:t>
            </w:r>
          </w:p>
        </w:tc>
      </w:tr>
      <w:tr w:rsidR="00723F18" w14:paraId="6DCBAD61" w14:textId="77777777" w:rsidTr="00723F18">
        <w:tc>
          <w:tcPr>
            <w:tcW w:w="4679" w:type="dxa"/>
          </w:tcPr>
          <w:p w14:paraId="7623797F" w14:textId="77777777" w:rsidR="00723F18" w:rsidRDefault="00000000">
            <w:pPr>
              <w:pStyle w:val="Compact"/>
              <w:widowControl w:val="0"/>
              <w:rPr>
                <w:rFonts w:ascii="Cambria" w:eastAsia="Cambria" w:hAnsi="Cambria"/>
              </w:rPr>
            </w:pPr>
            <w:r>
              <w:rPr>
                <w:rFonts w:eastAsia="Cambria"/>
              </w:rPr>
              <w:t>RL-3</w:t>
            </w:r>
          </w:p>
        </w:tc>
        <w:tc>
          <w:tcPr>
            <w:tcW w:w="4680" w:type="dxa"/>
          </w:tcPr>
          <w:p w14:paraId="49F8EDE8" w14:textId="77777777" w:rsidR="00723F18" w:rsidRDefault="00000000">
            <w:pPr>
              <w:pStyle w:val="Compact"/>
              <w:widowControl w:val="0"/>
              <w:rPr>
                <w:rFonts w:ascii="Cambria" w:eastAsia="Cambria" w:hAnsi="Cambria"/>
              </w:rPr>
            </w:pPr>
            <w:r>
              <w:rPr>
                <w:rFonts w:eastAsia="Cambria"/>
              </w:rPr>
              <w:t xml:space="preserve">The Accord settles no maritime boundary and recognizes no sovereignty claim, in </w:t>
            </w:r>
            <w:r>
              <w:rPr>
                <w:rFonts w:eastAsia="Cambria"/>
              </w:rPr>
              <w:lastRenderedPageBreak/>
              <w:t>either direction.</w:t>
            </w:r>
          </w:p>
        </w:tc>
      </w:tr>
      <w:tr w:rsidR="00723F18" w14:paraId="58044CD8" w14:textId="77777777" w:rsidTr="00723F18">
        <w:tc>
          <w:tcPr>
            <w:tcW w:w="4679" w:type="dxa"/>
          </w:tcPr>
          <w:p w14:paraId="39C742BF" w14:textId="77777777" w:rsidR="00723F18" w:rsidRDefault="00000000">
            <w:pPr>
              <w:pStyle w:val="Compact"/>
              <w:widowControl w:val="0"/>
              <w:rPr>
                <w:rFonts w:ascii="Cambria" w:eastAsia="Cambria" w:hAnsi="Cambria"/>
              </w:rPr>
            </w:pPr>
            <w:r>
              <w:rPr>
                <w:rFonts w:eastAsia="Cambria"/>
              </w:rPr>
              <w:lastRenderedPageBreak/>
              <w:t>RL-4</w:t>
            </w:r>
          </w:p>
        </w:tc>
        <w:tc>
          <w:tcPr>
            <w:tcW w:w="4680" w:type="dxa"/>
          </w:tcPr>
          <w:p w14:paraId="2C58716E" w14:textId="77777777" w:rsidR="00723F18" w:rsidRDefault="00000000">
            <w:pPr>
              <w:pStyle w:val="Compact"/>
              <w:widowControl w:val="0"/>
              <w:rPr>
                <w:rFonts w:ascii="Cambria" w:eastAsia="Cambria" w:hAnsi="Cambria"/>
              </w:rPr>
            </w:pPr>
            <w:r>
              <w:rPr>
                <w:rFonts w:eastAsia="Cambria"/>
              </w:rPr>
              <w:t>Hazard clearance in each coastal sector executes under the operational control of that sector’s steward; no foreign military clearance force enters any sector.</w:t>
            </w:r>
          </w:p>
        </w:tc>
      </w:tr>
      <w:tr w:rsidR="00723F18" w14:paraId="40128632" w14:textId="77777777" w:rsidTr="00723F18">
        <w:tc>
          <w:tcPr>
            <w:tcW w:w="4679" w:type="dxa"/>
          </w:tcPr>
          <w:p w14:paraId="3804EA0A" w14:textId="77777777" w:rsidR="00723F18" w:rsidRDefault="00000000">
            <w:pPr>
              <w:pStyle w:val="Compact"/>
              <w:widowControl w:val="0"/>
              <w:rPr>
                <w:rFonts w:ascii="Cambria" w:eastAsia="Cambria" w:hAnsi="Cambria"/>
              </w:rPr>
            </w:pPr>
            <w:r>
              <w:rPr>
                <w:rFonts w:eastAsia="Cambria"/>
              </w:rPr>
              <w:t>RL-5</w:t>
            </w:r>
          </w:p>
        </w:tc>
        <w:tc>
          <w:tcPr>
            <w:tcW w:w="4680" w:type="dxa"/>
          </w:tcPr>
          <w:p w14:paraId="2F9346DE" w14:textId="77777777" w:rsidR="00723F18" w:rsidRDefault="00000000">
            <w:pPr>
              <w:pStyle w:val="Compact"/>
              <w:widowControl w:val="0"/>
              <w:rPr>
                <w:rFonts w:ascii="Cambria" w:eastAsia="Cambria" w:hAnsi="Cambria"/>
              </w:rPr>
            </w:pPr>
            <w:r>
              <w:rPr>
                <w:rFonts w:eastAsia="Cambria"/>
              </w:rPr>
              <w:t>The corridors carry designations by coordinates alone; no corridor designation constitutes a legal adjudication of the water beneath it.</w:t>
            </w:r>
          </w:p>
        </w:tc>
      </w:tr>
      <w:tr w:rsidR="00723F18" w14:paraId="26485103" w14:textId="77777777" w:rsidTr="00723F18">
        <w:tc>
          <w:tcPr>
            <w:tcW w:w="4679" w:type="dxa"/>
          </w:tcPr>
          <w:p w14:paraId="21B2F3F3" w14:textId="77777777" w:rsidR="00723F18" w:rsidRDefault="00000000">
            <w:pPr>
              <w:pStyle w:val="Compact"/>
              <w:widowControl w:val="0"/>
              <w:rPr>
                <w:rFonts w:ascii="Cambria" w:eastAsia="Cambria" w:hAnsi="Cambria"/>
              </w:rPr>
            </w:pPr>
            <w:r>
              <w:rPr>
                <w:rFonts w:eastAsia="Cambria"/>
              </w:rPr>
              <w:t>RL-6</w:t>
            </w:r>
          </w:p>
        </w:tc>
        <w:tc>
          <w:tcPr>
            <w:tcW w:w="4680" w:type="dxa"/>
          </w:tcPr>
          <w:p w14:paraId="69456533" w14:textId="77777777" w:rsidR="00723F18" w:rsidRDefault="00000000">
            <w:pPr>
              <w:pStyle w:val="Compact"/>
              <w:widowControl w:val="0"/>
              <w:rPr>
                <w:rFonts w:ascii="Cambria" w:eastAsia="Cambria" w:hAnsi="Cambria"/>
              </w:rPr>
            </w:pPr>
            <w:r>
              <w:rPr>
                <w:rFonts w:eastAsia="Cambria"/>
              </w:rPr>
              <w:t>The Central Open Corridor operates without any permission step by any coastal state, for every flag, at every hour.</w:t>
            </w:r>
          </w:p>
        </w:tc>
      </w:tr>
      <w:tr w:rsidR="00723F18" w14:paraId="35EA437B" w14:textId="77777777" w:rsidTr="00723F18">
        <w:tc>
          <w:tcPr>
            <w:tcW w:w="4679" w:type="dxa"/>
          </w:tcPr>
          <w:p w14:paraId="3F58A0C1" w14:textId="77777777" w:rsidR="00723F18" w:rsidRDefault="00000000">
            <w:pPr>
              <w:pStyle w:val="Compact"/>
              <w:widowControl w:val="0"/>
              <w:rPr>
                <w:rFonts w:ascii="Cambria" w:eastAsia="Cambria" w:hAnsi="Cambria"/>
              </w:rPr>
            </w:pPr>
            <w:r>
              <w:rPr>
                <w:rFonts w:eastAsia="Cambria"/>
              </w:rPr>
              <w:t>RL-7</w:t>
            </w:r>
          </w:p>
        </w:tc>
        <w:tc>
          <w:tcPr>
            <w:tcW w:w="4680" w:type="dxa"/>
          </w:tcPr>
          <w:p w14:paraId="461BDC96" w14:textId="77777777" w:rsidR="00723F18" w:rsidRDefault="00000000">
            <w:pPr>
              <w:pStyle w:val="Compact"/>
              <w:widowControl w:val="0"/>
              <w:rPr>
                <w:rFonts w:ascii="Cambria" w:eastAsia="Cambria" w:hAnsi="Cambria"/>
              </w:rPr>
            </w:pPr>
            <w:r>
              <w:rPr>
                <w:rFonts w:eastAsia="Cambria"/>
              </w:rPr>
              <w:t>Contributions to the Cooperative Safety Fund are voluntary; no contribution constitutes a condition of passage.</w:t>
            </w:r>
          </w:p>
        </w:tc>
      </w:tr>
      <w:tr w:rsidR="00723F18" w14:paraId="72970DD9" w14:textId="77777777" w:rsidTr="00723F18">
        <w:tc>
          <w:tcPr>
            <w:tcW w:w="4679" w:type="dxa"/>
          </w:tcPr>
          <w:p w14:paraId="772B891E" w14:textId="77777777" w:rsidR="00723F18" w:rsidRDefault="00000000">
            <w:pPr>
              <w:pStyle w:val="Compact"/>
              <w:widowControl w:val="0"/>
              <w:rPr>
                <w:rFonts w:ascii="Cambria" w:eastAsia="Cambria" w:hAnsi="Cambria"/>
              </w:rPr>
            </w:pPr>
            <w:r>
              <w:rPr>
                <w:rFonts w:eastAsia="Cambria"/>
              </w:rPr>
              <w:t>RL-8</w:t>
            </w:r>
          </w:p>
        </w:tc>
        <w:tc>
          <w:tcPr>
            <w:tcW w:w="4680" w:type="dxa"/>
          </w:tcPr>
          <w:p w14:paraId="5C383005" w14:textId="77777777" w:rsidR="00723F18" w:rsidRDefault="00000000">
            <w:pPr>
              <w:pStyle w:val="Compact"/>
              <w:widowControl w:val="0"/>
              <w:rPr>
                <w:rFonts w:ascii="Cambria" w:eastAsia="Cambria" w:hAnsi="Cambria"/>
              </w:rPr>
            </w:pPr>
            <w:r>
              <w:rPr>
                <w:rFonts w:eastAsia="Cambria"/>
              </w:rPr>
              <w:t>The maritime file stands alone; no provision links this Accord to the nuclear file, the sanctions architecture beyond its own triggers, or any regional conflict file.</w:t>
            </w:r>
          </w:p>
        </w:tc>
      </w:tr>
      <w:tr w:rsidR="00723F18" w14:paraId="20DAF6FB" w14:textId="77777777" w:rsidTr="00723F18">
        <w:tc>
          <w:tcPr>
            <w:tcW w:w="4679" w:type="dxa"/>
          </w:tcPr>
          <w:p w14:paraId="27FB3C76" w14:textId="77777777" w:rsidR="00723F18" w:rsidRDefault="00000000">
            <w:pPr>
              <w:pStyle w:val="Compact"/>
              <w:widowControl w:val="0"/>
              <w:rPr>
                <w:rFonts w:ascii="Cambria" w:eastAsia="Cambria" w:hAnsi="Cambria"/>
              </w:rPr>
            </w:pPr>
            <w:r>
              <w:rPr>
                <w:rFonts w:eastAsia="Cambria"/>
              </w:rPr>
              <w:t>RL-9</w:t>
            </w:r>
          </w:p>
        </w:tc>
        <w:tc>
          <w:tcPr>
            <w:tcW w:w="4680" w:type="dxa"/>
          </w:tcPr>
          <w:p w14:paraId="6C4B53CE" w14:textId="77777777" w:rsidR="00723F18" w:rsidRDefault="00000000">
            <w:pPr>
              <w:pStyle w:val="Compact"/>
              <w:widowControl w:val="0"/>
              <w:rPr>
                <w:rFonts w:ascii="Cambria" w:eastAsia="Cambria" w:hAnsi="Cambria"/>
              </w:rPr>
            </w:pPr>
            <w:r>
              <w:rPr>
                <w:rFonts w:eastAsia="Cambria"/>
              </w:rPr>
              <w:t>Military forces of all Parties operate under the same buffers, the same notice regimes, and the same standoff geometry.</w:t>
            </w:r>
          </w:p>
        </w:tc>
      </w:tr>
      <w:tr w:rsidR="00723F18" w14:paraId="4F0C04D2" w14:textId="77777777" w:rsidTr="00723F18">
        <w:tc>
          <w:tcPr>
            <w:tcW w:w="4679" w:type="dxa"/>
          </w:tcPr>
          <w:p w14:paraId="0B41B974" w14:textId="77777777" w:rsidR="00723F18" w:rsidRDefault="00000000">
            <w:pPr>
              <w:pStyle w:val="Compact"/>
              <w:widowControl w:val="0"/>
              <w:rPr>
                <w:rFonts w:ascii="Cambria" w:eastAsia="Cambria" w:hAnsi="Cambria"/>
              </w:rPr>
            </w:pPr>
            <w:r>
              <w:rPr>
                <w:rFonts w:eastAsia="Cambria"/>
              </w:rPr>
              <w:t>RL-10</w:t>
            </w:r>
          </w:p>
        </w:tc>
        <w:tc>
          <w:tcPr>
            <w:tcW w:w="4680" w:type="dxa"/>
          </w:tcPr>
          <w:p w14:paraId="73744871" w14:textId="77777777" w:rsidR="00723F18" w:rsidRDefault="00000000">
            <w:pPr>
              <w:pStyle w:val="Compact"/>
              <w:widowControl w:val="0"/>
              <w:rPr>
                <w:rFonts w:ascii="Cambria" w:eastAsia="Cambria" w:hAnsi="Cambria"/>
              </w:rPr>
            </w:pPr>
            <w:r>
              <w:rPr>
                <w:rFonts w:eastAsia="Cambria"/>
              </w:rPr>
              <w:t>Every economic trigger moves against verified telemetry, never against a promise.</w:t>
            </w:r>
          </w:p>
        </w:tc>
      </w:tr>
      <w:tr w:rsidR="00723F18" w14:paraId="4D18CFE1" w14:textId="77777777" w:rsidTr="00723F18">
        <w:tc>
          <w:tcPr>
            <w:tcW w:w="4679" w:type="dxa"/>
          </w:tcPr>
          <w:p w14:paraId="1B21CA2D" w14:textId="77777777" w:rsidR="00723F18" w:rsidRDefault="00000000">
            <w:pPr>
              <w:pStyle w:val="Compact"/>
              <w:widowControl w:val="0"/>
              <w:rPr>
                <w:rFonts w:ascii="Cambria" w:eastAsia="Cambria" w:hAnsi="Cambria"/>
              </w:rPr>
            </w:pPr>
            <w:r>
              <w:rPr>
                <w:rFonts w:eastAsia="Cambria"/>
              </w:rPr>
              <w:t>RL-11</w:t>
            </w:r>
          </w:p>
        </w:tc>
        <w:tc>
          <w:tcPr>
            <w:tcW w:w="4680" w:type="dxa"/>
          </w:tcPr>
          <w:p w14:paraId="7A55EAAC" w14:textId="77777777" w:rsidR="00723F18" w:rsidRDefault="00000000">
            <w:pPr>
              <w:pStyle w:val="Compact"/>
              <w:widowControl w:val="0"/>
              <w:rPr>
                <w:rFonts w:ascii="Cambria" w:eastAsia="Cambria" w:hAnsi="Cambria"/>
              </w:rPr>
            </w:pPr>
            <w:r>
              <w:rPr>
                <w:rFonts w:eastAsia="Cambria"/>
              </w:rPr>
              <w:t>The emergency brake pauses the system; it never punishes the braker.</w:t>
            </w:r>
          </w:p>
        </w:tc>
      </w:tr>
      <w:tr w:rsidR="00723F18" w14:paraId="08672466" w14:textId="77777777" w:rsidTr="00723F18">
        <w:tc>
          <w:tcPr>
            <w:tcW w:w="4679" w:type="dxa"/>
          </w:tcPr>
          <w:p w14:paraId="4BEBCD45" w14:textId="77777777" w:rsidR="00723F18" w:rsidRDefault="00000000">
            <w:pPr>
              <w:pStyle w:val="Compact"/>
              <w:widowControl w:val="0"/>
              <w:rPr>
                <w:rFonts w:ascii="Cambria" w:eastAsia="Cambria" w:hAnsi="Cambria"/>
              </w:rPr>
            </w:pPr>
            <w:r>
              <w:rPr>
                <w:rFonts w:eastAsia="Cambria"/>
              </w:rPr>
              <w:t>RL-12</w:t>
            </w:r>
          </w:p>
        </w:tc>
        <w:tc>
          <w:tcPr>
            <w:tcW w:w="4680" w:type="dxa"/>
          </w:tcPr>
          <w:p w14:paraId="302EA470" w14:textId="77777777" w:rsidR="00723F18" w:rsidRDefault="00000000">
            <w:pPr>
              <w:pStyle w:val="Compact"/>
              <w:widowControl w:val="0"/>
              <w:rPr>
                <w:rFonts w:ascii="Cambria" w:eastAsia="Cambria" w:hAnsi="Cambria"/>
              </w:rPr>
            </w:pPr>
            <w:r>
              <w:rPr>
                <w:rFonts w:eastAsia="Cambria"/>
              </w:rPr>
              <w:t>Humanitarian flows pass a one-way firewall and continue under every scenario, including suspension and exit.</w:t>
            </w:r>
          </w:p>
        </w:tc>
      </w:tr>
      <w:tr w:rsidR="00723F18" w14:paraId="49EBF33E" w14:textId="77777777" w:rsidTr="00723F18">
        <w:tc>
          <w:tcPr>
            <w:tcW w:w="4679" w:type="dxa"/>
          </w:tcPr>
          <w:p w14:paraId="77EC0A02" w14:textId="77777777" w:rsidR="00723F18" w:rsidRDefault="00000000">
            <w:pPr>
              <w:pStyle w:val="Compact"/>
              <w:widowControl w:val="0"/>
              <w:rPr>
                <w:rFonts w:ascii="Cambria" w:eastAsia="Cambria" w:hAnsi="Cambria"/>
              </w:rPr>
            </w:pPr>
            <w:r>
              <w:rPr>
                <w:rFonts w:eastAsia="Cambria"/>
              </w:rPr>
              <w:t>RL-13</w:t>
            </w:r>
          </w:p>
        </w:tc>
        <w:tc>
          <w:tcPr>
            <w:tcW w:w="4680" w:type="dxa"/>
          </w:tcPr>
          <w:p w14:paraId="3548EE55" w14:textId="77777777" w:rsidR="00723F18" w:rsidRDefault="00000000">
            <w:pPr>
              <w:pStyle w:val="Compact"/>
              <w:widowControl w:val="0"/>
              <w:rPr>
                <w:rFonts w:ascii="Cambria" w:eastAsia="Cambria" w:hAnsi="Cambria"/>
              </w:rPr>
            </w:pPr>
            <w:r>
              <w:rPr>
                <w:rFonts w:eastAsia="Cambria"/>
              </w:rPr>
              <w:t>Observers serve in observer status only; an attack on an observer classifies at the highest tier.</w:t>
            </w:r>
          </w:p>
        </w:tc>
      </w:tr>
      <w:tr w:rsidR="00723F18" w14:paraId="6C06B653" w14:textId="77777777" w:rsidTr="00723F18">
        <w:tc>
          <w:tcPr>
            <w:tcW w:w="4679" w:type="dxa"/>
          </w:tcPr>
          <w:p w14:paraId="7BDF6C7C" w14:textId="77777777" w:rsidR="00723F18" w:rsidRDefault="00000000">
            <w:pPr>
              <w:pStyle w:val="Compact"/>
              <w:widowControl w:val="0"/>
              <w:rPr>
                <w:rFonts w:ascii="Cambria" w:eastAsia="Cambria" w:hAnsi="Cambria"/>
              </w:rPr>
            </w:pPr>
            <w:r>
              <w:rPr>
                <w:rFonts w:eastAsia="Cambria"/>
              </w:rPr>
              <w:t>RL-14</w:t>
            </w:r>
          </w:p>
        </w:tc>
        <w:tc>
          <w:tcPr>
            <w:tcW w:w="4680" w:type="dxa"/>
          </w:tcPr>
          <w:p w14:paraId="4551BE84" w14:textId="77777777" w:rsidR="00723F18" w:rsidRDefault="00000000">
            <w:pPr>
              <w:pStyle w:val="Compact"/>
              <w:widowControl w:val="0"/>
              <w:rPr>
                <w:rFonts w:ascii="Cambria" w:eastAsia="Cambria" w:hAnsi="Cambria"/>
              </w:rPr>
            </w:pPr>
            <w:r>
              <w:rPr>
                <w:rFonts w:eastAsia="Cambria"/>
              </w:rPr>
              <w:t>No Party gains a veto over the Accord’s daily operations; consensus governs architecture, automation governs traffic.</w:t>
            </w:r>
          </w:p>
        </w:tc>
      </w:tr>
      <w:tr w:rsidR="00723F18" w14:paraId="758AE1E6" w14:textId="77777777" w:rsidTr="00723F18">
        <w:tc>
          <w:tcPr>
            <w:tcW w:w="4679" w:type="dxa"/>
          </w:tcPr>
          <w:p w14:paraId="588D8F54" w14:textId="77777777" w:rsidR="00723F18" w:rsidRDefault="00000000">
            <w:pPr>
              <w:pStyle w:val="Compact"/>
              <w:widowControl w:val="0"/>
              <w:rPr>
                <w:rFonts w:ascii="Cambria" w:eastAsia="Cambria" w:hAnsi="Cambria"/>
              </w:rPr>
            </w:pPr>
            <w:r>
              <w:rPr>
                <w:rFonts w:eastAsia="Cambria"/>
              </w:rPr>
              <w:t>RL-15</w:t>
            </w:r>
          </w:p>
        </w:tc>
        <w:tc>
          <w:tcPr>
            <w:tcW w:w="4680" w:type="dxa"/>
          </w:tcPr>
          <w:p w14:paraId="49C0690D" w14:textId="77777777" w:rsidR="00723F18" w:rsidRDefault="00000000">
            <w:pPr>
              <w:pStyle w:val="Compact"/>
              <w:widowControl w:val="0"/>
              <w:rPr>
                <w:rFonts w:ascii="Cambria" w:eastAsia="Cambria" w:hAnsi="Cambria"/>
              </w:rPr>
            </w:pPr>
            <w:r>
              <w:rPr>
                <w:rFonts w:eastAsia="Cambria"/>
              </w:rPr>
              <w:t xml:space="preserve">Banked performance never </w:t>
            </w:r>
            <w:proofErr w:type="spellStart"/>
            <w:r>
              <w:rPr>
                <w:rFonts w:eastAsia="Cambria"/>
              </w:rPr>
              <w:t>unbanks</w:t>
            </w:r>
            <w:proofErr w:type="spellEnd"/>
            <w:r>
              <w:rPr>
                <w:rFonts w:eastAsia="Cambria"/>
              </w:rPr>
              <w:t>; released value never claws back.</w:t>
            </w:r>
          </w:p>
        </w:tc>
      </w:tr>
      <w:tr w:rsidR="00723F18" w14:paraId="5701D8FB" w14:textId="77777777" w:rsidTr="00723F18">
        <w:tc>
          <w:tcPr>
            <w:tcW w:w="4679" w:type="dxa"/>
          </w:tcPr>
          <w:p w14:paraId="6C092E03" w14:textId="77777777" w:rsidR="00723F18" w:rsidRDefault="00000000">
            <w:pPr>
              <w:pStyle w:val="Compact"/>
              <w:widowControl w:val="0"/>
              <w:rPr>
                <w:rFonts w:ascii="Cambria" w:eastAsia="Cambria" w:hAnsi="Cambria"/>
              </w:rPr>
            </w:pPr>
            <w:r>
              <w:rPr>
                <w:rFonts w:eastAsia="Cambria"/>
              </w:rPr>
              <w:t>RL-16</w:t>
            </w:r>
          </w:p>
        </w:tc>
        <w:tc>
          <w:tcPr>
            <w:tcW w:w="4680" w:type="dxa"/>
          </w:tcPr>
          <w:p w14:paraId="373713DD" w14:textId="77777777" w:rsidR="00723F18" w:rsidRDefault="00000000">
            <w:pPr>
              <w:pStyle w:val="Compact"/>
              <w:widowControl w:val="0"/>
              <w:rPr>
                <w:rFonts w:ascii="Cambria" w:eastAsia="Cambria" w:hAnsi="Cambria"/>
              </w:rPr>
            </w:pPr>
            <w:bookmarkStart w:id="9" w:name="the-htcsa-declaration-of-principles"/>
            <w:r>
              <w:rPr>
                <w:rFonts w:eastAsia="Cambria"/>
              </w:rPr>
              <w:t>The operational bodies of the Accord remain civilian, always.</w:t>
            </w:r>
            <w:bookmarkEnd w:id="9"/>
          </w:p>
        </w:tc>
      </w:tr>
    </w:tbl>
    <w:p w14:paraId="7CEDEAE6" w14:textId="77777777" w:rsidR="00723F18" w:rsidRDefault="00000000">
      <w:pPr>
        <w:pStyle w:val="Heading1"/>
      </w:pPr>
      <w:bookmarkStart w:id="10" w:name="__RefHeading___Toc6378_2939721771"/>
      <w:bookmarkEnd w:id="10"/>
      <w:r>
        <w:lastRenderedPageBreak/>
        <w:t>Preamble: The Moment of August 2026</w:t>
      </w:r>
    </w:p>
    <w:p w14:paraId="4E5971F7" w14:textId="77777777" w:rsidR="00723F18" w:rsidRDefault="00000000">
      <w:pPr>
        <w:pStyle w:val="FirstParagraph"/>
      </w:pPr>
      <w:r>
        <w:t>The Islamic Republic of Iran, the United States of America, the Sultanate of Oman, and the State of Qatar, hereafter the Parties, stand at a narrow opening. The diplomatic framework mutually established in June 2026, signed at Islamabad on 17 June 2026, opened a sixty (60) day window toward comprehensive settlement and produced the first sustained channel between Washington and Tehran in decades. That window fractures under the weight of a single unresolved question: who governs the water between the two coasts, and on what terms. Maritime incidents on 6 and 7 July 2026, strikes against more than one hundred and forty (140) targets in the days that followed, the declaration of 10 July 2026 that the ceasefire stands over, the reimposition of the naval blockade on 14 July 2026, and the revocation of the temporary energy license in the same week each pulled the region back toward open conflict, and each traced its cause to the same junction: ambiguity over routing, tolls, and authority in the Strait of Hormuz.</w:t>
      </w:r>
    </w:p>
    <w:p w14:paraId="5875E6AC" w14:textId="77777777" w:rsidR="00723F18" w:rsidRDefault="00000000">
      <w:pPr>
        <w:pStyle w:val="BodyText"/>
      </w:pPr>
      <w:r>
        <w:t>In late July 2026 the Islamic Republic of Iran tabled a temporary traffic management layout routing all inbound traffic, and part of the outbound traffic, through Iranian territorial waters, with exclusive Iranian control of hazard clearance, and declared that the Strait remains closed to commercial transit absent acceptance of that layout. The Sultanate of Oman tabled an equal division of transit routes and a voluntary contribution mechanism drawn from the cooperative practice of the Strait of Malacca, and the Gulf states backed that package. The two layouts did not meet. Over the weekend of 1 and 2 August 2026, mediators of the United States and the State of Qatar formulated a compromise framework: inbound vessels transit through Iranian waters, outbound vessels exit through Omani waters, hostilities pause, and the waterway reopens toll-free for an interim period. The President of the United States suspended planned military strikes to give the framework a diplomatic window. Qatari mediators opened a parallel channel to the military commands of the Islamic Republic to align the operational level with the diplomatic text. The Omani channel, open since the first day of the crisis, carried the technical drafts.</w:t>
      </w:r>
    </w:p>
    <w:p w14:paraId="3E1F3B70" w14:textId="77777777" w:rsidR="00723F18" w:rsidRDefault="00000000">
      <w:pPr>
        <w:pStyle w:val="BodyText"/>
      </w:pPr>
      <w:r>
        <w:t xml:space="preserve">The Parties </w:t>
      </w:r>
      <w:proofErr w:type="gramStart"/>
      <w:r>
        <w:t>enter</w:t>
      </w:r>
      <w:proofErr w:type="gramEnd"/>
      <w:r>
        <w:t xml:space="preserve"> this Accord to convert that framework into an operative system, and to widen its geometry from two lanes to three corridors, because the two-lane geometry leaves no room for the traffic that prefers neither coast. The Parties recognize that the dispute over lanes is, at its core, a dispute over legal character, and that no compromise survives if it compels one capital to sign away its legal position as the price of open water. The Parties therefore adopt the method of functional decoupling: this Accord governs operations and governs them completely, while it governs law not at all. It assigns every operational question a definitive answer and every legal question an explicit silence.</w:t>
      </w:r>
    </w:p>
    <w:p w14:paraId="4F380131" w14:textId="77777777" w:rsidR="00723F18" w:rsidRDefault="00000000">
      <w:pPr>
        <w:pStyle w:val="BodyText"/>
      </w:pPr>
      <w:r>
        <w:t xml:space="preserve">The Parties recognize further that the tolls question has defeated every prior formula because every prior formula forced a binary answer: either Iran collects on passage, which the United States and the Gulf states reject as a sovereign chokehold, or Iran collects nothing, which Tehran rejects as erasure of its wartime leverage and its postwar revenue need. This Accord refuses the binary. It holds passage free in every corridor, and it builds three compensation channels that pay for verified services, finance shared </w:t>
      </w:r>
      <w:proofErr w:type="gramStart"/>
      <w:r>
        <w:t>safety, and</w:t>
      </w:r>
      <w:proofErr w:type="gramEnd"/>
      <w:r>
        <w:t xml:space="preserve"> convert clean transit into economic normalization at a scale no per-vessel toll </w:t>
      </w:r>
      <w:proofErr w:type="gramStart"/>
      <w:r>
        <w:t>approaches</w:t>
      </w:r>
      <w:proofErr w:type="gramEnd"/>
      <w:r>
        <w:t>.</w:t>
      </w:r>
    </w:p>
    <w:p w14:paraId="329295E9" w14:textId="77777777" w:rsidR="00723F18" w:rsidRDefault="00000000">
      <w:pPr>
        <w:pStyle w:val="BodyText"/>
      </w:pPr>
      <w:r>
        <w:lastRenderedPageBreak/>
        <w:t>The Parties enter this Accord in good faith, with the intention of operating its provisions in their spirit as well as their letter. No Party exploits ambiguities or drafting gaps to manufacture breaches or to extract concessions unrelated to verified performance. This commitment holds for the life of the Accord and survives any suspension or withdrawal.</w:t>
      </w:r>
    </w:p>
    <w:tbl>
      <w:tblPr>
        <w:tblStyle w:val="Table"/>
        <w:tblW w:w="5000" w:type="pct"/>
        <w:tblInd w:w="0" w:type="dxa"/>
        <w:tblLayout w:type="fixed"/>
        <w:tblLook w:val="0000" w:firstRow="0" w:lastRow="0" w:firstColumn="0" w:lastColumn="0" w:noHBand="0" w:noVBand="0"/>
      </w:tblPr>
      <w:tblGrid>
        <w:gridCol w:w="9576"/>
      </w:tblGrid>
      <w:tr w:rsidR="00723F18" w14:paraId="273FBF09" w14:textId="77777777" w:rsidTr="00723F18">
        <w:tc>
          <w:tcPr>
            <w:tcW w:w="9360" w:type="dxa"/>
          </w:tcPr>
          <w:p w14:paraId="3C8DCEB5" w14:textId="77777777" w:rsidR="00723F18" w:rsidRDefault="00000000">
            <w:pPr>
              <w:pStyle w:val="Compact"/>
              <w:widowControl w:val="0"/>
              <w:rPr>
                <w:rFonts w:ascii="Cambria" w:eastAsia="Cambria" w:hAnsi="Cambria"/>
              </w:rPr>
            </w:pPr>
            <w:r>
              <w:rPr>
                <w:rFonts w:eastAsia="Cambria"/>
                <w:i/>
                <w:iCs/>
              </w:rPr>
              <w:t>This instrument is a negotiation draft, not a treaty. It creates no precedent. It recognizes no government, no political system, and no regional policy. It grants no amnesty and confers no retrospective judgment on any prior action by any Party.</w:t>
            </w:r>
          </w:p>
        </w:tc>
      </w:tr>
    </w:tbl>
    <w:p w14:paraId="53908879" w14:textId="77777777" w:rsidR="00723F18" w:rsidRDefault="00000000">
      <w:pPr>
        <w:pStyle w:val="Heading1"/>
      </w:pPr>
      <w:bookmarkStart w:id="11" w:name="__RefHeading___Toc6380_2939721771"/>
      <w:bookmarkEnd w:id="11"/>
      <w:r>
        <w:t>Part I: Foundations</w:t>
      </w:r>
    </w:p>
    <w:p w14:paraId="6AD05961" w14:textId="77777777" w:rsidR="00723F18" w:rsidRDefault="00000000">
      <w:pPr>
        <w:pStyle w:val="Heading2"/>
      </w:pPr>
      <w:bookmarkStart w:id="12" w:name="__RefHeading___Toc6382_2939721771"/>
      <w:bookmarkEnd w:id="12"/>
      <w:r>
        <w:t>Article 1: Establishment, Purpose, and Scope</w:t>
      </w:r>
    </w:p>
    <w:p w14:paraId="5601CCC2" w14:textId="77777777" w:rsidR="00723F18" w:rsidRDefault="00000000">
      <w:pPr>
        <w:pStyle w:val="Heading3"/>
      </w:pPr>
      <w:r>
        <w:t>1.1 Establishment</w:t>
      </w:r>
    </w:p>
    <w:p w14:paraId="1E190552" w14:textId="77777777" w:rsidR="00723F18" w:rsidRDefault="00000000">
      <w:pPr>
        <w:pStyle w:val="FirstParagraph"/>
      </w:pPr>
      <w:bookmarkStart w:id="13" w:name="establishment"/>
      <w:r>
        <w:t>The Parties establish the Hormuz Three-Corridor Transit Scheme Accord, hereafter the Accord, as a provisional, operative system for the governance of commercial transit through the Strait of Hormuz. The Accord takes effect upon entry into force under Article 48 and operates for an initial window of sixty (60) days, continuing thereafter under the renewal rule of Article 46.</w:t>
      </w:r>
      <w:bookmarkEnd w:id="13"/>
    </w:p>
    <w:p w14:paraId="40EDE245" w14:textId="77777777" w:rsidR="00723F18" w:rsidRDefault="00000000">
      <w:pPr>
        <w:pStyle w:val="Heading3"/>
      </w:pPr>
      <w:r>
        <w:t>1.2 Purpose</w:t>
      </w:r>
    </w:p>
    <w:p w14:paraId="010E55D9" w14:textId="77777777" w:rsidR="00723F18" w:rsidRDefault="00000000">
      <w:pPr>
        <w:pStyle w:val="FirstParagraph"/>
      </w:pPr>
      <w:bookmarkStart w:id="14" w:name="purpose"/>
      <w:r>
        <w:t xml:space="preserve">The Accord pursues five purposes, in this order. First, it restores full, safe, and predictable commercial transit through the Strait of Hormuz at the earliest achievable hour, across three corridors rather than one disputed lane. Second, it assigns the operational functions of the waterway to named stewards and neutral bodies, so that no vessel ever receives contradictory instructions and no function ever lacks an owner. Third, it settles the tolls question inside one architecture: passage stays free, services carry benchmarked prices, and verified performance converts into economic normalization. Fourth, it pairs every maritime step with a reciprocal economic step on a shared clock, so that trust accumulates from performance rather than preceding it. Fifth, it preserves every legal position of every Party intact, so that the settlement of operations never purchases itself at the price of </w:t>
      </w:r>
      <w:proofErr w:type="gramStart"/>
      <w:r>
        <w:t>a legal</w:t>
      </w:r>
      <w:proofErr w:type="gramEnd"/>
      <w:r>
        <w:t xml:space="preserve"> capitulation.</w:t>
      </w:r>
      <w:bookmarkEnd w:id="14"/>
    </w:p>
    <w:p w14:paraId="1E002513" w14:textId="77777777" w:rsidR="00723F18" w:rsidRDefault="00000000">
      <w:pPr>
        <w:pStyle w:val="Heading3"/>
      </w:pPr>
      <w:r>
        <w:t>1.3 Geographic scope</w:t>
      </w:r>
    </w:p>
    <w:p w14:paraId="069B0912" w14:textId="77777777" w:rsidR="00723F18" w:rsidRDefault="00000000">
      <w:pPr>
        <w:pStyle w:val="FirstParagraph"/>
      </w:pPr>
      <w:bookmarkStart w:id="15" w:name="geographic-scope"/>
      <w:r>
        <w:t>The Accord governs the Scheme Area: the waters of the Strait of Hormuz between the outer eastern boundary at the meridian 057 degrees 00.0 minutes East and the outer western boundary at the meridian 055 degrees 30.0 minutes East, together with the designated holding anchorages, the corridor airspace to an altitude of ten thousand (10,000) feet, and the shore-based facilities of the Tripartite Operations System. Annex A states the boundary polygon as numbered vertices on the WGS-84 datum. The Scheme Area is an operational designation. It delineates the zone in which the traffic rules of Part II apply, and it delineates nothing else.</w:t>
      </w:r>
      <w:bookmarkEnd w:id="15"/>
    </w:p>
    <w:p w14:paraId="04B7BB3E" w14:textId="77777777" w:rsidR="00723F18" w:rsidRDefault="00000000">
      <w:pPr>
        <w:pStyle w:val="Heading3"/>
      </w:pPr>
      <w:r>
        <w:lastRenderedPageBreak/>
        <w:t>1.4 Functional scope</w:t>
      </w:r>
    </w:p>
    <w:p w14:paraId="1796DE21" w14:textId="77777777" w:rsidR="00723F18" w:rsidRDefault="00000000">
      <w:pPr>
        <w:pStyle w:val="FirstParagraph"/>
      </w:pPr>
      <w:bookmarkStart w:id="16" w:name="functional-scope"/>
      <w:r>
        <w:t>The Accord governs commercial transit and the functions that sustain it: corridor geometry, traffic management, aids to navigation, pilotage, hazard survey and clearance, search and rescue, environmental protection, incident management, verification, service reimbursement, and the economic triggers of Part VII. The Accord governs military activity only to the extent of the buffers, notice regimes, and standoff geometry of Part VI. The Accord governs nothing else. Port operations, customs, immigration, cargo documentation, and flag-state jurisdiction over vessels remain with the competent authorities under existing law.</w:t>
      </w:r>
      <w:bookmarkEnd w:id="16"/>
    </w:p>
    <w:p w14:paraId="11D45459" w14:textId="77777777" w:rsidR="00723F18" w:rsidRDefault="00000000">
      <w:pPr>
        <w:pStyle w:val="Heading3"/>
      </w:pPr>
      <w:r>
        <w:t>1.5 What this Accord does and does not do</w:t>
      </w:r>
    </w:p>
    <w:p w14:paraId="19B48694" w14:textId="77777777" w:rsidR="00723F18" w:rsidRDefault="00000000">
      <w:pPr>
        <w:pStyle w:val="FirstParagraph"/>
      </w:pPr>
      <w:r>
        <w:t>The Accord does: it opens the water across three corridors, it staffs the functions, it funds the services, it verifies the record, it prices the work and never the passage, and it sequences the economic normalization of Part VII.</w:t>
      </w:r>
    </w:p>
    <w:p w14:paraId="3D9BAC5A" w14:textId="77777777" w:rsidR="00723F18" w:rsidRDefault="00000000">
      <w:pPr>
        <w:pStyle w:val="BodyText"/>
      </w:pPr>
      <w:bookmarkStart w:id="17" w:name="what-this-accord-does-and-does-not-do"/>
      <w:r>
        <w:t xml:space="preserve">The Accord does not: it does not settle any maritime boundary; it does not recognize, deny, or prejudice any sovereignty claim; it does not adjudicate the legal status of the Strait under the United Nations Convention on the Law of the Sea (UNCLOS) or under customary international law; it does not amend, replace, or repudiate the June Framework; it does not address the nuclear file, the missile file, the sanctions architecture beyond the specific triggers of Part VII, or any regional conflict file; it does not establish </w:t>
      </w:r>
      <w:proofErr w:type="spellStart"/>
      <w:r>
        <w:t>any body</w:t>
      </w:r>
      <w:proofErr w:type="spellEnd"/>
      <w:r>
        <w:t xml:space="preserve"> with legal personality in international law; and it does not compel any Party to describe this instrument by any particular term.</w:t>
      </w:r>
      <w:bookmarkEnd w:id="17"/>
    </w:p>
    <w:p w14:paraId="182FCCF4" w14:textId="77777777" w:rsidR="00723F18" w:rsidRDefault="00000000">
      <w:pPr>
        <w:pStyle w:val="Heading3"/>
      </w:pPr>
      <w:r>
        <w:t>1.6 Provisional character</w:t>
      </w:r>
    </w:p>
    <w:p w14:paraId="7CD67D1C" w14:textId="77777777" w:rsidR="00723F18" w:rsidRDefault="00000000">
      <w:pPr>
        <w:pStyle w:val="FirstParagraph"/>
      </w:pPr>
      <w:bookmarkStart w:id="18" w:name="X78d9e4c0b852b1f7127b9522c0f6af8953a8f8b"/>
      <w:bookmarkStart w:id="19" w:name="provisional-character"/>
      <w:r>
        <w:t>The Accord is provisional in mandate and durable in operation. Its mandate is interim: it holds the water open and the functions staffed while the Parties and the broader negotiation tracks address permanent questions elsewhere. Its operation is durable: under Article 46, no provision fades at any date boundary, renewal occurs by silence, and every operational state carries forward by default until the Parties amend it in writing or one Party exits through the orderly transition of Article 48.</w:t>
      </w:r>
      <w:bookmarkEnd w:id="18"/>
      <w:bookmarkEnd w:id="19"/>
    </w:p>
    <w:p w14:paraId="4B8A9E85" w14:textId="77777777" w:rsidR="00723F18" w:rsidRDefault="00000000">
      <w:pPr>
        <w:pStyle w:val="Heading2"/>
      </w:pPr>
      <w:bookmarkStart w:id="20" w:name="__RefHeading___Toc6384_2939721771"/>
      <w:bookmarkEnd w:id="20"/>
      <w:r>
        <w:t>Article 2: Legal Foundations and the Non-Prejudice Architecture</w:t>
      </w:r>
    </w:p>
    <w:p w14:paraId="1FF03E31" w14:textId="77777777" w:rsidR="00723F18" w:rsidRDefault="00000000">
      <w:pPr>
        <w:pStyle w:val="Heading3"/>
      </w:pPr>
      <w:r>
        <w:t>2.1 Sovereign basis</w:t>
      </w:r>
    </w:p>
    <w:p w14:paraId="5E8EAA87" w14:textId="77777777" w:rsidR="00723F18" w:rsidRDefault="00000000">
      <w:pPr>
        <w:pStyle w:val="FirstParagraph"/>
      </w:pPr>
      <w:bookmarkStart w:id="21" w:name="sovereign-basis"/>
      <w:r>
        <w:t>Each Party enters this Accord as a sovereign equal. The Islamic Republic of Iran and the Sultanate of Oman enter as the coastal states of the Strait, each exercising the stewardship functions this Accord assigns within the corridor adjacent to its own coastline. The United States of America enters as a maritime power with navigational, security, and economic interests in the waterway and as a party to the June Framework. The State of Qatar enters as a coastal state of the Gulf whose energy exports transit the Strait, as a co-formulator of the August Layout, and as a co-facilitating state.</w:t>
      </w:r>
      <w:bookmarkEnd w:id="21"/>
    </w:p>
    <w:p w14:paraId="2230D6E2" w14:textId="77777777" w:rsidR="00723F18" w:rsidRDefault="00000000">
      <w:pPr>
        <w:pStyle w:val="Heading3"/>
      </w:pPr>
      <w:r>
        <w:lastRenderedPageBreak/>
        <w:t>2.2 The Non-Prejudice Clause</w:t>
      </w:r>
    </w:p>
    <w:p w14:paraId="46B06DC6" w14:textId="77777777" w:rsidR="00723F18" w:rsidRDefault="00000000">
      <w:pPr>
        <w:pStyle w:val="FirstParagraph"/>
      </w:pPr>
      <w:bookmarkStart w:id="22" w:name="the-non-prejudice-clause"/>
      <w:r>
        <w:t>The establishment, designation, designation amendment, or utilization of the corridors, the Scheme Area, the stewardship functions, the Cooperative Safety Fund, the Verified Services Ledger, the Performance-Linked Value Channels, or any other feature of this Accord constitutes no permanent legal precedent, no recognition, no acquiescence, and no waiver, by any Party, of any position concerning maritime boundaries, the breadth or delimitation of territorial waters, the legal status of the Strait, the regime of transit passage, the regime of innocent passage, or the validity, applicability, or continued operation of any international convention or any historic traffic scheme, including the traffic separation measures adopted through the International Maritime Organization in and after 1968. This clause binds every article, every annex, every certificate, every platform entry, and every public statement issued under this Accord. It operates as the face-saving exemption of the Accord: compliance with the Accord never reads as acceptance of any other Party’s legal theory, and rejection of any other Party’s legal theory never reads as non-compliance with the Accord.</w:t>
      </w:r>
      <w:bookmarkEnd w:id="22"/>
    </w:p>
    <w:p w14:paraId="79701E51" w14:textId="77777777" w:rsidR="00723F18" w:rsidRDefault="00000000">
      <w:pPr>
        <w:pStyle w:val="Heading3"/>
      </w:pPr>
      <w:r>
        <w:t>2.3 The two silences</w:t>
      </w:r>
    </w:p>
    <w:p w14:paraId="5D47FE03" w14:textId="77777777" w:rsidR="00723F18" w:rsidRDefault="00000000">
      <w:pPr>
        <w:pStyle w:val="FirstParagraph"/>
      </w:pPr>
      <w:bookmarkStart w:id="23" w:name="the-two-silences"/>
      <w:r>
        <w:t xml:space="preserve">The Accord preserves two deliberate silences. First, it states no position on the sovereignty claims of any Party over any part of the Scheme Area; the coordinate designations of Annex A carry </w:t>
      </w:r>
      <w:proofErr w:type="gramStart"/>
      <w:r>
        <w:t>numbers</w:t>
      </w:r>
      <w:proofErr w:type="gramEnd"/>
      <w:r>
        <w:t>, not titles. Second, it states no position on the treaty status of any Party, including the ratification status of UNCLOS by any Party; the operational rules of Part II apply because the Parties adopt them in this instrument, and for no other reason. Each silence protects every Party simultaneously: no Party signs away a claim, and no Party signs away a defense.</w:t>
      </w:r>
      <w:bookmarkEnd w:id="23"/>
    </w:p>
    <w:p w14:paraId="2DE8AB35" w14:textId="77777777" w:rsidR="00723F18" w:rsidRDefault="00000000">
      <w:pPr>
        <w:pStyle w:val="Heading3"/>
      </w:pPr>
      <w:r>
        <w:t>2.4 Relationship to the June Framework</w:t>
      </w:r>
    </w:p>
    <w:p w14:paraId="51FCDC3B" w14:textId="77777777" w:rsidR="00723F18" w:rsidRDefault="00000000">
      <w:pPr>
        <w:pStyle w:val="FirstParagraph"/>
      </w:pPr>
      <w:bookmarkStart w:id="24" w:name="relationship-to-the-june-framework"/>
      <w:r>
        <w:t>The Accord operates as the maritime implementation layer beneath the diplomatic framework mutually established in June 2026, not as its repudiation and not as its replacement. Upon entry into force, the Accord absorbs the maritime transit provisions of that framework as its opening baseline, and the unexpired remainder of the framework’s sixty (60) day window merges into the trial window of Article 34, so that no gap opens between the two regimes. Nothing in this Accord cancels any provision of the June Framework that the parties to that framework choose to keep in force.</w:t>
      </w:r>
      <w:bookmarkEnd w:id="24"/>
    </w:p>
    <w:p w14:paraId="6C99A450" w14:textId="77777777" w:rsidR="00723F18" w:rsidRDefault="00000000">
      <w:pPr>
        <w:pStyle w:val="Heading3"/>
      </w:pPr>
      <w:r>
        <w:t>2.5 Relationship to the August Layout</w:t>
      </w:r>
    </w:p>
    <w:p w14:paraId="5D418BF2" w14:textId="77777777" w:rsidR="00723F18" w:rsidRDefault="00000000">
      <w:pPr>
        <w:pStyle w:val="FirstParagraph"/>
      </w:pPr>
      <w:bookmarkStart w:id="25" w:name="relationship-to-the-august-layout"/>
      <w:r>
        <w:t xml:space="preserve">The August Layout states the routing compromise at the level of principle: inbound traffic through the northern sector, outbound traffic through the southern sector, hostilities paused, and the waterway open. This Accord gives that principle an operative geometry, a traffic rulebook, a financial architecture, a verification system, and a clock. Where the August Layout speaks in two lanes, this Accord speaks in three corridors, because the central open corridor carries the traffic of every flag that elects neither coastal lane, </w:t>
      </w:r>
      <w:proofErr w:type="gramStart"/>
      <w:r>
        <w:t>and</w:t>
      </w:r>
      <w:proofErr w:type="gramEnd"/>
      <w:r>
        <w:t xml:space="preserve"> because a scheme with no neutral artery re-creates the permission problem it exists to solve. The three-corridor geometry fulfills the August Layout; it does not amend its bargain.</w:t>
      </w:r>
      <w:bookmarkEnd w:id="25"/>
    </w:p>
    <w:p w14:paraId="36A2988F" w14:textId="77777777" w:rsidR="00723F18" w:rsidRDefault="00000000">
      <w:pPr>
        <w:pStyle w:val="Heading3"/>
      </w:pPr>
      <w:r>
        <w:lastRenderedPageBreak/>
        <w:t xml:space="preserve">2.6 Relationship </w:t>
      </w:r>
      <w:proofErr w:type="gramStart"/>
      <w:r>
        <w:t>to</w:t>
      </w:r>
      <w:proofErr w:type="gramEnd"/>
      <w:r>
        <w:t xml:space="preserve"> the International Maritime Organization</w:t>
      </w:r>
    </w:p>
    <w:p w14:paraId="16C37108" w14:textId="77777777" w:rsidR="00723F18" w:rsidRDefault="00000000">
      <w:pPr>
        <w:pStyle w:val="FirstParagraph"/>
      </w:pPr>
      <w:bookmarkStart w:id="26" w:name="X043e577b0f34d9c512a1c81cf13b5af282a4260"/>
      <w:r>
        <w:t>The Parties invite the International Maritime Organization and the International Hydrographic Organization to attend the Accord in observer attendance, through the Technical Interface of Article 17. Notices to mariners issued under this Accord travel to the IMO Secretariat for circulation in parallel with circulation through the Tripartite Operations System, so that the shipping industry reads one consistent set of instructions. Observer attendance creates no adjudicative role and no amendment power for any technical body.</w:t>
      </w:r>
      <w:bookmarkEnd w:id="26"/>
    </w:p>
    <w:p w14:paraId="62D3F388" w14:textId="77777777" w:rsidR="00723F18" w:rsidRDefault="00000000">
      <w:pPr>
        <w:pStyle w:val="Heading3"/>
      </w:pPr>
      <w:r>
        <w:t>2.7 The service and reimbursement distinction</w:t>
      </w:r>
    </w:p>
    <w:p w14:paraId="78328803" w14:textId="77777777" w:rsidR="00723F18" w:rsidRDefault="00000000">
      <w:pPr>
        <w:pStyle w:val="FirstParagraph"/>
      </w:pPr>
      <w:bookmarkStart w:id="27" w:name="Xdd75c5a22491690aa7d4e3925ea899d5d7d8f26"/>
      <w:r>
        <w:t xml:space="preserve">The Accord draws one bright financial line. A charge on the act of transit is a toll, and the architecture excludes it absolutely under Article 19. A payment for a service </w:t>
      </w:r>
      <w:proofErr w:type="gramStart"/>
      <w:r>
        <w:t>actually performed</w:t>
      </w:r>
      <w:proofErr w:type="gramEnd"/>
      <w:r>
        <w:t>, at a rate published in advance, benchmarked to regional markets, and audited independently, is a reimbursement, and the architecture channels it through the Verified Services Ledger of Article 20 and the Cooperative Safety Fund of Article 21. Pilotage, tug assistance, hazard clearance, hydrographic survey, traffic information, and safety communications constitute services. Passage constitutes no service. This distinction settles the tolls question without adjudicating it: every Party’s legal theory of fees remains intact, and no vessel ever pays for the act of passing.</w:t>
      </w:r>
      <w:bookmarkEnd w:id="27"/>
    </w:p>
    <w:p w14:paraId="4598D29A" w14:textId="77777777" w:rsidR="00723F18" w:rsidRDefault="00000000">
      <w:pPr>
        <w:pStyle w:val="Heading3"/>
      </w:pPr>
      <w:r>
        <w:t>2.8 The historic scheme question</w:t>
      </w:r>
    </w:p>
    <w:p w14:paraId="12D42CFF" w14:textId="77777777" w:rsidR="00723F18" w:rsidRDefault="00000000">
      <w:pPr>
        <w:pStyle w:val="FirstParagraph"/>
      </w:pPr>
      <w:bookmarkStart w:id="28" w:name="the-historic-scheme-question"/>
      <w:bookmarkStart w:id="29" w:name="X702e4d9d941732cf615220dc22d6c39f1efa0f1"/>
      <w:r>
        <w:t>The Accord takes note that the Parties hold divergent positions concerning historic traffic separation measures in the Strait. The Accord resolves the operational consequence of that divergence without touching the divergence itself: the corridors of Part II operate under fresh coordinate designations issued by the Neutral Coordinate Registry of Article 7, and those designations derive their authority from this instrument alone. A Party that regards a historic scheme as valid loses nothing; a Party that regards a historic scheme as superseded concedes nothing. The water carries one traffic picture, and every mariner reads it from the same registry.</w:t>
      </w:r>
      <w:bookmarkEnd w:id="28"/>
      <w:bookmarkEnd w:id="29"/>
    </w:p>
    <w:p w14:paraId="70CEFE50" w14:textId="77777777" w:rsidR="00723F18" w:rsidRDefault="00000000">
      <w:pPr>
        <w:pStyle w:val="Heading2"/>
      </w:pPr>
      <w:bookmarkStart w:id="30" w:name="__RefHeading___Toc6386_2939721771"/>
      <w:bookmarkEnd w:id="30"/>
      <w:r>
        <w:t>Article 3: Core Operating Principles</w:t>
      </w:r>
    </w:p>
    <w:p w14:paraId="4FFF2E6F" w14:textId="77777777" w:rsidR="00723F18" w:rsidRDefault="00000000">
      <w:pPr>
        <w:pStyle w:val="Heading3"/>
      </w:pPr>
      <w:r>
        <w:t>3.1 Principle I: Functional Decoupling</w:t>
      </w:r>
    </w:p>
    <w:p w14:paraId="0BA53D68" w14:textId="77777777" w:rsidR="00723F18" w:rsidRDefault="00000000">
      <w:pPr>
        <w:pStyle w:val="FirstParagraph"/>
      </w:pPr>
      <w:bookmarkStart w:id="31" w:name="principle-i-functional-decoupling"/>
      <w:r>
        <w:t>The Accord separates operational compliance from legal recognition. Following a corridor, filing a notice, accepting a service, or accepting a certificate constitutes technical compliance alone and never constitutes a legal position. This principle stands first among the operating principles: it converts the dispute from a contest over law into a system for operations, and every other principle serves it.</w:t>
      </w:r>
      <w:bookmarkEnd w:id="31"/>
    </w:p>
    <w:p w14:paraId="5D317388" w14:textId="77777777" w:rsidR="00723F18" w:rsidRDefault="00000000">
      <w:pPr>
        <w:pStyle w:val="Heading3"/>
      </w:pPr>
      <w:r>
        <w:t>3.2 Principle II: Administrative Stewardship</w:t>
      </w:r>
    </w:p>
    <w:p w14:paraId="4D29FD73" w14:textId="77777777" w:rsidR="00723F18" w:rsidRDefault="00000000">
      <w:pPr>
        <w:pStyle w:val="FirstParagraph"/>
      </w:pPr>
      <w:bookmarkStart w:id="32" w:name="principle-ii-administrative-stewardship"/>
      <w:r>
        <w:t xml:space="preserve">The Accord reframes control as stewardship. A steward performs services, maintains infrastructure, clears hazards, and </w:t>
      </w:r>
      <w:proofErr w:type="gramStart"/>
      <w:r>
        <w:t>answers to</w:t>
      </w:r>
      <w:proofErr w:type="gramEnd"/>
      <w:r>
        <w:t xml:space="preserve"> published standards. A steward holds operational prominence within its corridor and holds no veto over the transit of any vessel </w:t>
      </w:r>
      <w:r>
        <w:lastRenderedPageBreak/>
        <w:t>in any corridor. Prominence satisfies the demand for a recognized role; the absence of veto satisfies the demand for free transit. Both hold at once because they describe different things.</w:t>
      </w:r>
      <w:bookmarkEnd w:id="32"/>
    </w:p>
    <w:p w14:paraId="5EED04D5" w14:textId="77777777" w:rsidR="00723F18" w:rsidRDefault="00000000">
      <w:pPr>
        <w:pStyle w:val="Heading3"/>
      </w:pPr>
      <w:r>
        <w:t>3.3 Principle III: The Neutral Artery</w:t>
      </w:r>
    </w:p>
    <w:p w14:paraId="45DF5A56" w14:textId="77777777" w:rsidR="00723F18" w:rsidRDefault="00000000">
      <w:pPr>
        <w:pStyle w:val="FirstParagraph"/>
      </w:pPr>
      <w:bookmarkStart w:id="33" w:name="principle-iii-the-neutral-artery"/>
      <w:r>
        <w:t xml:space="preserve">The scheme always contains one corridor that no single coastal state administers. The Central Open Corridor carries the default traffic of every flag, operates under joint administration, and </w:t>
      </w:r>
      <w:proofErr w:type="gramStart"/>
      <w:r>
        <w:t>answers to</w:t>
      </w:r>
      <w:proofErr w:type="gramEnd"/>
      <w:r>
        <w:t xml:space="preserve"> no national permission step. The neutral artery guarantees that the closure of any coastal lane, for any reason, never closes the Strait. This principle converts the three-corridor geometry from a drawing into an insurance policy.</w:t>
      </w:r>
      <w:bookmarkEnd w:id="33"/>
    </w:p>
    <w:p w14:paraId="249971DB" w14:textId="77777777" w:rsidR="00723F18" w:rsidRDefault="00000000">
      <w:pPr>
        <w:pStyle w:val="Heading3"/>
      </w:pPr>
      <w:r>
        <w:t>3.4 Principle IV: Synchronized Reciprocal Motion</w:t>
      </w:r>
    </w:p>
    <w:p w14:paraId="2DB1A584" w14:textId="77777777" w:rsidR="00723F18" w:rsidRDefault="00000000">
      <w:pPr>
        <w:pStyle w:val="FirstParagraph"/>
      </w:pPr>
      <w:bookmarkStart w:id="34" w:name="X3f41e1f0dd6ecfccf710aa38b8a9c206e738066"/>
      <w:r>
        <w:t xml:space="preserve">No Party moves alone. Every maritime step </w:t>
      </w:r>
      <w:proofErr w:type="gramStart"/>
      <w:r>
        <w:t>pairs</w:t>
      </w:r>
      <w:proofErr w:type="gramEnd"/>
      <w:r>
        <w:t xml:space="preserve"> with an economic step on the same clock, and the Shared Evidence Platform confirms both before either takes effect. If one side stops, the paired benefit of the other side stops with it. This principle eliminates the question of who moves first.</w:t>
      </w:r>
      <w:bookmarkEnd w:id="34"/>
    </w:p>
    <w:p w14:paraId="13279352" w14:textId="77777777" w:rsidR="00723F18" w:rsidRDefault="00000000">
      <w:pPr>
        <w:pStyle w:val="Heading3"/>
      </w:pPr>
      <w:r>
        <w:t>3.5 Principle V: Clockwork Activation</w:t>
      </w:r>
    </w:p>
    <w:p w14:paraId="704B6683" w14:textId="77777777" w:rsidR="00723F18" w:rsidRDefault="00000000">
      <w:pPr>
        <w:pStyle w:val="FirstParagraph"/>
      </w:pPr>
      <w:bookmarkStart w:id="35" w:name="principle-v-clockwork-activation"/>
      <w:r>
        <w:t>Steps activate on a published timeline, not on trust. The phase boundaries of Part VII, the certificate sequence of Article 13, and the review rhythm of Article 46 each run on stated clocks with named checkpoints. A missed checkpoint opens a technical consultation, never a political crisis.</w:t>
      </w:r>
      <w:bookmarkEnd w:id="35"/>
    </w:p>
    <w:p w14:paraId="17A8927F" w14:textId="77777777" w:rsidR="00723F18" w:rsidRDefault="00000000">
      <w:pPr>
        <w:pStyle w:val="Heading3"/>
      </w:pPr>
      <w:r>
        <w:t>3.6 Principle VI: Telemetry-First Verification</w:t>
      </w:r>
    </w:p>
    <w:p w14:paraId="3908E2FC" w14:textId="77777777" w:rsidR="00723F18" w:rsidRDefault="00000000">
      <w:pPr>
        <w:pStyle w:val="FirstParagraph"/>
      </w:pPr>
      <w:bookmarkStart w:id="36" w:name="X84fec32c0b0b3b90fdb39cea7d1a5f2a705c3b1"/>
      <w:r>
        <w:t xml:space="preserve">Every commitment expresses itself as a sensor reading, a data feed, a transit log, a fund transaction, or a certificate. The verification bodies of Part V provide all compliance confirmation. No Party </w:t>
      </w:r>
      <w:proofErr w:type="gramStart"/>
      <w:r>
        <w:t>grades</w:t>
      </w:r>
      <w:proofErr w:type="gramEnd"/>
      <w:r>
        <w:t xml:space="preserve"> another Party’s homework.</w:t>
      </w:r>
      <w:bookmarkEnd w:id="36"/>
    </w:p>
    <w:p w14:paraId="24F8B703" w14:textId="77777777" w:rsidR="00723F18" w:rsidRDefault="00000000">
      <w:pPr>
        <w:pStyle w:val="Heading3"/>
      </w:pPr>
      <w:r>
        <w:t>3.7 Principle VII: The Silo Rule</w:t>
      </w:r>
    </w:p>
    <w:p w14:paraId="7491C348" w14:textId="77777777" w:rsidR="00723F18" w:rsidRDefault="00000000">
      <w:pPr>
        <w:pStyle w:val="FirstParagraph"/>
      </w:pPr>
      <w:bookmarkStart w:id="37" w:name="principle-vii-the-silo-rule"/>
      <w:r>
        <w:t xml:space="preserve">The maritime file stands alone. Progress or difficulty in this Accord never </w:t>
      </w:r>
      <w:proofErr w:type="gramStart"/>
      <w:r>
        <w:t>suspends,</w:t>
      </w:r>
      <w:proofErr w:type="gramEnd"/>
      <w:r>
        <w:t xml:space="preserve"> conditions, or accelerates any other file, and progress or difficulty in any other file never suspends, conditions, or accelerates </w:t>
      </w:r>
      <w:proofErr w:type="gramStart"/>
      <w:r>
        <w:t>this</w:t>
      </w:r>
      <w:proofErr w:type="gramEnd"/>
      <w:r>
        <w:t xml:space="preserve"> Accord. A breach in one module of this Accord routes to the compliance engine of that module alone and never cascades into another module unless the operative text explicitly links them.</w:t>
      </w:r>
      <w:bookmarkEnd w:id="37"/>
    </w:p>
    <w:p w14:paraId="16FD8F27" w14:textId="77777777" w:rsidR="00723F18" w:rsidRDefault="00000000">
      <w:pPr>
        <w:pStyle w:val="Heading3"/>
      </w:pPr>
      <w:r>
        <w:t>3.8 Principle VIII: Mutual Architecture and Non-Humiliation</w:t>
      </w:r>
    </w:p>
    <w:p w14:paraId="18699786" w14:textId="77777777" w:rsidR="00723F18" w:rsidRDefault="00000000">
      <w:pPr>
        <w:pStyle w:val="FirstParagraph"/>
      </w:pPr>
      <w:bookmarkStart w:id="38" w:name="X5bb11770da6399908117a82ca3195b6ac705a9a"/>
      <w:r>
        <w:t>Every constraint binds every Party equally as a design feature of the shared framework. The framework architecture excludes kinetic enforcement mechanisms, excludes coerced public statements, and excludes any language of surrender, capitulation, or submission. Compliance constitutes the fulfillment of negotiated commitments between sovereign equals, and no provision stages humiliation optics for any side.</w:t>
      </w:r>
      <w:bookmarkEnd w:id="38"/>
    </w:p>
    <w:p w14:paraId="25E6A6AE" w14:textId="77777777" w:rsidR="00723F18" w:rsidRDefault="00000000">
      <w:pPr>
        <w:pStyle w:val="Heading3"/>
      </w:pPr>
      <w:r>
        <w:lastRenderedPageBreak/>
        <w:t>3.9 Principle IX: Rollback, Not Collapse</w:t>
      </w:r>
    </w:p>
    <w:p w14:paraId="1C952121" w14:textId="77777777" w:rsidR="00723F18" w:rsidRDefault="00000000">
      <w:pPr>
        <w:pStyle w:val="FirstParagraph"/>
      </w:pPr>
      <w:bookmarkStart w:id="39" w:name="principle-ix-rollback-not-collapse"/>
      <w:r>
        <w:t>A breach pauses the affected module; it does not terminate the Accord. Discretionary measures halt first, core constraints survive longest, and humanitarian protections remain in force under every scenario. Ambiguity triggers investigation, not punishment.</w:t>
      </w:r>
      <w:bookmarkEnd w:id="39"/>
    </w:p>
    <w:p w14:paraId="2024A025" w14:textId="77777777" w:rsidR="00723F18" w:rsidRDefault="00000000">
      <w:pPr>
        <w:pStyle w:val="Heading3"/>
      </w:pPr>
      <w:r>
        <w:t>3.10 Principle X: Minimalism</w:t>
      </w:r>
    </w:p>
    <w:p w14:paraId="382064EA" w14:textId="77777777" w:rsidR="00723F18" w:rsidRDefault="00000000">
      <w:pPr>
        <w:pStyle w:val="FirstParagraph"/>
      </w:pPr>
      <w:bookmarkStart w:id="40" w:name="article-3-core-operating-principles"/>
      <w:bookmarkStart w:id="41" w:name="principle-x-minimalism"/>
      <w:r>
        <w:t>The Accord includes only essential stabilizing functions. Every clause earns its place by preventing a named failure mode: the misfire, the ambiguous lane, the unpaid steward, the unverified tranche, the spiraling statement, the panic exit. Anything that fails that test stays with the follow-on tracks.</w:t>
      </w:r>
      <w:bookmarkEnd w:id="40"/>
      <w:bookmarkEnd w:id="41"/>
    </w:p>
    <w:p w14:paraId="4DCC24B2" w14:textId="77777777" w:rsidR="00723F18" w:rsidRDefault="00000000">
      <w:pPr>
        <w:pStyle w:val="Heading2"/>
      </w:pPr>
      <w:bookmarkStart w:id="42" w:name="__RefHeading___Toc6388_2939721771"/>
      <w:bookmarkEnd w:id="42"/>
      <w:r>
        <w:t>Article 4: Provisional Character and the Continuity Rule</w:t>
      </w:r>
    </w:p>
    <w:p w14:paraId="2BA8A9A4" w14:textId="77777777" w:rsidR="00723F18" w:rsidRDefault="00000000">
      <w:pPr>
        <w:pStyle w:val="Heading3"/>
      </w:pPr>
      <w:r>
        <w:t>4.1 No sunset</w:t>
      </w:r>
    </w:p>
    <w:p w14:paraId="0080BE6A" w14:textId="77777777" w:rsidR="00723F18" w:rsidRDefault="00000000">
      <w:pPr>
        <w:pStyle w:val="FirstParagraph"/>
      </w:pPr>
      <w:bookmarkStart w:id="43" w:name="no-sunset"/>
      <w:r>
        <w:t>The Accord recognizes no sunset, no cliff, and no silent expiry. The sixty (60) day trial window of Article 34 is a review rhythm, not a lifetime. At every window boundary, the operational state carries forward by default.</w:t>
      </w:r>
      <w:bookmarkEnd w:id="43"/>
    </w:p>
    <w:p w14:paraId="6615A712" w14:textId="77777777" w:rsidR="00723F18" w:rsidRDefault="00000000">
      <w:pPr>
        <w:pStyle w:val="Heading3"/>
      </w:pPr>
      <w:r>
        <w:t>4.2 Renewal by silence</w:t>
      </w:r>
    </w:p>
    <w:p w14:paraId="67B75114" w14:textId="77777777" w:rsidR="00723F18" w:rsidRDefault="00000000">
      <w:pPr>
        <w:pStyle w:val="FirstParagraph"/>
      </w:pPr>
      <w:bookmarkStart w:id="44" w:name="renewal-by-silence"/>
      <w:r>
        <w:t>The Accord renews in successive sixty (60) day increments by silence: absent a notice under Article 48, continuation occurs automatically at each window boundary, and the Muscat Operations Center records the renewal on the Shared Evidence Platform as an administrative entry.</w:t>
      </w:r>
      <w:bookmarkEnd w:id="44"/>
    </w:p>
    <w:p w14:paraId="7EAE5503" w14:textId="77777777" w:rsidR="00723F18" w:rsidRDefault="00000000">
      <w:pPr>
        <w:pStyle w:val="Heading3"/>
      </w:pPr>
      <w:r>
        <w:t>4.3 Banked performance</w:t>
      </w:r>
    </w:p>
    <w:p w14:paraId="010051C0" w14:textId="77777777" w:rsidR="00723F18" w:rsidRDefault="00000000">
      <w:pPr>
        <w:pStyle w:val="FirstParagraph"/>
      </w:pPr>
      <w:bookmarkStart w:id="45" w:name="banked-performance"/>
      <w:r>
        <w:t>Each verified day banks. Corridor certifications, clean-day streaks, tranche releases, waiver renewals, and daily status reports accumulate as the factual baseline for every subsequent review. No Party re-litigates a banked entry, and no classification reaches backward to erase one.</w:t>
      </w:r>
      <w:bookmarkEnd w:id="45"/>
    </w:p>
    <w:p w14:paraId="044CD765" w14:textId="77777777" w:rsidR="00723F18" w:rsidRDefault="00000000">
      <w:pPr>
        <w:pStyle w:val="Heading3"/>
      </w:pPr>
      <w:r>
        <w:t>4.4 Exit is an act, not a fade</w:t>
      </w:r>
    </w:p>
    <w:p w14:paraId="12EFEA5A" w14:textId="77777777" w:rsidR="00723F18" w:rsidRDefault="00000000">
      <w:pPr>
        <w:pStyle w:val="FirstParagraph"/>
      </w:pPr>
      <w:bookmarkStart w:id="46" w:name="Xbd2bb0f29eec065cf5c45f60d1c552d613a030c"/>
      <w:bookmarkStart w:id="47" w:name="exit-is-an-act-not-a-fade"/>
      <w:r>
        <w:t>Departure from the Accord occurs only through the deliberate, notified, time-buffered procedure of Article 48. Silence never operates as withdrawal. Ambiguity never operates as withdrawal. A Party that says nothing stays.</w:t>
      </w:r>
      <w:bookmarkEnd w:id="46"/>
      <w:bookmarkEnd w:id="47"/>
    </w:p>
    <w:p w14:paraId="18FE4790" w14:textId="77777777" w:rsidR="00723F18" w:rsidRDefault="00000000">
      <w:pPr>
        <w:pStyle w:val="Heading2"/>
      </w:pPr>
      <w:bookmarkStart w:id="48" w:name="__RefHeading___Toc6390_2939721771"/>
      <w:bookmarkEnd w:id="48"/>
      <w:r>
        <w:t>Article 5: Definitions and Interpretation</w:t>
      </w:r>
    </w:p>
    <w:p w14:paraId="6E0C10BE" w14:textId="77777777" w:rsidR="00723F18" w:rsidRDefault="00000000">
      <w:pPr>
        <w:pStyle w:val="Heading3"/>
      </w:pPr>
      <w:r>
        <w:t>5.1 Operative definitions</w:t>
      </w:r>
    </w:p>
    <w:p w14:paraId="5FEB4C94" w14:textId="77777777" w:rsidR="00723F18" w:rsidRDefault="00000000">
      <w:pPr>
        <w:pStyle w:val="FirstParagraph"/>
      </w:pPr>
      <w:bookmarkStart w:id="49" w:name="operative-definitions"/>
      <w:r>
        <w:t>Annex L states the operative definitions of this Accord. Capitalized terms carry the meanings Annex L assigns. A reference to a corridor, a steward, a center, a fund, a phase, a certificate, or a platform entry incorporates the operative provisions that govern it.</w:t>
      </w:r>
      <w:bookmarkEnd w:id="49"/>
    </w:p>
    <w:p w14:paraId="60E5AA0C" w14:textId="77777777" w:rsidR="00723F18" w:rsidRDefault="00000000">
      <w:pPr>
        <w:pStyle w:val="Heading3"/>
      </w:pPr>
      <w:r>
        <w:lastRenderedPageBreak/>
        <w:t>5.2 Interpretation rules</w:t>
      </w:r>
    </w:p>
    <w:p w14:paraId="65B977DB" w14:textId="77777777" w:rsidR="00723F18" w:rsidRDefault="00000000">
      <w:pPr>
        <w:pStyle w:val="FirstParagraph"/>
      </w:pPr>
      <w:bookmarkStart w:id="50" w:name="interpretation-rules"/>
      <w:r>
        <w:t xml:space="preserve">Four rules govern interpretation. First, the Non-Prejudice Clause of Article 2.2 controls every other provision: any interpretation implying a legal concession by any Party fails at the threshold. Second, the specific controls the general. Third, the telemetry record controls recollection: where a platform entry and a diplomatic note diverge, the platform entry stands as the operational fact, without prejudice to any Party’s characterization of that fact. Fourth, ambiguities </w:t>
      </w:r>
      <w:proofErr w:type="gramStart"/>
      <w:r>
        <w:t>resolve</w:t>
      </w:r>
      <w:proofErr w:type="gramEnd"/>
      <w:r>
        <w:t xml:space="preserve"> in favor of continuity of transit.</w:t>
      </w:r>
      <w:bookmarkEnd w:id="50"/>
    </w:p>
    <w:p w14:paraId="1738032C" w14:textId="77777777" w:rsidR="00723F18" w:rsidRDefault="00000000">
      <w:pPr>
        <w:pStyle w:val="Heading3"/>
      </w:pPr>
      <w:r>
        <w:t>5.3 Headings and examples</w:t>
      </w:r>
    </w:p>
    <w:p w14:paraId="5ADE7710" w14:textId="77777777" w:rsidR="00723F18" w:rsidRDefault="00000000">
      <w:pPr>
        <w:pStyle w:val="FirstParagraph"/>
      </w:pPr>
      <w:bookmarkStart w:id="51" w:name="article-5-definitions-and-interpretation"/>
      <w:bookmarkStart w:id="52" w:name="headings-and-examples"/>
      <w:r>
        <w:t>Headings serve navigation only. Worked examples in the annexes illustrate application and bind no Party beyond the rules they illustrate.</w:t>
      </w:r>
      <w:bookmarkEnd w:id="51"/>
      <w:bookmarkEnd w:id="52"/>
    </w:p>
    <w:p w14:paraId="238A96FA" w14:textId="77777777" w:rsidR="00723F18" w:rsidRDefault="00000000">
      <w:pPr>
        <w:pStyle w:val="Heading2"/>
      </w:pPr>
      <w:bookmarkStart w:id="53" w:name="__RefHeading___Toc6392_2939721771"/>
      <w:bookmarkEnd w:id="53"/>
      <w:r>
        <w:t>Article 6: The Red Lines Register and the Perimeter Test</w:t>
      </w:r>
    </w:p>
    <w:p w14:paraId="16CEB975" w14:textId="77777777" w:rsidR="00723F18" w:rsidRDefault="00000000">
      <w:pPr>
        <w:pStyle w:val="Heading3"/>
      </w:pPr>
      <w:r>
        <w:t>6.1 The Register</w:t>
      </w:r>
    </w:p>
    <w:p w14:paraId="13AD7FAB" w14:textId="77777777" w:rsidR="00723F18" w:rsidRDefault="00000000">
      <w:pPr>
        <w:pStyle w:val="FirstParagraph"/>
      </w:pPr>
      <w:bookmarkStart w:id="54" w:name="the-register"/>
      <w:r>
        <w:t xml:space="preserve">Annex F states the Red Lines Register in full operative text. The Register records the sixteen lines of the Declaration of Principles, the source </w:t>
      </w:r>
      <w:proofErr w:type="gramStart"/>
      <w:r>
        <w:t>position</w:t>
      </w:r>
      <w:proofErr w:type="gramEnd"/>
      <w:r>
        <w:t xml:space="preserve"> each line protects, and the exact safeguard that governs any measure touching the line. The Register binds every organ of the Accord.</w:t>
      </w:r>
      <w:bookmarkEnd w:id="54"/>
    </w:p>
    <w:p w14:paraId="02078583" w14:textId="77777777" w:rsidR="00723F18" w:rsidRDefault="00000000">
      <w:pPr>
        <w:pStyle w:val="Heading3"/>
      </w:pPr>
      <w:r>
        <w:t>6.2 The Perimeter Test</w:t>
      </w:r>
    </w:p>
    <w:p w14:paraId="7599A384" w14:textId="77777777" w:rsidR="00723F18" w:rsidRDefault="00000000">
      <w:pPr>
        <w:pStyle w:val="FirstParagraph"/>
      </w:pPr>
      <w:bookmarkStart w:id="55" w:name="the-perimeter-test"/>
      <w:r>
        <w:t>Before any organ issues a directive, an amendment, a rate change, or a certificate with operational effect, the issuing organ applies the Perimeter Test: it identifies every Red Line the measure touches, confirms that the measure proceeds in the exact form the corresponding safeguard permits, and records the test on the Shared Evidence Platform. A measure that fails the Perimeter Test fails in full, and the issuing organ withdraws it within twenty-four (24) hours.</w:t>
      </w:r>
      <w:bookmarkEnd w:id="55"/>
    </w:p>
    <w:p w14:paraId="2222F040" w14:textId="77777777" w:rsidR="00723F18" w:rsidRDefault="00000000">
      <w:pPr>
        <w:pStyle w:val="Heading3"/>
      </w:pPr>
      <w:r>
        <w:t>6.3 No trading of Red Lines</w:t>
      </w:r>
    </w:p>
    <w:p w14:paraId="31678405" w14:textId="77777777" w:rsidR="00723F18" w:rsidRDefault="00000000">
      <w:pPr>
        <w:pStyle w:val="FirstParagraph"/>
      </w:pPr>
      <w:bookmarkStart w:id="56" w:name="no-trading-of-red-lines"/>
      <w:r>
        <w:t xml:space="preserve">The Red Lines do not trade </w:t>
      </w:r>
      <w:proofErr w:type="gramStart"/>
      <w:r>
        <w:t>against</w:t>
      </w:r>
      <w:proofErr w:type="gramEnd"/>
      <w:r>
        <w:t xml:space="preserve"> one another. No package, no linkage, and no side agreement </w:t>
      </w:r>
      <w:proofErr w:type="gramStart"/>
      <w:r>
        <w:t>purchases</w:t>
      </w:r>
      <w:proofErr w:type="gramEnd"/>
      <w:r>
        <w:t xml:space="preserve"> relief from any line. The architecture treats the Register as the constitution of the system: everything else negotiates; the Register holds.</w:t>
      </w:r>
      <w:bookmarkEnd w:id="56"/>
    </w:p>
    <w:p w14:paraId="6B407334" w14:textId="77777777" w:rsidR="00723F18" w:rsidRDefault="00000000">
      <w:pPr>
        <w:pStyle w:val="Heading3"/>
      </w:pPr>
      <w:r>
        <w:t>6.4 Red Line Consultation</w:t>
      </w:r>
    </w:p>
    <w:p w14:paraId="2290855B" w14:textId="77777777" w:rsidR="00723F18" w:rsidRDefault="00000000">
      <w:pPr>
        <w:pStyle w:val="FirstParagraph"/>
      </w:pPr>
      <w:bookmarkStart w:id="57" w:name="red-line-consultation"/>
      <w:bookmarkStart w:id="58" w:name="X71cf28370ee15fece6b56fef0a0d1fda86aafd7"/>
      <w:r>
        <w:t xml:space="preserve">A Party that perceives a Red Line under pressure activates a Red Line Consultation before any other response. The consultation </w:t>
      </w:r>
      <w:proofErr w:type="gramStart"/>
      <w:r>
        <w:t>convenes</w:t>
      </w:r>
      <w:proofErr w:type="gramEnd"/>
      <w:r>
        <w:t xml:space="preserve"> within twenty-four (24) hours through the facilitator channel. The architecture freezes the specific mechanism under consultation for seventy-two (72) hours while the consultation proceeds, except for the humanitarian firewall and the distress-priority obligations, which never freeze. During a consultation, the consulting Party retains every other right and function under the Accord, and the consultation record publishes in summary form within seven (7) days of its close, with positions redacted at the request of the Party that states them.</w:t>
      </w:r>
      <w:bookmarkEnd w:id="57"/>
      <w:bookmarkEnd w:id="58"/>
    </w:p>
    <w:p w14:paraId="1D58CA74" w14:textId="77777777" w:rsidR="00723F18" w:rsidRDefault="00000000">
      <w:pPr>
        <w:pStyle w:val="Heading1"/>
      </w:pPr>
      <w:bookmarkStart w:id="59" w:name="__RefHeading___Toc6394_2939721771"/>
      <w:bookmarkEnd w:id="59"/>
      <w:r>
        <w:lastRenderedPageBreak/>
        <w:t>Part II: The Three-Corridor Transit Scheme</w:t>
      </w:r>
    </w:p>
    <w:p w14:paraId="725B882C" w14:textId="77777777" w:rsidR="00723F18" w:rsidRDefault="00000000">
      <w:pPr>
        <w:pStyle w:val="Heading2"/>
      </w:pPr>
      <w:bookmarkStart w:id="60" w:name="__RefHeading___Toc6396_2939721771"/>
      <w:bookmarkEnd w:id="60"/>
      <w:r>
        <w:t>Article 7: The Scheme Area and the Neutral Coordinate Registry</w:t>
      </w:r>
    </w:p>
    <w:p w14:paraId="3C83FD7D" w14:textId="77777777" w:rsidR="00723F18" w:rsidRDefault="00000000">
      <w:pPr>
        <w:pStyle w:val="Heading3"/>
      </w:pPr>
      <w:r>
        <w:t>7.1 The Scheme Area</w:t>
      </w:r>
    </w:p>
    <w:p w14:paraId="2EA087D7" w14:textId="77777777" w:rsidR="00723F18" w:rsidRDefault="00000000">
      <w:pPr>
        <w:pStyle w:val="FirstParagraph"/>
      </w:pPr>
      <w:bookmarkStart w:id="61" w:name="the-scheme-area"/>
      <w:r>
        <w:t xml:space="preserve">The Scheme Area comprises the waters of the Strait of Hormuz within the boundary polygon of Annex A, Table A.1, the corridor airspace above it to an altitude of ten thousand (10,000) feet, the holding anchorages of Annex A, Table A.7, and the shore facilities of the Tripartite Operations System. The eastern boundary stands at the meridian 057 degrees 00.0 minutes East, from the coast of the Musandam Peninsula to the coast of Iran. The western boundary stands at the meridian 055 degrees 30.0 minutes East, from the coast of the Musandam Peninsula to the coast of Iran. The northern boundary follows the low-water line of the Iranian coast, including the islands of </w:t>
      </w:r>
      <w:proofErr w:type="spellStart"/>
      <w:r>
        <w:t>Qeshm</w:t>
      </w:r>
      <w:proofErr w:type="spellEnd"/>
      <w:r>
        <w:t xml:space="preserve">, Hormuz, Larak, and </w:t>
      </w:r>
      <w:proofErr w:type="spellStart"/>
      <w:r>
        <w:t>Hengam</w:t>
      </w:r>
      <w:proofErr w:type="spellEnd"/>
      <w:r>
        <w:t xml:space="preserve">. The southern boundary follows the low-water line of the Musandam Peninsula. Every position </w:t>
      </w:r>
      <w:proofErr w:type="gramStart"/>
      <w:r>
        <w:t>rests</w:t>
      </w:r>
      <w:proofErr w:type="gramEnd"/>
      <w:r>
        <w:t xml:space="preserve"> on </w:t>
      </w:r>
      <w:proofErr w:type="gramStart"/>
      <w:r>
        <w:t>the WGS</w:t>
      </w:r>
      <w:proofErr w:type="gramEnd"/>
      <w:r>
        <w:t>-84 datum.</w:t>
      </w:r>
      <w:bookmarkEnd w:id="61"/>
    </w:p>
    <w:p w14:paraId="5F881E5E" w14:textId="77777777" w:rsidR="00723F18" w:rsidRDefault="00000000">
      <w:pPr>
        <w:pStyle w:val="Heading3"/>
      </w:pPr>
      <w:r>
        <w:t>7.2 The three corridors</w:t>
      </w:r>
    </w:p>
    <w:p w14:paraId="0401DF22" w14:textId="77777777" w:rsidR="00723F18" w:rsidRDefault="00000000">
      <w:pPr>
        <w:pStyle w:val="FirstParagraph"/>
      </w:pPr>
      <w:bookmarkStart w:id="62" w:name="the-three-corridors"/>
      <w:r>
        <w:t xml:space="preserve">The scheme divides the Scheme Area into three corridors and two separation belts. Corridor One, the Northern Stewardship Corridor, occupies the northern sector adjacent to the Iranian coastline. Corridor Two, the Central Open Corridor, occupies the central sector along the deep-water route. Corridor Three, the Southern Assurance Corridor, occupies the southern sector adjacent to the Omani coastline. Each corridor carries inbound and outbound lanes as Annex A states them. Separation Belt Alpha divides Corridor One from Corridor Two. Separation Belt Beta </w:t>
      </w:r>
      <w:proofErr w:type="gramStart"/>
      <w:r>
        <w:t>divides</w:t>
      </w:r>
      <w:proofErr w:type="gramEnd"/>
      <w:r>
        <w:t xml:space="preserve"> Corridor Two from Corridor Three. The architecture excludes commercial traffic from the separation belts except in the emergency divergence cases of Annex A, and it </w:t>
      </w:r>
      <w:proofErr w:type="gramStart"/>
      <w:r>
        <w:t>excludes stationary military presence from the separation belts at all times</w:t>
      </w:r>
      <w:proofErr w:type="gramEnd"/>
      <w:r>
        <w:t>.</w:t>
      </w:r>
      <w:bookmarkEnd w:id="62"/>
    </w:p>
    <w:p w14:paraId="56D9CCCE" w14:textId="77777777" w:rsidR="00723F18" w:rsidRDefault="00000000">
      <w:pPr>
        <w:pStyle w:val="Heading3"/>
      </w:pPr>
      <w:r>
        <w:t>7.3 The Neutral Coordinate Registry</w:t>
      </w:r>
    </w:p>
    <w:p w14:paraId="7C92D02D" w14:textId="77777777" w:rsidR="00723F18" w:rsidRDefault="00000000">
      <w:pPr>
        <w:pStyle w:val="FirstParagraph"/>
      </w:pPr>
      <w:bookmarkStart w:id="63" w:name="the-neutral-coordinate-registry"/>
      <w:r>
        <w:t>The Neutral Coordinate Registry constitutes the single authoritative source of corridor geometry under the Accord. The Registry records the corridor centerlines, lane boundaries, the separation belts, the holding anchorages, the reporting points, and the buffer geometry of Annex A. The Muscat Operations Center and the Bandar Abbas Mirror Center each hold an identical live copy; the Neutral Administrator holds the certification copy; and every amendment travels through the amendment procedure of Article 7.5. A corridor designation consists of a numbered waypoint sequence, a lateral boundary pair, and a traffic direction. It carries no name derived from any state, no color derived from any flag, and no reference to any legal characterization of the water it crosses.</w:t>
      </w:r>
      <w:bookmarkEnd w:id="63"/>
    </w:p>
    <w:p w14:paraId="27494A48" w14:textId="77777777" w:rsidR="00723F18" w:rsidRDefault="00000000">
      <w:pPr>
        <w:pStyle w:val="Heading3"/>
      </w:pPr>
      <w:r>
        <w:t>7.4 The legal effect of designation</w:t>
      </w:r>
    </w:p>
    <w:p w14:paraId="41B3706B" w14:textId="77777777" w:rsidR="00723F18" w:rsidRDefault="00000000">
      <w:pPr>
        <w:pStyle w:val="FirstParagraph"/>
      </w:pPr>
      <w:bookmarkStart w:id="64" w:name="the-legal-effect-of-designation"/>
      <w:r>
        <w:t xml:space="preserve">A corridor designation settles operations completely and settles </w:t>
      </w:r>
      <w:proofErr w:type="gramStart"/>
      <w:r>
        <w:t>law</w:t>
      </w:r>
      <w:proofErr w:type="gramEnd"/>
      <w:r>
        <w:t xml:space="preserve"> not at all. A vessel complies with the scheme by following the designated coordinates; that compliance constitutes technical compliance under this Accord and nothing more. The designation, the compliance, and the registry entry each fall under the Non-Prejudice Clause of Article 2.2. </w:t>
      </w:r>
      <w:r>
        <w:lastRenderedPageBreak/>
        <w:t xml:space="preserve">No Party cites a designation, a registry entry, a transit log, or a compliance record as evidence in any boundary or status proceeding, and every Party preserves its right to advance any legal position outside this Accord, in any forum, </w:t>
      </w:r>
      <w:proofErr w:type="gramStart"/>
      <w:r>
        <w:t>on the basis of</w:t>
      </w:r>
      <w:proofErr w:type="gramEnd"/>
      <w:r>
        <w:t xml:space="preserve"> materials originating outside this Accord.</w:t>
      </w:r>
      <w:bookmarkEnd w:id="64"/>
    </w:p>
    <w:p w14:paraId="1BEC7E8F" w14:textId="77777777" w:rsidR="00723F18" w:rsidRDefault="00000000">
      <w:pPr>
        <w:pStyle w:val="Heading3"/>
      </w:pPr>
      <w:r>
        <w:t>7.5 Amendment of geometry</w:t>
      </w:r>
    </w:p>
    <w:p w14:paraId="5ABFE494" w14:textId="77777777" w:rsidR="00723F18" w:rsidRDefault="00000000">
      <w:pPr>
        <w:pStyle w:val="FirstParagraph"/>
      </w:pPr>
      <w:bookmarkStart w:id="65" w:name="amendment-of-geometry"/>
      <w:r>
        <w:t xml:space="preserve">The Hormuz Transit Commission amends corridor geometry under the decision rules of Article 18, on the recommendation of the Technical and Standards Committee, </w:t>
      </w:r>
      <w:proofErr w:type="gramStart"/>
      <w:r>
        <w:t>where</w:t>
      </w:r>
      <w:proofErr w:type="gramEnd"/>
      <w:r>
        <w:t xml:space="preserve"> survey data, silting, traffic density, or a certified hazard so warrants. An amendment takes effect seventy-two (72) hours after publication, and the Muscat Operations Center notifies every vessel holding a filed Transit Declaration for the affected window individually. Emergency geometry adjustments of Article 13.7 operate on a faster clock and expire automatically after fourteen (14) days unless the Commission confirms them under Article 18.</w:t>
      </w:r>
      <w:bookmarkEnd w:id="65"/>
    </w:p>
    <w:p w14:paraId="0EB0D730" w14:textId="77777777" w:rsidR="00723F18" w:rsidRDefault="00000000">
      <w:pPr>
        <w:pStyle w:val="Heading3"/>
      </w:pPr>
      <w:r>
        <w:t>7.6 Chart publication</w:t>
      </w:r>
    </w:p>
    <w:p w14:paraId="313C029D" w14:textId="77777777" w:rsidR="00723F18" w:rsidRDefault="00000000">
      <w:pPr>
        <w:pStyle w:val="FirstParagraph"/>
      </w:pPr>
      <w:bookmarkStart w:id="66" w:name="X6b567ea64601042e984959193bc527ef76e4561"/>
      <w:bookmarkStart w:id="67" w:name="chart-publication"/>
      <w:r>
        <w:t xml:space="preserve">The Muscat Operations Center publishes the scheme geometry to the shipping industry as a numbered </w:t>
      </w:r>
      <w:proofErr w:type="spellStart"/>
      <w:r>
        <w:t>chartlet</w:t>
      </w:r>
      <w:proofErr w:type="spellEnd"/>
      <w:r>
        <w:t xml:space="preserve"> series, transmits the series to the International Hydrographic Organization and the IMO Secretariat for parallel circulation, and posts every edition to the Shared Evidence Platform. National hydrographic offices publish their own chart editions under their own symbols and their own legal notes; the Non-Prejudice Clause covers every edition equally, and no edition’s symbology reads as a position of the Accord.</w:t>
      </w:r>
      <w:bookmarkEnd w:id="66"/>
      <w:bookmarkEnd w:id="67"/>
    </w:p>
    <w:p w14:paraId="663D0106" w14:textId="77777777" w:rsidR="00723F18" w:rsidRDefault="00000000">
      <w:pPr>
        <w:pStyle w:val="Heading2"/>
      </w:pPr>
      <w:bookmarkStart w:id="68" w:name="__RefHeading___Toc6398_2939721771"/>
      <w:bookmarkEnd w:id="68"/>
      <w:r>
        <w:t>Article 8: Corridor One: The Northern Stewardship Corridor</w:t>
      </w:r>
    </w:p>
    <w:p w14:paraId="4D5D21AA" w14:textId="77777777" w:rsidR="00723F18" w:rsidRDefault="00000000">
      <w:pPr>
        <w:pStyle w:val="Heading3"/>
      </w:pPr>
      <w:r>
        <w:t>8.1 Function and extent</w:t>
      </w:r>
    </w:p>
    <w:p w14:paraId="08E15279" w14:textId="77777777" w:rsidR="00723F18" w:rsidRDefault="00000000">
      <w:pPr>
        <w:pStyle w:val="FirstParagraph"/>
      </w:pPr>
      <w:bookmarkStart w:id="69" w:name="function-and-extent"/>
      <w:r>
        <w:t>Corridor One carries commercial traffic that elects the northern route, and it carries the deep-draft inbound energy traffic the daily traffic plan assigns to it under Article 12. Its centerline runs from waypoint N-1 at the eastern approach to waypoint N-8 at the western exit, as Annex A, Table A.3 states, with an inbound lane and an outbound lane of two (2.0) nautical miles nominal width each, divided by a lane separation of one (1.0) nautical mile. The corridor lies adjacent to the Iranian coastline, north of Larak and Hormuz Islands.</w:t>
      </w:r>
      <w:bookmarkEnd w:id="69"/>
    </w:p>
    <w:p w14:paraId="4725AC05" w14:textId="77777777" w:rsidR="00723F18" w:rsidRDefault="00000000">
      <w:pPr>
        <w:pStyle w:val="Heading3"/>
      </w:pPr>
      <w:r>
        <w:t>8.2 The Northern Steward</w:t>
      </w:r>
    </w:p>
    <w:p w14:paraId="0B452146" w14:textId="77777777" w:rsidR="00723F18" w:rsidRDefault="00000000">
      <w:pPr>
        <w:pStyle w:val="FirstParagraph"/>
      </w:pPr>
      <w:bookmarkStart w:id="70" w:name="the-northern-steward"/>
      <w:r>
        <w:t>The Islamic Republic of Iran serves as Northern Steward of Corridor One. The stewardship function set comprises six functions: establishment and maintenance of the aids to navigation of the corridor; operation of the northern vessel traffic service watch; pilotage, tug assistance, and route guidance on shipmaster request at the rates of Annex B; hazard survey and clearance under Article 13; emergency first response under Article 31; and maintenance of the northern shore infrastructure of the scheme, including radar sites, communications relay, and the northern observer embarkation point. The Northern Steward operates the northern watch from its coastal stations, and the Muscat Operations Center and the Bandar Abbas Mirror Center each mirror that watch in real time.</w:t>
      </w:r>
      <w:bookmarkEnd w:id="70"/>
    </w:p>
    <w:p w14:paraId="761A2BA8" w14:textId="77777777" w:rsidR="00723F18" w:rsidRDefault="00000000">
      <w:pPr>
        <w:pStyle w:val="Heading3"/>
      </w:pPr>
      <w:r>
        <w:lastRenderedPageBreak/>
        <w:t>8.3 The notification regime</w:t>
      </w:r>
    </w:p>
    <w:p w14:paraId="6509B2D5" w14:textId="77777777" w:rsidR="00723F18" w:rsidRDefault="00000000">
      <w:pPr>
        <w:pStyle w:val="FirstParagraph"/>
      </w:pPr>
      <w:bookmarkStart w:id="71" w:name="the-notification-regime"/>
      <w:r>
        <w:t xml:space="preserve">A vessel entering Corridor One files a Transit Declaration with the Tripartite Operations System between seventy-two (72) and six (6) hours before corridor entry, using Form HTCSA-1 of Annex I, stating identity, class, cargo category in general terms, intended lane, and next port. The Operations System records the declaration as information and never as </w:t>
      </w:r>
      <w:proofErr w:type="gramStart"/>
      <w:r>
        <w:t>a permission</w:t>
      </w:r>
      <w:proofErr w:type="gramEnd"/>
      <w:r>
        <w:t xml:space="preserve"> request, acknowledges it automatically within thirty (30) minutes, and transmits a copy to the Northern Steward’s watch and to both centers in the same minute. Silence beyond thirty (30) minutes constitutes acknowledgment by default. No approval step exists. The notification regime exists for traffic picture quality and for safety of life, and for nothing else. </w:t>
      </w:r>
      <w:proofErr w:type="gramStart"/>
      <w:r>
        <w:t>The architecture</w:t>
      </w:r>
      <w:proofErr w:type="gramEnd"/>
      <w:r>
        <w:t xml:space="preserve"> prohibits the conversion of notification into permission.</w:t>
      </w:r>
      <w:bookmarkEnd w:id="71"/>
    </w:p>
    <w:p w14:paraId="401E774F" w14:textId="77777777" w:rsidR="00723F18" w:rsidRDefault="00000000">
      <w:pPr>
        <w:pStyle w:val="Heading3"/>
      </w:pPr>
      <w:r>
        <w:t>8.4 What the notification regime buys</w:t>
      </w:r>
    </w:p>
    <w:p w14:paraId="6BD3FB0C" w14:textId="77777777" w:rsidR="00723F18" w:rsidRDefault="00000000">
      <w:pPr>
        <w:pStyle w:val="FirstParagraph"/>
      </w:pPr>
      <w:bookmarkStart w:id="72" w:name="what-the-notification-regime-buys"/>
      <w:r>
        <w:t>The notification regime gives Iran a documented, real-time picture of traffic in the corridor adjacent to its coast, and it gives that picture through a neutral desk rather than through a national checkpoint. The regime simultaneously gives every vessel an absolute right of passage, because acknowledgment arrives automatically and transit never awaits approval. The architecture thereby converts a sovereignty dispute into an administrative routine: Tehran reads every hull on the water, and no hull ever asks Tehran for permission.</w:t>
      </w:r>
      <w:bookmarkEnd w:id="72"/>
    </w:p>
    <w:p w14:paraId="3E52E409" w14:textId="77777777" w:rsidR="00723F18" w:rsidRDefault="00000000">
      <w:pPr>
        <w:pStyle w:val="Heading3"/>
      </w:pPr>
      <w:r>
        <w:t>8.5 Treatment in the corridor</w:t>
      </w:r>
    </w:p>
    <w:p w14:paraId="0D02FDAC" w14:textId="77777777" w:rsidR="00723F18" w:rsidRDefault="00000000">
      <w:pPr>
        <w:pStyle w:val="FirstParagraph"/>
      </w:pPr>
      <w:bookmarkStart w:id="73" w:name="treatment-in-the-corridor"/>
      <w:r>
        <w:t xml:space="preserve">A compliant vessel in Corridor One transits continuously and expeditiously. The architecture excludes boarding, seizure, detention, diversion, delay, inspection at sea, and challenge of any compliant vessel by any actor. A vessel with a non-compliant record proceeds under Article 12.6: it receives </w:t>
      </w:r>
      <w:proofErr w:type="gramStart"/>
      <w:r>
        <w:t>direction</w:t>
      </w:r>
      <w:proofErr w:type="gramEnd"/>
      <w:r>
        <w:t xml:space="preserve"> to a holding anchorage and a technical remediation channel, never an interdiction at sea. Safety hails of the Northern Steward serve information only, and a vessel answers them on a listen-and-acknowledge basis while maintaining course and speed.</w:t>
      </w:r>
      <w:bookmarkEnd w:id="73"/>
    </w:p>
    <w:p w14:paraId="46CA5F24" w14:textId="77777777" w:rsidR="00723F18" w:rsidRDefault="00000000">
      <w:pPr>
        <w:pStyle w:val="Heading3"/>
      </w:pPr>
      <w:r>
        <w:t>8.6 Steward standards</w:t>
      </w:r>
    </w:p>
    <w:p w14:paraId="5CB0AFA2" w14:textId="77777777" w:rsidR="00723F18" w:rsidRDefault="00000000">
      <w:pPr>
        <w:pStyle w:val="FirstParagraph"/>
      </w:pPr>
      <w:bookmarkStart w:id="74" w:name="steward-standards"/>
      <w:bookmarkStart w:id="75" w:name="Xcec333078bd049ce815a5b0bdba625e6fa93288"/>
      <w:proofErr w:type="gramStart"/>
      <w:r>
        <w:t>The Northern</w:t>
      </w:r>
      <w:proofErr w:type="gramEnd"/>
      <w:r>
        <w:t xml:space="preserve"> Steward performs every function to the standards of the Technical and Standards Committee: aid availability at ninety-seven (97) percent or better, watch continuity at one hundred (100) percent, pilot response within the published windows, and survey coverage on the cycles of Article 13. The Committee measures performance monthly and posts the result to the Shared Evidence Platform.</w:t>
      </w:r>
      <w:bookmarkEnd w:id="74"/>
      <w:bookmarkEnd w:id="75"/>
    </w:p>
    <w:p w14:paraId="014EC59A" w14:textId="77777777" w:rsidR="00723F18" w:rsidRDefault="00000000">
      <w:pPr>
        <w:pStyle w:val="Heading2"/>
      </w:pPr>
      <w:bookmarkStart w:id="76" w:name="__RefHeading___Toc6400_2939721771"/>
      <w:bookmarkEnd w:id="76"/>
      <w:r>
        <w:t>Article 9: Corridor Two: The Central Open Corridor</w:t>
      </w:r>
    </w:p>
    <w:p w14:paraId="45FF6010" w14:textId="77777777" w:rsidR="00723F18" w:rsidRDefault="00000000">
      <w:pPr>
        <w:pStyle w:val="Heading3"/>
      </w:pPr>
      <w:r>
        <w:t>9.1 Function and extent</w:t>
      </w:r>
    </w:p>
    <w:p w14:paraId="71152BB7" w14:textId="77777777" w:rsidR="00723F18" w:rsidRDefault="00000000">
      <w:pPr>
        <w:pStyle w:val="FirstParagraph"/>
      </w:pPr>
      <w:bookmarkStart w:id="77" w:name="function-and-extent-1"/>
      <w:r>
        <w:t xml:space="preserve">Corridor Two, the Central Open Corridor, occupies the central sector of the Scheme Area along the deep-water route, with its centerline from waypoint C-1 at the eastern approach to waypoint C-8 at the western exit, as Annex A, Table A.4 states, with an inbound lane and an outbound lane of two (2.0) nautical miles nominal width each. Corridor Two constitutes </w:t>
      </w:r>
      <w:r>
        <w:lastRenderedPageBreak/>
        <w:t>the default route of the scheme: a vessel that files no corridor election transits Corridor Two.</w:t>
      </w:r>
      <w:bookmarkEnd w:id="77"/>
    </w:p>
    <w:p w14:paraId="543AF1FB" w14:textId="77777777" w:rsidR="00723F18" w:rsidRDefault="00000000">
      <w:pPr>
        <w:pStyle w:val="Heading3"/>
      </w:pPr>
      <w:r>
        <w:t>9.2 Joint administration</w:t>
      </w:r>
    </w:p>
    <w:p w14:paraId="7462169A" w14:textId="77777777" w:rsidR="00723F18" w:rsidRDefault="00000000">
      <w:pPr>
        <w:pStyle w:val="FirstParagraph"/>
      </w:pPr>
      <w:bookmarkStart w:id="78" w:name="joint-administration"/>
      <w:r>
        <w:t xml:space="preserve">The Hormuz Transit Commission administers Corridor Two jointly through the Central Corridor Panel of Article 14.4, which seats one representative each of Iran, Oman, and Qatar, with the Neutral Administrator holding the technical secretariat. No single state holds primary enforcement authority in Corridor Two. Law enforcement, vessel inspection, and compliance actions in Corridor Two proceed only </w:t>
      </w:r>
      <w:proofErr w:type="gramStart"/>
      <w:r>
        <w:t>on</w:t>
      </w:r>
      <w:proofErr w:type="gramEnd"/>
      <w:r>
        <w:t xml:space="preserve"> the joint authorization of the Central Corridor Panel, and the architecture excludes unilateral enforcement in Corridor Two absolutely.</w:t>
      </w:r>
      <w:bookmarkEnd w:id="78"/>
    </w:p>
    <w:p w14:paraId="720A0BC7" w14:textId="77777777" w:rsidR="00723F18" w:rsidRDefault="00000000">
      <w:pPr>
        <w:pStyle w:val="Heading3"/>
      </w:pPr>
      <w:r>
        <w:t>9.3 The open rule</w:t>
      </w:r>
    </w:p>
    <w:p w14:paraId="0672B89F" w14:textId="77777777" w:rsidR="00723F18" w:rsidRDefault="00000000">
      <w:pPr>
        <w:pStyle w:val="FirstParagraph"/>
      </w:pPr>
      <w:bookmarkStart w:id="79" w:name="the-open-rule"/>
      <w:r>
        <w:t>Corridor Two operates under the open rule: any vessel of Classes A through H transits at any hour, in either direction, without prior approval, without prior notification beyond automatic identification system carriage and the standing reporting points, without inspection at sea, and without charge of any kind. The architecture excludes any permission step by any actor for Corridor Two, and it excludes any coalition or third-state permission step equally. The open rule satisfies the user-state interest in unconditioned transit, and it satisfies the coastal-state interest in order because the Joint Watch of Article 27 observes every transit in real time from both shores.</w:t>
      </w:r>
      <w:bookmarkEnd w:id="79"/>
    </w:p>
    <w:p w14:paraId="7A2171D1" w14:textId="77777777" w:rsidR="00723F18" w:rsidRDefault="00000000">
      <w:pPr>
        <w:pStyle w:val="Heading3"/>
      </w:pPr>
      <w:r>
        <w:t>9.4 Services in the central corridor</w:t>
      </w:r>
    </w:p>
    <w:p w14:paraId="701858C2" w14:textId="77777777" w:rsidR="00723F18" w:rsidRDefault="00000000">
      <w:pPr>
        <w:pStyle w:val="FirstParagraph"/>
      </w:pPr>
      <w:bookmarkStart w:id="80" w:name="services-in-the-central-corridor"/>
      <w:r>
        <w:t>The Tripartite Operations System provides the services of Corridor Two: the central vessel traffic service watch, staffed by mixed teams under Article 15; traffic information broadcasts every six (6) hours; pilotage by internationally certified pilots on shipmaster request at the rates of Annex B; and emergency first response on a joint roster under Article 31. The Verified Services Ledger compensates these services at the same catalog rates that compensate the stewards, with apportionment under Annex B, Section B.6.</w:t>
      </w:r>
      <w:bookmarkEnd w:id="80"/>
    </w:p>
    <w:p w14:paraId="7111F1CD" w14:textId="77777777" w:rsidR="00723F18" w:rsidRDefault="00000000">
      <w:pPr>
        <w:pStyle w:val="Heading3"/>
      </w:pPr>
      <w:r>
        <w:t>9.5 The fallback function</w:t>
      </w:r>
    </w:p>
    <w:p w14:paraId="587631E5" w14:textId="77777777" w:rsidR="00723F18" w:rsidRDefault="00000000">
      <w:pPr>
        <w:pStyle w:val="FirstParagraph"/>
      </w:pPr>
      <w:bookmarkStart w:id="81" w:name="Xdef0050c329a14f5493fe1471e6ca3bc08807c7"/>
      <w:bookmarkStart w:id="82" w:name="the-fallback-function"/>
      <w:r>
        <w:t>Corridor Two operates as the fallback artery of the scheme. Where a hazard, a survey finding, or a suspension closes a segment of Corridor One or Corridor Three, the daily traffic plan reroutes the affected stream through Corridor Two automatically, at the same speeds and spacings, and the Open Water Bulletin publishes the rerouting within fifteen (15) minutes. The fallback function guarantees that no single point of failure closes the Strait: the neutral artery carries the traffic of a closed coastal lane for as long as the closure lasts.</w:t>
      </w:r>
      <w:bookmarkEnd w:id="81"/>
      <w:bookmarkEnd w:id="82"/>
    </w:p>
    <w:p w14:paraId="4964F1BC" w14:textId="77777777" w:rsidR="00723F18" w:rsidRDefault="00000000">
      <w:pPr>
        <w:pStyle w:val="Heading2"/>
      </w:pPr>
      <w:bookmarkStart w:id="83" w:name="__RefHeading___Toc6402_2939721771"/>
      <w:bookmarkEnd w:id="83"/>
      <w:r>
        <w:t>Article 10: Corridor Three: The Southern Assurance Corridor</w:t>
      </w:r>
    </w:p>
    <w:p w14:paraId="409AA771" w14:textId="77777777" w:rsidR="00723F18" w:rsidRDefault="00000000">
      <w:pPr>
        <w:pStyle w:val="Heading3"/>
      </w:pPr>
      <w:r>
        <w:t>10.1 Function and extent</w:t>
      </w:r>
    </w:p>
    <w:p w14:paraId="08167458" w14:textId="77777777" w:rsidR="00723F18" w:rsidRDefault="00000000">
      <w:pPr>
        <w:pStyle w:val="FirstParagraph"/>
      </w:pPr>
      <w:bookmarkStart w:id="84" w:name="function-and-extent-2"/>
      <w:r>
        <w:t xml:space="preserve">Corridor Three, the Southern Assurance Corridor, carries commercial traffic that elects the southern route, </w:t>
      </w:r>
      <w:proofErr w:type="gramStart"/>
      <w:r>
        <w:t>and it</w:t>
      </w:r>
      <w:proofErr w:type="gramEnd"/>
      <w:r>
        <w:t xml:space="preserve"> carries the outbound liquefied gas stream under the priority </w:t>
      </w:r>
      <w:r>
        <w:lastRenderedPageBreak/>
        <w:t>windows of Article 12.5. Its centerline runs from waypoint S-1 at the western entry to waypoint S-8 at the eastern exit, as Annex A, Table A.5 states, with lanes and separation as Annex A states. The corridor lies adjacent to the Omani coastline of the Musandam Peninsula.</w:t>
      </w:r>
      <w:bookmarkEnd w:id="84"/>
    </w:p>
    <w:p w14:paraId="607A02B9" w14:textId="77777777" w:rsidR="00723F18" w:rsidRDefault="00000000">
      <w:pPr>
        <w:pStyle w:val="Heading3"/>
      </w:pPr>
      <w:r>
        <w:t>10.2 The Southern Steward</w:t>
      </w:r>
    </w:p>
    <w:p w14:paraId="43C75A3C" w14:textId="77777777" w:rsidR="00723F18" w:rsidRDefault="00000000">
      <w:pPr>
        <w:pStyle w:val="FirstParagraph"/>
      </w:pPr>
      <w:bookmarkStart w:id="85" w:name="the-southern-steward"/>
      <w:r>
        <w:t>The Sultanate of Oman serves as Southern Steward of Corridor Three, with the identical function set, the identical standards, the identical audit exposure, and the identical standing as the Northern Steward under Article 8.2 and Article 8.6. The symmetry is structural: the Accord contains no senior steward and no junior steward. The Southern Steward operates the southern watch from its coastal stations, and both centers mirror that watch in real time.</w:t>
      </w:r>
      <w:bookmarkEnd w:id="85"/>
    </w:p>
    <w:p w14:paraId="51DD8045" w14:textId="77777777" w:rsidR="00723F18" w:rsidRDefault="00000000">
      <w:pPr>
        <w:pStyle w:val="Heading3"/>
      </w:pPr>
      <w:r>
        <w:t>10.3 The free-navigation rule</w:t>
      </w:r>
    </w:p>
    <w:p w14:paraId="398EB40E" w14:textId="77777777" w:rsidR="00723F18" w:rsidRDefault="00000000">
      <w:pPr>
        <w:pStyle w:val="FirstParagraph"/>
      </w:pPr>
      <w:bookmarkStart w:id="86" w:name="the-free-navigation-rule"/>
      <w:r>
        <w:t>Corridor Three operates under the free-navigation rule: any vessel of Classes A through H transits at any hour, in either direction, without prior approval, without prior notification beyond automatic identification system carriage, without inspection at sea, and without charge of any kind. The Southern Steward’s vessel traffic service provides traffic information on a voluntary basis, integrated with the Tripartite Operations System under the co-staffing rules of Article 15. The architecture excludes any approval step by any actor for Corridor Three. The free-navigation rule restores the pre-conflict pattern of navigation in full.</w:t>
      </w:r>
      <w:bookmarkEnd w:id="86"/>
    </w:p>
    <w:p w14:paraId="329E4086" w14:textId="77777777" w:rsidR="00723F18" w:rsidRDefault="00000000">
      <w:pPr>
        <w:pStyle w:val="Heading3"/>
      </w:pPr>
      <w:r>
        <w:t>10.4 Treatment in the corridor</w:t>
      </w:r>
    </w:p>
    <w:p w14:paraId="7C1E1A6F" w14:textId="77777777" w:rsidR="00723F18" w:rsidRDefault="00000000">
      <w:pPr>
        <w:pStyle w:val="FirstParagraph"/>
      </w:pPr>
      <w:bookmarkStart w:id="87" w:name="X3e1eec29b53603e3150ac223a8136008660cac5"/>
      <w:bookmarkStart w:id="88" w:name="treatment-in-the-corridor-1"/>
      <w:r>
        <w:t>A compliant vessel in Corridor Three transits continuously and expeditiously under the identical protections of Article 8.5. The treatment rules of the coastal corridors mirror each other in full: one scheme, one standard, two stewards.</w:t>
      </w:r>
      <w:bookmarkEnd w:id="87"/>
      <w:bookmarkEnd w:id="88"/>
    </w:p>
    <w:p w14:paraId="29E918A6" w14:textId="77777777" w:rsidR="00723F18" w:rsidRDefault="00000000">
      <w:pPr>
        <w:pStyle w:val="Heading2"/>
      </w:pPr>
      <w:bookmarkStart w:id="89" w:name="__RefHeading___Toc6404_2939721771"/>
      <w:bookmarkEnd w:id="89"/>
      <w:r>
        <w:t>Article 11: Vessel Classification and Differentiated Treatment</w:t>
      </w:r>
    </w:p>
    <w:p w14:paraId="6E6369C0" w14:textId="77777777" w:rsidR="00723F18" w:rsidRDefault="00000000">
      <w:pPr>
        <w:pStyle w:val="Heading3"/>
      </w:pPr>
      <w:r>
        <w:t>11.1 The classification principle</w:t>
      </w:r>
    </w:p>
    <w:p w14:paraId="76DCD598" w14:textId="77777777" w:rsidR="00723F18" w:rsidRDefault="00000000">
      <w:pPr>
        <w:pStyle w:val="FirstParagraph"/>
      </w:pPr>
      <w:bookmarkStart w:id="90" w:name="the-classification-principle"/>
      <w:r>
        <w:t>Every vessel in the Scheme Area holds one of eight classes. Classification follows the vessel’s purpose, size, and risk profile, never its flag, ownership, cargo origin, cargo destination, insurer, or political relationship. The classification society data feed and the automatic identification system message establish the class automatically; the Tripartite Operations System resolves any ambiguity within four (4) hours, and its resolution binds operations until the vessel completes its transit.</w:t>
      </w:r>
      <w:bookmarkEnd w:id="90"/>
    </w:p>
    <w:p w14:paraId="10FB2953" w14:textId="77777777" w:rsidR="00723F18" w:rsidRDefault="00000000">
      <w:pPr>
        <w:pStyle w:val="Heading3"/>
      </w:pPr>
      <w:r>
        <w:t>11.2 The eight classes</w:t>
      </w:r>
    </w:p>
    <w:tbl>
      <w:tblPr>
        <w:tblStyle w:val="Table"/>
        <w:tblW w:w="5000" w:type="pct"/>
        <w:tblInd w:w="0" w:type="dxa"/>
        <w:tblLayout w:type="fixed"/>
        <w:tblLook w:val="0020" w:firstRow="1" w:lastRow="0" w:firstColumn="0" w:lastColumn="0" w:noHBand="0" w:noVBand="0"/>
      </w:tblPr>
      <w:tblGrid>
        <w:gridCol w:w="3192"/>
        <w:gridCol w:w="3192"/>
        <w:gridCol w:w="3192"/>
      </w:tblGrid>
      <w:tr w:rsidR="00723F18" w14:paraId="40FA2B80"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0E6D076F" w14:textId="77777777" w:rsidR="00723F18" w:rsidRDefault="00000000">
            <w:pPr>
              <w:pStyle w:val="Compact"/>
              <w:widowControl w:val="0"/>
              <w:rPr>
                <w:rFonts w:ascii="Cambria" w:eastAsia="Cambria" w:hAnsi="Cambria"/>
              </w:rPr>
            </w:pPr>
            <w:r>
              <w:rPr>
                <w:rFonts w:eastAsia="Cambria"/>
                <w:b/>
                <w:bCs/>
              </w:rPr>
              <w:t>Class</w:t>
            </w:r>
          </w:p>
        </w:tc>
        <w:tc>
          <w:tcPr>
            <w:tcW w:w="3120" w:type="dxa"/>
            <w:tcBorders>
              <w:bottom w:val="single" w:sz="6" w:space="0" w:color="000000"/>
            </w:tcBorders>
          </w:tcPr>
          <w:p w14:paraId="07C2DC3C" w14:textId="77777777" w:rsidR="00723F18" w:rsidRDefault="00000000">
            <w:pPr>
              <w:pStyle w:val="Compact"/>
              <w:widowControl w:val="0"/>
              <w:rPr>
                <w:rFonts w:ascii="Cambria" w:eastAsia="Cambria" w:hAnsi="Cambria"/>
              </w:rPr>
            </w:pPr>
            <w:r>
              <w:rPr>
                <w:rFonts w:eastAsia="Cambria"/>
                <w:b/>
                <w:bCs/>
              </w:rPr>
              <w:t>Description</w:t>
            </w:r>
          </w:p>
        </w:tc>
        <w:tc>
          <w:tcPr>
            <w:tcW w:w="3120" w:type="dxa"/>
            <w:tcBorders>
              <w:bottom w:val="single" w:sz="6" w:space="0" w:color="000000"/>
            </w:tcBorders>
          </w:tcPr>
          <w:p w14:paraId="59879208" w14:textId="77777777" w:rsidR="00723F18" w:rsidRDefault="00000000">
            <w:pPr>
              <w:pStyle w:val="Compact"/>
              <w:widowControl w:val="0"/>
              <w:rPr>
                <w:rFonts w:ascii="Cambria" w:eastAsia="Cambria" w:hAnsi="Cambria"/>
              </w:rPr>
            </w:pPr>
            <w:r>
              <w:rPr>
                <w:rFonts w:eastAsia="Cambria"/>
                <w:b/>
                <w:bCs/>
              </w:rPr>
              <w:t>Core treatment</w:t>
            </w:r>
          </w:p>
        </w:tc>
      </w:tr>
      <w:tr w:rsidR="00723F18" w14:paraId="1710C2D9" w14:textId="77777777" w:rsidTr="00723F18">
        <w:tc>
          <w:tcPr>
            <w:tcW w:w="3120" w:type="dxa"/>
          </w:tcPr>
          <w:p w14:paraId="5863AB3C" w14:textId="77777777" w:rsidR="00723F18" w:rsidRDefault="00000000">
            <w:pPr>
              <w:pStyle w:val="Compact"/>
              <w:widowControl w:val="0"/>
              <w:rPr>
                <w:rFonts w:ascii="Cambria" w:eastAsia="Cambria" w:hAnsi="Cambria"/>
              </w:rPr>
            </w:pPr>
            <w:r>
              <w:rPr>
                <w:rFonts w:eastAsia="Cambria"/>
              </w:rPr>
              <w:t>Class A: General commercial cargo</w:t>
            </w:r>
          </w:p>
        </w:tc>
        <w:tc>
          <w:tcPr>
            <w:tcW w:w="3120" w:type="dxa"/>
          </w:tcPr>
          <w:p w14:paraId="02ACFF8E" w14:textId="77777777" w:rsidR="00723F18" w:rsidRDefault="00000000">
            <w:pPr>
              <w:pStyle w:val="Compact"/>
              <w:widowControl w:val="0"/>
              <w:rPr>
                <w:rFonts w:ascii="Cambria" w:eastAsia="Cambria" w:hAnsi="Cambria"/>
              </w:rPr>
            </w:pPr>
            <w:r>
              <w:rPr>
                <w:rFonts w:eastAsia="Cambria"/>
              </w:rPr>
              <w:t>Container ships, bulk carriers, general cargo, roll-on roll-off vessels, vehicle carriers, reefers</w:t>
            </w:r>
          </w:p>
        </w:tc>
        <w:tc>
          <w:tcPr>
            <w:tcW w:w="3120" w:type="dxa"/>
          </w:tcPr>
          <w:p w14:paraId="41D4AD7F" w14:textId="77777777" w:rsidR="00723F18" w:rsidRDefault="00000000">
            <w:pPr>
              <w:pStyle w:val="Compact"/>
              <w:widowControl w:val="0"/>
              <w:rPr>
                <w:rFonts w:ascii="Cambria" w:eastAsia="Cambria" w:hAnsi="Cambria"/>
              </w:rPr>
            </w:pPr>
            <w:r>
              <w:rPr>
                <w:rFonts w:eastAsia="Cambria"/>
              </w:rPr>
              <w:t xml:space="preserve">Standard transit; any corridor by election; declaration regime in Corridor One; open rule in </w:t>
            </w:r>
            <w:r>
              <w:rPr>
                <w:rFonts w:eastAsia="Cambria"/>
              </w:rPr>
              <w:lastRenderedPageBreak/>
              <w:t>Corridors Two and Three; no inspection at sea</w:t>
            </w:r>
          </w:p>
        </w:tc>
      </w:tr>
      <w:tr w:rsidR="00723F18" w14:paraId="28F6EEBE" w14:textId="77777777" w:rsidTr="00723F18">
        <w:tc>
          <w:tcPr>
            <w:tcW w:w="3120" w:type="dxa"/>
          </w:tcPr>
          <w:p w14:paraId="790FC3EA" w14:textId="77777777" w:rsidR="00723F18" w:rsidRDefault="00000000">
            <w:pPr>
              <w:pStyle w:val="Compact"/>
              <w:widowControl w:val="0"/>
              <w:rPr>
                <w:rFonts w:ascii="Cambria" w:eastAsia="Cambria" w:hAnsi="Cambria"/>
              </w:rPr>
            </w:pPr>
            <w:r>
              <w:rPr>
                <w:rFonts w:eastAsia="Cambria"/>
              </w:rPr>
              <w:lastRenderedPageBreak/>
              <w:t>Class B: Energy carriers</w:t>
            </w:r>
          </w:p>
        </w:tc>
        <w:tc>
          <w:tcPr>
            <w:tcW w:w="3120" w:type="dxa"/>
          </w:tcPr>
          <w:p w14:paraId="6CDBD3FA" w14:textId="77777777" w:rsidR="00723F18" w:rsidRDefault="00000000">
            <w:pPr>
              <w:pStyle w:val="Compact"/>
              <w:widowControl w:val="0"/>
              <w:rPr>
                <w:rFonts w:ascii="Cambria" w:eastAsia="Cambria" w:hAnsi="Cambria"/>
              </w:rPr>
            </w:pPr>
            <w:r>
              <w:rPr>
                <w:rFonts w:eastAsia="Cambria"/>
              </w:rPr>
              <w:t>Crude oil tankers, product tankers, chemical tankers carrying petroleum derivatives</w:t>
            </w:r>
          </w:p>
        </w:tc>
        <w:tc>
          <w:tcPr>
            <w:tcW w:w="3120" w:type="dxa"/>
          </w:tcPr>
          <w:p w14:paraId="48601448" w14:textId="77777777" w:rsidR="00723F18" w:rsidRDefault="00000000">
            <w:pPr>
              <w:pStyle w:val="Compact"/>
              <w:widowControl w:val="0"/>
              <w:rPr>
                <w:rFonts w:ascii="Cambria" w:eastAsia="Cambria" w:hAnsi="Cambria"/>
              </w:rPr>
            </w:pPr>
            <w:r>
              <w:rPr>
                <w:rFonts w:eastAsia="Cambria"/>
              </w:rPr>
              <w:t>Priority scheduling; three (3) nautical mile spacing; optional escorted windows; expedited declaration; any corridor by election</w:t>
            </w:r>
          </w:p>
        </w:tc>
      </w:tr>
      <w:tr w:rsidR="00723F18" w14:paraId="252B0618" w14:textId="77777777" w:rsidTr="00723F18">
        <w:tc>
          <w:tcPr>
            <w:tcW w:w="3120" w:type="dxa"/>
          </w:tcPr>
          <w:p w14:paraId="2431A7AC" w14:textId="77777777" w:rsidR="00723F18" w:rsidRDefault="00000000">
            <w:pPr>
              <w:pStyle w:val="Compact"/>
              <w:widowControl w:val="0"/>
              <w:rPr>
                <w:rFonts w:ascii="Cambria" w:eastAsia="Cambria" w:hAnsi="Cambria"/>
              </w:rPr>
            </w:pPr>
            <w:r>
              <w:rPr>
                <w:rFonts w:eastAsia="Cambria"/>
              </w:rPr>
              <w:t>Class G: Liquefied gas carriers</w:t>
            </w:r>
          </w:p>
        </w:tc>
        <w:tc>
          <w:tcPr>
            <w:tcW w:w="3120" w:type="dxa"/>
          </w:tcPr>
          <w:p w14:paraId="1FFA3140" w14:textId="77777777" w:rsidR="00723F18" w:rsidRDefault="00000000">
            <w:pPr>
              <w:pStyle w:val="Compact"/>
              <w:widowControl w:val="0"/>
              <w:rPr>
                <w:rFonts w:ascii="Cambria" w:eastAsia="Cambria" w:hAnsi="Cambria"/>
              </w:rPr>
            </w:pPr>
            <w:r>
              <w:rPr>
                <w:rFonts w:eastAsia="Cambria"/>
              </w:rPr>
              <w:t>Liquefied natural gas and liquefied petroleum gas carriers</w:t>
            </w:r>
          </w:p>
        </w:tc>
        <w:tc>
          <w:tcPr>
            <w:tcW w:w="3120" w:type="dxa"/>
          </w:tcPr>
          <w:p w14:paraId="5C402DD4" w14:textId="77777777" w:rsidR="00723F18" w:rsidRDefault="00000000">
            <w:pPr>
              <w:pStyle w:val="Compact"/>
              <w:widowControl w:val="0"/>
              <w:rPr>
                <w:rFonts w:ascii="Cambria" w:eastAsia="Cambria" w:hAnsi="Cambria"/>
              </w:rPr>
            </w:pPr>
            <w:r>
              <w:rPr>
                <w:rFonts w:eastAsia="Cambria"/>
              </w:rPr>
              <w:t>Highest scheduling priority; reserved windows under Article 12.5; six (6) nautical mile spacing astern; Corridor Three outbound default with election preserved</w:t>
            </w:r>
          </w:p>
        </w:tc>
      </w:tr>
      <w:tr w:rsidR="00723F18" w14:paraId="1E647D79" w14:textId="77777777" w:rsidTr="00723F18">
        <w:tc>
          <w:tcPr>
            <w:tcW w:w="3120" w:type="dxa"/>
          </w:tcPr>
          <w:p w14:paraId="7E9585A8" w14:textId="77777777" w:rsidR="00723F18" w:rsidRDefault="00000000">
            <w:pPr>
              <w:pStyle w:val="Compact"/>
              <w:widowControl w:val="0"/>
              <w:rPr>
                <w:rFonts w:ascii="Cambria" w:eastAsia="Cambria" w:hAnsi="Cambria"/>
              </w:rPr>
            </w:pPr>
            <w:r>
              <w:rPr>
                <w:rFonts w:eastAsia="Cambria"/>
              </w:rPr>
              <w:t>Class C: Passenger vessels</w:t>
            </w:r>
          </w:p>
        </w:tc>
        <w:tc>
          <w:tcPr>
            <w:tcW w:w="3120" w:type="dxa"/>
          </w:tcPr>
          <w:p w14:paraId="49356E0C" w14:textId="77777777" w:rsidR="00723F18" w:rsidRDefault="00000000">
            <w:pPr>
              <w:pStyle w:val="Compact"/>
              <w:widowControl w:val="0"/>
              <w:rPr>
                <w:rFonts w:ascii="Cambria" w:eastAsia="Cambria" w:hAnsi="Cambria"/>
              </w:rPr>
            </w:pPr>
            <w:r>
              <w:rPr>
                <w:rFonts w:eastAsia="Cambria"/>
              </w:rPr>
              <w:t>Passenger ships, ferries, crew boats carrying more than twelve (12) passengers</w:t>
            </w:r>
          </w:p>
        </w:tc>
        <w:tc>
          <w:tcPr>
            <w:tcW w:w="3120" w:type="dxa"/>
          </w:tcPr>
          <w:p w14:paraId="21CBB17B" w14:textId="77777777" w:rsidR="00723F18" w:rsidRDefault="00000000">
            <w:pPr>
              <w:pStyle w:val="Compact"/>
              <w:widowControl w:val="0"/>
              <w:rPr>
                <w:rFonts w:ascii="Cambria" w:eastAsia="Cambria" w:hAnsi="Cambria"/>
              </w:rPr>
            </w:pPr>
            <w:r>
              <w:rPr>
                <w:rFonts w:eastAsia="Cambria"/>
              </w:rPr>
              <w:t>Highest protection priority; advance manifest through the declaration system; daylight transit recommended; dedicated separation from military activity</w:t>
            </w:r>
          </w:p>
        </w:tc>
      </w:tr>
      <w:tr w:rsidR="00723F18" w14:paraId="1CAD3DA7" w14:textId="77777777" w:rsidTr="00723F18">
        <w:tc>
          <w:tcPr>
            <w:tcW w:w="3120" w:type="dxa"/>
          </w:tcPr>
          <w:p w14:paraId="102E50DE" w14:textId="77777777" w:rsidR="00723F18" w:rsidRDefault="00000000">
            <w:pPr>
              <w:pStyle w:val="Compact"/>
              <w:widowControl w:val="0"/>
              <w:rPr>
                <w:rFonts w:ascii="Cambria" w:eastAsia="Cambria" w:hAnsi="Cambria"/>
              </w:rPr>
            </w:pPr>
            <w:r>
              <w:rPr>
                <w:rFonts w:eastAsia="Cambria"/>
              </w:rPr>
              <w:t>Class D: Fishing and small craft</w:t>
            </w:r>
          </w:p>
        </w:tc>
        <w:tc>
          <w:tcPr>
            <w:tcW w:w="3120" w:type="dxa"/>
          </w:tcPr>
          <w:p w14:paraId="5BE11A2E" w14:textId="77777777" w:rsidR="00723F18" w:rsidRDefault="00000000">
            <w:pPr>
              <w:pStyle w:val="Compact"/>
              <w:widowControl w:val="0"/>
              <w:rPr>
                <w:rFonts w:ascii="Cambria" w:eastAsia="Cambria" w:hAnsi="Cambria"/>
              </w:rPr>
            </w:pPr>
            <w:r>
              <w:rPr>
                <w:rFonts w:eastAsia="Cambria"/>
              </w:rPr>
              <w:t>Licensed fishing vessels, dhows, and small craft under twenty-four (24) meters</w:t>
            </w:r>
          </w:p>
        </w:tc>
        <w:tc>
          <w:tcPr>
            <w:tcW w:w="3120" w:type="dxa"/>
          </w:tcPr>
          <w:p w14:paraId="65B64621" w14:textId="77777777" w:rsidR="00723F18" w:rsidRDefault="00000000">
            <w:pPr>
              <w:pStyle w:val="Compact"/>
              <w:widowControl w:val="0"/>
              <w:rPr>
                <w:rFonts w:ascii="Cambria" w:eastAsia="Cambria" w:hAnsi="Cambria"/>
              </w:rPr>
            </w:pPr>
            <w:r>
              <w:rPr>
                <w:rFonts w:eastAsia="Cambria"/>
              </w:rPr>
              <w:t>Inshore local craft bands; crossing gates of Annex A; registration through the coastal authority; non-interference with corridor lanes</w:t>
            </w:r>
          </w:p>
        </w:tc>
      </w:tr>
      <w:tr w:rsidR="00723F18" w14:paraId="128FB8AC" w14:textId="77777777" w:rsidTr="00723F18">
        <w:tc>
          <w:tcPr>
            <w:tcW w:w="3120" w:type="dxa"/>
          </w:tcPr>
          <w:p w14:paraId="3D22E518" w14:textId="77777777" w:rsidR="00723F18" w:rsidRDefault="00000000">
            <w:pPr>
              <w:pStyle w:val="Compact"/>
              <w:widowControl w:val="0"/>
              <w:rPr>
                <w:rFonts w:ascii="Cambria" w:eastAsia="Cambria" w:hAnsi="Cambria"/>
              </w:rPr>
            </w:pPr>
            <w:r>
              <w:rPr>
                <w:rFonts w:eastAsia="Cambria"/>
              </w:rPr>
              <w:t>Class E: Humanitarian vessels</w:t>
            </w:r>
          </w:p>
        </w:tc>
        <w:tc>
          <w:tcPr>
            <w:tcW w:w="3120" w:type="dxa"/>
          </w:tcPr>
          <w:p w14:paraId="7EBB90BF" w14:textId="77777777" w:rsidR="00723F18" w:rsidRDefault="00000000">
            <w:pPr>
              <w:pStyle w:val="Compact"/>
              <w:widowControl w:val="0"/>
              <w:rPr>
                <w:rFonts w:ascii="Cambria" w:eastAsia="Cambria" w:hAnsi="Cambria"/>
              </w:rPr>
            </w:pPr>
            <w:r>
              <w:rPr>
                <w:rFonts w:eastAsia="Cambria"/>
              </w:rPr>
              <w:t>Vessels carrying food, medicine, medical equipment, or relief personnel under verified humanitarian consignment</w:t>
            </w:r>
          </w:p>
        </w:tc>
        <w:tc>
          <w:tcPr>
            <w:tcW w:w="3120" w:type="dxa"/>
          </w:tcPr>
          <w:p w14:paraId="7CACF714" w14:textId="77777777" w:rsidR="00723F18" w:rsidRDefault="00000000">
            <w:pPr>
              <w:pStyle w:val="Compact"/>
              <w:widowControl w:val="0"/>
              <w:rPr>
                <w:rFonts w:ascii="Cambria" w:eastAsia="Cambria" w:hAnsi="Cambria"/>
              </w:rPr>
            </w:pPr>
            <w:r>
              <w:rPr>
                <w:rFonts w:eastAsia="Cambria"/>
              </w:rPr>
              <w:t>Expedited regime; zero administrative delay; protected status under the humanitarian firewall; moves in every flow state including Suspended Flow</w:t>
            </w:r>
          </w:p>
        </w:tc>
      </w:tr>
      <w:tr w:rsidR="00723F18" w14:paraId="4AE9F203" w14:textId="77777777" w:rsidTr="00723F18">
        <w:tc>
          <w:tcPr>
            <w:tcW w:w="3120" w:type="dxa"/>
          </w:tcPr>
          <w:p w14:paraId="2EAC6272" w14:textId="77777777" w:rsidR="00723F18" w:rsidRDefault="00000000">
            <w:pPr>
              <w:pStyle w:val="Compact"/>
              <w:widowControl w:val="0"/>
              <w:rPr>
                <w:rFonts w:ascii="Cambria" w:eastAsia="Cambria" w:hAnsi="Cambria"/>
              </w:rPr>
            </w:pPr>
            <w:r>
              <w:rPr>
                <w:rFonts w:eastAsia="Cambria"/>
              </w:rPr>
              <w:t>Class F: Government non-naval</w:t>
            </w:r>
          </w:p>
        </w:tc>
        <w:tc>
          <w:tcPr>
            <w:tcW w:w="3120" w:type="dxa"/>
          </w:tcPr>
          <w:p w14:paraId="26497F97" w14:textId="77777777" w:rsidR="00723F18" w:rsidRDefault="00000000">
            <w:pPr>
              <w:pStyle w:val="Compact"/>
              <w:widowControl w:val="0"/>
              <w:rPr>
                <w:rFonts w:ascii="Cambria" w:eastAsia="Cambria" w:hAnsi="Cambria"/>
              </w:rPr>
            </w:pPr>
            <w:r>
              <w:rPr>
                <w:rFonts w:eastAsia="Cambria"/>
              </w:rPr>
              <w:t>Research, survey, coast guard, customs, and hydrographic vessels on non-enforcement missions</w:t>
            </w:r>
          </w:p>
        </w:tc>
        <w:tc>
          <w:tcPr>
            <w:tcW w:w="3120" w:type="dxa"/>
          </w:tcPr>
          <w:p w14:paraId="6CB084F7" w14:textId="77777777" w:rsidR="00723F18" w:rsidRDefault="00000000">
            <w:pPr>
              <w:pStyle w:val="Compact"/>
              <w:widowControl w:val="0"/>
              <w:rPr>
                <w:rFonts w:ascii="Cambria" w:eastAsia="Cambria" w:hAnsi="Cambria"/>
              </w:rPr>
            </w:pPr>
            <w:r>
              <w:rPr>
                <w:rFonts w:eastAsia="Cambria"/>
              </w:rPr>
              <w:t>Declaration regime in every corridor; mission description in the declaration; de-confliction liaison through the Operations System</w:t>
            </w:r>
          </w:p>
        </w:tc>
      </w:tr>
      <w:tr w:rsidR="00723F18" w14:paraId="3DD66BAC" w14:textId="77777777" w:rsidTr="00723F18">
        <w:tc>
          <w:tcPr>
            <w:tcW w:w="3120" w:type="dxa"/>
          </w:tcPr>
          <w:p w14:paraId="0BF647B7" w14:textId="77777777" w:rsidR="00723F18" w:rsidRDefault="00000000">
            <w:pPr>
              <w:pStyle w:val="Compact"/>
              <w:widowControl w:val="0"/>
              <w:rPr>
                <w:rFonts w:ascii="Cambria" w:eastAsia="Cambria" w:hAnsi="Cambria"/>
              </w:rPr>
            </w:pPr>
            <w:r>
              <w:rPr>
                <w:rFonts w:eastAsia="Cambria"/>
              </w:rPr>
              <w:t>Class H: Vessels of concern</w:t>
            </w:r>
          </w:p>
        </w:tc>
        <w:tc>
          <w:tcPr>
            <w:tcW w:w="3120" w:type="dxa"/>
          </w:tcPr>
          <w:p w14:paraId="0229FD2B" w14:textId="77777777" w:rsidR="00723F18" w:rsidRDefault="00000000">
            <w:pPr>
              <w:pStyle w:val="Compact"/>
              <w:widowControl w:val="0"/>
              <w:rPr>
                <w:rFonts w:ascii="Cambria" w:eastAsia="Cambria" w:hAnsi="Cambria"/>
              </w:rPr>
            </w:pPr>
            <w:r>
              <w:rPr>
                <w:rFonts w:eastAsia="Cambria"/>
              </w:rPr>
              <w:t xml:space="preserve">Any vessel with a documented, evidence-backed cargo or </w:t>
            </w:r>
            <w:r>
              <w:rPr>
                <w:rFonts w:eastAsia="Cambria"/>
              </w:rPr>
              <w:lastRenderedPageBreak/>
              <w:t>documentation question pending</w:t>
            </w:r>
          </w:p>
        </w:tc>
        <w:tc>
          <w:tcPr>
            <w:tcW w:w="3120" w:type="dxa"/>
          </w:tcPr>
          <w:p w14:paraId="1FE20B40" w14:textId="77777777" w:rsidR="00723F18" w:rsidRDefault="00000000">
            <w:pPr>
              <w:pStyle w:val="Compact"/>
              <w:widowControl w:val="0"/>
              <w:rPr>
                <w:rFonts w:ascii="Cambria" w:eastAsia="Cambria" w:hAnsi="Cambria"/>
              </w:rPr>
            </w:pPr>
            <w:r>
              <w:rPr>
                <w:rFonts w:eastAsia="Cambria"/>
              </w:rPr>
              <w:lastRenderedPageBreak/>
              <w:t xml:space="preserve">Anchor-and-Verify Protocol of Article 11.4: resolution at anchorage, never </w:t>
            </w:r>
            <w:r>
              <w:rPr>
                <w:rFonts w:eastAsia="Cambria"/>
              </w:rPr>
              <w:lastRenderedPageBreak/>
              <w:t>interdiction at sea</w:t>
            </w:r>
          </w:p>
        </w:tc>
      </w:tr>
    </w:tbl>
    <w:p w14:paraId="65ED72A9" w14:textId="77777777" w:rsidR="00723F18" w:rsidRDefault="00000000">
      <w:pPr>
        <w:pStyle w:val="BodyText"/>
      </w:pPr>
      <w:bookmarkStart w:id="91" w:name="the-eight-classes"/>
      <w:r>
        <w:rPr>
          <w:i/>
          <w:iCs/>
        </w:rPr>
        <w:lastRenderedPageBreak/>
        <w:t>Table 11.1: Vessel classes and core treatment</w:t>
      </w:r>
      <w:bookmarkEnd w:id="91"/>
    </w:p>
    <w:p w14:paraId="61549AAE" w14:textId="77777777" w:rsidR="00723F18" w:rsidRDefault="00000000">
      <w:pPr>
        <w:pStyle w:val="Heading3"/>
      </w:pPr>
      <w:r>
        <w:t>11.3 Treatment principles</w:t>
      </w:r>
    </w:p>
    <w:p w14:paraId="05BEE486" w14:textId="77777777" w:rsidR="00723F18" w:rsidRDefault="00000000">
      <w:pPr>
        <w:pStyle w:val="FirstParagraph"/>
      </w:pPr>
      <w:bookmarkStart w:id="92" w:name="treatment-principles"/>
      <w:r>
        <w:t xml:space="preserve">Purpose governs: two vessels of identical tonnage receive different treatment if their purposes differ, and identical treatment if their purposes match; flag never enters the treatment decision. Protection scales with vulnerability: Class C and Class E vessels receive the highest protection priority in scheduling, spacing, and incident response. Friction scales with risk, at anchor: the Accord concentrates all verification friction in the Anchor-and-Verify Protocol, so that the corridors themselves stay clean, fast, and free. No class carries a charge: the Zero-Toll Covenant applies to every class equally, including state vessels on non-commercial </w:t>
      </w:r>
      <w:proofErr w:type="gramStart"/>
      <w:r>
        <w:t>service</w:t>
      </w:r>
      <w:proofErr w:type="gramEnd"/>
      <w:r>
        <w:t>.</w:t>
      </w:r>
      <w:bookmarkEnd w:id="92"/>
    </w:p>
    <w:p w14:paraId="07519DF5" w14:textId="77777777" w:rsidR="00723F18" w:rsidRDefault="00000000">
      <w:pPr>
        <w:pStyle w:val="Heading3"/>
      </w:pPr>
      <w:r>
        <w:t>11.4 Class H and the Anchor-and-Verify Protocol</w:t>
      </w:r>
    </w:p>
    <w:p w14:paraId="61257919" w14:textId="77777777" w:rsidR="00723F18" w:rsidRDefault="00000000">
      <w:pPr>
        <w:pStyle w:val="FirstParagraph"/>
      </w:pPr>
      <w:r>
        <w:t>A vessel becomes Class H only through a written, evidence-backed referral to the Tripartite Operations System by a Party, the Neutral Administrator, or a classification society, stating the specific cargo or documentation question. A referral resting on nationality, ownership structure, or routing alone fails automatically and enters the referring Party’s conduct record under Article 39.</w:t>
      </w:r>
    </w:p>
    <w:p w14:paraId="75A39DA7" w14:textId="77777777" w:rsidR="00723F18" w:rsidRDefault="00000000">
      <w:pPr>
        <w:pStyle w:val="BodyText"/>
      </w:pPr>
      <w:bookmarkStart w:id="93" w:name="Xcc9ae543e986a0b7343c5ca8ba82ded05cdc4bb"/>
      <w:r>
        <w:t xml:space="preserve">Upon a valid referral, the vessel proceeds to a designated anchorage of its chosen corridor’s adjacent </w:t>
      </w:r>
      <w:proofErr w:type="gramStart"/>
      <w:r>
        <w:t>coast, or</w:t>
      </w:r>
      <w:proofErr w:type="gramEnd"/>
      <w:r>
        <w:t xml:space="preserve"> continues its voyage where the question </w:t>
      </w:r>
      <w:proofErr w:type="gramStart"/>
      <w:r>
        <w:t>resolves</w:t>
      </w:r>
      <w:proofErr w:type="gramEnd"/>
      <w:r>
        <w:t xml:space="preserve"> through documents. Verification at anchorage completes within forty-eight (48) hours through a joint team: one inspector designated by the flag state, one by the adjacent coastal steward, and one from the observer roster of Article 17. The team examines documents and, only where documents leave a material gap, the specific cargo in question. The vessel then resumes transit with a verified-transit marker. The architecture excludes at-sea boarding, diversion to a third state’s port, and detention beyond seventy-two (72) hours; a question unresolved at seventy-two (72</w:t>
      </w:r>
      <w:proofErr w:type="gramStart"/>
      <w:r>
        <w:t>) hours</w:t>
      </w:r>
      <w:proofErr w:type="gramEnd"/>
      <w:r>
        <w:t xml:space="preserve"> routes to the Technical and Standards Committee, and the vessel resumes transit at hour ninety-six (96) with the dispute continuing ashore.</w:t>
      </w:r>
      <w:bookmarkEnd w:id="93"/>
    </w:p>
    <w:p w14:paraId="20E40D40" w14:textId="77777777" w:rsidR="00723F18" w:rsidRDefault="00000000">
      <w:pPr>
        <w:pStyle w:val="Heading3"/>
      </w:pPr>
      <w:r>
        <w:t xml:space="preserve">11.5 </w:t>
      </w:r>
      <w:proofErr w:type="gramStart"/>
      <w:r>
        <w:t>Non-discrimination</w:t>
      </w:r>
      <w:proofErr w:type="gramEnd"/>
    </w:p>
    <w:p w14:paraId="67DD1435" w14:textId="77777777" w:rsidR="00723F18" w:rsidRDefault="00000000">
      <w:pPr>
        <w:pStyle w:val="FirstParagraph"/>
      </w:pPr>
      <w:bookmarkStart w:id="94" w:name="non-discrimination"/>
      <w:bookmarkStart w:id="95" w:name="X6ecec96dc2f3d78a9ae5437471879dd411a631e"/>
      <w:r>
        <w:t>Within each class, treatment stands identical for all vessels. The architecture excludes: differential pricing by flag; differential notification burdens by ownership; differential inspection by destination; and any registry, list, or database that sorts vessels by political criteria. No organ of the Accord maintains any list of friendly or hostile flags, and any such list, from any source, carries no operational effect inside the Scheme Area.</w:t>
      </w:r>
      <w:bookmarkEnd w:id="94"/>
      <w:bookmarkEnd w:id="95"/>
    </w:p>
    <w:p w14:paraId="275D2BCB" w14:textId="77777777" w:rsidR="00723F18" w:rsidRDefault="00000000">
      <w:pPr>
        <w:pStyle w:val="Heading2"/>
      </w:pPr>
      <w:bookmarkStart w:id="96" w:name="__RefHeading___Toc6406_2939721771"/>
      <w:bookmarkEnd w:id="96"/>
      <w:r>
        <w:lastRenderedPageBreak/>
        <w:t>Article 12: Traffic Management, Flow States, and the Open Water Bulletin</w:t>
      </w:r>
    </w:p>
    <w:p w14:paraId="3C65CBDC" w14:textId="77777777" w:rsidR="00723F18" w:rsidRDefault="00000000">
      <w:pPr>
        <w:pStyle w:val="Heading3"/>
      </w:pPr>
      <w:r>
        <w:t>12.1 The daily traffic plan</w:t>
      </w:r>
    </w:p>
    <w:p w14:paraId="284A8AD8" w14:textId="77777777" w:rsidR="00723F18" w:rsidRDefault="00000000">
      <w:pPr>
        <w:pStyle w:val="FirstParagraph"/>
      </w:pPr>
      <w:bookmarkStart w:id="97" w:name="the-daily-traffic-plan"/>
      <w:r>
        <w:t>The Tripartite Operations System issues a daily traffic plan at 18:00 GMT for the following twenty-four (24) hours: entry slot allocations, liquefied gas carrier windows, escorted windows, survey and clearance activity notices, drill notices, and any active hazard advisories. The plan posts to the Shared Evidence Platform and circulates to every declaration holder. The plan is an operational document; it creates no rights beyond the rules of this Part.</w:t>
      </w:r>
      <w:bookmarkEnd w:id="97"/>
    </w:p>
    <w:p w14:paraId="4EBD44BA" w14:textId="77777777" w:rsidR="00723F18" w:rsidRDefault="00000000">
      <w:pPr>
        <w:pStyle w:val="Heading3"/>
      </w:pPr>
      <w:r>
        <w:t>12.2 Speed and spacing</w:t>
      </w:r>
    </w:p>
    <w:p w14:paraId="4E027F9E" w14:textId="77777777" w:rsidR="00723F18" w:rsidRDefault="00000000">
      <w:pPr>
        <w:pStyle w:val="FirstParagraph"/>
      </w:pPr>
      <w:bookmarkStart w:id="98" w:name="speed-and-spacing"/>
      <w:r>
        <w:t>Vessels in any corridor maintain speeds between eight (8) and fourteen (14) knots, and the daily traffic plan publishes density-based adjustments within that band. The Operations System assigns entry slots that preserve a minimum spacing of four (4) nautical miles between successive vessels in the same lane, and six (6) nautical miles astern of a liquefied gas carrier. Overtaking stands excluded inside all corridors.</w:t>
      </w:r>
      <w:bookmarkEnd w:id="98"/>
    </w:p>
    <w:p w14:paraId="50E6A764" w14:textId="77777777" w:rsidR="00723F18" w:rsidRDefault="00000000">
      <w:pPr>
        <w:pStyle w:val="Heading3"/>
      </w:pPr>
      <w:r>
        <w:t>12.3 Broadcast and watch</w:t>
      </w:r>
    </w:p>
    <w:p w14:paraId="3BB07CBF" w14:textId="77777777" w:rsidR="00723F18" w:rsidRDefault="00000000">
      <w:pPr>
        <w:pStyle w:val="FirstParagraph"/>
      </w:pPr>
      <w:bookmarkStart w:id="99" w:name="broadcast-and-watch"/>
      <w:r>
        <w:t>Every vessel in the Scheme Area broadcasts a compliant automatic identification system signal continuously and maintains a listening watch on the VHF working channels of Annex I. A vessel reports its entry, mid-strait passage, and exit at the reporting points of Annex A.</w:t>
      </w:r>
      <w:bookmarkEnd w:id="99"/>
    </w:p>
    <w:p w14:paraId="7CAE87EB" w14:textId="77777777" w:rsidR="00723F18" w:rsidRDefault="00000000">
      <w:pPr>
        <w:pStyle w:val="Heading3"/>
      </w:pPr>
      <w:r>
        <w:t>12.4 Flow States</w:t>
      </w:r>
    </w:p>
    <w:p w14:paraId="4EA14F16" w14:textId="77777777" w:rsidR="00723F18" w:rsidRDefault="00000000">
      <w:pPr>
        <w:pStyle w:val="FirstParagraph"/>
      </w:pPr>
      <w:r>
        <w:t>Each corridor operates independently in one of three Flow States, published for each corridor separately in the Open Water Bulletin:</w:t>
      </w:r>
    </w:p>
    <w:tbl>
      <w:tblPr>
        <w:tblStyle w:val="Table"/>
        <w:tblW w:w="5000" w:type="pct"/>
        <w:tblInd w:w="0" w:type="dxa"/>
        <w:tblLayout w:type="fixed"/>
        <w:tblLook w:val="0020" w:firstRow="1" w:lastRow="0" w:firstColumn="0" w:lastColumn="0" w:noHBand="0" w:noVBand="0"/>
      </w:tblPr>
      <w:tblGrid>
        <w:gridCol w:w="3192"/>
        <w:gridCol w:w="3192"/>
        <w:gridCol w:w="3192"/>
      </w:tblGrid>
      <w:tr w:rsidR="00723F18" w14:paraId="7129ECBC"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1D63DDA1" w14:textId="77777777" w:rsidR="00723F18" w:rsidRDefault="00000000">
            <w:pPr>
              <w:pStyle w:val="Compact"/>
              <w:widowControl w:val="0"/>
              <w:rPr>
                <w:rFonts w:ascii="Cambria" w:eastAsia="Cambria" w:hAnsi="Cambria"/>
              </w:rPr>
            </w:pPr>
            <w:r>
              <w:rPr>
                <w:rFonts w:eastAsia="Cambria"/>
                <w:b/>
                <w:bCs/>
              </w:rPr>
              <w:t>Flow State</w:t>
            </w:r>
          </w:p>
        </w:tc>
        <w:tc>
          <w:tcPr>
            <w:tcW w:w="3120" w:type="dxa"/>
            <w:tcBorders>
              <w:bottom w:val="single" w:sz="6" w:space="0" w:color="000000"/>
            </w:tcBorders>
          </w:tcPr>
          <w:p w14:paraId="1B3A2CC7" w14:textId="77777777" w:rsidR="00723F18" w:rsidRDefault="00000000">
            <w:pPr>
              <w:pStyle w:val="Compact"/>
              <w:widowControl w:val="0"/>
              <w:rPr>
                <w:rFonts w:ascii="Cambria" w:eastAsia="Cambria" w:hAnsi="Cambria"/>
              </w:rPr>
            </w:pPr>
            <w:r>
              <w:rPr>
                <w:rFonts w:eastAsia="Cambria"/>
                <w:b/>
                <w:bCs/>
              </w:rPr>
              <w:t>Meaning</w:t>
            </w:r>
          </w:p>
        </w:tc>
        <w:tc>
          <w:tcPr>
            <w:tcW w:w="3120" w:type="dxa"/>
            <w:tcBorders>
              <w:bottom w:val="single" w:sz="6" w:space="0" w:color="000000"/>
            </w:tcBorders>
          </w:tcPr>
          <w:p w14:paraId="21D4861E" w14:textId="77777777" w:rsidR="00723F18" w:rsidRDefault="00000000">
            <w:pPr>
              <w:pStyle w:val="Compact"/>
              <w:widowControl w:val="0"/>
              <w:rPr>
                <w:rFonts w:ascii="Cambria" w:eastAsia="Cambria" w:hAnsi="Cambria"/>
              </w:rPr>
            </w:pPr>
            <w:r>
              <w:rPr>
                <w:rFonts w:eastAsia="Cambria"/>
                <w:b/>
                <w:bCs/>
              </w:rPr>
              <w:t>Rule</w:t>
            </w:r>
          </w:p>
        </w:tc>
      </w:tr>
      <w:tr w:rsidR="00723F18" w14:paraId="4CBF36CB" w14:textId="77777777" w:rsidTr="00723F18">
        <w:tc>
          <w:tcPr>
            <w:tcW w:w="3120" w:type="dxa"/>
          </w:tcPr>
          <w:p w14:paraId="706BDF35" w14:textId="77777777" w:rsidR="00723F18" w:rsidRDefault="00000000">
            <w:pPr>
              <w:pStyle w:val="Compact"/>
              <w:widowControl w:val="0"/>
              <w:rPr>
                <w:rFonts w:ascii="Cambria" w:eastAsia="Cambria" w:hAnsi="Cambria"/>
              </w:rPr>
            </w:pPr>
            <w:r>
              <w:rPr>
                <w:rFonts w:eastAsia="Cambria"/>
              </w:rPr>
              <w:t>Free Flow</w:t>
            </w:r>
          </w:p>
        </w:tc>
        <w:tc>
          <w:tcPr>
            <w:tcW w:w="3120" w:type="dxa"/>
          </w:tcPr>
          <w:p w14:paraId="755ED848" w14:textId="77777777" w:rsidR="00723F18" w:rsidRDefault="00000000">
            <w:pPr>
              <w:pStyle w:val="Compact"/>
              <w:widowControl w:val="0"/>
              <w:rPr>
                <w:rFonts w:ascii="Cambria" w:eastAsia="Cambria" w:hAnsi="Cambria"/>
              </w:rPr>
            </w:pPr>
            <w:r>
              <w:rPr>
                <w:rFonts w:eastAsia="Cambria"/>
              </w:rPr>
              <w:t>Normal operation</w:t>
            </w:r>
          </w:p>
        </w:tc>
        <w:tc>
          <w:tcPr>
            <w:tcW w:w="3120" w:type="dxa"/>
          </w:tcPr>
          <w:p w14:paraId="529C2EE0" w14:textId="77777777" w:rsidR="00723F18" w:rsidRDefault="00000000">
            <w:pPr>
              <w:pStyle w:val="Compact"/>
              <w:widowControl w:val="0"/>
              <w:rPr>
                <w:rFonts w:ascii="Cambria" w:eastAsia="Cambria" w:hAnsi="Cambria"/>
              </w:rPr>
            </w:pPr>
            <w:r>
              <w:rPr>
                <w:rFonts w:eastAsia="Cambria"/>
              </w:rPr>
              <w:t>Full schedule; speed band ten (10) to sixteen (16) knots; standard spacing</w:t>
            </w:r>
          </w:p>
        </w:tc>
      </w:tr>
      <w:tr w:rsidR="00723F18" w14:paraId="0E0DD7E0" w14:textId="77777777" w:rsidTr="00723F18">
        <w:tc>
          <w:tcPr>
            <w:tcW w:w="3120" w:type="dxa"/>
          </w:tcPr>
          <w:p w14:paraId="5EA5E768" w14:textId="77777777" w:rsidR="00723F18" w:rsidRDefault="00000000">
            <w:pPr>
              <w:pStyle w:val="Compact"/>
              <w:widowControl w:val="0"/>
              <w:rPr>
                <w:rFonts w:ascii="Cambria" w:eastAsia="Cambria" w:hAnsi="Cambria"/>
              </w:rPr>
            </w:pPr>
            <w:r>
              <w:rPr>
                <w:rFonts w:eastAsia="Cambria"/>
              </w:rPr>
              <w:t>Managed Flow</w:t>
            </w:r>
          </w:p>
        </w:tc>
        <w:tc>
          <w:tcPr>
            <w:tcW w:w="3120" w:type="dxa"/>
          </w:tcPr>
          <w:p w14:paraId="1DAB5C92" w14:textId="77777777" w:rsidR="00723F18" w:rsidRDefault="00000000">
            <w:pPr>
              <w:pStyle w:val="Compact"/>
              <w:widowControl w:val="0"/>
              <w:rPr>
                <w:rFonts w:ascii="Cambria" w:eastAsia="Cambria" w:hAnsi="Cambria"/>
              </w:rPr>
            </w:pPr>
            <w:r>
              <w:rPr>
                <w:rFonts w:eastAsia="Cambria"/>
              </w:rPr>
              <w:t>Heightened caution after an incident or survey finding</w:t>
            </w:r>
          </w:p>
        </w:tc>
        <w:tc>
          <w:tcPr>
            <w:tcW w:w="3120" w:type="dxa"/>
          </w:tcPr>
          <w:p w14:paraId="520B1412" w14:textId="77777777" w:rsidR="00723F18" w:rsidRDefault="00000000">
            <w:pPr>
              <w:pStyle w:val="Compact"/>
              <w:widowControl w:val="0"/>
              <w:rPr>
                <w:rFonts w:ascii="Cambria" w:eastAsia="Cambria" w:hAnsi="Cambria"/>
              </w:rPr>
            </w:pPr>
            <w:r>
              <w:rPr>
                <w:rFonts w:eastAsia="Cambria"/>
              </w:rPr>
              <w:t>Speed band nine (9) to thirteen (13) knots; entry windows on the published cycle; escorted windows doubled</w:t>
            </w:r>
          </w:p>
        </w:tc>
      </w:tr>
      <w:tr w:rsidR="00723F18" w14:paraId="13E695CB" w14:textId="77777777" w:rsidTr="00723F18">
        <w:tc>
          <w:tcPr>
            <w:tcW w:w="3120" w:type="dxa"/>
          </w:tcPr>
          <w:p w14:paraId="441F5DFA" w14:textId="77777777" w:rsidR="00723F18" w:rsidRDefault="00000000">
            <w:pPr>
              <w:pStyle w:val="Compact"/>
              <w:widowControl w:val="0"/>
              <w:rPr>
                <w:rFonts w:ascii="Cambria" w:eastAsia="Cambria" w:hAnsi="Cambria"/>
              </w:rPr>
            </w:pPr>
            <w:r>
              <w:rPr>
                <w:rFonts w:eastAsia="Cambria"/>
              </w:rPr>
              <w:t>Suspended Flow</w:t>
            </w:r>
          </w:p>
        </w:tc>
        <w:tc>
          <w:tcPr>
            <w:tcW w:w="3120" w:type="dxa"/>
          </w:tcPr>
          <w:p w14:paraId="0265231B" w14:textId="77777777" w:rsidR="00723F18" w:rsidRDefault="00000000">
            <w:pPr>
              <w:pStyle w:val="Compact"/>
              <w:widowControl w:val="0"/>
              <w:rPr>
                <w:rFonts w:ascii="Cambria" w:eastAsia="Cambria" w:hAnsi="Cambria"/>
              </w:rPr>
            </w:pPr>
            <w:r>
              <w:rPr>
                <w:rFonts w:eastAsia="Cambria"/>
              </w:rPr>
              <w:t>A defined segment pauses new entries for safety</w:t>
            </w:r>
          </w:p>
        </w:tc>
        <w:tc>
          <w:tcPr>
            <w:tcW w:w="3120" w:type="dxa"/>
          </w:tcPr>
          <w:p w14:paraId="7D0069C5" w14:textId="77777777" w:rsidR="00723F18" w:rsidRDefault="00000000">
            <w:pPr>
              <w:pStyle w:val="Compact"/>
              <w:widowControl w:val="0"/>
              <w:rPr>
                <w:rFonts w:ascii="Cambria" w:eastAsia="Cambria" w:hAnsi="Cambria"/>
              </w:rPr>
            </w:pPr>
            <w:r>
              <w:rPr>
                <w:rFonts w:eastAsia="Cambria"/>
              </w:rPr>
              <w:t xml:space="preserve">Time-limited to seventy-two (72) hours absent a Commission decision recorded with reasons; never </w:t>
            </w:r>
            <w:proofErr w:type="gramStart"/>
            <w:r>
              <w:rPr>
                <w:rFonts w:eastAsia="Cambria"/>
              </w:rPr>
              <w:t>converts</w:t>
            </w:r>
            <w:proofErr w:type="gramEnd"/>
            <w:r>
              <w:rPr>
                <w:rFonts w:eastAsia="Cambria"/>
              </w:rPr>
              <w:t xml:space="preserve"> into closure; the fallback function of Article 9.5 activates; humanitarian transit </w:t>
            </w:r>
            <w:r>
              <w:rPr>
                <w:rFonts w:eastAsia="Cambria"/>
              </w:rPr>
              <w:lastRenderedPageBreak/>
              <w:t>continues</w:t>
            </w:r>
          </w:p>
        </w:tc>
      </w:tr>
    </w:tbl>
    <w:p w14:paraId="100D5475" w14:textId="77777777" w:rsidR="00723F18" w:rsidRDefault="00000000">
      <w:pPr>
        <w:pStyle w:val="BodyText"/>
      </w:pPr>
      <w:r>
        <w:rPr>
          <w:i/>
          <w:iCs/>
        </w:rPr>
        <w:lastRenderedPageBreak/>
        <w:t>Table 12.1: Flow States of the corridor system</w:t>
      </w:r>
    </w:p>
    <w:p w14:paraId="6A6DB975" w14:textId="77777777" w:rsidR="00723F18" w:rsidRDefault="00000000">
      <w:pPr>
        <w:pStyle w:val="BodyText"/>
      </w:pPr>
      <w:bookmarkStart w:id="100" w:name="flow-states"/>
      <w:r>
        <w:t>A Suspended Flow pauses new entries into a defined segment only. It never closes a corridor in full, never closes the Strait, and never suspends the right of transit passage. The daily traffic plan reroutes affected traffic through the open corridors automatically.</w:t>
      </w:r>
      <w:bookmarkEnd w:id="100"/>
    </w:p>
    <w:p w14:paraId="0E70BD1C" w14:textId="77777777" w:rsidR="00723F18" w:rsidRDefault="00000000">
      <w:pPr>
        <w:pStyle w:val="Heading3"/>
      </w:pPr>
      <w:r>
        <w:t>12.5 Liquefied gas carrier windows</w:t>
      </w:r>
    </w:p>
    <w:p w14:paraId="16139B77" w14:textId="77777777" w:rsidR="00723F18" w:rsidRDefault="00000000">
      <w:pPr>
        <w:pStyle w:val="FirstParagraph"/>
      </w:pPr>
      <w:bookmarkStart w:id="101" w:name="liquefied-gas-carrier-windows"/>
      <w:r>
        <w:t>Liquefied natural gas and liquefied petroleum gas carriers receive priority scheduling windows: the Operations System publishes a daily gas-carrier window plan, reserves lane capacity for scheduled gas transits, and sequences other traffic around those windows where stream density so requires. The priority operates as a traffic management measure protecting cargoes whose states hold no alternative export route. It confers no exemption from any other rule of the scheme.</w:t>
      </w:r>
      <w:bookmarkEnd w:id="101"/>
    </w:p>
    <w:p w14:paraId="093FD1DE" w14:textId="77777777" w:rsidR="00723F18" w:rsidRDefault="00000000">
      <w:pPr>
        <w:pStyle w:val="Heading3"/>
      </w:pPr>
      <w:r>
        <w:t>12.6 The non-compliant record pathway</w:t>
      </w:r>
    </w:p>
    <w:p w14:paraId="7062D683" w14:textId="77777777" w:rsidR="00723F18" w:rsidRDefault="00000000">
      <w:pPr>
        <w:pStyle w:val="FirstParagraph"/>
      </w:pPr>
      <w:bookmarkStart w:id="102" w:name="the-non-compliant-record-pathway"/>
      <w:r>
        <w:t xml:space="preserve">A vessel whose record shows </w:t>
      </w:r>
      <w:proofErr w:type="gramStart"/>
      <w:r>
        <w:t>a data</w:t>
      </w:r>
      <w:proofErr w:type="gramEnd"/>
      <w:r>
        <w:t xml:space="preserve"> deficiency, an expired certificate field, or an unresolved prior incident entry receives direction from the Operations System to a designated holding anchorage and access to a technical remediation channel staffed jointly by the Operations System and the relevant steward. Remediation proceeds on technical facts: a corrected transponder, a completed field, a closed incident file. The pathway ends in clearance or in a voluntary exit from the Scheme Area. It never ends in seizure, diversion, or inspection at sea.</w:t>
      </w:r>
      <w:bookmarkEnd w:id="102"/>
    </w:p>
    <w:p w14:paraId="1ACC4785" w14:textId="77777777" w:rsidR="00723F18" w:rsidRDefault="00000000">
      <w:pPr>
        <w:pStyle w:val="Heading3"/>
      </w:pPr>
      <w:r>
        <w:t>12.7 The Open Water Bulletin</w:t>
      </w:r>
    </w:p>
    <w:p w14:paraId="29E06A65" w14:textId="77777777" w:rsidR="00723F18" w:rsidRDefault="00000000">
      <w:pPr>
        <w:pStyle w:val="FirstParagraph"/>
      </w:pPr>
      <w:bookmarkStart w:id="103" w:name="the-open-water-bulletin"/>
      <w:bookmarkStart w:id="104" w:name="X4c9483e59234b65a774ed1adc2a4d5ffc241205"/>
      <w:r>
        <w:t>The Operations System publishes the Open Water Bulletin every six (6) hours and on any state change: flow states for each corridor separately, hazard notices, escorted windows, gas-carrier windows, and exercise notices in general terms. The Bulletin reaches every Party, every observer state, the International Maritime Organization’s maritime safety information channel, and the insurance market simultaneously, with identical latency. The Bulletin never names a vessel without its flag state’s consent, and it publishes restorations with the same prominence as disruptions.</w:t>
      </w:r>
      <w:bookmarkEnd w:id="103"/>
      <w:bookmarkEnd w:id="104"/>
    </w:p>
    <w:p w14:paraId="215E7D8F" w14:textId="77777777" w:rsidR="00723F18" w:rsidRDefault="00000000">
      <w:pPr>
        <w:pStyle w:val="Heading2"/>
      </w:pPr>
      <w:bookmarkStart w:id="105" w:name="__RefHeading___Toc6408_2939721771"/>
      <w:bookmarkEnd w:id="105"/>
      <w:r>
        <w:t>Article 13: Hazard Survey, Clearance, and the Reopening Sequence</w:t>
      </w:r>
    </w:p>
    <w:p w14:paraId="41039AC2" w14:textId="77777777" w:rsidR="00723F18" w:rsidRDefault="00000000">
      <w:pPr>
        <w:pStyle w:val="Heading3"/>
      </w:pPr>
      <w:r>
        <w:t>13.1 The mine exclusion</w:t>
      </w:r>
    </w:p>
    <w:p w14:paraId="4254ED14" w14:textId="77777777" w:rsidR="00723F18" w:rsidRDefault="00000000">
      <w:pPr>
        <w:pStyle w:val="FirstParagraph"/>
      </w:pPr>
      <w:bookmarkStart w:id="106" w:name="the-mine-exclusion"/>
      <w:r>
        <w:t>The framework architecture excludes the laying, deployment, or tolerance of naval mines or equivalent placed hazards anywhere in the Scheme Area, by any actor, at any time, under every circumstance. Discovery of a mine or ordnance activates the clearance protocol: the Operations System declares a seventy-two (72) hour routing adjustment, the stewards’ clearance units operate under observer embarkation, and commercial traffic reroutes through the unaffected corridors under the fallback function of Article 9.5.</w:t>
      </w:r>
      <w:bookmarkEnd w:id="106"/>
    </w:p>
    <w:p w14:paraId="4F17E19F" w14:textId="77777777" w:rsidR="00723F18" w:rsidRDefault="00000000">
      <w:pPr>
        <w:pStyle w:val="Heading3"/>
      </w:pPr>
      <w:r>
        <w:lastRenderedPageBreak/>
        <w:t xml:space="preserve">13.2 </w:t>
      </w:r>
      <w:proofErr w:type="gramStart"/>
      <w:r>
        <w:t>The Day</w:t>
      </w:r>
      <w:proofErr w:type="gramEnd"/>
      <w:r>
        <w:t xml:space="preserve"> One hazard declaration</w:t>
      </w:r>
    </w:p>
    <w:p w14:paraId="623763EE" w14:textId="77777777" w:rsidR="00723F18" w:rsidRDefault="00000000">
      <w:pPr>
        <w:pStyle w:val="FirstParagraph"/>
      </w:pPr>
      <w:bookmarkStart w:id="107" w:name="the-day-one-hazard-declaration"/>
      <w:r>
        <w:t>Within twenty-four (24) hours of entry into force, each steward files a complete hazard declaration for its sector with the Operations System and the Technical and Standards Committee: every known hazard by position, type, and status, and the survey state of every corridor segment. The declaration is a technical document. It records what the steward knows of its sector; it records no admission about how any hazard arrived there. In the same twenty-four (24) hours, the Operations System issues a Notice to Mariners declaring all uncertified parts of the Scheme Area a Hazard Area (Awaiting Survey) and activating the clearance coordination function.</w:t>
      </w:r>
      <w:bookmarkEnd w:id="107"/>
    </w:p>
    <w:p w14:paraId="02019322" w14:textId="77777777" w:rsidR="00723F18" w:rsidRDefault="00000000">
      <w:pPr>
        <w:pStyle w:val="Heading3"/>
      </w:pPr>
      <w:r>
        <w:t>13.3 Execution under steward control</w:t>
      </w:r>
    </w:p>
    <w:p w14:paraId="11762186" w14:textId="77777777" w:rsidR="00723F18" w:rsidRDefault="00000000">
      <w:pPr>
        <w:pStyle w:val="FirstParagraph"/>
      </w:pPr>
      <w:bookmarkStart w:id="108" w:name="execution-under-steward-control"/>
      <w:r>
        <w:t xml:space="preserve">Survey and clearance in each coastal corridor execute under the operational control of that corridor’s steward: its vessels, its teams, its methods, its schedule. The architecture excludes foreign military clearance forces from every sector absolutely. A steward engages civilian commercial </w:t>
      </w:r>
      <w:proofErr w:type="gramStart"/>
      <w:r>
        <w:t>survey</w:t>
      </w:r>
      <w:proofErr w:type="gramEnd"/>
      <w:r>
        <w:t xml:space="preserve"> and salvage contractors under its own direction where it elects, and the contractor identity posts to the Shared Evidence Platform in advance. Survey and clearance in Corridor Two execute under a Joint Civil Clearance Unit composed of Iranian, Omani, and Qatari civilian specialists, with a technical supervisor drawn from the observer roster, operating under the same standards and the same audit exposure as the steward units.</w:t>
      </w:r>
      <w:bookmarkEnd w:id="108"/>
    </w:p>
    <w:p w14:paraId="7BF0BE90" w14:textId="77777777" w:rsidR="00723F18" w:rsidRDefault="00000000">
      <w:pPr>
        <w:pStyle w:val="Heading3"/>
      </w:pPr>
      <w:r>
        <w:t>13.4 Technical observation</w:t>
      </w:r>
    </w:p>
    <w:p w14:paraId="5DCB8396" w14:textId="77777777" w:rsidR="00723F18" w:rsidRDefault="00000000">
      <w:pPr>
        <w:pStyle w:val="FirstParagraph"/>
      </w:pPr>
      <w:bookmarkStart w:id="109" w:name="technical-observation"/>
      <w:r>
        <w:t>Technical observers of the Operations System embark aboard clearance vessels for every clearance operation in a corridor segment: two observers per operation, drawn from the observer roster of Article 17, serving in observer status only. Observers hold no command authority, touch no equipment, and report through the Operations System chain alone. Their function is the assurance function: the shipping world believes a lane clear when a neutral eye watches the clearing.</w:t>
      </w:r>
      <w:bookmarkEnd w:id="109"/>
    </w:p>
    <w:p w14:paraId="6383F346" w14:textId="77777777" w:rsidR="00723F18" w:rsidRDefault="00000000">
      <w:pPr>
        <w:pStyle w:val="Heading3"/>
      </w:pPr>
      <w:r>
        <w:t>13.5 The Corridor Clearance Certificate</w:t>
      </w:r>
    </w:p>
    <w:p w14:paraId="58189FD7" w14:textId="77777777" w:rsidR="00723F18" w:rsidRDefault="00000000">
      <w:pPr>
        <w:pStyle w:val="FirstParagraph"/>
      </w:pPr>
      <w:bookmarkStart w:id="110" w:name="the-corridor-clearance-certificate"/>
      <w:r>
        <w:t xml:space="preserve">Upon completion of clearance in a corridor segment, the Technical and Standards Committee reviews the survey record, the clearance log, and the observer reports, and it issues a Corridor Clearance Certificate for the segment. The Certificate states the segment, the survey standard applied, the clearance performed, and the residual risk rating. It is a technical assurance document: it certifies </w:t>
      </w:r>
      <w:proofErr w:type="gramStart"/>
      <w:r>
        <w:t>a physical</w:t>
      </w:r>
      <w:proofErr w:type="gramEnd"/>
      <w:r>
        <w:t xml:space="preserve"> state of the water, and it certifies nothing else. Full operation of a segment commences upon its Certificate. A segment certifies clear only after a second-pass verification confirms zero remaining mine-like contacts. The Committee posts every Certificate to the Shared Evidence Platform, and the platform record of certified segments constitutes the public assurance of the scheme.</w:t>
      </w:r>
      <w:bookmarkEnd w:id="110"/>
    </w:p>
    <w:p w14:paraId="43B8EC06" w14:textId="77777777" w:rsidR="00723F18" w:rsidRDefault="00000000">
      <w:pPr>
        <w:pStyle w:val="Heading3"/>
      </w:pPr>
      <w:r>
        <w:t>13.6 The reopening sequence</w:t>
      </w:r>
    </w:p>
    <w:p w14:paraId="284371C1" w14:textId="77777777" w:rsidR="00723F18" w:rsidRDefault="00000000">
      <w:pPr>
        <w:pStyle w:val="FirstParagraph"/>
      </w:pPr>
      <w:bookmarkStart w:id="111" w:name="the-reopening-sequence"/>
      <w:r>
        <w:t xml:space="preserve">The scheme restores full commercial transit in phases tied to the survey record, per Annex E: Corridor Two segment certification first, because the neutral artery carries the initial </w:t>
      </w:r>
      <w:r>
        <w:lastRenderedPageBreak/>
        <w:t xml:space="preserve">stream; Corridor One and Corridor Three certification in parallel thereafter; scheduled daylight transits from Day 3 through certified segments; night transit upon certification of all segments of a corridor; and full three-corridor operation at or above the pre-crisis baseline by Day 45. Each phase certification posts to the Shared Evidence Platform and banks permanently under the continuity rule. A certification never reverses </w:t>
      </w:r>
      <w:proofErr w:type="gramStart"/>
      <w:r>
        <w:t>on the basis of</w:t>
      </w:r>
      <w:proofErr w:type="gramEnd"/>
      <w:r>
        <w:t xml:space="preserve"> an unverified allegation; reversal travels exclusively through the compliance engine of Article 39.</w:t>
      </w:r>
      <w:bookmarkEnd w:id="111"/>
    </w:p>
    <w:p w14:paraId="3E6FCF35" w14:textId="77777777" w:rsidR="00723F18" w:rsidRDefault="00000000">
      <w:pPr>
        <w:pStyle w:val="Heading3"/>
      </w:pPr>
      <w:r>
        <w:t>13.7 Interim routing and emergency geometry</w:t>
      </w:r>
    </w:p>
    <w:p w14:paraId="626CF2C7" w14:textId="77777777" w:rsidR="00723F18" w:rsidRDefault="00000000">
      <w:pPr>
        <w:pStyle w:val="FirstParagraph"/>
      </w:pPr>
      <w:bookmarkStart w:id="112" w:name="interim-routing-and-emergency-geometry"/>
      <w:r>
        <w:t>Pending certification of a segment, the Operations System adjusts corridor geometry around the uncertified segment under the emergency geometry rule of Article 7.5, publishes the adjustment, and maintains traffic through Managed Flow or the fallback function where necessary. An emergency geometry adjustment serves safety alone, expires in fourteen (14) days absent Commission confirmation, and carries no implication for any boundary position.</w:t>
      </w:r>
      <w:bookmarkEnd w:id="112"/>
    </w:p>
    <w:p w14:paraId="08AAA3EC" w14:textId="77777777" w:rsidR="00723F18" w:rsidRDefault="00000000">
      <w:pPr>
        <w:pStyle w:val="Heading3"/>
      </w:pPr>
      <w:r>
        <w:t>13.8 New hazards</w:t>
      </w:r>
    </w:p>
    <w:p w14:paraId="155F503B" w14:textId="77777777" w:rsidR="00723F18" w:rsidRDefault="00000000">
      <w:pPr>
        <w:pStyle w:val="FirstParagraph"/>
      </w:pPr>
      <w:bookmarkStart w:id="113" w:name="new-hazards"/>
      <w:r>
        <w:t xml:space="preserve">A hazard discovered after certification opens an incident file under Article 33, shifts the affected segment to Suspended Flow automatically, and activates re-clearance under this Article. The placement of a new hazard in a certified segment by any actor </w:t>
      </w:r>
      <w:proofErr w:type="gramStart"/>
      <w:r>
        <w:t>classifies</w:t>
      </w:r>
      <w:proofErr w:type="gramEnd"/>
      <w:r>
        <w:t xml:space="preserve"> as a Tier Three event under Article 39.</w:t>
      </w:r>
      <w:bookmarkEnd w:id="113"/>
    </w:p>
    <w:p w14:paraId="0495A375" w14:textId="77777777" w:rsidR="00723F18" w:rsidRDefault="00000000">
      <w:pPr>
        <w:pStyle w:val="Heading3"/>
      </w:pPr>
      <w:r>
        <w:t>13.9 The stranded vessel backlog</w:t>
      </w:r>
    </w:p>
    <w:p w14:paraId="7BAC5F92" w14:textId="77777777" w:rsidR="00723F18" w:rsidRDefault="00000000">
      <w:pPr>
        <w:pStyle w:val="FirstParagraph"/>
      </w:pPr>
      <w:bookmarkStart w:id="114" w:name="X1bfe5150ab3a8bd26983711d95f48c27c048821"/>
      <w:bookmarkStart w:id="115" w:name="X0c95140904ca948c5658936c5af783a3e6357dd"/>
      <w:bookmarkStart w:id="116" w:name="the-stranded-vessel-backlog"/>
      <w:r>
        <w:t>The scheme clears the backlog of vessels stranded by the crisis through a prioritization schedule the Operations System publishes on Day 1: humanitarian and perishable cargoes first; energy cargoes second; stranded passenger vessels and crew rotation third; general cargo fourth. The schedule sequences departures against corridor capacity, and the Open Water Bulletin publishes the daily clearance count. The backlog clears as a measurable, published, technical task, never as a bargaining chip.</w:t>
      </w:r>
      <w:bookmarkEnd w:id="114"/>
      <w:bookmarkEnd w:id="115"/>
      <w:bookmarkEnd w:id="116"/>
    </w:p>
    <w:p w14:paraId="1EDB5A5A" w14:textId="77777777" w:rsidR="00723F18" w:rsidRDefault="00000000">
      <w:pPr>
        <w:pStyle w:val="Heading1"/>
      </w:pPr>
      <w:bookmarkStart w:id="117" w:name="__RefHeading___Toc6410_2939721771"/>
      <w:bookmarkEnd w:id="117"/>
      <w:r>
        <w:t>Part III: Institutional Architecture</w:t>
      </w:r>
    </w:p>
    <w:p w14:paraId="60260157" w14:textId="77777777" w:rsidR="00723F18" w:rsidRDefault="00000000">
      <w:pPr>
        <w:pStyle w:val="Heading2"/>
      </w:pPr>
      <w:bookmarkStart w:id="118" w:name="__RefHeading___Toc6412_2939721771"/>
      <w:bookmarkEnd w:id="118"/>
      <w:r>
        <w:t>Article 14: The Hormuz Transit Commission</w:t>
      </w:r>
    </w:p>
    <w:p w14:paraId="2D0E4DDC" w14:textId="77777777" w:rsidR="00723F18" w:rsidRDefault="00000000">
      <w:pPr>
        <w:pStyle w:val="Heading3"/>
      </w:pPr>
      <w:r>
        <w:t>14.1 Establishment and composition</w:t>
      </w:r>
    </w:p>
    <w:p w14:paraId="18CDAFF0" w14:textId="77777777" w:rsidR="00723F18" w:rsidRDefault="00000000">
      <w:pPr>
        <w:pStyle w:val="FirstParagraph"/>
      </w:pPr>
      <w:bookmarkStart w:id="119" w:name="establishment-and-composition"/>
      <w:r>
        <w:t>The Parties establish the Hormuz Transit Commission as the governance organ of the Accord. The Commission seats one senior representative of each Party: Iran, the United States, Oman, and Qatar. Oman chairs the Commission. The Swiss Confederation attends as recorder and Neutral Administrator. Technical observers of the IMO and the IHO attend without voice where the Commission invites technical testimony. Commission members hold the rank of ambassador or equivalent and serve at the pleasure of their governments.</w:t>
      </w:r>
      <w:bookmarkEnd w:id="119"/>
    </w:p>
    <w:p w14:paraId="25E35AD0" w14:textId="77777777" w:rsidR="00723F18" w:rsidRDefault="00000000">
      <w:pPr>
        <w:pStyle w:val="Heading3"/>
      </w:pPr>
      <w:r>
        <w:lastRenderedPageBreak/>
        <w:t>14.2 Competence</w:t>
      </w:r>
    </w:p>
    <w:p w14:paraId="1E1FA220" w14:textId="77777777" w:rsidR="00723F18" w:rsidRDefault="00000000">
      <w:pPr>
        <w:pStyle w:val="FirstParagraph"/>
      </w:pPr>
      <w:bookmarkStart w:id="120" w:name="competence"/>
      <w:r>
        <w:t>The Commission holds four powers. First, it amends corridor geometry and the Services Catalog under the decision rules of Article 18, on the recommendation of the Technical and Standards Committee. Second, it adopts the budget, the contribution scale, and the stewardship allocations of the Cooperative Safety Fund. Third, it confirms compliance classifications of Tier Three under Article 39. Fourth, it adopts technical corrections to this instrument, recording them in the correction register without reopening the package.</w:t>
      </w:r>
      <w:bookmarkEnd w:id="120"/>
    </w:p>
    <w:p w14:paraId="3E9B60D2" w14:textId="77777777" w:rsidR="00723F18" w:rsidRDefault="00000000">
      <w:pPr>
        <w:pStyle w:val="Heading3"/>
      </w:pPr>
      <w:r>
        <w:t>14.3 What the Commission never does</w:t>
      </w:r>
    </w:p>
    <w:p w14:paraId="69DE1ECB" w14:textId="77777777" w:rsidR="00723F18" w:rsidRDefault="00000000">
      <w:pPr>
        <w:pStyle w:val="FirstParagraph"/>
      </w:pPr>
      <w:bookmarkStart w:id="121" w:name="what-the-commission-never-does"/>
      <w:r>
        <w:t>The Commission never directs a specific vessel, never interferes with a declaration, never touches the payment mechanics of the Fund, and never classifies the conduct of a Party below Tier Three. Those lines keep politics away from the water. Consensus governance applies to architecture: geometry, rates, budgets, classifications, corrections. It never applies to traffic: the acknowledgment engine, the flow states, the daily plan, and the emergency brakes operate automatically under the rules of this instrument, and no Commission decision delays, conditions, or overrides an automatic operation.</w:t>
      </w:r>
      <w:bookmarkEnd w:id="121"/>
    </w:p>
    <w:p w14:paraId="09504F08" w14:textId="77777777" w:rsidR="00723F18" w:rsidRDefault="00000000">
      <w:pPr>
        <w:pStyle w:val="Heading3"/>
      </w:pPr>
      <w:r>
        <w:t>14.4 The Central Corridor Panel</w:t>
      </w:r>
    </w:p>
    <w:p w14:paraId="68F48DFE" w14:textId="77777777" w:rsidR="00723F18" w:rsidRDefault="00000000">
      <w:pPr>
        <w:pStyle w:val="FirstParagraph"/>
      </w:pPr>
      <w:bookmarkStart w:id="122" w:name="the-central-corridor-panel"/>
      <w:r>
        <w:t>The Central Corridor Panel administers Corridor Two as a dedicated sub-body of the Commission. It comprises one representative each from Iran, Oman, and Qatar, with the Neutral Administrator holding the technical secretariat and the United States attending as observer. A decision of the Panel carries only with the affirmative vote of all three voting members. The Panel meets monthly and within twenty-four (24) hours of any Corridor Two incident, publishes a monthly Corridor Two status review as a special bulletin, and reports every decision to the Commission at its next session.</w:t>
      </w:r>
      <w:bookmarkEnd w:id="122"/>
    </w:p>
    <w:p w14:paraId="08F829EF" w14:textId="77777777" w:rsidR="00723F18" w:rsidRDefault="00000000">
      <w:pPr>
        <w:pStyle w:val="Heading3"/>
      </w:pPr>
      <w:r>
        <w:t>14.5 Cadence</w:t>
      </w:r>
    </w:p>
    <w:p w14:paraId="336D7570" w14:textId="77777777" w:rsidR="00723F18" w:rsidRDefault="00000000">
      <w:pPr>
        <w:pStyle w:val="FirstParagraph"/>
      </w:pPr>
      <w:bookmarkStart w:id="123" w:name="cadence"/>
      <w:r>
        <w:t xml:space="preserve">The Commission meets weekly, alternating between Muscat and Doha, and in extraordinary </w:t>
      </w:r>
      <w:proofErr w:type="gramStart"/>
      <w:r>
        <w:t>session</w:t>
      </w:r>
      <w:proofErr w:type="gramEnd"/>
      <w:r>
        <w:t xml:space="preserve"> within twenty-four (24) hours at the call of any Party through the facilitator channel. A secure video bridge links the two seats and the Bandar Abbas Mirror Center for daily working-level synchronization. The Commission’s record posts to the Shared Evidence Platform in identical form to all Parties.</w:t>
      </w:r>
      <w:bookmarkEnd w:id="123"/>
    </w:p>
    <w:p w14:paraId="093F2BB3" w14:textId="77777777" w:rsidR="00723F18" w:rsidRDefault="00000000">
      <w:pPr>
        <w:pStyle w:val="Heading3"/>
      </w:pPr>
      <w:r>
        <w:t>14.6 The Technical and Standards Committee</w:t>
      </w:r>
    </w:p>
    <w:p w14:paraId="577C159E" w14:textId="77777777" w:rsidR="00723F18" w:rsidRDefault="00000000">
      <w:pPr>
        <w:pStyle w:val="FirstParagraph"/>
      </w:pPr>
      <w:bookmarkStart w:id="124" w:name="article-14-the-hormuz-transit-commission"/>
      <w:bookmarkStart w:id="125" w:name="the-technical-and-standards-committee"/>
      <w:r>
        <w:t xml:space="preserve">The Technical and Standards Committee comprises two technical officers appointed by each Party: surveyors, engineers, and legal-technical specialists, supported by the Neutral Administrator and the IMO technical seat as non-voting advisers. The Committee certifies corridor geometry, audits the services record, reviews incidents under Article 33, conducts the annual systems audit, issues the Corridor Clearance Certificates of Article 13.5, and prepares the Perimeter Tests of Article 6.2 for the issuing organ’s adoption. The Committee decides technical questions by simple majority with a quorum of five including at least one appointee of Iran and one of Oman. A tied question carries forward as an open item with both positions recorded, never as a suspension of the underlying operation, and routes to </w:t>
      </w:r>
      <w:r>
        <w:lastRenderedPageBreak/>
        <w:t>the independent technical referee of Article 42.3, whose determination binds all Parties on the technical facts and leaves policy to the Commission.</w:t>
      </w:r>
      <w:bookmarkEnd w:id="124"/>
      <w:bookmarkEnd w:id="125"/>
    </w:p>
    <w:p w14:paraId="4E5632F4" w14:textId="77777777" w:rsidR="00723F18" w:rsidRDefault="00000000">
      <w:pPr>
        <w:pStyle w:val="Heading2"/>
      </w:pPr>
      <w:bookmarkStart w:id="126" w:name="__RefHeading___Toc6414_2939721771"/>
      <w:bookmarkEnd w:id="126"/>
      <w:r>
        <w:t>Article 15: The Tripartite Operations System</w:t>
      </w:r>
    </w:p>
    <w:p w14:paraId="5BED8B56" w14:textId="77777777" w:rsidR="00723F18" w:rsidRDefault="00000000">
      <w:pPr>
        <w:pStyle w:val="Heading3"/>
      </w:pPr>
      <w:r>
        <w:t>15.1 Structure and seats</w:t>
      </w:r>
    </w:p>
    <w:p w14:paraId="43075422" w14:textId="77777777" w:rsidR="00723F18" w:rsidRDefault="00000000">
      <w:pPr>
        <w:pStyle w:val="FirstParagraph"/>
      </w:pPr>
      <w:bookmarkStart w:id="127" w:name="structure-and-seats"/>
      <w:r>
        <w:t>The Accord establishes the Tripartite Operations System as the operational heart of the scheme, comprising three nodes of equal technical standing. The Muscat Operations Center serves as the principal node, seated in Muscat at facilities the Sultanate of Oman provides under a host agreement. The Bandar Abbas Mirror Center serves as the mirror node, seated in Bandar Abbas at facilities the Islamic Republic of Iran provides under a matching host agreement. The Doha Economic Desk serves as the financial node, seated in Doha at facilities the State of Qatar provides under a matching host agreement, and it operates the Verified Services Ledger and the contribution records of the Cooperative Safety Fund under the audit architecture of Article 24.</w:t>
      </w:r>
      <w:bookmarkEnd w:id="127"/>
    </w:p>
    <w:p w14:paraId="0B3379CA" w14:textId="77777777" w:rsidR="00723F18" w:rsidRDefault="00000000">
      <w:pPr>
        <w:pStyle w:val="Heading3"/>
      </w:pPr>
      <w:r>
        <w:t>15.2 Mirror capability</w:t>
      </w:r>
    </w:p>
    <w:p w14:paraId="50D40144" w14:textId="77777777" w:rsidR="00723F18" w:rsidRDefault="00000000">
      <w:pPr>
        <w:pStyle w:val="FirstParagraph"/>
      </w:pPr>
      <w:bookmarkStart w:id="128" w:name="mirror-capability"/>
      <w:r>
        <w:t>The Bandar Abbas Mirror Center replicates the full watch floor capability of the Muscat Operations Center. Either node runs the entire operations system alone for up to thirty (30) days, and the two nodes drill the handover monthly, alternating the primary watch for one watch period, so that the mirror never atrophies into ceremony. The monthly handover drill includes a full failover test in which each node operates the entire system alone for twenty-four (24) hours with the other node offline for testing purposes. The Technical and Standards Committee certifies the handover result, and the certification publishes with the Open Water Bulletin.</w:t>
      </w:r>
      <w:bookmarkEnd w:id="128"/>
    </w:p>
    <w:p w14:paraId="70416118" w14:textId="77777777" w:rsidR="00723F18" w:rsidRDefault="00000000">
      <w:pPr>
        <w:pStyle w:val="Heading3"/>
      </w:pPr>
      <w:r>
        <w:t>15.3 Co-equal staffing</w:t>
      </w:r>
    </w:p>
    <w:p w14:paraId="1736DC4B" w14:textId="77777777" w:rsidR="00723F18" w:rsidRDefault="00000000">
      <w:pPr>
        <w:pStyle w:val="FirstParagraph"/>
      </w:pPr>
      <w:bookmarkStart w:id="129" w:name="co-equal-staffing"/>
      <w:r>
        <w:t>Every operational post exists in pairs: two Co-Directors, two duty officers per watch, two declaration desk officers per shift, two hydrographers, two legal desk officers. Each core pair consists of one Iranian national and one Omani national. Each additional duty pair consists of one officer from each of the two largest contributing user states to the Cooperative Safety Fund, rotating annually. The central corridor watch of Corridor Two operates with mixed teams: one Iranian officer, one Omani officer, one Qatari officer, and one officer from the neutral roster per watch. Operational decisions thereby never rest with a single national viewpoint. The Parties recruit additional technical staff from any nationality on merit, and every watch pair retains the paired structure regardless of additional staffing. Professional qualifications follow the standards of the International Maritime Organization model courses for each function, and the Technical and Standards Committee certifies every watchkeeper before first solo watch.</w:t>
      </w:r>
      <w:bookmarkEnd w:id="129"/>
    </w:p>
    <w:p w14:paraId="2EADE56A" w14:textId="77777777" w:rsidR="00723F18" w:rsidRDefault="00000000">
      <w:pPr>
        <w:pStyle w:val="Heading3"/>
      </w:pPr>
      <w:r>
        <w:t>15.4 The watch floor</w:t>
      </w:r>
    </w:p>
    <w:p w14:paraId="6046E7E0" w14:textId="77777777" w:rsidR="00723F18" w:rsidRDefault="00000000">
      <w:pPr>
        <w:pStyle w:val="FirstParagraph"/>
      </w:pPr>
      <w:bookmarkStart w:id="130" w:name="the-watch-floor"/>
      <w:r>
        <w:t xml:space="preserve">The watch floor operates continuously, in three eight-hour rotations, and each rotation closes with a paired handover note signed by both duty officers. The watch floor maintains the working radio channels, the declaration desk, the Bulletin desk, the incident log, the </w:t>
      </w:r>
      <w:r>
        <w:lastRenderedPageBreak/>
        <w:t>escort coordination board, and the search and rescue alert link. The daily log records every operational act: declarations, acknowledgments, flow state changes, incidents, hotline traffic, and observer movements. All Parties and the Neutral Administrator read the full log; the Bulletin publishes the public summary. The system’s data flows simultaneously to every Party with identical latency; the architecture excludes preferential access, earlier notification, or exclusive feeds for any Party.</w:t>
      </w:r>
      <w:bookmarkEnd w:id="130"/>
    </w:p>
    <w:p w14:paraId="1B3A6A72" w14:textId="77777777" w:rsidR="00723F18" w:rsidRDefault="00000000">
      <w:pPr>
        <w:pStyle w:val="Heading3"/>
      </w:pPr>
      <w:r>
        <w:t>15.5 Functions and limits</w:t>
      </w:r>
    </w:p>
    <w:p w14:paraId="2B126ABC" w14:textId="77777777" w:rsidR="00723F18" w:rsidRDefault="00000000">
      <w:pPr>
        <w:pStyle w:val="FirstParagraph"/>
      </w:pPr>
      <w:bookmarkStart w:id="131" w:name="functions-and-limits"/>
      <w:r>
        <w:t>The Operations System: receives and acknowledges declarations; operates the traffic system in all three corridors; publishes the Open Water Bulletin; coordinates escorts for electing vessels; runs the crossing gates for Class D; manages the anchorages; issues Notices to Mariners; and executes the incident procedures of Article 33. The Operations System commands no forces. Where a situation calls for a state response, the Operations System passes the situation to the liaison channel of the relevant Party, and the response occurs outside the corridors per Article 29. The Operations System coordinates; it never permits. No vessel requires the Operations System’s approval to transit.</w:t>
      </w:r>
      <w:bookmarkEnd w:id="131"/>
    </w:p>
    <w:p w14:paraId="7C958788" w14:textId="77777777" w:rsidR="00723F18" w:rsidRDefault="00000000">
      <w:pPr>
        <w:pStyle w:val="Heading3"/>
      </w:pPr>
      <w:r>
        <w:t>15.6 The Civilian Character Clause</w:t>
      </w:r>
    </w:p>
    <w:p w14:paraId="0F7D796D" w14:textId="77777777" w:rsidR="00723F18" w:rsidRDefault="00000000">
      <w:pPr>
        <w:pStyle w:val="FirstParagraph"/>
      </w:pPr>
      <w:bookmarkStart w:id="132" w:name="the-civilian-character-clause"/>
      <w:r>
        <w:t xml:space="preserve">The Operations System, the Commission secretariat, the observer missions, and the Fund administration employ civilian maritime professionals exclusively. Military personnel hold no operational role in any Accord body. Officers of the armed forces of any Party, including the Islamic Revolutionary Guard Corps and the regular armed forces of all Parties, hold no post in the Operations System, direct no operation of the watch floor, and issue no instruction to shipping through the Accord’s channels. Each Party designates one military liaison officer at the policy level, accredited to the Commission, who carries de-confliction traffic between the Operations System and that Party’s forces; the liaison officers work in an annex separate from the watch floor and hold no command over Accord staff. This clause guards Red Line RL-16. The Neutral Administrator verifies staffing compliance annually and on </w:t>
      </w:r>
      <w:proofErr w:type="gramStart"/>
      <w:r>
        <w:t>complaint</w:t>
      </w:r>
      <w:proofErr w:type="gramEnd"/>
      <w:r>
        <w:t>.</w:t>
      </w:r>
      <w:bookmarkEnd w:id="132"/>
    </w:p>
    <w:p w14:paraId="5BA7F861" w14:textId="77777777" w:rsidR="00723F18" w:rsidRDefault="00000000">
      <w:pPr>
        <w:pStyle w:val="Heading3"/>
      </w:pPr>
      <w:r>
        <w:t>15.7 Data custody</w:t>
      </w:r>
    </w:p>
    <w:p w14:paraId="55F07A67" w14:textId="77777777" w:rsidR="00723F18" w:rsidRDefault="00000000">
      <w:pPr>
        <w:pStyle w:val="FirstParagraph"/>
      </w:pPr>
      <w:bookmarkStart w:id="133" w:name="data-custody"/>
      <w:r>
        <w:t>The Operations System retains every watch log, every declaration, every track record, and every message for a minimum of seven (7) years. Data custody follows the triple-copy rule: every record exists simultaneously in Muscat, Bandar Abbas, and Geneva under cryptographic timestamping, and no copy admits unilateral alteration. The evidence rules of Article 26 treat a gap in the record as a fact calling for explanation, never as a fact supporting an accusation.</w:t>
      </w:r>
      <w:bookmarkEnd w:id="133"/>
    </w:p>
    <w:p w14:paraId="0594A11B" w14:textId="77777777" w:rsidR="00723F18" w:rsidRDefault="00000000">
      <w:pPr>
        <w:pStyle w:val="Heading3"/>
      </w:pPr>
      <w:r>
        <w:t>15.8 Communications fallback hierarchy</w:t>
      </w:r>
    </w:p>
    <w:p w14:paraId="31F53A90" w14:textId="77777777" w:rsidR="00723F18" w:rsidRDefault="00000000">
      <w:pPr>
        <w:pStyle w:val="FirstParagraph"/>
      </w:pPr>
      <w:bookmarkStart w:id="134" w:name="communications-fallback-hierarchy"/>
      <w:r>
        <w:t xml:space="preserve">The communications architecture operates on a four-tier fallback: primary, the dedicated secure circuits; secondary, </w:t>
      </w:r>
      <w:proofErr w:type="gramStart"/>
      <w:r>
        <w:t>the satellite</w:t>
      </w:r>
      <w:proofErr w:type="gramEnd"/>
      <w:r>
        <w:t xml:space="preserve"> backup; tertiary, </w:t>
      </w:r>
      <w:proofErr w:type="gramStart"/>
      <w:r>
        <w:t>the commercial</w:t>
      </w:r>
      <w:proofErr w:type="gramEnd"/>
      <w:r>
        <w:t xml:space="preserve"> maritime satellite service; quaternary, voice radio and physical relay by patrol craft. The Operations System tests the fallback tiers quarterly and publishes the results. A failure of any tier beyond primary triggers automatic reporting to the Technical and Standards Committee.</w:t>
      </w:r>
      <w:bookmarkEnd w:id="134"/>
    </w:p>
    <w:p w14:paraId="27D4712B" w14:textId="77777777" w:rsidR="00723F18" w:rsidRDefault="00000000">
      <w:pPr>
        <w:pStyle w:val="Heading3"/>
      </w:pPr>
      <w:r>
        <w:lastRenderedPageBreak/>
        <w:t>15.9 System integrity and cyber resilience</w:t>
      </w:r>
    </w:p>
    <w:p w14:paraId="1C0643B5" w14:textId="77777777" w:rsidR="00723F18" w:rsidRDefault="00000000">
      <w:pPr>
        <w:pStyle w:val="FirstParagraph"/>
      </w:pPr>
      <w:bookmarkStart w:id="135" w:name="system-integrity-and-cyber-resilience"/>
      <w:r>
        <w:t>The Operations System maintains cyber resilience standards consistent with internationally recognized frameworks, including ISO 27001 or equivalent, and a continuous integrity watch over the registry, the telemetry feeds, the communications channels, and the watch floor. The integrity watch reports directly to the Neutral Administrator, bypassing the chain of command for integrity-critical alerts. A confirmed integrity breach classifies as a Tier Three event under Article 39. The Technical and Standards Committee conducts an annual cyber resilience audit, and the audit findings publish with the annual report.</w:t>
      </w:r>
      <w:bookmarkEnd w:id="135"/>
    </w:p>
    <w:p w14:paraId="37603C5D" w14:textId="77777777" w:rsidR="00723F18" w:rsidRDefault="00000000">
      <w:pPr>
        <w:pStyle w:val="Heading3"/>
      </w:pPr>
      <w:r>
        <w:t>15.10 Whistleblower protection</w:t>
      </w:r>
    </w:p>
    <w:p w14:paraId="01F88BD0" w14:textId="77777777" w:rsidR="00723F18" w:rsidRDefault="00000000">
      <w:pPr>
        <w:pStyle w:val="FirstParagraph"/>
      </w:pPr>
      <w:bookmarkStart w:id="136" w:name="whistleblower-protection"/>
      <w:bookmarkStart w:id="137" w:name="Xe405b78eb0f22b5c3fd64b4ee92241a44573140"/>
      <w:r>
        <w:t>The Accord protects any person who reports in good faith a violation, attempted violation, or pattern of conduct inconsistent with this Accord. A whistleblower enjoys confidentiality of identity, accessible only to the Neutral Administrator; protection from retaliation by any Party, organ, or contractor; and priority access to the claims process of Article 42. A proven retaliation against a whistleblower classifies as a Tier Three event under Article 39. The Neutral Administrator publishes an annual whistleblower report in aggregate form, with names and details redacted.</w:t>
      </w:r>
      <w:bookmarkEnd w:id="136"/>
      <w:bookmarkEnd w:id="137"/>
    </w:p>
    <w:p w14:paraId="37185DBD" w14:textId="77777777" w:rsidR="00723F18" w:rsidRDefault="00000000">
      <w:pPr>
        <w:pStyle w:val="Heading2"/>
      </w:pPr>
      <w:bookmarkStart w:id="138" w:name="__RefHeading___Toc6416_2939721771"/>
      <w:bookmarkEnd w:id="138"/>
      <w:r>
        <w:t>Article 16: The Neutral Administrator and the Shared Evidence Platform</w:t>
      </w:r>
    </w:p>
    <w:p w14:paraId="3CD0F7D3" w14:textId="77777777" w:rsidR="00723F18" w:rsidRDefault="00000000">
      <w:pPr>
        <w:pStyle w:val="Heading3"/>
      </w:pPr>
      <w:r>
        <w:t>16.1 The Neutral Administrator</w:t>
      </w:r>
    </w:p>
    <w:p w14:paraId="37C0342B" w14:textId="77777777" w:rsidR="00723F18" w:rsidRDefault="00000000">
      <w:pPr>
        <w:pStyle w:val="FirstParagraph"/>
      </w:pPr>
      <w:bookmarkStart w:id="139" w:name="the-neutral-administrator"/>
      <w:r>
        <w:t>The Swiss Confederation serves as Neutral Administrator. The Administrator holds the certification copy of the Neutral Coordinate Registry, certifies the financial telemetry of Part IV, hosts the technical backup of the Shared Evidence Platform in Geneva, and issues the certificates of the Accord: Corridor Clearance Certificates co-signed with the Technical and Standards Committee, phase certificates of Part VII, and audit certificates of Article 24. The Administrator speaks through certificates alone and holds no discretion over any Party.</w:t>
      </w:r>
      <w:bookmarkEnd w:id="139"/>
    </w:p>
    <w:p w14:paraId="639E1948" w14:textId="77777777" w:rsidR="00723F18" w:rsidRDefault="00000000">
      <w:pPr>
        <w:pStyle w:val="Heading3"/>
      </w:pPr>
      <w:r>
        <w:t>16.2 The Shared Evidence Platform</w:t>
      </w:r>
    </w:p>
    <w:p w14:paraId="433CB9D2" w14:textId="77777777" w:rsidR="00723F18" w:rsidRDefault="00000000">
      <w:pPr>
        <w:pStyle w:val="FirstParagraph"/>
      </w:pPr>
      <w:bookmarkStart w:id="140" w:name="the-shared-evidence-platform"/>
      <w:r>
        <w:t>A single platform, hosted at the Muscat Operations Center with a live mirror at the Bandar Abbas Mirror Center and a technical backup in Geneva, displays every telemetry stream to all Parties simultaneously: the traffic picture, corridor states, declaration records, hazard files, incident files, fund transactions, waiver states, observer rosters, and the daily status line. Every entry carries a cryptographic timestamp, and the platform retains all logged data for a minimum of seven (7) years. All Parties read the same screen. No private data channel exists.</w:t>
      </w:r>
      <w:bookmarkEnd w:id="140"/>
    </w:p>
    <w:p w14:paraId="0BB17EE4" w14:textId="77777777" w:rsidR="00723F18" w:rsidRDefault="00000000">
      <w:pPr>
        <w:pStyle w:val="Heading3"/>
      </w:pPr>
      <w:r>
        <w:t>16.3 Flags and consultations</w:t>
      </w:r>
    </w:p>
    <w:p w14:paraId="335D9CE3" w14:textId="77777777" w:rsidR="00723F18" w:rsidRDefault="00000000">
      <w:pPr>
        <w:pStyle w:val="FirstParagraph"/>
      </w:pPr>
      <w:bookmarkStart w:id="141" w:name="flags-and-consultations"/>
      <w:r>
        <w:t>Any Party flags a concern directly on the platform; the flag appears to all Parties instantly and opens a seventy-two (72) hour technical consultation under Article 42, not a political negotiation.</w:t>
      </w:r>
      <w:bookmarkEnd w:id="141"/>
    </w:p>
    <w:p w14:paraId="295882D0" w14:textId="77777777" w:rsidR="00723F18" w:rsidRDefault="00000000">
      <w:pPr>
        <w:pStyle w:val="Heading3"/>
      </w:pPr>
      <w:r>
        <w:lastRenderedPageBreak/>
        <w:t>16.4 The daily status report</w:t>
      </w:r>
    </w:p>
    <w:p w14:paraId="439F30F1" w14:textId="77777777" w:rsidR="00723F18" w:rsidRDefault="00000000">
      <w:pPr>
        <w:pStyle w:val="FirstParagraph"/>
      </w:pPr>
      <w:bookmarkStart w:id="142" w:name="the-daily-status-report"/>
      <w:bookmarkStart w:id="143" w:name="X47375401c44078962d0616bf96150c44e98ca09"/>
      <w:r>
        <w:t>The Operations System issues a neutral daily status report at 18:00 GMT carrying one of three status lines: Calm, Irregular, or Investigating, together with transit counts by corridor, incident entries, hotline traffic volume, response times, and the certification state of every corridor segment. The daily report replaces accusation with data: all four capitals, the insurance market, and the shipping industry read the same line at the same time.</w:t>
      </w:r>
      <w:bookmarkEnd w:id="142"/>
      <w:bookmarkEnd w:id="143"/>
    </w:p>
    <w:p w14:paraId="4D255D0D" w14:textId="77777777" w:rsidR="00723F18" w:rsidRDefault="00000000">
      <w:pPr>
        <w:pStyle w:val="Heading2"/>
      </w:pPr>
      <w:bookmarkStart w:id="144" w:name="__RefHeading___Toc6418_2939721771"/>
      <w:bookmarkEnd w:id="144"/>
      <w:r>
        <w:t>Article 17: Observer Missions and Technical Interface</w:t>
      </w:r>
    </w:p>
    <w:p w14:paraId="2D6F8AD9" w14:textId="77777777" w:rsidR="00723F18" w:rsidRDefault="00000000">
      <w:pPr>
        <w:pStyle w:val="Heading3"/>
      </w:pPr>
      <w:r>
        <w:t>17.1 The Observer Mission</w:t>
      </w:r>
    </w:p>
    <w:p w14:paraId="2B2E797B" w14:textId="77777777" w:rsidR="00723F18" w:rsidRDefault="00000000">
      <w:pPr>
        <w:pStyle w:val="FirstParagraph"/>
      </w:pPr>
      <w:bookmarkStart w:id="145" w:name="the-observer-mission"/>
      <w:r>
        <w:t>The Accord operates a standing Observer Mission under the Operations System secretariat. Observer positions belong to Oman, Qatar, the stewards’ technical services, Switzerland, and the other facilitating states, with technical observers of the IMO and the IHO in observer attendance. The Mission stations observers at all three nodes, at the stewards’ traffic watch stations, aboard clearance vessels under Article 13.4, and aboard designated escort and patrol vessels under the embarkation protocol of this Article.</w:t>
      </w:r>
      <w:bookmarkEnd w:id="145"/>
    </w:p>
    <w:p w14:paraId="30F72493" w14:textId="77777777" w:rsidR="00723F18" w:rsidRDefault="00000000">
      <w:pPr>
        <w:pStyle w:val="Heading3"/>
      </w:pPr>
      <w:r>
        <w:t>17.2 Observer status</w:t>
      </w:r>
    </w:p>
    <w:p w14:paraId="1442DA6C" w14:textId="77777777" w:rsidR="00723F18" w:rsidRDefault="00000000">
      <w:pPr>
        <w:pStyle w:val="FirstParagraph"/>
      </w:pPr>
      <w:bookmarkStart w:id="146" w:name="observer-status"/>
      <w:r>
        <w:t>Observers serve in observer status only: they hold no command authority, they touch no weapon system, they board no commercial vessel, and they report through the Operations System chain alone. The architecture excludes any interference with, harassment of, or harm to observers. An attack on an observer classifies as a Tier Three event under Article 39.</w:t>
      </w:r>
      <w:bookmarkEnd w:id="146"/>
    </w:p>
    <w:p w14:paraId="63C20B7E" w14:textId="77777777" w:rsidR="00723F18" w:rsidRDefault="00000000">
      <w:pPr>
        <w:pStyle w:val="Heading3"/>
      </w:pPr>
      <w:r>
        <w:t>17.3 Embarkation protocol</w:t>
      </w:r>
    </w:p>
    <w:p w14:paraId="263FCBB3" w14:textId="77777777" w:rsidR="00723F18" w:rsidRDefault="00000000">
      <w:pPr>
        <w:pStyle w:val="FirstParagraph"/>
      </w:pPr>
      <w:bookmarkStart w:id="147" w:name="embarkation-protocol"/>
      <w:r>
        <w:t>Observer embarkation and rotation proceed on forty-eight (48) hour advance notice through the Operations System. The platform publishes the observer roster and every rotation. The host vessel’s steward provides access, accommodation, and safety; the observer provides presence and reporting. Observer reports file daily and feed the convergence standard of Part V.</w:t>
      </w:r>
      <w:bookmarkEnd w:id="147"/>
    </w:p>
    <w:p w14:paraId="78764D38" w14:textId="77777777" w:rsidR="00723F18" w:rsidRDefault="00000000">
      <w:pPr>
        <w:pStyle w:val="Heading3"/>
      </w:pPr>
      <w:r>
        <w:t>17.4 Rotating neutral observation windows</w:t>
      </w:r>
    </w:p>
    <w:p w14:paraId="6D7D4A36" w14:textId="77777777" w:rsidR="00723F18" w:rsidRDefault="00000000">
      <w:pPr>
        <w:pStyle w:val="FirstParagraph"/>
      </w:pPr>
      <w:bookmarkStart w:id="148" w:name="rotating-neutral-observation-windows"/>
      <w:r>
        <w:t xml:space="preserve">With seventy-two (72) </w:t>
      </w:r>
      <w:proofErr w:type="spellStart"/>
      <w:r>
        <w:t>hours notice</w:t>
      </w:r>
      <w:proofErr w:type="spellEnd"/>
      <w:r>
        <w:t>, any Party sends a civilian maritime attaché to observe the Operations System for a defined window. The attaché reads every screen the duty officers read, attends every handover, and files observations through the facilitator channel. The rotation prevents any single narrative from owning the record of a disputed day.</w:t>
      </w:r>
      <w:bookmarkEnd w:id="148"/>
    </w:p>
    <w:p w14:paraId="7A94F6F8" w14:textId="77777777" w:rsidR="00723F18" w:rsidRDefault="00000000">
      <w:pPr>
        <w:pStyle w:val="Heading3"/>
      </w:pPr>
      <w:r>
        <w:t>17.5 The Technical Interface</w:t>
      </w:r>
    </w:p>
    <w:p w14:paraId="3FD383F3" w14:textId="77777777" w:rsidR="00723F18" w:rsidRDefault="00000000">
      <w:pPr>
        <w:pStyle w:val="FirstParagraph"/>
      </w:pPr>
      <w:bookmarkStart w:id="149" w:name="X6ebb868017c4ff051c83e60d0a5c6564e753731"/>
      <w:bookmarkStart w:id="150" w:name="the-technical-interface"/>
      <w:r>
        <w:t xml:space="preserve">The IMO and the IHO attend the Accord in observer attendance: they receive the </w:t>
      </w:r>
      <w:proofErr w:type="spellStart"/>
      <w:r>
        <w:t>chartlet</w:t>
      </w:r>
      <w:proofErr w:type="spellEnd"/>
      <w:r>
        <w:t xml:space="preserve"> series, the notices to mariners, the daily status report, and the survey standards of the Technical and Standards Committee, and they provide technical comment through the Committee. Observer attendance confers no adjudicative role and no amendment power, </w:t>
      </w:r>
      <w:r>
        <w:lastRenderedPageBreak/>
        <w:t>and the Parties’ divergent positions on historic IMO measures remain untouched under Article 2.8.</w:t>
      </w:r>
      <w:bookmarkEnd w:id="149"/>
      <w:bookmarkEnd w:id="150"/>
    </w:p>
    <w:p w14:paraId="3079E4DC" w14:textId="77777777" w:rsidR="00723F18" w:rsidRDefault="00000000">
      <w:pPr>
        <w:pStyle w:val="Heading2"/>
      </w:pPr>
      <w:bookmarkStart w:id="151" w:name="__RefHeading___Toc6420_2939721771"/>
      <w:bookmarkEnd w:id="151"/>
      <w:r>
        <w:t>Article 18: Decision Rules and the Role of the United States</w:t>
      </w:r>
    </w:p>
    <w:p w14:paraId="4F4D8EC2" w14:textId="77777777" w:rsidR="00723F18" w:rsidRDefault="00000000">
      <w:pPr>
        <w:pStyle w:val="Heading3"/>
      </w:pPr>
      <w:r>
        <w:t>18.1 The two-track decision rule</w:t>
      </w:r>
    </w:p>
    <w:p w14:paraId="6D6A8336" w14:textId="77777777" w:rsidR="00723F18" w:rsidRDefault="00000000">
      <w:pPr>
        <w:pStyle w:val="FirstParagraph"/>
      </w:pPr>
      <w:bookmarkStart w:id="152" w:name="the-two-track-decision-rule"/>
      <w:r>
        <w:t>The Accord operates on the split of Article 14.3: consensus of the Commission governs architecture; the automatic rules of the instrument govern traffic and triggers. No Party holds a veto over daily operations, and no automatic rule amends itself.</w:t>
      </w:r>
      <w:bookmarkEnd w:id="152"/>
    </w:p>
    <w:p w14:paraId="2A38AD8C" w14:textId="77777777" w:rsidR="00723F18" w:rsidRDefault="00000000">
      <w:pPr>
        <w:pStyle w:val="Heading3"/>
      </w:pPr>
      <w:r>
        <w:t>18.2 The Three-Key Rule for corridor measures</w:t>
      </w:r>
    </w:p>
    <w:p w14:paraId="5B66A24F" w14:textId="77777777" w:rsidR="00723F18" w:rsidRDefault="00000000">
      <w:pPr>
        <w:pStyle w:val="FirstParagraph"/>
      </w:pPr>
      <w:bookmarkStart w:id="153" w:name="the-three-key-rule-for-corridor-measures"/>
      <w:r>
        <w:t>A Commission decision that touches corridor geometry, flow-state doctrine, the Services Catalog, or any measure with operational effect on the water carries three keys: the affirmative vote of the Iranian member, the affirmative vote of the Omani member, and the affirmative vote of the Qatari member. No such decision passes on fewer than three keys, and no such decision binds only one coastal Party. A matter that fails the Three-Key Rule twice moves to the facilitation tier of Article 42.2 with the votes recorded.</w:t>
      </w:r>
      <w:bookmarkEnd w:id="153"/>
    </w:p>
    <w:p w14:paraId="0B6D915C" w14:textId="77777777" w:rsidR="00723F18" w:rsidRDefault="00000000">
      <w:pPr>
        <w:pStyle w:val="Heading3"/>
      </w:pPr>
      <w:r>
        <w:t>18.3 The silence procedure for technical maintenance</w:t>
      </w:r>
    </w:p>
    <w:p w14:paraId="056E360A" w14:textId="77777777" w:rsidR="00723F18" w:rsidRDefault="00000000">
      <w:pPr>
        <w:pStyle w:val="FirstParagraph"/>
      </w:pPr>
      <w:bookmarkStart w:id="154" w:name="X0d54d71a661a615a6c0a3a657855cf7e8916493"/>
      <w:r>
        <w:t xml:space="preserve">Where the Commission acts on a routine technical annex adjustment, the Neutral Administrator circulates the </w:t>
      </w:r>
      <w:proofErr w:type="gramStart"/>
      <w:r>
        <w:t>text</w:t>
      </w:r>
      <w:proofErr w:type="gramEnd"/>
      <w:r>
        <w:t xml:space="preserve"> and it stands adopted thirty (30) days after circulation absent a written objection from any Party. The silence procedure keeps routine technical maintenance free of negotiation drama, and the record publishes every adoption.</w:t>
      </w:r>
      <w:bookmarkEnd w:id="154"/>
    </w:p>
    <w:p w14:paraId="701BD946" w14:textId="77777777" w:rsidR="00723F18" w:rsidRDefault="00000000">
      <w:pPr>
        <w:pStyle w:val="Heading3"/>
      </w:pPr>
      <w:r>
        <w:t>18.4 Default continuity</w:t>
      </w:r>
    </w:p>
    <w:p w14:paraId="776B42BF" w14:textId="77777777" w:rsidR="00723F18" w:rsidRDefault="00000000">
      <w:pPr>
        <w:pStyle w:val="FirstParagraph"/>
      </w:pPr>
      <w:bookmarkStart w:id="155" w:name="default-continuity"/>
      <w:r>
        <w:t>Where a decision stalls, the standing procedures of this Accord and its Annexes govern by default, per the continuity rule of Article 4: the previous budget runs, the previous rate runs, the existing annex text runs. No deadlock suspends, degrades, or re-prices any operation of the corridor system.</w:t>
      </w:r>
      <w:bookmarkEnd w:id="155"/>
    </w:p>
    <w:p w14:paraId="68EC7E03" w14:textId="77777777" w:rsidR="00723F18" w:rsidRDefault="00000000">
      <w:pPr>
        <w:pStyle w:val="Heading3"/>
      </w:pPr>
      <w:r>
        <w:t>18.5 The United States as Endorsing Stakeholder</w:t>
      </w:r>
    </w:p>
    <w:p w14:paraId="53AB3731" w14:textId="77777777" w:rsidR="00723F18" w:rsidRDefault="00000000">
      <w:pPr>
        <w:pStyle w:val="FirstParagraph"/>
      </w:pPr>
      <w:bookmarkStart w:id="156" w:name="Xf4a0e4316418ee8ba7df2223bf6534fdc617b26"/>
      <w:r>
        <w:t xml:space="preserve">The United States of America participates in the organs of the Accord as a Party for the purposes of the security and economic modules, and the architecture records for it no command over any corridor, no fee role, and no enforcement role on the water. Its operational role runs through five defined channels and no others. First, its Commission seat, through which it registers concerns on </w:t>
      </w:r>
      <w:proofErr w:type="gramStart"/>
      <w:r>
        <w:t>the record</w:t>
      </w:r>
      <w:proofErr w:type="gramEnd"/>
      <w:r>
        <w:t xml:space="preserve"> and reads every paper every member reads. Second, adherence to the Non-Interdiction Protocol and the standoff geometry of Article 30 for its forces in and near the Scheme Area. Third, participation in the military de-confliction channel of Article 30.4: advance notice of exercises, movement notices, close-approach warnings, and search and rescue coordination. Fourth, technical support through existing agencies and programs: vessel traffic service integration advice, hydrographic charting assistance, spill-response training, and counter-interference technology, delivered at the request of the Operations System and never as a condition on any Accord function. Fifth, market-channel support: quiet support to protection and </w:t>
      </w:r>
      <w:r>
        <w:lastRenderedPageBreak/>
        <w:t>indemnity clubs, war-risk underwriters, and energy companies in reading the Open Water Bulletin and the Shared Evidence Platform, so that verified performance lowers premiums.</w:t>
      </w:r>
      <w:bookmarkEnd w:id="156"/>
    </w:p>
    <w:p w14:paraId="6A714789" w14:textId="77777777" w:rsidR="00723F18" w:rsidRDefault="00000000">
      <w:pPr>
        <w:pStyle w:val="Heading3"/>
      </w:pPr>
      <w:r>
        <w:t>18.6 The correction channel</w:t>
      </w:r>
    </w:p>
    <w:p w14:paraId="16D252D3" w14:textId="77777777" w:rsidR="00723F18" w:rsidRDefault="00000000">
      <w:pPr>
        <w:pStyle w:val="FirstParagraph"/>
      </w:pPr>
      <w:bookmarkStart w:id="157" w:name="the-correction-channel"/>
      <w:r>
        <w:t>Technical corrections to this instrument, including typographical, coordinate, form, and cross-reference corrections, route through the Commission by consensus at any time and enter the correction register with immediate effect. Substantive amendment routes only through Article 48.</w:t>
      </w:r>
      <w:bookmarkEnd w:id="157"/>
    </w:p>
    <w:p w14:paraId="1DC02C64" w14:textId="77777777" w:rsidR="00723F18" w:rsidRDefault="00000000">
      <w:pPr>
        <w:pStyle w:val="Heading3"/>
      </w:pPr>
      <w:r>
        <w:t>18.7 Cost-sharing of institutions</w:t>
      </w:r>
    </w:p>
    <w:p w14:paraId="7073B398" w14:textId="77777777" w:rsidR="00723F18" w:rsidRDefault="00000000">
      <w:pPr>
        <w:pStyle w:val="FirstParagraph"/>
      </w:pPr>
      <w:bookmarkStart w:id="158" w:name="X10b879d082dca0a0c1c4ac30b843eb7e6522ea6"/>
      <w:bookmarkStart w:id="159" w:name="cost-sharing-of-institutions"/>
      <w:bookmarkStart w:id="160" w:name="part-iii-institutional-architecture"/>
      <w:r>
        <w:t>The Parties share the institutional costs of the Accord through the Administrative Sub-Account of the Cooperative Safety Fund under Article 21: operations system costs, observer missions, platform hosting, and audit. The baseline shares stand in Annex B, and the Commission adjusts them by consensus at each budget cycle.</w:t>
      </w:r>
      <w:bookmarkEnd w:id="158"/>
      <w:bookmarkEnd w:id="159"/>
      <w:bookmarkEnd w:id="160"/>
    </w:p>
    <w:p w14:paraId="21BDC20F" w14:textId="77777777" w:rsidR="00723F18" w:rsidRDefault="00000000">
      <w:pPr>
        <w:pStyle w:val="Heading1"/>
      </w:pPr>
      <w:bookmarkStart w:id="161" w:name="__RefHeading___Toc6422_2939721771"/>
      <w:bookmarkEnd w:id="161"/>
      <w:r>
        <w:t>Part IV: The Settlement of the Tolls Question</w:t>
      </w:r>
    </w:p>
    <w:p w14:paraId="07CA8C66" w14:textId="77777777" w:rsidR="00723F18" w:rsidRDefault="00000000">
      <w:pPr>
        <w:pStyle w:val="Heading2"/>
      </w:pPr>
      <w:bookmarkStart w:id="162" w:name="__RefHeading___Toc6424_2939721771"/>
      <w:bookmarkEnd w:id="162"/>
      <w:r>
        <w:t>Article 19: The Zero-Toll Covenant</w:t>
      </w:r>
    </w:p>
    <w:p w14:paraId="0078DB75" w14:textId="77777777" w:rsidR="00723F18" w:rsidRDefault="00000000">
      <w:pPr>
        <w:pStyle w:val="Heading3"/>
      </w:pPr>
      <w:r>
        <w:t>19.1 The rule</w:t>
      </w:r>
    </w:p>
    <w:p w14:paraId="3787C609" w14:textId="77777777" w:rsidR="00723F18" w:rsidRDefault="00000000">
      <w:pPr>
        <w:pStyle w:val="FirstParagraph"/>
      </w:pPr>
      <w:bookmarkStart w:id="163" w:name="the-rule"/>
      <w:r>
        <w:t>Commercial transit operates toll-free in every corridor, for every vessel, under every flow state, for the life of this Accord. The framework architecture permanently excludes the imposition, demand, or collection of transit fees, security tolls, navigation levies, insurance surcharges, permit charges, and pre-approval financial charges on any commercial vessel transiting any corridor, by any Party, by any organ, and by any agent of any Party.</w:t>
      </w:r>
      <w:bookmarkEnd w:id="163"/>
    </w:p>
    <w:p w14:paraId="6EC51964" w14:textId="77777777" w:rsidR="00723F18" w:rsidRDefault="00000000">
      <w:pPr>
        <w:pStyle w:val="Heading3"/>
      </w:pPr>
      <w:r>
        <w:t>19.2 What the covenant excludes by name</w:t>
      </w:r>
    </w:p>
    <w:p w14:paraId="1A6BF9A2" w14:textId="77777777" w:rsidR="00723F18" w:rsidRDefault="00000000">
      <w:pPr>
        <w:pStyle w:val="FirstParagraph"/>
      </w:pPr>
      <w:bookmarkStart w:id="164" w:name="what-the-covenant-excludes-by-name"/>
      <w:r>
        <w:t>The architecture defines the following measures as tolls regardless of their label, and excludes each of them absolutely: passage fees; transit charges; strait dues; per-ton or per-vessel charges on navigation; fee payments as a condition of entry, acknowledgment, scheduling, escort, or bulletin access; charges denominated as insurance, security, or environmental levies computed on transit rather than on a documented service; mandatory insurance purchase from a designated provider as a condition of transit; and any payment to any military body of any Party as a condition of passage.</w:t>
      </w:r>
      <w:bookmarkEnd w:id="164"/>
    </w:p>
    <w:p w14:paraId="3B546955" w14:textId="77777777" w:rsidR="00723F18" w:rsidRDefault="00000000">
      <w:pPr>
        <w:pStyle w:val="Heading3"/>
      </w:pPr>
      <w:r>
        <w:t>19.3 What the covenant preserves</w:t>
      </w:r>
    </w:p>
    <w:p w14:paraId="3059C589" w14:textId="77777777" w:rsidR="00723F18" w:rsidRDefault="00000000">
      <w:pPr>
        <w:pStyle w:val="FirstParagraph"/>
      </w:pPr>
      <w:bookmarkStart w:id="165" w:name="what-the-covenant-preserves"/>
      <w:r>
        <w:t xml:space="preserve">The covenant excludes charges on the act of transit. It preserves three legitimate flows, each </w:t>
      </w:r>
      <w:proofErr w:type="gramStart"/>
      <w:r>
        <w:t>bounded</w:t>
      </w:r>
      <w:proofErr w:type="gramEnd"/>
      <w:r>
        <w:t xml:space="preserve"> by audit: reimbursement for services </w:t>
      </w:r>
      <w:proofErr w:type="gramStart"/>
      <w:r>
        <w:t>actually performed</w:t>
      </w:r>
      <w:proofErr w:type="gramEnd"/>
      <w:r>
        <w:t xml:space="preserve"> under the Verified Services Ledger of Article 20; voluntary contributions to the Cooperative Safety Fund under Article 21; and the standard port dues and charges of any port state, which stand outside this Accord entirely. The Perimeter Test applies to every invoice issued anywhere in the system: an invoice that prices passage, in any form and under any name, fails the test and fails in full.</w:t>
      </w:r>
      <w:bookmarkEnd w:id="165"/>
    </w:p>
    <w:p w14:paraId="7EFBE292" w14:textId="77777777" w:rsidR="00723F18" w:rsidRDefault="00000000">
      <w:pPr>
        <w:pStyle w:val="Heading3"/>
      </w:pPr>
      <w:r>
        <w:lastRenderedPageBreak/>
        <w:t>19.4 No shadow tolls</w:t>
      </w:r>
    </w:p>
    <w:p w14:paraId="202FF806" w14:textId="77777777" w:rsidR="00723F18" w:rsidRDefault="00000000">
      <w:pPr>
        <w:pStyle w:val="FirstParagraph"/>
      </w:pPr>
      <w:bookmarkStart w:id="166" w:name="no-shadow-tolls"/>
      <w:r>
        <w:t>The architecture excludes shadow tolls: mandatory insurance sold by a state-linked entity as a condition of passage; compulsory pilotage priced above benchmark; compulsory escort charges; anchorage charges for compliant holding; data charges for the declaration filing itself; and queue-position sales. The Technical and Standards Committee audits the price boundary quarterly, and any transiting entity reports a suspected shadow toll to the Operations System through the reporting channel of Annex B without cost and without retaliation.</w:t>
      </w:r>
      <w:bookmarkEnd w:id="166"/>
    </w:p>
    <w:p w14:paraId="6B4AB0C1" w14:textId="77777777" w:rsidR="00723F18" w:rsidRDefault="00000000">
      <w:pPr>
        <w:pStyle w:val="Heading3"/>
      </w:pPr>
      <w:r>
        <w:t>19.5 Scope and permanence</w:t>
      </w:r>
    </w:p>
    <w:p w14:paraId="2B6BCD42" w14:textId="77777777" w:rsidR="00723F18" w:rsidRDefault="00000000">
      <w:pPr>
        <w:pStyle w:val="FirstParagraph"/>
      </w:pPr>
      <w:bookmarkStart w:id="167" w:name="scope-and-permanence"/>
      <w:r>
        <w:t>The Zero-Toll Covenant covers every corridor, every lane, every anchorage, and every approach within the Scheme Area. The covenant admits no exception for vessel class, flag, ownership, cargo origin or destination, crew nationality, insurer, or any other characteristic. The covenant stands permanently under the continuity rule of Article 4: no passage charge arises by inaction, by silence, by custom, by national legislation, or by reinterpretation.</w:t>
      </w:r>
      <w:bookmarkEnd w:id="167"/>
    </w:p>
    <w:p w14:paraId="61AE1B3E" w14:textId="77777777" w:rsidR="00723F18" w:rsidRDefault="00000000">
      <w:pPr>
        <w:pStyle w:val="Heading3"/>
      </w:pPr>
      <w:r>
        <w:t xml:space="preserve">19.6 </w:t>
      </w:r>
      <w:proofErr w:type="gramStart"/>
      <w:r>
        <w:t>Non-prejudice</w:t>
      </w:r>
      <w:proofErr w:type="gramEnd"/>
      <w:r>
        <w:t xml:space="preserve"> of the settlement</w:t>
      </w:r>
    </w:p>
    <w:p w14:paraId="6F57F130" w14:textId="77777777" w:rsidR="00723F18" w:rsidRDefault="00000000">
      <w:pPr>
        <w:pStyle w:val="FirstParagraph"/>
      </w:pPr>
      <w:bookmarkStart w:id="168" w:name="non-prejudice-of-the-settlement"/>
      <w:bookmarkStart w:id="169" w:name="article-19-the-zero-toll-covenant"/>
      <w:r>
        <w:t>Nothing in this Part constitutes recognition by any Party of any legal position on the character or status of the Strait of Hormuz, the right of transit passage, or the lawfulness of any charge under international law. The financial architecture of this Part is a practical settlement of the tolls question, and it prejudices no legal position of any Party. Tehran’s legal theory of coastal-state charging rights remains intact; Washington’s legal theory of unconditioned transit remains intact; the scheme operates because the Parties adopt it, and for no other reason.</w:t>
      </w:r>
      <w:bookmarkEnd w:id="168"/>
      <w:bookmarkEnd w:id="169"/>
    </w:p>
    <w:p w14:paraId="1BCCAC36" w14:textId="77777777" w:rsidR="00723F18" w:rsidRDefault="00000000">
      <w:pPr>
        <w:pStyle w:val="Heading2"/>
      </w:pPr>
      <w:bookmarkStart w:id="170" w:name="__RefHeading___Toc6426_2939721771"/>
      <w:bookmarkEnd w:id="170"/>
      <w:r>
        <w:t>Article 20: The Verified Services Ledger and Reimbursement</w:t>
      </w:r>
    </w:p>
    <w:p w14:paraId="15F74B24" w14:textId="77777777" w:rsidR="00723F18" w:rsidRDefault="00000000">
      <w:pPr>
        <w:pStyle w:val="Heading3"/>
      </w:pPr>
      <w:r>
        <w:t>20.1 The Ledger</w:t>
      </w:r>
    </w:p>
    <w:p w14:paraId="4B0A6E68" w14:textId="77777777" w:rsidR="00723F18" w:rsidRDefault="00000000">
      <w:pPr>
        <w:pStyle w:val="FirstParagraph"/>
      </w:pPr>
      <w:bookmarkStart w:id="171" w:name="the-ledger"/>
      <w:r>
        <w:t>The Accord establishes the Verified Services Ledger as the compensation engine for real work. The Ledger records every service delivered under the Services Catalog of Annex B: aids to navigation maintenance, vessel traffic watch operation, pilotage on request, tug assistance, hazard survey and clearance, hydrographic survey, traffic information, safety communications, and emergency readiness. The Doha Economic Desk operates the Ledger; the Neutral Administrator certifies every ledger entry; the Technical and Standards Committee audits the record quarterly.</w:t>
      </w:r>
      <w:bookmarkEnd w:id="171"/>
    </w:p>
    <w:p w14:paraId="6A3A6CD0" w14:textId="77777777" w:rsidR="00723F18" w:rsidRDefault="00000000">
      <w:pPr>
        <w:pStyle w:val="Heading3"/>
      </w:pPr>
      <w:r>
        <w:t>20.2 Verification of service</w:t>
      </w:r>
    </w:p>
    <w:p w14:paraId="5E6D4A04" w14:textId="77777777" w:rsidR="00723F18" w:rsidRDefault="00000000">
      <w:pPr>
        <w:pStyle w:val="FirstParagraph"/>
      </w:pPr>
      <w:bookmarkStart w:id="172" w:name="verification-of-service"/>
      <w:r>
        <w:t xml:space="preserve">A service enters the invoice record only with a verification pair: a delivery record from the steward or service body and a confirmation record from the recipient or from Operations System telemetry. Pilotage </w:t>
      </w:r>
      <w:proofErr w:type="gramStart"/>
      <w:r>
        <w:t>confirms by</w:t>
      </w:r>
      <w:proofErr w:type="gramEnd"/>
      <w:r>
        <w:t xml:space="preserve"> pilot log and vessel acknowledgment. Aid maintenance confirms by availability telemetry. Clearance confirms by the Corridor </w:t>
      </w:r>
      <w:r>
        <w:lastRenderedPageBreak/>
        <w:t>Clearance Certificate of Article 13.5. The Neutral Administrator matches the pairs, and unmatched entries route to the reconciliation channel of Annex B.</w:t>
      </w:r>
      <w:bookmarkEnd w:id="172"/>
    </w:p>
    <w:p w14:paraId="21BD6F38" w14:textId="77777777" w:rsidR="00723F18" w:rsidRDefault="00000000">
      <w:pPr>
        <w:pStyle w:val="Heading3"/>
      </w:pPr>
      <w:r>
        <w:t>20.3 Payment flow</w:t>
      </w:r>
    </w:p>
    <w:p w14:paraId="7B60832B" w14:textId="77777777" w:rsidR="00723F18" w:rsidRDefault="00000000">
      <w:pPr>
        <w:pStyle w:val="FirstParagraph"/>
      </w:pPr>
      <w:bookmarkStart w:id="173" w:name="payment-flow"/>
      <w:r>
        <w:t>The Cooperative Safety Fund pays every verified invoice at the catalog rate, monthly in arrears, through the banking channels of Annex B. Payments travel directly to the service institution of the steward state: the national maritime administration for watch and aids services, the pilotage service for pilotage, the survey and clearance units for clearance work. No payment flows to any military body of any Party. No payment travels as a condition of any vessel’s transit. No vessel, operator, or shipper pays any steward directly for anything connected with the Scheme Area, except shipmaster-requested pilotage and tug assistance at the same published catalog rates, invoiced through the Ledger with the same verification pair.</w:t>
      </w:r>
      <w:bookmarkEnd w:id="173"/>
    </w:p>
    <w:p w14:paraId="409501EE" w14:textId="77777777" w:rsidR="00723F18" w:rsidRDefault="00000000">
      <w:pPr>
        <w:pStyle w:val="Heading3"/>
      </w:pPr>
      <w:r>
        <w:t>20.4 The bright line</w:t>
      </w:r>
    </w:p>
    <w:p w14:paraId="2F77E44C" w14:textId="77777777" w:rsidR="00723F18" w:rsidRDefault="00000000">
      <w:pPr>
        <w:pStyle w:val="FirstParagraph"/>
      </w:pPr>
      <w:bookmarkStart w:id="174" w:name="the-bright-line"/>
      <w:r>
        <w:t>The Services Catalog contains services and only services. No entry prices passage, permission, priority, or protection. The Perimeter Test of Article 6.2 applies to every Catalog amendment: an entry that prices the act of transit in any form fails the test and fails in full.</w:t>
      </w:r>
      <w:bookmarkEnd w:id="174"/>
    </w:p>
    <w:p w14:paraId="257E1379" w14:textId="77777777" w:rsidR="00723F18" w:rsidRDefault="00000000">
      <w:pPr>
        <w:pStyle w:val="Heading3"/>
      </w:pPr>
      <w:r>
        <w:t>20.5 Symmetry of compensation</w:t>
      </w:r>
    </w:p>
    <w:p w14:paraId="70BDD6F4" w14:textId="77777777" w:rsidR="00723F18" w:rsidRDefault="00000000">
      <w:pPr>
        <w:pStyle w:val="FirstParagraph"/>
      </w:pPr>
      <w:bookmarkStart w:id="175" w:name="X2a92c2785ae2852725f9cf36305a57cf10d40bf"/>
      <w:bookmarkStart w:id="176" w:name="symmetry-of-compensation"/>
      <w:r>
        <w:t>The Ledger compensates both stewards on one scale: identical rates for identical services, identical verification pairs, identical audit exposure. Corridor Two services enter the Ledger at the same rates, with apportionment to the delivering institution under Annex B, Section B.6. The symmetry converts compensation from a contest into a payroll: the scheme pays for work, and both coasts perform work.</w:t>
      </w:r>
      <w:bookmarkEnd w:id="175"/>
      <w:bookmarkEnd w:id="176"/>
    </w:p>
    <w:p w14:paraId="3DEC5237" w14:textId="77777777" w:rsidR="00723F18" w:rsidRDefault="00000000">
      <w:pPr>
        <w:pStyle w:val="Heading2"/>
      </w:pPr>
      <w:bookmarkStart w:id="177" w:name="__RefHeading___Toc6428_2939721771"/>
      <w:bookmarkEnd w:id="177"/>
      <w:r>
        <w:t>Article 21: The Hormuz Cooperative Safety Fund</w:t>
      </w:r>
    </w:p>
    <w:p w14:paraId="2E1AE053" w14:textId="77777777" w:rsidR="00723F18" w:rsidRDefault="00000000">
      <w:pPr>
        <w:pStyle w:val="Heading3"/>
      </w:pPr>
      <w:r>
        <w:t>21.1 Establishment and purpose</w:t>
      </w:r>
    </w:p>
    <w:p w14:paraId="581C898C" w14:textId="77777777" w:rsidR="00723F18" w:rsidRDefault="00000000">
      <w:pPr>
        <w:pStyle w:val="FirstParagraph"/>
      </w:pPr>
      <w:bookmarkStart w:id="178" w:name="establishment-and-purpose"/>
      <w:r>
        <w:t>The Accord establishes the Hormuz Cooperative Safety Fund as the financing engine of the scheme. The Fund finances: aids to navigation beyond catalog maintenance; hydrographic survey; environmental protection and pollution response readiness; search and rescue readiness; the institutional costs of Article 18.7; the Ledger payments of Article 20; and the stewardship allocations of Article 21.6. The Fund follows the cooperative practice of the Strait of Malacca: contributions are voluntary, non-discriminatory, and decoupled from the act of transit.</w:t>
      </w:r>
      <w:bookmarkEnd w:id="178"/>
    </w:p>
    <w:p w14:paraId="59D59EF1" w14:textId="77777777" w:rsidR="00723F18" w:rsidRDefault="00000000">
      <w:pPr>
        <w:pStyle w:val="Heading3"/>
      </w:pPr>
      <w:r>
        <w:t>21.2 Legal form and administration</w:t>
      </w:r>
    </w:p>
    <w:p w14:paraId="733F70A5" w14:textId="77777777" w:rsidR="00723F18" w:rsidRDefault="00000000">
      <w:pPr>
        <w:pStyle w:val="FirstParagraph"/>
      </w:pPr>
      <w:bookmarkStart w:id="179" w:name="legal-form-and-administration"/>
      <w:r>
        <w:t xml:space="preserve">The Fund takes the legal form of a multilateral fiduciary facility administered by the Neutral Administrator under Swiss law, with its principal account in Switzerland and mirror settlement arrangements in Muscat and Doha per Annex B. The Fund exists to pay for verified maritime services and Accord institutions, to reimburse the stewards for services delivered, and to compensate documented economic loss where a disruption </w:t>
      </w:r>
      <w:r>
        <w:lastRenderedPageBreak/>
        <w:t>certified under this Accord closes a corridor segment. The Fund never pays any Party for passage, and no payment from the Fund ever travels as a condition of any vessel’s transit.</w:t>
      </w:r>
      <w:bookmarkEnd w:id="179"/>
    </w:p>
    <w:p w14:paraId="63D155C3" w14:textId="77777777" w:rsidR="00723F18" w:rsidRDefault="00000000">
      <w:pPr>
        <w:pStyle w:val="Heading3"/>
      </w:pPr>
      <w:r>
        <w:t>21.3 Contributors and the voluntary principle</w:t>
      </w:r>
    </w:p>
    <w:p w14:paraId="70D4025D" w14:textId="77777777" w:rsidR="00723F18" w:rsidRDefault="00000000">
      <w:pPr>
        <w:pStyle w:val="FirstParagraph"/>
      </w:pPr>
      <w:bookmarkStart w:id="180" w:name="contributors-and-the-voluntary-principle"/>
      <w:r>
        <w:t xml:space="preserve">Contributions arrive from three sources. First, user </w:t>
      </w:r>
      <w:proofErr w:type="gramStart"/>
      <w:r>
        <w:t>states:</w:t>
      </w:r>
      <w:proofErr w:type="gramEnd"/>
      <w:r>
        <w:t xml:space="preserve"> states whose flagged fleets or whose exports and imports transit the Strait contribute on the recommended scale of Annex B, set annually by the Commission as a fraction of transiting cargo value. Second, transiting entities: shipowners, charterers, and cargo interests contribute through the voluntary declaration mechanism of Annex B, attached to the Transit Declaration as an election, never as a condition. Third, the Parties themselves: each Party contributes to the Administrative Sub-Account under Article 18.7. No invoice, no acknowledgment, and no traffic plan ever </w:t>
      </w:r>
      <w:proofErr w:type="gramStart"/>
      <w:r>
        <w:t>references</w:t>
      </w:r>
      <w:proofErr w:type="gramEnd"/>
      <w:r>
        <w:t xml:space="preserve"> the contribution status of any vessel or any state. A vessel that contributes nothing transits identically to a vessel that contributes.</w:t>
      </w:r>
      <w:bookmarkEnd w:id="180"/>
    </w:p>
    <w:p w14:paraId="106B928A" w14:textId="77777777" w:rsidR="00723F18" w:rsidRDefault="00000000">
      <w:pPr>
        <w:pStyle w:val="Heading3"/>
      </w:pPr>
      <w:r>
        <w:t>21.4 Transparency</w:t>
      </w:r>
    </w:p>
    <w:p w14:paraId="09E16937" w14:textId="77777777" w:rsidR="00723F18" w:rsidRDefault="00000000">
      <w:pPr>
        <w:pStyle w:val="FirstParagraph"/>
      </w:pPr>
      <w:bookmarkStart w:id="181" w:name="transparency"/>
      <w:r>
        <w:t>The Fund publishes quarterly: contributions received by source category, expenditure by function, the audit certificate, and the rate benchmark review. The publication carries categories and aggregates, never the contribution status of any individual vessel or company. The public dashboard of the Fund shows every budget line against every delivery, so that every contributor reads what its money bought.</w:t>
      </w:r>
      <w:bookmarkEnd w:id="181"/>
    </w:p>
    <w:p w14:paraId="278E157C" w14:textId="77777777" w:rsidR="00723F18" w:rsidRDefault="00000000">
      <w:pPr>
        <w:pStyle w:val="Heading3"/>
      </w:pPr>
      <w:r>
        <w:t>21.5 The humanitarian lock</w:t>
      </w:r>
    </w:p>
    <w:p w14:paraId="10DAF9DC" w14:textId="77777777" w:rsidR="00723F18" w:rsidRDefault="00000000">
      <w:pPr>
        <w:pStyle w:val="FirstParagraph"/>
      </w:pPr>
      <w:bookmarkStart w:id="182" w:name="the-humanitarian-lock"/>
      <w:r>
        <w:t xml:space="preserve">The Fund maintains a standing liquidity reserve equal to six (6) months of institutional costs, and no </w:t>
      </w:r>
      <w:proofErr w:type="gramStart"/>
      <w:r>
        <w:t>draw</w:t>
      </w:r>
      <w:proofErr w:type="gramEnd"/>
      <w:r>
        <w:t>, suspension, or dispute ever touches the reserve or delays a humanitarian transaction. The humanitarian lock operates under every scenario, including suspension and exit.</w:t>
      </w:r>
      <w:bookmarkEnd w:id="182"/>
    </w:p>
    <w:p w14:paraId="3BB02F29" w14:textId="77777777" w:rsidR="00723F18" w:rsidRDefault="00000000">
      <w:pPr>
        <w:pStyle w:val="Heading3"/>
      </w:pPr>
      <w:r>
        <w:t>21.6 The stewardship allocations</w:t>
      </w:r>
    </w:p>
    <w:p w14:paraId="710E013F" w14:textId="77777777" w:rsidR="00723F18" w:rsidRDefault="00000000">
      <w:pPr>
        <w:pStyle w:val="FirstParagraph"/>
      </w:pPr>
      <w:bookmarkStart w:id="183" w:name="the-stewardship-allocations"/>
      <w:r>
        <w:t xml:space="preserve">The Fund pays each steward a stewardship allocation for sector readiness: a fixed quarterly amount per corridor, set by the Commission at the budget cycle against the sector maintenance plan the steward files. The allocation </w:t>
      </w:r>
      <w:proofErr w:type="gramStart"/>
      <w:r>
        <w:t>compensates</w:t>
      </w:r>
      <w:proofErr w:type="gramEnd"/>
      <w:r>
        <w:t xml:space="preserve"> the standing readiness of the corridor: the aids, the watch, the survey cycles, the response posture. It is a budget line for readiness maintained, auditable like every other line, and it carries no relation to transit counts. The two allocations stand equal in structure and differ only where the certified maintenance plans differ. Corridor Two readiness enters the budget as a joint line under the Central Corridor Panel.</w:t>
      </w:r>
      <w:bookmarkEnd w:id="183"/>
    </w:p>
    <w:p w14:paraId="4152C76C" w14:textId="77777777" w:rsidR="00723F18" w:rsidRDefault="00000000">
      <w:pPr>
        <w:pStyle w:val="Heading3"/>
      </w:pPr>
      <w:r>
        <w:t>21.7 Why this design holds</w:t>
      </w:r>
    </w:p>
    <w:p w14:paraId="1FB945B1" w14:textId="77777777" w:rsidR="00723F18" w:rsidRDefault="00000000">
      <w:pPr>
        <w:pStyle w:val="FirstParagraph"/>
      </w:pPr>
      <w:bookmarkStart w:id="184" w:name="Xa75a6d77fbebf8e4e6a5c7ca1c91e395cf14fce"/>
      <w:bookmarkStart w:id="185" w:name="why-this-design-holds"/>
      <w:r>
        <w:t xml:space="preserve">This mechanism resolves the revenue question without a toll. The Northern Steward receives a transparent, audited, recurring revenue stream for real work, publicly acknowledged as the steward of the northern corridor: the recognition and the income both arrive, attached to services rather than to passage. The Southern Steward receives </w:t>
      </w:r>
      <w:proofErr w:type="gramStart"/>
      <w:r>
        <w:t>the</w:t>
      </w:r>
      <w:proofErr w:type="gramEnd"/>
      <w:r>
        <w:t xml:space="preserve"> identical structure. The user community funds safety voluntarily, as it does in Malacca, and </w:t>
      </w:r>
      <w:r>
        <w:lastRenderedPageBreak/>
        <w:t>no lawyer in any capital ever reads a transit charge into the record. The Fund turns the toll dispute into a budget line, and budget lines do not start wars.</w:t>
      </w:r>
      <w:bookmarkEnd w:id="184"/>
      <w:bookmarkEnd w:id="185"/>
    </w:p>
    <w:p w14:paraId="21B34768" w14:textId="77777777" w:rsidR="00723F18" w:rsidRDefault="00000000">
      <w:pPr>
        <w:pStyle w:val="Heading2"/>
      </w:pPr>
      <w:bookmarkStart w:id="186" w:name="__RefHeading___Toc6430_2939721771"/>
      <w:bookmarkEnd w:id="186"/>
      <w:r>
        <w:t>Article 22: The Performance-Linked Value Channels</w:t>
      </w:r>
    </w:p>
    <w:p w14:paraId="75C72BC8" w14:textId="77777777" w:rsidR="00723F18" w:rsidRDefault="00000000">
      <w:pPr>
        <w:pStyle w:val="Heading3"/>
      </w:pPr>
      <w:r>
        <w:t>22.1 The design idea</w:t>
      </w:r>
    </w:p>
    <w:p w14:paraId="74E7910A" w14:textId="77777777" w:rsidR="00723F18" w:rsidRDefault="00000000">
      <w:pPr>
        <w:pStyle w:val="FirstParagraph"/>
      </w:pPr>
      <w:bookmarkStart w:id="187" w:name="the-design-idea"/>
      <w:r>
        <w:t xml:space="preserve">The tolls question persists because a toll promises its claimant three things at once: revenue, recognition, and retained leverage. Article 20 and Article 21 deliver revenue and recognition through services. This Article delivers the third </w:t>
      </w:r>
      <w:proofErr w:type="gramStart"/>
      <w:r>
        <w:t>element at</w:t>
      </w:r>
      <w:proofErr w:type="gramEnd"/>
      <w:r>
        <w:t xml:space="preserve"> far greater scale: verified clean transit converts automatically into economic normalization, through channels that no per-vessel toll matches in value. Each channel executes on telemetry alone, under the trigger mechanics of Part VII.</w:t>
      </w:r>
      <w:bookmarkEnd w:id="187"/>
    </w:p>
    <w:p w14:paraId="72B4105C" w14:textId="77777777" w:rsidR="00723F18" w:rsidRDefault="00000000">
      <w:pPr>
        <w:pStyle w:val="Heading3"/>
      </w:pPr>
      <w:r>
        <w:t>22.2 Channel One: the frozen-asset release track</w:t>
      </w:r>
    </w:p>
    <w:p w14:paraId="00E490A3" w14:textId="77777777" w:rsidR="00723F18" w:rsidRDefault="00000000">
      <w:pPr>
        <w:pStyle w:val="FirstParagraph"/>
      </w:pPr>
      <w:bookmarkStart w:id="188" w:name="X4c49277b52195952adf475f548db6cc6affe6ca"/>
      <w:r>
        <w:t>Each verified clean day of scheme operation accrues credits toward the release of designated frozen assets through the custody structure of Annex B. A clean day records zero Tier Three incidents across the Scheme Area on the daily status report. The credit schedule of Annex B converts cumulative clean days into tranche releases at the phase boundaries of Part VII: the first tranche at the Phase One certificate, the second tranche at the Phase Three certificate, and a rolling release rhythm at each subsequent window boundary on a sustained clean record. Disbursement travels by direct vendor payment against verified procurement contracts within the categories of Part VII: the funds pay suppliers of food, medicine, civilian infrastructure equipment, and reconstruction-adjacent civilian goods, and they touch no general account of any government.</w:t>
      </w:r>
      <w:bookmarkEnd w:id="188"/>
    </w:p>
    <w:p w14:paraId="5B8D7064" w14:textId="77777777" w:rsidR="00723F18" w:rsidRDefault="00000000">
      <w:pPr>
        <w:pStyle w:val="Heading3"/>
      </w:pPr>
      <w:r>
        <w:t>22.3 The custody character</w:t>
      </w:r>
    </w:p>
    <w:p w14:paraId="5C1D887D" w14:textId="77777777" w:rsidR="00723F18" w:rsidRDefault="00000000">
      <w:pPr>
        <w:pStyle w:val="FirstParagraph"/>
      </w:pPr>
      <w:bookmarkStart w:id="189" w:name="the-custody-character"/>
      <w:r>
        <w:t>The custody structure holds title with the owner state throughout. The structure operates as a transaction facilitation mechanism, never as a restriction on property, and the architecture grants no Party authority over the funds beyond the verification of category compliance. The Neutral Administrator traces every transaction end to end and posts the record to the Shared Evidence Platform.</w:t>
      </w:r>
      <w:bookmarkEnd w:id="189"/>
    </w:p>
    <w:p w14:paraId="740A18BF" w14:textId="77777777" w:rsidR="00723F18" w:rsidRDefault="00000000">
      <w:pPr>
        <w:pStyle w:val="Heading3"/>
      </w:pPr>
      <w:r>
        <w:t>22.4 Channel Two: the energy logistics waiver track</w:t>
      </w:r>
    </w:p>
    <w:p w14:paraId="42644276" w14:textId="77777777" w:rsidR="00723F18" w:rsidRDefault="00000000">
      <w:pPr>
        <w:pStyle w:val="FirstParagraph"/>
      </w:pPr>
      <w:bookmarkStart w:id="190" w:name="Xae646341b2a6f6dbba96f271f4a6dfa2c69d3c6"/>
      <w:r>
        <w:t>Sustained clean operation activates and renews the energy logistics waivers of Part VII: the license architecture for energy exports under the volume framework of Annex B, with proceeds routing through the designated settlement channels. The waiver renews automatically at each thirty (30) day boundary on a clean record: renewal occurs by silence, and suspension occurs only through the step-back ladder of Article 40.</w:t>
      </w:r>
      <w:bookmarkEnd w:id="190"/>
    </w:p>
    <w:p w14:paraId="1B567213" w14:textId="77777777" w:rsidR="00723F18" w:rsidRDefault="00000000">
      <w:pPr>
        <w:pStyle w:val="Heading3"/>
      </w:pPr>
      <w:r>
        <w:t>22.5 Channel Three: the route assurance data service</w:t>
      </w:r>
    </w:p>
    <w:p w14:paraId="5E630822" w14:textId="77777777" w:rsidR="00723F18" w:rsidRDefault="00000000">
      <w:pPr>
        <w:pStyle w:val="FirstParagraph"/>
      </w:pPr>
      <w:bookmarkStart w:id="191" w:name="Xd05d0a7d982662db82f78c5e1af15b10d3555a3"/>
      <w:r>
        <w:t xml:space="preserve">The Operations System compiles anonymized, aggregated transit data from the scheme: corridor utilization, density curves, hazard clearance progress, and safety statistics. The Doha Economic Desk licenses this data product to commercial analytics firms, insurers, and commodity market participants on annual subscription, under the privacy safeguards of </w:t>
      </w:r>
      <w:r>
        <w:lastRenderedPageBreak/>
        <w:t>Annex B: no vessel-identifying information, no cargo manifests, no crew data. Subscription revenue funds the data infrastructure first and distributes the remainder to the stewards and the Central Corridor Panel budget under the apportionment of Annex B. A subscription purchases information; it never purchases transit, priority, or protection.</w:t>
      </w:r>
      <w:bookmarkEnd w:id="191"/>
    </w:p>
    <w:p w14:paraId="183BFA43" w14:textId="77777777" w:rsidR="00723F18" w:rsidRDefault="00000000">
      <w:pPr>
        <w:pStyle w:val="Heading3"/>
      </w:pPr>
      <w:r>
        <w:t>22.6 Channel Four: the environmental registry administration</w:t>
      </w:r>
    </w:p>
    <w:p w14:paraId="4FFCA41F" w14:textId="77777777" w:rsidR="00723F18" w:rsidRDefault="00000000">
      <w:pPr>
        <w:pStyle w:val="FirstParagraph"/>
      </w:pPr>
      <w:bookmarkStart w:id="192" w:name="X0df7a4afb922fa95a10e4ed6d09dda2e31b7fdf"/>
      <w:r>
        <w:t>The scheme operates an environmental protection registry under Article 32: vessels transiting the Scheme Area post evidence of pollution liability coverage through their protection and indemnity clubs, as flag-state law already requires, and the registry verifies the filings. The registry administration carries a per-filing administration charge paid by the filing club at the rate of Annex B, benchmarked to comparable registry operations worldwide. The charge compensates registry administration; it never attaches to the act of transit, and a vessel with a lapsed filing proceeds under the remediation channel of Article 12.6, never under a passage prohibition.</w:t>
      </w:r>
      <w:bookmarkEnd w:id="192"/>
    </w:p>
    <w:p w14:paraId="2A31138D" w14:textId="77777777" w:rsidR="00723F18" w:rsidRDefault="00000000">
      <w:pPr>
        <w:pStyle w:val="Heading3"/>
      </w:pPr>
      <w:r>
        <w:t>22.7 The scale comparison</w:t>
      </w:r>
    </w:p>
    <w:p w14:paraId="37C7DD58" w14:textId="77777777" w:rsidR="00723F18" w:rsidRDefault="00000000">
      <w:pPr>
        <w:pStyle w:val="FirstParagraph"/>
      </w:pPr>
      <w:bookmarkStart w:id="193" w:name="the-scale-comparison"/>
      <w:r>
        <w:t>Annex C, Section C.12 sets out the arithmetic of this settlement against a per-vessel toll: the verified services stream, the stewardship allocations, the data service revenue, and the registry administration charges together price the northern steward’s real work at market rates, and the frozen-asset and waiver channels deliver value an order of magnitude beyond any feasible toll yield, without a single dollar attaching to a single hull’s passage. The settlement gives Tehran more than a toll gives, at zero toll cost to Washington’s red line.</w:t>
      </w:r>
      <w:bookmarkEnd w:id="193"/>
    </w:p>
    <w:p w14:paraId="098339A3" w14:textId="77777777" w:rsidR="00723F18" w:rsidRDefault="00000000">
      <w:pPr>
        <w:pStyle w:val="Heading3"/>
      </w:pPr>
      <w:r>
        <w:t>22.8 Permanence of the channels</w:t>
      </w:r>
    </w:p>
    <w:p w14:paraId="0A46CC54" w14:textId="77777777" w:rsidR="00723F18" w:rsidRDefault="00000000">
      <w:pPr>
        <w:pStyle w:val="FirstParagraph"/>
      </w:pPr>
      <w:bookmarkStart w:id="194" w:name="permanence-of-the-channels"/>
      <w:bookmarkStart w:id="195" w:name="Xe6040a19327cfb8271e87c92d57d7e771172e68"/>
      <w:r>
        <w:t>The value channels operate under the continuity rule of Article 4: no channel expires at any date boundary, no accrued credit lapses, and no released value claws back. A step-back under Article 40 pauses future accrual; it never reverses a banked release.</w:t>
      </w:r>
      <w:bookmarkEnd w:id="194"/>
      <w:bookmarkEnd w:id="195"/>
    </w:p>
    <w:p w14:paraId="59196923" w14:textId="77777777" w:rsidR="00723F18" w:rsidRDefault="00000000">
      <w:pPr>
        <w:pStyle w:val="Heading2"/>
      </w:pPr>
      <w:bookmarkStart w:id="196" w:name="__RefHeading___Toc6432_2939721771"/>
      <w:bookmarkEnd w:id="196"/>
      <w:r>
        <w:t>Article 23: The Sanctions-Compliance Firewall and Domestic Law Reconciliation</w:t>
      </w:r>
    </w:p>
    <w:p w14:paraId="3EE34D84" w14:textId="77777777" w:rsidR="00723F18" w:rsidRDefault="00000000">
      <w:pPr>
        <w:pStyle w:val="Heading3"/>
      </w:pPr>
      <w:r>
        <w:t>23.1 The firewall</w:t>
      </w:r>
    </w:p>
    <w:p w14:paraId="312186B6" w14:textId="77777777" w:rsidR="00723F18" w:rsidRDefault="00000000">
      <w:pPr>
        <w:pStyle w:val="FirstParagraph"/>
      </w:pPr>
      <w:bookmarkStart w:id="197" w:name="the-firewall"/>
      <w:r>
        <w:t xml:space="preserve">The financial architecture of the Accord operates inside the </w:t>
      </w:r>
      <w:proofErr w:type="gramStart"/>
      <w:r>
        <w:t>sanctions</w:t>
      </w:r>
      <w:proofErr w:type="gramEnd"/>
      <w:r>
        <w:t xml:space="preserve"> framework of every participant state as that framework stands at each moment, and the settlement channels of Annex B structure every flow to remain lawful for every bank that touches it. The Fund’s flows are </w:t>
      </w:r>
      <w:proofErr w:type="gramStart"/>
      <w:r>
        <w:t>service</w:t>
      </w:r>
      <w:proofErr w:type="gramEnd"/>
      <w:r>
        <w:t xml:space="preserve"> and contribution flows of a maritime safety scheme, documented end to end. The Accord is not a sanctions evasion vehicle, and the architecture excludes its use for any transaction outside its stated functions. The Independent Compliance Auditor screens every flow against the function list, and </w:t>
      </w:r>
      <w:proofErr w:type="gramStart"/>
      <w:r>
        <w:t>a flow</w:t>
      </w:r>
      <w:proofErr w:type="gramEnd"/>
      <w:r>
        <w:t xml:space="preserve"> outside the list simply does not move.</w:t>
      </w:r>
      <w:bookmarkEnd w:id="197"/>
    </w:p>
    <w:p w14:paraId="6E39D213" w14:textId="77777777" w:rsidR="00723F18" w:rsidRDefault="00000000">
      <w:pPr>
        <w:pStyle w:val="Heading3"/>
      </w:pPr>
      <w:r>
        <w:t>23.2 The general license bridge</w:t>
      </w:r>
    </w:p>
    <w:p w14:paraId="3B3D1A90" w14:textId="77777777" w:rsidR="00723F18" w:rsidRDefault="00000000">
      <w:pPr>
        <w:pStyle w:val="FirstParagraph"/>
      </w:pPr>
      <w:bookmarkStart w:id="198" w:name="the-general-license-bridge"/>
      <w:r>
        <w:t xml:space="preserve">The economic triggers of Part VII operate the license and waiver architecture that permits the lawful flow of Fund transactions involving any Party. Where a trigger pauses under Article 38 or Article 40, the Fund’s humanitarian and safety-critical disbursements </w:t>
      </w:r>
      <w:r>
        <w:lastRenderedPageBreak/>
        <w:t>continue under the humanitarian firewall of Article 40.4, through the pre-cleared channels of Annex B.</w:t>
      </w:r>
      <w:bookmarkEnd w:id="198"/>
    </w:p>
    <w:p w14:paraId="3230E34D" w14:textId="77777777" w:rsidR="00723F18" w:rsidRDefault="00000000">
      <w:pPr>
        <w:pStyle w:val="Heading3"/>
      </w:pPr>
      <w:r>
        <w:t>23.3 Domestic law reconciliation</w:t>
      </w:r>
    </w:p>
    <w:p w14:paraId="188CC469" w14:textId="77777777" w:rsidR="00723F18" w:rsidRDefault="00000000">
      <w:pPr>
        <w:pStyle w:val="FirstParagraph"/>
      </w:pPr>
      <w:bookmarkStart w:id="199" w:name="domestic-law-reconciliation"/>
      <w:r>
        <w:t>Where a Party’s domestic law enacts or advances a fee measure touching the Strait, that Party’s obligations under this Accord govern its conduct within the Scheme Area: no collection occurs, no condition attaches, and the Operations System continues to acknowledge declarations and operate traffic without reference to the domestic measure. The Party routes the domestic measure to the facilitation tier of Article 42.2 for reconciliation within ninety (90) days, and the public reporting of Article 16.4 notes the reconciliation status in its public reporting. The architecture thereby absorbs legislative friction without touching the water. Nothing in this Accord precludes any Party from presenting the service reimbursement mechanism domestically as compensation for services rendered, provided the mechanism operates internationally as a collective structure and no vessel’s transit ever conditions on payment.</w:t>
      </w:r>
      <w:bookmarkEnd w:id="199"/>
    </w:p>
    <w:p w14:paraId="6B57B5E7" w14:textId="77777777" w:rsidR="00723F18" w:rsidRDefault="00000000">
      <w:pPr>
        <w:pStyle w:val="Heading3"/>
      </w:pPr>
      <w:r>
        <w:t>23.4 The legislative presentation bridge</w:t>
      </w:r>
    </w:p>
    <w:p w14:paraId="1EEA3CE1" w14:textId="77777777" w:rsidR="00723F18" w:rsidRDefault="00000000">
      <w:pPr>
        <w:pStyle w:val="FirstParagraph"/>
      </w:pPr>
      <w:bookmarkStart w:id="200" w:name="the-legislative-presentation-bridge"/>
      <w:bookmarkStart w:id="201" w:name="Xbb7b7aa74674f312bcdaba0007bc886504643a6"/>
      <w:r>
        <w:t xml:space="preserve">The Accord recognizes that each Party answers to a domestic audience. Tehran presents the Verified Services Ledger, the stewardship allocation, the data service revenue, and the registry administration </w:t>
      </w:r>
      <w:proofErr w:type="gramStart"/>
      <w:r>
        <w:t>charges</w:t>
      </w:r>
      <w:proofErr w:type="gramEnd"/>
      <w:r>
        <w:t xml:space="preserve"> as the service-fee architecture its legislature contemplates, because every element pays for documented services. Washington presents the same architecture as proof that no vessel pays for passage, because no element attaches to passage. Both presentations state true facts about one mechanism. Annex H carries the narrative symmetry note that keeps both presentations accurate.</w:t>
      </w:r>
      <w:bookmarkEnd w:id="200"/>
      <w:bookmarkEnd w:id="201"/>
    </w:p>
    <w:p w14:paraId="1B2E5530" w14:textId="77777777" w:rsidR="00723F18" w:rsidRDefault="00000000">
      <w:pPr>
        <w:pStyle w:val="Heading2"/>
      </w:pPr>
      <w:bookmarkStart w:id="202" w:name="__RefHeading___Toc6434_2939721771"/>
      <w:bookmarkEnd w:id="202"/>
      <w:r>
        <w:t>Article 24: Rate Setting, Audit, and Anti-Abuse Discipline</w:t>
      </w:r>
    </w:p>
    <w:p w14:paraId="5B86D6EC" w14:textId="77777777" w:rsidR="00723F18" w:rsidRDefault="00000000">
      <w:pPr>
        <w:pStyle w:val="Heading3"/>
      </w:pPr>
      <w:r>
        <w:t>24.1 Rate setting</w:t>
      </w:r>
    </w:p>
    <w:p w14:paraId="5EEFF652" w14:textId="77777777" w:rsidR="00723F18" w:rsidRDefault="00000000">
      <w:pPr>
        <w:pStyle w:val="FirstParagraph"/>
      </w:pPr>
      <w:bookmarkStart w:id="203" w:name="rate-setting"/>
      <w:r>
        <w:t>The Commission sets the Services Catalog rates under the Three-Key Rule, on the recommendation of the Technical and Standards Committee, benchmarked to regional markets, and reviews them at each window boundary. Rates cover documented cost plus a published margin, and the Committee publishes the cost study behind every rate.</w:t>
      </w:r>
      <w:bookmarkEnd w:id="203"/>
    </w:p>
    <w:p w14:paraId="36C998C8" w14:textId="77777777" w:rsidR="00723F18" w:rsidRDefault="00000000">
      <w:pPr>
        <w:pStyle w:val="Heading3"/>
      </w:pPr>
      <w:r>
        <w:t>24.2 Audit</w:t>
      </w:r>
    </w:p>
    <w:p w14:paraId="6EF70732" w14:textId="77777777" w:rsidR="00723F18" w:rsidRDefault="00000000">
      <w:pPr>
        <w:pStyle w:val="FirstParagraph"/>
      </w:pPr>
      <w:bookmarkStart w:id="204" w:name="audit"/>
      <w:r>
        <w:t>An Independent Compliance Auditor, appointed by the Commission from a Swiss-confirmed roster, audits the Fund quarterly and posts every audit certificate to the Shared Evidence Platform. The audit traces every disbursement to a budget line, every budget line to a Commission decision, and every Commission decision to this instrument.</w:t>
      </w:r>
      <w:bookmarkEnd w:id="204"/>
    </w:p>
    <w:p w14:paraId="15DC0180" w14:textId="77777777" w:rsidR="00723F18" w:rsidRDefault="00000000">
      <w:pPr>
        <w:pStyle w:val="Heading3"/>
      </w:pPr>
      <w:r>
        <w:t>24.3 Dual-key disbursement</w:t>
      </w:r>
    </w:p>
    <w:p w14:paraId="34325A8D" w14:textId="77777777" w:rsidR="00723F18" w:rsidRDefault="00000000">
      <w:pPr>
        <w:pStyle w:val="FirstParagraph"/>
      </w:pPr>
      <w:bookmarkStart w:id="205" w:name="dual-key-disbursement"/>
      <w:r>
        <w:t xml:space="preserve">Every disbursement above the thresholds of Annex B travels under dual-key control: the Fund administration unit initiates, and the Neutral Administrator co-signs against the budget and the audit trail. Payments travel directly to verified vendors and service </w:t>
      </w:r>
      <w:r>
        <w:lastRenderedPageBreak/>
        <w:t>providers; no Fund disbursement touches the general revenue of any Party except the steward service institutions of Article 20.3 for verified service deliveries.</w:t>
      </w:r>
      <w:bookmarkEnd w:id="205"/>
    </w:p>
    <w:p w14:paraId="0AC89EE7" w14:textId="77777777" w:rsidR="00723F18" w:rsidRDefault="00000000">
      <w:pPr>
        <w:pStyle w:val="Heading3"/>
      </w:pPr>
      <w:r>
        <w:t>24.4 No double recovery</w:t>
      </w:r>
    </w:p>
    <w:p w14:paraId="4D84C8ED" w14:textId="77777777" w:rsidR="00723F18" w:rsidRDefault="00000000">
      <w:pPr>
        <w:pStyle w:val="FirstParagraph"/>
      </w:pPr>
      <w:bookmarkStart w:id="206" w:name="no-double-recovery"/>
      <w:r>
        <w:t>A service enters the Ledger once. A steward never invoices both the Fund and a shipmaster for the same service instance, and the audit traces for double recovery as a standing check. A confirmed double recovery routes the amount back to the payer and enters the steward’s conduct record under Article 39.</w:t>
      </w:r>
      <w:bookmarkEnd w:id="206"/>
    </w:p>
    <w:p w14:paraId="7A1D1119" w14:textId="77777777" w:rsidR="00723F18" w:rsidRDefault="00000000">
      <w:pPr>
        <w:pStyle w:val="Heading3"/>
      </w:pPr>
      <w:r>
        <w:t>24.5 Anti-diversion</w:t>
      </w:r>
    </w:p>
    <w:p w14:paraId="4825E697" w14:textId="77777777" w:rsidR="00723F18" w:rsidRDefault="00000000">
      <w:pPr>
        <w:pStyle w:val="FirstParagraph"/>
      </w:pPr>
      <w:bookmarkStart w:id="207" w:name="anti-diversion"/>
      <w:bookmarkStart w:id="208" w:name="X8e7d1eeed1a5c942bac3cf07f23bd6e7c720a9f"/>
      <w:bookmarkStart w:id="209" w:name="Xd547d5c772b2880238b8c15c05e061a5c11701d"/>
      <w:r>
        <w:t>Fund resources serve the function list of Article 21.1 and nothing else. A diversion of Fund resources to any military purpose classifies as a Tier Three event under Article 39 and activates the step-back ladder of Article 40 against the responsible Party.</w:t>
      </w:r>
      <w:bookmarkEnd w:id="207"/>
      <w:bookmarkEnd w:id="208"/>
      <w:bookmarkEnd w:id="209"/>
    </w:p>
    <w:p w14:paraId="710C0818" w14:textId="77777777" w:rsidR="00723F18" w:rsidRDefault="00000000">
      <w:pPr>
        <w:pStyle w:val="Heading1"/>
      </w:pPr>
      <w:bookmarkStart w:id="210" w:name="__RefHeading___Toc6436_2939721771"/>
      <w:bookmarkEnd w:id="210"/>
      <w:r>
        <w:t>Part V: Verification and Evidence</w:t>
      </w:r>
    </w:p>
    <w:p w14:paraId="759F675E" w14:textId="77777777" w:rsidR="00723F18" w:rsidRDefault="00000000">
      <w:pPr>
        <w:pStyle w:val="Heading2"/>
      </w:pPr>
      <w:bookmarkStart w:id="211" w:name="__RefHeading___Toc6438_2939721771"/>
      <w:bookmarkEnd w:id="211"/>
      <w:r>
        <w:t>Article 25: The Three-Pillar Verification Architecture</w:t>
      </w:r>
    </w:p>
    <w:p w14:paraId="7F4D7BA7" w14:textId="77777777" w:rsidR="00723F18" w:rsidRDefault="00000000">
      <w:pPr>
        <w:pStyle w:val="Heading3"/>
      </w:pPr>
      <w:r>
        <w:t>25.1 The design logic</w:t>
      </w:r>
    </w:p>
    <w:p w14:paraId="5A8DB545" w14:textId="77777777" w:rsidR="00723F18" w:rsidRDefault="00000000">
      <w:pPr>
        <w:pStyle w:val="FirstParagraph"/>
      </w:pPr>
      <w:bookmarkStart w:id="212" w:name="the-design-logic"/>
      <w:r>
        <w:t>The verification system of the Accord stands on three pillars: automated technical tracking, co-located human observation, and independent data escrow with a rapid technical arbitration window. No pillar rests on any single nation’s data, and no pillar admits manipulation for political leverage. The pillars operate together: the machine records, the human watches, the vault remembers.</w:t>
      </w:r>
      <w:bookmarkEnd w:id="212"/>
    </w:p>
    <w:p w14:paraId="096FFECC" w14:textId="77777777" w:rsidR="00723F18" w:rsidRDefault="00000000">
      <w:pPr>
        <w:pStyle w:val="Heading3"/>
      </w:pPr>
      <w:r>
        <w:t>25.2 Pillar One: automated technical tracking</w:t>
      </w:r>
    </w:p>
    <w:p w14:paraId="288E8CB6" w14:textId="77777777" w:rsidR="00723F18" w:rsidRDefault="00000000">
      <w:pPr>
        <w:pStyle w:val="FirstParagraph"/>
      </w:pPr>
      <w:bookmarkStart w:id="213" w:name="pillar-one-automated-technical-tracking"/>
      <w:r>
        <w:t xml:space="preserve">Every vessel above three hundred (300) gross </w:t>
      </w:r>
      <w:proofErr w:type="spellStart"/>
      <w:r>
        <w:t>tonnes</w:t>
      </w:r>
      <w:proofErr w:type="spellEnd"/>
      <w:r>
        <w:t xml:space="preserve"> in the Scheme Area transmits a compliant automatic identification system signal. Satellite constellations cross-check every signal against radar satellite imagery to detect spoofing or dark transits. Seabed acoustic sensors in each corridor detect submerged anomalies, and their data streams carry cryptographic timestamps at the point of capture. An automated corridor attribution engine classifies each transit into Corridor One, Corridor Two, or Corridor Three from position data alone, and the classification log serves as the objective count for service credits, trigger mechanics, and incident reconstruction. Raw feeds travel to the Shared Evidence Platform simultaneously for all Parties; no national system filters the feed first.</w:t>
      </w:r>
      <w:bookmarkEnd w:id="213"/>
    </w:p>
    <w:p w14:paraId="7FB8E938" w14:textId="77777777" w:rsidR="00723F18" w:rsidRDefault="00000000">
      <w:pPr>
        <w:pStyle w:val="Heading3"/>
      </w:pPr>
      <w:r>
        <w:t>25.3 Pillar Two: co-located human observation</w:t>
      </w:r>
    </w:p>
    <w:p w14:paraId="73D81801" w14:textId="77777777" w:rsidR="00723F18" w:rsidRDefault="00000000">
      <w:pPr>
        <w:pStyle w:val="FirstParagraph"/>
      </w:pPr>
      <w:bookmarkStart w:id="214" w:name="pillar-two-co-located-human-observation"/>
      <w:r>
        <w:t xml:space="preserve">The Joint Watch of Article 27 stations officers of Iran, Oman, Qatar, and the neutral roster at the same screens in the same rooms, at both the Muscat Operations Center and the Bandar Abbas Mirror Center. Every radar picture, every satellite feed, and every acoustic stream </w:t>
      </w:r>
      <w:proofErr w:type="gramStart"/>
      <w:r>
        <w:t>displays</w:t>
      </w:r>
      <w:proofErr w:type="gramEnd"/>
      <w:r>
        <w:t xml:space="preserve"> simultaneously to every officer. Any objection to a </w:t>
      </w:r>
      <w:proofErr w:type="gramStart"/>
      <w:r>
        <w:t>transit’s</w:t>
      </w:r>
      <w:proofErr w:type="gramEnd"/>
      <w:r>
        <w:t xml:space="preserve"> classification or a vessel’s treatment enters the log within fifteen (15) minutes of the event, and the log entry carries the objecting officer’s identity and the raw data frame.</w:t>
      </w:r>
      <w:bookmarkEnd w:id="214"/>
    </w:p>
    <w:p w14:paraId="441DD892" w14:textId="77777777" w:rsidR="00723F18" w:rsidRDefault="00000000">
      <w:pPr>
        <w:pStyle w:val="Heading3"/>
      </w:pPr>
      <w:r>
        <w:lastRenderedPageBreak/>
        <w:t>25.4 Pillar Three: escrow and arbitration</w:t>
      </w:r>
    </w:p>
    <w:p w14:paraId="480A3CC5" w14:textId="77777777" w:rsidR="00723F18" w:rsidRDefault="00000000">
      <w:pPr>
        <w:pStyle w:val="FirstParagraph"/>
      </w:pPr>
      <w:bookmarkStart w:id="215" w:name="pillar-three-escrow-and-arbitration"/>
      <w:r>
        <w:t>All raw data vaults into an append-only escrow under Article 28. A contested data question routes to the Technical Arbitration Window: a panel of three independent maritime technical experts, one nominated by the IMO, one by the International Chamber of Shipping, and one by the Neutral Administrator from the roster of Annex D. The panel rules on the raw data within seventy-two (72) hours of referral. Its ruling binds the operational triggers of the Accord: corridor counts, service credits, trigger states. It establishes no legal precedent and touches no sovereignty question.</w:t>
      </w:r>
      <w:bookmarkEnd w:id="215"/>
    </w:p>
    <w:p w14:paraId="4BCA2257" w14:textId="77777777" w:rsidR="00723F18" w:rsidRDefault="00000000">
      <w:pPr>
        <w:pStyle w:val="Heading3"/>
      </w:pPr>
      <w:r>
        <w:t>25.5 Ground-truth verification</w:t>
      </w:r>
    </w:p>
    <w:p w14:paraId="2494361B" w14:textId="77777777" w:rsidR="00723F18" w:rsidRDefault="00000000">
      <w:pPr>
        <w:pStyle w:val="FirstParagraph"/>
      </w:pPr>
      <w:bookmarkStart w:id="216" w:name="X9c4f16494f6f51f5634ee0ee9d050bc44e670a0"/>
      <w:bookmarkStart w:id="217" w:name="ground-truth-verification"/>
      <w:r>
        <w:t xml:space="preserve">Electronic surveillance </w:t>
      </w:r>
      <w:proofErr w:type="gramStart"/>
      <w:r>
        <w:t>deceives:</w:t>
      </w:r>
      <w:proofErr w:type="gramEnd"/>
      <w:r>
        <w:t xml:space="preserve"> identification signals spoof, satellite passes gap, and radar coverage bends around geography. The Operations System therefore maintains a human verification layer on the water: one ground-truth patrol per week in each corridor, executed by mixed-crew patrol craft provided on rotation by the coastal stewards and embarked with a neutral observer. Each patrol physically verifies the position, identity, and declared class of at least five (5) percent of the vessels transiting during the patrol window, selected by lot from the live traffic picture immediately before departure. A ground-truth patrol never boards, never delays, and never directs a merchant vessel: it observes, photographs, and reconciles against the shared picture within twenty-four (24) hours.</w:t>
      </w:r>
      <w:bookmarkEnd w:id="216"/>
      <w:bookmarkEnd w:id="217"/>
    </w:p>
    <w:p w14:paraId="64EC5CC2" w14:textId="77777777" w:rsidR="00723F18" w:rsidRDefault="00000000">
      <w:pPr>
        <w:pStyle w:val="Heading2"/>
      </w:pPr>
      <w:bookmarkStart w:id="218" w:name="__RefHeading___Toc6440_2939721771"/>
      <w:bookmarkEnd w:id="218"/>
      <w:r>
        <w:t>Article 26: The Convergence Standard and Evidence Rules</w:t>
      </w:r>
    </w:p>
    <w:p w14:paraId="5AAF6C18" w14:textId="77777777" w:rsidR="00723F18" w:rsidRDefault="00000000">
      <w:pPr>
        <w:pStyle w:val="Heading3"/>
      </w:pPr>
      <w:r>
        <w:t>26.1 The Convergence Standard</w:t>
      </w:r>
    </w:p>
    <w:p w14:paraId="16D2CAF5" w14:textId="77777777" w:rsidR="00723F18" w:rsidRDefault="00000000">
      <w:pPr>
        <w:pStyle w:val="FirstParagraph"/>
      </w:pPr>
      <w:bookmarkStart w:id="219" w:name="the-convergence-standard"/>
      <w:r>
        <w:t xml:space="preserve">No finding of fact under this Accord rests on a single input. </w:t>
      </w:r>
      <w:proofErr w:type="gramStart"/>
      <w:r>
        <w:t>A material</w:t>
      </w:r>
      <w:proofErr w:type="gramEnd"/>
      <w:r>
        <w:t xml:space="preserve"> finding requires convergence of at least two independent evidence streams: automated tracking plus observer report, observer report plus platform telemetry, telemetry plus ground-truth patrol record, or any equivalent pairing from the evidence schedule of Annex D. A single-stream anomaly opens an inquiry; it never supports a classification.</w:t>
      </w:r>
      <w:bookmarkEnd w:id="219"/>
    </w:p>
    <w:p w14:paraId="2FC0E49C" w14:textId="77777777" w:rsidR="00723F18" w:rsidRDefault="00000000">
      <w:pPr>
        <w:pStyle w:val="Heading3"/>
      </w:pPr>
      <w:r>
        <w:t>26.2 Evidence rules</w:t>
      </w:r>
    </w:p>
    <w:p w14:paraId="160EF2B7" w14:textId="77777777" w:rsidR="00723F18" w:rsidRDefault="00000000">
      <w:pPr>
        <w:pStyle w:val="FirstParagraph"/>
      </w:pPr>
      <w:bookmarkStart w:id="220" w:name="evidence-rules"/>
      <w:r>
        <w:t>The Accord applies four evidence rules. First, telemetry outranks recollection: a platform entry stands as the operational fact against any later account. Second, a gap in the record calls for explanation; it never supports an accusation. Third, evidence serves operations; no Party cites Accord telemetry in any external legal proceeding concerning sovereignty or status, per the Non-Prejudice Clause. Fourth, the Neutral Administrator certifies the integrity of every evidence stream annually and on complaint.</w:t>
      </w:r>
      <w:bookmarkEnd w:id="220"/>
    </w:p>
    <w:p w14:paraId="5682193E" w14:textId="77777777" w:rsidR="00723F18" w:rsidRDefault="00000000">
      <w:pPr>
        <w:pStyle w:val="Heading3"/>
      </w:pPr>
      <w:r>
        <w:t>26.3 Degraded-mode operation</w:t>
      </w:r>
    </w:p>
    <w:p w14:paraId="580F334B" w14:textId="77777777" w:rsidR="00723F18" w:rsidRDefault="00000000">
      <w:pPr>
        <w:pStyle w:val="FirstParagraph"/>
      </w:pPr>
      <w:bookmarkStart w:id="221" w:name="X37745d2f9d02694c51e28ffa9d32e73a1669c1e"/>
      <w:bookmarkStart w:id="222" w:name="degraded-mode-operation"/>
      <w:r>
        <w:t xml:space="preserve">Where a sensor stream fails, the remaining streams carry the record and the failed stream’s operator restores service within forty-eight (48) hours. The Convergence Standard adapts automatically: during a degraded window, single-stream anomalies route to the Joint Watch for immediate human corroboration. A degradation event never suspends transit, </w:t>
      </w:r>
      <w:r>
        <w:lastRenderedPageBreak/>
        <w:t>and a degraded window beyond seventy-two (72) hours opens a technical consultation under Article 42.</w:t>
      </w:r>
      <w:bookmarkEnd w:id="221"/>
      <w:bookmarkEnd w:id="222"/>
    </w:p>
    <w:p w14:paraId="5A2FA0EE" w14:textId="77777777" w:rsidR="00723F18" w:rsidRDefault="00000000">
      <w:pPr>
        <w:pStyle w:val="Heading2"/>
      </w:pPr>
      <w:bookmarkStart w:id="223" w:name="__RefHeading___Toc6442_2939721771"/>
      <w:bookmarkEnd w:id="223"/>
      <w:r>
        <w:t>Article 27: The Joint Watch and Human Anchoring</w:t>
      </w:r>
    </w:p>
    <w:p w14:paraId="703DBEBF" w14:textId="77777777" w:rsidR="00723F18" w:rsidRDefault="00000000">
      <w:pPr>
        <w:pStyle w:val="Heading3"/>
      </w:pPr>
      <w:r>
        <w:t>27.1 The Joint Watch</w:t>
      </w:r>
    </w:p>
    <w:p w14:paraId="0BCBA1FF" w14:textId="77777777" w:rsidR="00723F18" w:rsidRDefault="00000000">
      <w:pPr>
        <w:pStyle w:val="FirstParagraph"/>
      </w:pPr>
      <w:bookmarkStart w:id="224" w:name="the-joint-watch"/>
      <w:r>
        <w:t>The Joint Watch constitutes the human anchor of the verification architecture. It staffs both centers continuously: per watch, two Iranian officers, two Omani officers, one Qatari officer, and one officer from the neutral roster drawn from the facilitating states. Every officer reads every screen. Every handover closes with a joint note signed by the outgoing and incoming watch pairs.</w:t>
      </w:r>
      <w:bookmarkEnd w:id="224"/>
    </w:p>
    <w:p w14:paraId="1E1269D0" w14:textId="77777777" w:rsidR="00723F18" w:rsidRDefault="00000000">
      <w:pPr>
        <w:pStyle w:val="Heading3"/>
      </w:pPr>
      <w:r>
        <w:t>27.2 The fifteen-minute objection rule</w:t>
      </w:r>
    </w:p>
    <w:p w14:paraId="4372108D" w14:textId="77777777" w:rsidR="00723F18" w:rsidRDefault="00000000">
      <w:pPr>
        <w:pStyle w:val="FirstParagraph"/>
      </w:pPr>
      <w:bookmarkStart w:id="225" w:name="the-fifteen-minute-objection-rule"/>
      <w:r>
        <w:t>An officer who disputes a classification, a treatment decision, or an incident entry files the objection in the log within fifteen (15) minutes of the event. A filed objection freezes no traffic and no operation; it preserves the objection against the raw data frame, and the Technical and Standards Committee reviews every filed objection within seventy-two (72) hours. An unfiled dispute carries no operational weight: the watch floor speaks through its log or stays silent.</w:t>
      </w:r>
      <w:bookmarkEnd w:id="225"/>
    </w:p>
    <w:p w14:paraId="09F1CFB6" w14:textId="77777777" w:rsidR="00723F18" w:rsidRDefault="00000000">
      <w:pPr>
        <w:pStyle w:val="Heading3"/>
      </w:pPr>
      <w:r>
        <w:t>27.3 Human judgment above automation</w:t>
      </w:r>
    </w:p>
    <w:p w14:paraId="1CBA2E78" w14:textId="77777777" w:rsidR="00723F18" w:rsidRDefault="00000000">
      <w:pPr>
        <w:pStyle w:val="FirstParagraph"/>
      </w:pPr>
      <w:bookmarkStart w:id="226" w:name="human-judgment-above-automation"/>
      <w:bookmarkStart w:id="227" w:name="X1ef7d126c39b7cd5b655544e89073c2e25cc323"/>
      <w:r>
        <w:t>Automated systems flag and present evidence. Human officers review, consult, and decide. No automated process classifies an incident, suspends a service, or triggers a compliance consequence. The architecture reserves every classification to named human officers acting on convergent evidence, so that no algorithm ever holds the power of accusation between sovereigns.</w:t>
      </w:r>
      <w:bookmarkEnd w:id="226"/>
      <w:bookmarkEnd w:id="227"/>
    </w:p>
    <w:p w14:paraId="2D9571A9" w14:textId="77777777" w:rsidR="00723F18" w:rsidRDefault="00000000">
      <w:pPr>
        <w:pStyle w:val="Heading2"/>
      </w:pPr>
      <w:bookmarkStart w:id="228" w:name="__RefHeading___Toc6444_2939721771"/>
      <w:bookmarkEnd w:id="228"/>
      <w:r>
        <w:t>Article 28: Data Custody, Escrow, and the Technical Arbitration Window</w:t>
      </w:r>
    </w:p>
    <w:p w14:paraId="59361F7C" w14:textId="77777777" w:rsidR="00723F18" w:rsidRDefault="00000000">
      <w:pPr>
        <w:pStyle w:val="Heading3"/>
      </w:pPr>
      <w:r>
        <w:t>28.1 The data vault</w:t>
      </w:r>
    </w:p>
    <w:p w14:paraId="0C62AFA4" w14:textId="77777777" w:rsidR="00723F18" w:rsidRDefault="00000000">
      <w:pPr>
        <w:pStyle w:val="FirstParagraph"/>
      </w:pPr>
      <w:bookmarkStart w:id="229" w:name="the-data-vault"/>
      <w:r>
        <w:t xml:space="preserve">All raw verification data vaults into an append-only escrow hosted by the Neutral Administrator, with cryptographic timestamping at ingestion and integrity </w:t>
      </w:r>
      <w:proofErr w:type="gramStart"/>
      <w:r>
        <w:t>proofs</w:t>
      </w:r>
      <w:proofErr w:type="gramEnd"/>
      <w:r>
        <w:t xml:space="preserve"> published daily. Each of Iran, Oman, and Qatar holds a key fragment; amendment or deletion of any historical record requires all three fragments plus the Administrator’s key, so no Party ever rewrites the record alone.</w:t>
      </w:r>
      <w:bookmarkEnd w:id="229"/>
    </w:p>
    <w:p w14:paraId="40F8E704" w14:textId="77777777" w:rsidR="00723F18" w:rsidRDefault="00000000">
      <w:pPr>
        <w:pStyle w:val="Heading3"/>
      </w:pPr>
      <w:r>
        <w:t>28.2 Access</w:t>
      </w:r>
    </w:p>
    <w:p w14:paraId="27C36663" w14:textId="77777777" w:rsidR="00723F18" w:rsidRDefault="00000000">
      <w:pPr>
        <w:pStyle w:val="FirstParagraph"/>
      </w:pPr>
      <w:bookmarkStart w:id="230" w:name="access"/>
      <w:r>
        <w:t xml:space="preserve">Every Party reads the full vault in real time. The public tier of the Open Water Bulletin publishes </w:t>
      </w:r>
      <w:proofErr w:type="gramStart"/>
      <w:r>
        <w:t>the operational</w:t>
      </w:r>
      <w:proofErr w:type="gramEnd"/>
      <w:r>
        <w:t xml:space="preserve"> summaries. Vessel-identifying commercial data remains confined to the Party tier under the privacy rules of Annex B, except where an incident file lawfully opens it to the Technical Arbitration Window.</w:t>
      </w:r>
      <w:bookmarkEnd w:id="230"/>
    </w:p>
    <w:p w14:paraId="0E3BA6F4" w14:textId="77777777" w:rsidR="00723F18" w:rsidRDefault="00000000">
      <w:pPr>
        <w:pStyle w:val="Heading3"/>
      </w:pPr>
      <w:r>
        <w:lastRenderedPageBreak/>
        <w:t>28.3 The Technical Arbitration Window</w:t>
      </w:r>
    </w:p>
    <w:p w14:paraId="2180A0F4" w14:textId="77777777" w:rsidR="00723F18" w:rsidRDefault="00000000">
      <w:pPr>
        <w:pStyle w:val="FirstParagraph"/>
      </w:pPr>
      <w:bookmarkStart w:id="231" w:name="the-technical-arbitration-window"/>
      <w:r>
        <w:t>A contested data question routes to the Technical Arbitration Window upon the request of any Party or upon a certified divergence between two evidence streams. The panel rules within seventy-two (72) hours on the raw data alone. The panel’s composition, referral formats, and ruling standards stand in Annex D. The ruling binds every operational trigger of the Accord from the moment of issue, and it carries no precedential weight in any forum outside the Accord.</w:t>
      </w:r>
      <w:bookmarkEnd w:id="231"/>
    </w:p>
    <w:p w14:paraId="5EAB80F6" w14:textId="77777777" w:rsidR="00723F18" w:rsidRDefault="00000000">
      <w:pPr>
        <w:pStyle w:val="Heading3"/>
      </w:pPr>
      <w:r>
        <w:t>28.4 No arbitration fatigue</w:t>
      </w:r>
    </w:p>
    <w:p w14:paraId="747F52C7" w14:textId="77777777" w:rsidR="00723F18" w:rsidRDefault="00000000">
      <w:pPr>
        <w:pStyle w:val="FirstParagraph"/>
      </w:pPr>
      <w:bookmarkStart w:id="232" w:name="part-v-verification-and-evidence"/>
      <w:bookmarkStart w:id="233" w:name="X9a3307d7a07fcce5bed8e9406c0a76dfc52cfb0"/>
      <w:bookmarkStart w:id="234" w:name="no-arbitration-fatigue"/>
      <w:r>
        <w:t xml:space="preserve">A Party that </w:t>
      </w:r>
      <w:proofErr w:type="gramStart"/>
      <w:r>
        <w:t>refers</w:t>
      </w:r>
      <w:proofErr w:type="gramEnd"/>
      <w:r>
        <w:t xml:space="preserve"> a question the panel finds frivolous under the standards of Annex D absorbs the panel’s costs for that referral, and three frivolous referrals in a window enter the referring Party’s conduct record under Article 39. The rule keeps </w:t>
      </w:r>
      <w:proofErr w:type="gramStart"/>
      <w:r>
        <w:t>the Window</w:t>
      </w:r>
      <w:proofErr w:type="gramEnd"/>
      <w:r>
        <w:t xml:space="preserve"> fast for real disputes and </w:t>
      </w:r>
      <w:proofErr w:type="gramStart"/>
      <w:r>
        <w:t>closed</w:t>
      </w:r>
      <w:proofErr w:type="gramEnd"/>
      <w:r>
        <w:t xml:space="preserve"> to harassment by referral.</w:t>
      </w:r>
      <w:bookmarkEnd w:id="232"/>
      <w:bookmarkEnd w:id="233"/>
      <w:bookmarkEnd w:id="234"/>
    </w:p>
    <w:p w14:paraId="53978E55" w14:textId="77777777" w:rsidR="00723F18" w:rsidRDefault="00000000">
      <w:pPr>
        <w:pStyle w:val="Heading1"/>
      </w:pPr>
      <w:bookmarkStart w:id="235" w:name="__RefHeading___Toc6446_2939721771"/>
      <w:bookmarkEnd w:id="235"/>
      <w:r>
        <w:t>Part VI: Security, Safety, and Environmental Protection</w:t>
      </w:r>
    </w:p>
    <w:p w14:paraId="783C3E66" w14:textId="77777777" w:rsidR="00723F18" w:rsidRDefault="00000000">
      <w:pPr>
        <w:pStyle w:val="Heading2"/>
      </w:pPr>
      <w:bookmarkStart w:id="236" w:name="__RefHeading___Toc6448_2939721771"/>
      <w:bookmarkEnd w:id="236"/>
      <w:r>
        <w:t>Article 29: The Non-Interdiction Protocol</w:t>
      </w:r>
    </w:p>
    <w:p w14:paraId="3A32C1FF" w14:textId="77777777" w:rsidR="00723F18" w:rsidRDefault="00000000">
      <w:pPr>
        <w:pStyle w:val="Heading3"/>
      </w:pPr>
      <w:r>
        <w:t>29.1 The protocol</w:t>
      </w:r>
    </w:p>
    <w:p w14:paraId="48491FB0" w14:textId="77777777" w:rsidR="00723F18" w:rsidRDefault="00000000">
      <w:pPr>
        <w:pStyle w:val="FirstParagraph"/>
      </w:pPr>
      <w:bookmarkStart w:id="237" w:name="the-protocol"/>
      <w:r>
        <w:t>Commercial transit operates under an absolute non-interdiction protocol within the Scheme Area from entry into force. The protocol covers every category of interference with a compliant commercial vessel: kinetic action, boarding, seizure, detention, diversion, delay, harassment, close approach, targeting-radar illumination, and interference with navigation systems. The protocol binds every Party and every organ and every agent of every Party equally, as a design feature of the shared architecture.</w:t>
      </w:r>
      <w:bookmarkEnd w:id="237"/>
    </w:p>
    <w:p w14:paraId="38518ACA" w14:textId="77777777" w:rsidR="00723F18" w:rsidRDefault="00000000">
      <w:pPr>
        <w:pStyle w:val="Heading3"/>
      </w:pPr>
      <w:r>
        <w:t>29.2 The mirror rule</w:t>
      </w:r>
    </w:p>
    <w:p w14:paraId="2B4637C8" w14:textId="77777777" w:rsidR="00723F18" w:rsidRDefault="00000000">
      <w:pPr>
        <w:pStyle w:val="FirstParagraph"/>
      </w:pPr>
      <w:bookmarkStart w:id="238" w:name="the-mirror-rule"/>
      <w:r>
        <w:t>In reciprocity and under the same architecture, the framework suspends interdiction operations against non-sanctioned commercial shipping of every flag within the Scheme Area for the life of the Accord. The two rules pair as one measure: the Shared Evidence Platform confirms both, and a verified failure on either side routes to the compliance engine of Part VIII, never to unilateral posture restoration.</w:t>
      </w:r>
      <w:bookmarkEnd w:id="238"/>
    </w:p>
    <w:p w14:paraId="3FD6C9AD" w14:textId="77777777" w:rsidR="00723F18" w:rsidRDefault="00000000">
      <w:pPr>
        <w:pStyle w:val="Heading3"/>
      </w:pPr>
      <w:r>
        <w:t>29.3 Compliant vessel defined</w:t>
      </w:r>
    </w:p>
    <w:p w14:paraId="2E03B968" w14:textId="77777777" w:rsidR="00723F18" w:rsidRDefault="00000000">
      <w:pPr>
        <w:pStyle w:val="FirstParagraph"/>
      </w:pPr>
      <w:bookmarkStart w:id="239" w:name="compliant-vessel-defined"/>
      <w:r>
        <w:t>A compliant vessel is a vessel holding an acknowledged declaration or proceeding under the open rule of Corridor Two or the free-navigation rule of Corridor Three, and any vessel proceeding under the non-compliant record pathway of Article 12.6 to or from a holding anchorage. The protocol protects each equally. A vessel’s failure of a documentation field changes its processing channel; it never changes its protected status against interdiction at sea.</w:t>
      </w:r>
      <w:bookmarkEnd w:id="239"/>
    </w:p>
    <w:p w14:paraId="5FEC902A" w14:textId="77777777" w:rsidR="00723F18" w:rsidRDefault="00000000">
      <w:pPr>
        <w:pStyle w:val="Heading3"/>
      </w:pPr>
      <w:r>
        <w:lastRenderedPageBreak/>
        <w:t>29.4 No exception by silence</w:t>
      </w:r>
    </w:p>
    <w:p w14:paraId="11637CBE" w14:textId="77777777" w:rsidR="00723F18" w:rsidRDefault="00000000">
      <w:pPr>
        <w:pStyle w:val="FirstParagraph"/>
      </w:pPr>
      <w:bookmarkStart w:id="240" w:name="no-exception-by-silence"/>
      <w:r>
        <w:t>The protocol admits no exception by silence, by custom, or by claimed necessity. A claimed security emergency activates the incident procedures of Article 33 and the emergency brake of Article 38. It never activates ad hoc interdiction.</w:t>
      </w:r>
      <w:bookmarkEnd w:id="240"/>
    </w:p>
    <w:p w14:paraId="30B54490" w14:textId="77777777" w:rsidR="00723F18" w:rsidRDefault="00000000">
      <w:pPr>
        <w:pStyle w:val="Heading3"/>
      </w:pPr>
      <w:r>
        <w:t>29.5 Excluded measures</w:t>
      </w:r>
    </w:p>
    <w:p w14:paraId="3514235A" w14:textId="77777777" w:rsidR="00723F18" w:rsidRDefault="00000000">
      <w:pPr>
        <w:pStyle w:val="FirstParagraph"/>
      </w:pPr>
      <w:bookmarkStart w:id="241" w:name="excluded-measures"/>
      <w:bookmarkStart w:id="242" w:name="article-29-the-non-interdiction-protocol"/>
      <w:r>
        <w:t>The following measures have no place anywhere in the Scheme Area: tolls or charges on transit; permission regimes; boarding of transiting vessels; route assignment by flag or destination; mining; the placing of hazards; harassment by small craft; the jamming or spoofing of navigation signals; and the illumination of transiting commercial vessels with fire-control radar or targeting systems. The Operations System maintains a signal-integrity watch with land-based receivers at Muscat, Bandar Abbas, and Doha, and a detected interference event opens an incident file under Article 33 automatically.</w:t>
      </w:r>
      <w:bookmarkEnd w:id="241"/>
      <w:bookmarkEnd w:id="242"/>
    </w:p>
    <w:p w14:paraId="609D01C5" w14:textId="77777777" w:rsidR="00723F18" w:rsidRDefault="00000000">
      <w:pPr>
        <w:pStyle w:val="Heading2"/>
      </w:pPr>
      <w:bookmarkStart w:id="243" w:name="__RefHeading___Toc6450_2939721771"/>
      <w:bookmarkEnd w:id="243"/>
      <w:r>
        <w:t>Article 30: Standoff Geometry and Naval De-confliction</w:t>
      </w:r>
    </w:p>
    <w:p w14:paraId="0259C6C0" w14:textId="77777777" w:rsidR="00723F18" w:rsidRDefault="00000000">
      <w:pPr>
        <w:pStyle w:val="Heading3"/>
      </w:pPr>
      <w:r>
        <w:t>30.1 The corridor buffer</w:t>
      </w:r>
    </w:p>
    <w:p w14:paraId="492A619B" w14:textId="77777777" w:rsidR="00723F18" w:rsidRDefault="00000000">
      <w:pPr>
        <w:pStyle w:val="FirstParagraph"/>
      </w:pPr>
      <w:bookmarkStart w:id="244" w:name="the-corridor-buffer"/>
      <w:r>
        <w:t>The framework architecture establishes a ten (10) nautical mile no-fire buffer around each active commercial corridor stream, measured from the corridor boundaries. Inside the buffer, the architecture excludes live-fire activity, weapons deployments, offensive maneuvers, and active targeting radars of the forces of every Party.</w:t>
      </w:r>
      <w:bookmarkEnd w:id="244"/>
    </w:p>
    <w:p w14:paraId="79EF5771" w14:textId="77777777" w:rsidR="00723F18" w:rsidRDefault="00000000">
      <w:pPr>
        <w:pStyle w:val="Heading3"/>
      </w:pPr>
      <w:r>
        <w:t>30.2 The separation posture</w:t>
      </w:r>
    </w:p>
    <w:p w14:paraId="6DFA7C9D" w14:textId="77777777" w:rsidR="00723F18" w:rsidRDefault="00000000">
      <w:pPr>
        <w:pStyle w:val="FirstParagraph"/>
      </w:pPr>
      <w:bookmarkStart w:id="245" w:name="the-separation-posture"/>
      <w:r>
        <w:t xml:space="preserve">Military aircraft of the Parties maintain at least twenty-five (25) nautical miles of mutual separation inside the corridor airspace, operate with active transponders, and hold targeting-radar emissions silent during transit of the corridor airspace. Submerged operations stand excluded within fifteen (15) nautical miles of the corridor boundaries absent explicit advance clearance through the Operations System. Armed surface vessels of the Parties hold </w:t>
      </w:r>
      <w:proofErr w:type="gramStart"/>
      <w:r>
        <w:t>station</w:t>
      </w:r>
      <w:proofErr w:type="gramEnd"/>
      <w:r>
        <w:t xml:space="preserve"> outside the corridor buffers except under the escort protocol of Article 30.5.</w:t>
      </w:r>
      <w:bookmarkEnd w:id="245"/>
    </w:p>
    <w:p w14:paraId="3D8B88E6" w14:textId="77777777" w:rsidR="00723F18" w:rsidRDefault="00000000">
      <w:pPr>
        <w:pStyle w:val="Heading3"/>
      </w:pPr>
      <w:r>
        <w:t>30.3 Monitoring</w:t>
      </w:r>
    </w:p>
    <w:p w14:paraId="2D0FAEC1" w14:textId="77777777" w:rsidR="00723F18" w:rsidRDefault="00000000">
      <w:pPr>
        <w:pStyle w:val="FirstParagraph"/>
      </w:pPr>
      <w:bookmarkStart w:id="246" w:name="monitoring"/>
      <w:r>
        <w:t xml:space="preserve">Coastal radar of the stewards, the mirror </w:t>
      </w:r>
      <w:proofErr w:type="gramStart"/>
      <w:r>
        <w:t>watch</w:t>
      </w:r>
      <w:proofErr w:type="gramEnd"/>
      <w:r>
        <w:t>, and the Observer Mission monitor the buffers continuously, and every incursion logs automatically on the Shared Evidence Platform with position, track, and duration. The buffer binds every Party equally as a design feature: a shared safety shell around the shipping of all nations.</w:t>
      </w:r>
      <w:bookmarkEnd w:id="246"/>
    </w:p>
    <w:p w14:paraId="4DAFFBBA" w14:textId="77777777" w:rsidR="00723F18" w:rsidRDefault="00000000">
      <w:pPr>
        <w:pStyle w:val="Heading3"/>
      </w:pPr>
      <w:r>
        <w:t>30.4 The military de-confliction channel</w:t>
      </w:r>
    </w:p>
    <w:p w14:paraId="7358F1B3" w14:textId="77777777" w:rsidR="00723F18" w:rsidRDefault="00000000">
      <w:pPr>
        <w:pStyle w:val="FirstParagraph"/>
      </w:pPr>
      <w:bookmarkStart w:id="247" w:name="the-military-de-confliction-channel"/>
      <w:r>
        <w:t xml:space="preserve">The Accord operates a dedicated, encrypted voice and data network connecting four nodes: the United States naval liaison at the Commission; the naval headquarters of the Islamic Republic of Iran at Bandar Abbas; the Royal Navy of Oman operations center at Muscat; and the Armed Forces of the State of Qatar operations center at Doha, with the Operations System as the switching center. The network carries operational traffic only: stand-down </w:t>
      </w:r>
      <w:r>
        <w:lastRenderedPageBreak/>
        <w:t>confirmations, position reports, hazard warnings, incident notifications, and the message forms of Annex I. Political statements route through the facilitator diplomatic channel, never through the de-confliction line. Each node answers a line inquiry within two (2) hours. The network operates continuously from entry into force, and it survives suspension, survives exit, and operates under every flow state.</w:t>
      </w:r>
      <w:bookmarkEnd w:id="247"/>
    </w:p>
    <w:p w14:paraId="363D45C8" w14:textId="77777777" w:rsidR="00723F18" w:rsidRDefault="00000000">
      <w:pPr>
        <w:pStyle w:val="Heading3"/>
      </w:pPr>
      <w:r>
        <w:t>30.5 The escort protocol</w:t>
      </w:r>
    </w:p>
    <w:p w14:paraId="67AAD6E8" w14:textId="77777777" w:rsidR="00723F18" w:rsidRDefault="00000000">
      <w:pPr>
        <w:pStyle w:val="FirstParagraph"/>
      </w:pPr>
      <w:bookmarkStart w:id="248" w:name="the-escort-protocol"/>
      <w:r>
        <w:t xml:space="preserve">A Party providing naval </w:t>
      </w:r>
      <w:proofErr w:type="gramStart"/>
      <w:r>
        <w:t>escort</w:t>
      </w:r>
      <w:proofErr w:type="gramEnd"/>
      <w:r>
        <w:t xml:space="preserve"> to commercial traffic </w:t>
      </w:r>
      <w:proofErr w:type="gramStart"/>
      <w:r>
        <w:t>files</w:t>
      </w:r>
      <w:proofErr w:type="gramEnd"/>
      <w:r>
        <w:t xml:space="preserve"> the escort plan with the Operations System seventy-two (72) hours in advance: units, routes, timings. Escorting units transit the Scheme Area in escort formation at corridor edge, outside the commercial stream, with active transponders and silent targeting systems. The Operations System publishes the escort schedule in the daily traffic plan. Escort is a notified, transparent, bounded activity under the scheme, never a patrol of the corridors and never a presence in the separation belts.</w:t>
      </w:r>
      <w:bookmarkEnd w:id="248"/>
    </w:p>
    <w:p w14:paraId="2003668A" w14:textId="77777777" w:rsidR="00723F18" w:rsidRDefault="00000000">
      <w:pPr>
        <w:pStyle w:val="Heading3"/>
      </w:pPr>
      <w:r>
        <w:t>30.6 Notice of exercises</w:t>
      </w:r>
    </w:p>
    <w:p w14:paraId="3D8170F5" w14:textId="77777777" w:rsidR="00723F18" w:rsidRDefault="00000000">
      <w:pPr>
        <w:pStyle w:val="FirstParagraph"/>
      </w:pPr>
      <w:bookmarkStart w:id="249" w:name="notice-of-exercises"/>
      <w:r>
        <w:t>Each Party provides the Operations System seventy-two (72) hours advance notice of any live-fire exercise, missile test, or major fleet movement within one hundred (100) nautical miles of the Scheme Area, and the Operations System relays the notice to all nodes within six (6) hours and publishes the traffic impact assessment in the daily plan.</w:t>
      </w:r>
      <w:bookmarkEnd w:id="249"/>
    </w:p>
    <w:p w14:paraId="29D74304" w14:textId="77777777" w:rsidR="00723F18" w:rsidRDefault="00000000">
      <w:pPr>
        <w:pStyle w:val="Heading3"/>
      </w:pPr>
      <w:r>
        <w:t>30.7 Military and state traffic</w:t>
      </w:r>
    </w:p>
    <w:p w14:paraId="4232CC64" w14:textId="77777777" w:rsidR="00723F18" w:rsidRDefault="00000000">
      <w:pPr>
        <w:pStyle w:val="FirstParagraph"/>
      </w:pPr>
      <w:bookmarkStart w:id="250" w:name="military-and-state-traffic"/>
      <w:r>
        <w:t>State vessels and military vessels of the Parties transit the Scheme Area outside the commercial stream, on direct routes, with active transponders, at constant speed, and with notice to the Operations System no less than six (6) hours in advance. The Operations System de-conflicts such movements against the commercial picture and the escort schedule.</w:t>
      </w:r>
      <w:bookmarkEnd w:id="250"/>
    </w:p>
    <w:p w14:paraId="31D7ED4C" w14:textId="77777777" w:rsidR="00723F18" w:rsidRDefault="00000000">
      <w:pPr>
        <w:pStyle w:val="Heading3"/>
      </w:pPr>
      <w:r>
        <w:t>30.8 No kinetic enforcement</w:t>
      </w:r>
    </w:p>
    <w:p w14:paraId="43B755B3" w14:textId="77777777" w:rsidR="00723F18" w:rsidRDefault="00000000">
      <w:pPr>
        <w:pStyle w:val="FirstParagraph"/>
      </w:pPr>
      <w:bookmarkStart w:id="251" w:name="X93839741902be66f697dd2f1c4dcdb7a2fa38e3"/>
      <w:bookmarkStart w:id="252" w:name="no-kinetic-enforcement"/>
      <w:r>
        <w:t xml:space="preserve">The framework architecture excludes kinetic enforcement mechanisms from the compliance system of this Accord. No compliance event, no classification, and no suspension under this Accord authorizes, triggers, or justifies the use of military force by any Party. Military decisions </w:t>
      </w:r>
      <w:proofErr w:type="gramStart"/>
      <w:r>
        <w:t>activate</w:t>
      </w:r>
      <w:proofErr w:type="gramEnd"/>
      <w:r>
        <w:t xml:space="preserve"> only through the separate constitutional procedures of each Party, and this separation stands absolute and non-waivable.</w:t>
      </w:r>
      <w:bookmarkEnd w:id="251"/>
      <w:bookmarkEnd w:id="252"/>
    </w:p>
    <w:p w14:paraId="6B5F8CBD" w14:textId="77777777" w:rsidR="00723F18" w:rsidRDefault="00000000">
      <w:pPr>
        <w:pStyle w:val="Heading2"/>
      </w:pPr>
      <w:bookmarkStart w:id="253" w:name="__RefHeading___Toc6452_2939721771"/>
      <w:bookmarkEnd w:id="253"/>
      <w:r>
        <w:t>Article 31: Search and Rescue</w:t>
      </w:r>
    </w:p>
    <w:p w14:paraId="4BA73143" w14:textId="77777777" w:rsidR="00723F18" w:rsidRDefault="00000000">
      <w:pPr>
        <w:pStyle w:val="Heading3"/>
      </w:pPr>
      <w:r>
        <w:t>31.1 Responsibility map</w:t>
      </w:r>
    </w:p>
    <w:p w14:paraId="6819A1E4" w14:textId="77777777" w:rsidR="00723F18" w:rsidRDefault="00000000">
      <w:pPr>
        <w:pStyle w:val="FirstParagraph"/>
      </w:pPr>
      <w:bookmarkStart w:id="254" w:name="responsibility-map"/>
      <w:r>
        <w:t>Search and rescue in the Scheme Area operates on a sector map: the Northern Steward coordinates response in Corridor One, the Southern Steward in Corridor Three, and the Operations System coordinates Corridor Two on a joint roster drawn from both stewards and the Qatari rescue service. Response is a humanitarian function under this Accord, and it operates under every flow state, every classification, and every suspension.</w:t>
      </w:r>
      <w:bookmarkEnd w:id="254"/>
    </w:p>
    <w:p w14:paraId="3A649DC4" w14:textId="77777777" w:rsidR="00723F18" w:rsidRDefault="00000000">
      <w:pPr>
        <w:pStyle w:val="Heading3"/>
      </w:pPr>
      <w:r>
        <w:lastRenderedPageBreak/>
        <w:t>31.2 Standards</w:t>
      </w:r>
    </w:p>
    <w:p w14:paraId="41053E4C" w14:textId="77777777" w:rsidR="00723F18" w:rsidRDefault="00000000">
      <w:pPr>
        <w:pStyle w:val="FirstParagraph"/>
      </w:pPr>
      <w:bookmarkStart w:id="255" w:name="standards"/>
      <w:r>
        <w:t>Each steward maintains rescue readiness to the standards of Annex I: response craft on fifteen (15) minute notice inside the Strait approaches, medical evacuation arrangements, and the rescue communications plan. The stewards conduct one joint rescue exercise per window, observed by the Observer Mission.</w:t>
      </w:r>
      <w:bookmarkEnd w:id="255"/>
    </w:p>
    <w:p w14:paraId="0133B823" w14:textId="77777777" w:rsidR="00723F18" w:rsidRDefault="00000000">
      <w:pPr>
        <w:pStyle w:val="Heading3"/>
      </w:pPr>
      <w:r>
        <w:t>31.3 Assistance across the line</w:t>
      </w:r>
    </w:p>
    <w:p w14:paraId="382BD7FA" w14:textId="77777777" w:rsidR="00723F18" w:rsidRDefault="00000000">
      <w:pPr>
        <w:pStyle w:val="FirstParagraph"/>
      </w:pPr>
      <w:bookmarkStart w:id="256" w:name="article-31-search-and-rescue"/>
      <w:bookmarkStart w:id="257" w:name="assistance-across-the-line"/>
      <w:r>
        <w:t>Where the fastest capable response sits across a corridor boundary from a distress case, the responding unit enters the other corridor for the rescue under Operations System coordination, with the transit logged as a rescue entry. Rescue entries carry no operational or legal implication of any kind; saving life crosses every line this Accord draws.</w:t>
      </w:r>
      <w:bookmarkEnd w:id="256"/>
      <w:bookmarkEnd w:id="257"/>
    </w:p>
    <w:p w14:paraId="050973AF" w14:textId="77777777" w:rsidR="00723F18" w:rsidRDefault="00000000">
      <w:pPr>
        <w:pStyle w:val="Heading2"/>
      </w:pPr>
      <w:bookmarkStart w:id="258" w:name="__RefHeading___Toc6454_2939721771"/>
      <w:bookmarkEnd w:id="258"/>
      <w:r>
        <w:t>Article 32: Environmental Protection and Pollution Response</w:t>
      </w:r>
    </w:p>
    <w:p w14:paraId="56A7A1B1" w14:textId="77777777" w:rsidR="00723F18" w:rsidRDefault="00000000">
      <w:pPr>
        <w:pStyle w:val="Heading3"/>
      </w:pPr>
      <w:r>
        <w:t>32.1 The readiness posture</w:t>
      </w:r>
    </w:p>
    <w:p w14:paraId="77F2E814" w14:textId="77777777" w:rsidR="00723F18" w:rsidRDefault="00000000">
      <w:pPr>
        <w:pStyle w:val="FirstParagraph"/>
      </w:pPr>
      <w:bookmarkStart w:id="259" w:name="the-readiness-posture"/>
      <w:r>
        <w:t>The Cooperative Safety Fund finances a standing environmental readiness posture: boom and dispersant stockpiles at both steward bases, two dedicated response vessels on station, and the joint response plan of Annex I. The stewards operate the posture jointly under the coordination of the Operations System.</w:t>
      </w:r>
      <w:bookmarkEnd w:id="259"/>
    </w:p>
    <w:p w14:paraId="3CBE2CDE" w14:textId="77777777" w:rsidR="00723F18" w:rsidRDefault="00000000">
      <w:pPr>
        <w:pStyle w:val="Heading3"/>
      </w:pPr>
      <w:r>
        <w:t>32.2 The environmental registry</w:t>
      </w:r>
    </w:p>
    <w:p w14:paraId="66CC262D" w14:textId="77777777" w:rsidR="00723F18" w:rsidRDefault="00000000">
      <w:pPr>
        <w:pStyle w:val="FirstParagraph"/>
      </w:pPr>
      <w:bookmarkStart w:id="260" w:name="the-environmental-registry"/>
      <w:r>
        <w:t>The scheme operates the environmental registry of Article 22.6: every transiting vessel files evidence of pollution liability coverage through its protection and indemnity club, and the registry verifies the filings against the club confirmations. The registry exists to guarantee response capacity, and it never operates as a passage condition.</w:t>
      </w:r>
      <w:bookmarkEnd w:id="260"/>
    </w:p>
    <w:p w14:paraId="40E16AE8" w14:textId="77777777" w:rsidR="00723F18" w:rsidRDefault="00000000">
      <w:pPr>
        <w:pStyle w:val="Heading3"/>
      </w:pPr>
      <w:r>
        <w:t>32.3 Pollution events</w:t>
      </w:r>
    </w:p>
    <w:p w14:paraId="22CF28F7" w14:textId="77777777" w:rsidR="00723F18" w:rsidRDefault="00000000">
      <w:pPr>
        <w:pStyle w:val="FirstParagraph"/>
      </w:pPr>
      <w:bookmarkStart w:id="261" w:name="pollution-events"/>
      <w:r>
        <w:t>A pollution event in the Scheme Area activates the response plan immediately, led by the steward of the affected corridor with assistance across the line under the rescue-entry rule of Article 31.3 applied to environmental response. The polluter pays under applicable law outside this Accord; the Fund finances readiness, not liability.</w:t>
      </w:r>
      <w:bookmarkEnd w:id="261"/>
    </w:p>
    <w:p w14:paraId="006347AD" w14:textId="77777777" w:rsidR="00723F18" w:rsidRDefault="00000000">
      <w:pPr>
        <w:pStyle w:val="Heading3"/>
      </w:pPr>
      <w:r>
        <w:t>32.4 The environmental reporting line</w:t>
      </w:r>
    </w:p>
    <w:p w14:paraId="7BC1774F" w14:textId="77777777" w:rsidR="00723F18" w:rsidRDefault="00000000">
      <w:pPr>
        <w:pStyle w:val="FirstParagraph"/>
      </w:pPr>
      <w:bookmarkStart w:id="262" w:name="X83ba9d44efbedbe2891c963629903ebf4c9b72d"/>
      <w:bookmarkStart w:id="263" w:name="the-environmental-reporting-line"/>
      <w:r>
        <w:t xml:space="preserve">Every vessel in the Scheme Area reports pollution sightings to the Operations System on the working channel, and the Operations System logs every report on the Shared Evidence Platform with position and </w:t>
      </w:r>
      <w:proofErr w:type="gramStart"/>
      <w:r>
        <w:t>imagery where</w:t>
      </w:r>
      <w:proofErr w:type="gramEnd"/>
      <w:r>
        <w:t xml:space="preserve"> available. The Technical and Standards Committee reviews the environmental record quarterly and adjusts the readiness posture through the budget cycle.</w:t>
      </w:r>
      <w:bookmarkEnd w:id="262"/>
      <w:bookmarkEnd w:id="263"/>
    </w:p>
    <w:p w14:paraId="480B0C22" w14:textId="77777777" w:rsidR="00723F18" w:rsidRDefault="00000000">
      <w:pPr>
        <w:pStyle w:val="Heading2"/>
      </w:pPr>
      <w:bookmarkStart w:id="264" w:name="__RefHeading___Toc6456_2939721771"/>
      <w:bookmarkEnd w:id="264"/>
      <w:r>
        <w:lastRenderedPageBreak/>
        <w:t>Article 33: Incident Classification and Management</w:t>
      </w:r>
    </w:p>
    <w:p w14:paraId="6ADD54EF" w14:textId="77777777" w:rsidR="00723F18" w:rsidRDefault="00000000">
      <w:pPr>
        <w:pStyle w:val="Heading3"/>
      </w:pPr>
      <w:r>
        <w:t>33.1 The four tiers</w:t>
      </w:r>
    </w:p>
    <w:p w14:paraId="481033D5" w14:textId="77777777" w:rsidR="00723F18" w:rsidRDefault="00000000">
      <w:pPr>
        <w:pStyle w:val="FirstParagraph"/>
      </w:pPr>
      <w:bookmarkStart w:id="265" w:name="the-four-tiers"/>
      <w:r>
        <w:t>The Operations System classifies every incident in the Scheme Area in four tiers. Tier Alpha, navigational: groundings, collisions, mechanical casualties, weather events; the daily traffic plan and the stewards manage them. Tier Bravo, technical: data deficiencies, declaration failures, minor corridor deviations without pattern; the remediation channel of Article 12.6 manages them. Tier Charlie, security-relevant: unauthorized buffer incursion, interference event, unidentified contact, harassment short of attack; the incident procedure of this Article manages them. Tier Delta, attack: kinetic action against a vessel, an observer, a steward facility, or an Operations System facility; the compliance engine of Part VIII engages at the highest level.</w:t>
      </w:r>
      <w:bookmarkEnd w:id="265"/>
    </w:p>
    <w:p w14:paraId="30A15882" w14:textId="77777777" w:rsidR="00723F18" w:rsidRDefault="00000000">
      <w:pPr>
        <w:pStyle w:val="Heading3"/>
      </w:pPr>
      <w:r>
        <w:t>33.2 The incident procedure</w:t>
      </w:r>
    </w:p>
    <w:p w14:paraId="38CD3CCF" w14:textId="77777777" w:rsidR="00723F18" w:rsidRDefault="00000000">
      <w:pPr>
        <w:pStyle w:val="FirstParagraph"/>
      </w:pPr>
      <w:bookmarkStart w:id="266" w:name="the-incident-procedure"/>
      <w:r>
        <w:t>A Tier Charlie or Tier Delta event activates four immediate operations. First, the Operations System issues an Operational Pause Notice for the affected segment within five (5) minutes, shifting that segment to Suspended Flow locally while every other segment continues under normal protocol and the fallback function reroutes traffic. Second, the de-confliction network carries the standard message form of Annex I to all nodes. Third, the Joint Technical Consultation of Article 42 convenes within two (2) hours on the evidence package. Fourth, the Operations System publishes the incident entry on the Shared Evidence Platform under the evidence rules of Article 26.</w:t>
      </w:r>
      <w:bookmarkEnd w:id="266"/>
    </w:p>
    <w:p w14:paraId="34A292EA" w14:textId="77777777" w:rsidR="00723F18" w:rsidRDefault="00000000">
      <w:pPr>
        <w:pStyle w:val="Heading3"/>
      </w:pPr>
      <w:r>
        <w:t>33.3 Attribution discipline</w:t>
      </w:r>
    </w:p>
    <w:p w14:paraId="5BEAD9F2" w14:textId="77777777" w:rsidR="00723F18" w:rsidRDefault="00000000">
      <w:pPr>
        <w:pStyle w:val="FirstParagraph"/>
      </w:pPr>
      <w:bookmarkStart w:id="267" w:name="attribution-discipline"/>
      <w:r>
        <w:t xml:space="preserve">Attribution follows the pathway of Article 41: forensic investigation precedes classification, a forty-eight (48) </w:t>
      </w:r>
      <w:proofErr w:type="gramStart"/>
      <w:r>
        <w:t>hour attribution</w:t>
      </w:r>
      <w:proofErr w:type="gramEnd"/>
      <w:r>
        <w:t xml:space="preserve"> deferral applies before any consequence assignment, and events attributable to rogue actors or false-flag operations stand outside bilateral consequences under the certified rogue-actor finding of Article 41.3. Ambiguity triggers investigation, never punishment.</w:t>
      </w:r>
      <w:bookmarkEnd w:id="267"/>
    </w:p>
    <w:p w14:paraId="5BB808EE" w14:textId="77777777" w:rsidR="00723F18" w:rsidRDefault="00000000">
      <w:pPr>
        <w:pStyle w:val="Heading3"/>
      </w:pPr>
      <w:r>
        <w:t>33.4 The pause lift</w:t>
      </w:r>
    </w:p>
    <w:p w14:paraId="3E3B8181" w14:textId="77777777" w:rsidR="00723F18" w:rsidRDefault="00000000">
      <w:pPr>
        <w:pStyle w:val="FirstParagraph"/>
      </w:pPr>
      <w:bookmarkStart w:id="268" w:name="X2a86efcc745e07d34f861c5d712e1219905acaf"/>
      <w:bookmarkStart w:id="269" w:name="Xfa8d71c7663fea97fd1b6000f4c362957dd6e4a"/>
      <w:bookmarkStart w:id="270" w:name="the-pause-lift"/>
      <w:r>
        <w:t>An Operational Pause lifts automatically upon certification by the Operations System that the hazard or the uncertainty resolves, and in every case within twenty-four (24) hours unless the Commission extends it by consensus against a documented continuing hazard. The pause protects traffic; it never punishes it.</w:t>
      </w:r>
      <w:bookmarkEnd w:id="268"/>
      <w:bookmarkEnd w:id="269"/>
      <w:bookmarkEnd w:id="270"/>
    </w:p>
    <w:p w14:paraId="0BE4130C" w14:textId="77777777" w:rsidR="00723F18" w:rsidRDefault="00000000">
      <w:pPr>
        <w:pStyle w:val="Heading1"/>
      </w:pPr>
      <w:bookmarkStart w:id="271" w:name="__RefHeading___Toc6458_2939721771"/>
      <w:bookmarkEnd w:id="271"/>
      <w:r>
        <w:lastRenderedPageBreak/>
        <w:t>Part VII: Step-Function Execution and Reciprocal Milestones</w:t>
      </w:r>
    </w:p>
    <w:p w14:paraId="47BB7D63" w14:textId="77777777" w:rsidR="00723F18" w:rsidRDefault="00000000">
      <w:pPr>
        <w:pStyle w:val="Heading2"/>
      </w:pPr>
      <w:bookmarkStart w:id="272" w:name="__RefHeading___Toc6460_2939721771"/>
      <w:bookmarkEnd w:id="272"/>
      <w:r>
        <w:t>Article 34: The Sixty-Day Trial Window</w:t>
      </w:r>
    </w:p>
    <w:p w14:paraId="7EC62A7C" w14:textId="77777777" w:rsidR="00723F18" w:rsidRDefault="00000000">
      <w:pPr>
        <w:pStyle w:val="Heading3"/>
      </w:pPr>
      <w:r>
        <w:t>34.1 The window</w:t>
      </w:r>
    </w:p>
    <w:p w14:paraId="1358C9FD" w14:textId="77777777" w:rsidR="00723F18" w:rsidRDefault="00000000">
      <w:pPr>
        <w:pStyle w:val="FirstParagraph"/>
      </w:pPr>
      <w:bookmarkStart w:id="273" w:name="the-window"/>
      <w:r>
        <w:t>The Accord operates on an initial sixty (60) day trial window, counted from entry into force under Article 48. The window divides into three phases: Phase One, Days 1 to 20; Phase Two, Days 21 to 40; Phase Three, Days 41 to 60. Each phase pairs a maritime milestone with an economic milestone, and the pair executes as one step under the self-executing mechanics of this Part.</w:t>
      </w:r>
      <w:bookmarkEnd w:id="273"/>
    </w:p>
    <w:p w14:paraId="5049BAF6" w14:textId="77777777" w:rsidR="00723F18" w:rsidRDefault="00000000">
      <w:pPr>
        <w:pStyle w:val="Heading3"/>
      </w:pPr>
      <w:r>
        <w:t>34.2 The design logic</w:t>
      </w:r>
    </w:p>
    <w:p w14:paraId="37965738" w14:textId="77777777" w:rsidR="00723F18" w:rsidRDefault="00000000">
      <w:pPr>
        <w:pStyle w:val="FirstParagraph"/>
      </w:pPr>
      <w:bookmarkStart w:id="274" w:name="the-design-logic-1"/>
      <w:r>
        <w:t xml:space="preserve">The window replaces a single leap of faith with a staircase of verified steps. Each step is small enough to survive a bad headline and large enough to matter. The staircase climbs in one direction only: banked performance never </w:t>
      </w:r>
      <w:proofErr w:type="spellStart"/>
      <w:r>
        <w:t>unbanks</w:t>
      </w:r>
      <w:proofErr w:type="spellEnd"/>
      <w:r>
        <w:t>, released value never claws back, and a later failure pauses future steps without erasing completed ones.</w:t>
      </w:r>
      <w:bookmarkEnd w:id="274"/>
    </w:p>
    <w:p w14:paraId="1D9CCFBF" w14:textId="77777777" w:rsidR="00723F18" w:rsidRDefault="00000000">
      <w:pPr>
        <w:pStyle w:val="Heading3"/>
      </w:pPr>
      <w:r>
        <w:t>34.3 The phase certificates</w:t>
      </w:r>
    </w:p>
    <w:p w14:paraId="23DA820B" w14:textId="77777777" w:rsidR="00723F18" w:rsidRDefault="00000000">
      <w:pPr>
        <w:pStyle w:val="FirstParagraph"/>
      </w:pPr>
      <w:bookmarkStart w:id="275" w:name="the-phase-certificates"/>
      <w:r>
        <w:t>The Neutral Administrator issues a phase certificate at each phase boundary where the record shows the phase conditions met. The certificate states the certified facts: the clean-day count, the certified corridor segments, the incident record, the trigger states. The certificate posts to the Shared Evidence Platform in identical form to all Parties, and it activates the next phase automatically.</w:t>
      </w:r>
      <w:bookmarkEnd w:id="275"/>
    </w:p>
    <w:p w14:paraId="10BBA78E" w14:textId="77777777" w:rsidR="00723F18" w:rsidRDefault="00000000">
      <w:pPr>
        <w:pStyle w:val="Heading3"/>
      </w:pPr>
      <w:r>
        <w:t>34.4 Clean day defined</w:t>
      </w:r>
    </w:p>
    <w:p w14:paraId="0A17B7F9" w14:textId="77777777" w:rsidR="00723F18" w:rsidRDefault="00000000">
      <w:pPr>
        <w:pStyle w:val="FirstParagraph"/>
      </w:pPr>
      <w:bookmarkStart w:id="276" w:name="clean-day-defined"/>
      <w:r>
        <w:t>A clean day records zero Tier Charlie and zero Tier Delta incidents across the Scheme Area on the daily status report. The count accumulates across phases and never resets within the window, except that a certified Tier Delta event pauses accrual from the event date until the compliance engine closes the incident file.</w:t>
      </w:r>
      <w:bookmarkEnd w:id="276"/>
    </w:p>
    <w:p w14:paraId="4AF98693" w14:textId="77777777" w:rsidR="00723F18" w:rsidRDefault="00000000">
      <w:pPr>
        <w:pStyle w:val="Heading3"/>
      </w:pPr>
      <w:r>
        <w:t>34.5 Review rhythm</w:t>
      </w:r>
    </w:p>
    <w:p w14:paraId="61AC9B4E" w14:textId="77777777" w:rsidR="00723F18" w:rsidRDefault="00000000">
      <w:pPr>
        <w:pStyle w:val="FirstParagraph"/>
      </w:pPr>
      <w:bookmarkStart w:id="277" w:name="article-34-the-sixty-day-trial-window"/>
      <w:bookmarkStart w:id="278" w:name="review-rhythm"/>
      <w:r>
        <w:t>The architecture review of Article 46 convenes at Day 60 against the full window record: transit counts, incident classifications, fund flows, waiver renewals, and the audit trail. Renewal occurs by silence; the review examines, and only a notice under Article 48 interrupts continuation.</w:t>
      </w:r>
      <w:bookmarkEnd w:id="277"/>
      <w:bookmarkEnd w:id="278"/>
    </w:p>
    <w:p w14:paraId="35CEDA60" w14:textId="77777777" w:rsidR="00723F18" w:rsidRDefault="00000000">
      <w:pPr>
        <w:pStyle w:val="Heading2"/>
      </w:pPr>
      <w:bookmarkStart w:id="279" w:name="__RefHeading___Toc6462_2939721771"/>
      <w:bookmarkEnd w:id="279"/>
      <w:r>
        <w:t>Article 35: Phase One (Days 1 to 20): Clearance, Certification, and the First Tranche</w:t>
      </w:r>
    </w:p>
    <w:p w14:paraId="5B9C62F3" w14:textId="77777777" w:rsidR="00723F18" w:rsidRDefault="00000000">
      <w:pPr>
        <w:pStyle w:val="Heading3"/>
      </w:pPr>
      <w:r>
        <w:t>35.1 The maritime milestone</w:t>
      </w:r>
    </w:p>
    <w:p w14:paraId="198CE876" w14:textId="77777777" w:rsidR="00723F18" w:rsidRDefault="00000000">
      <w:pPr>
        <w:pStyle w:val="FirstParagraph"/>
      </w:pPr>
      <w:bookmarkStart w:id="280" w:name="the-maritime-milestone"/>
      <w:r>
        <w:t>Phase One restores commercial transit through certified segments: Corridor Two certification first under Article 13.6, the acknowledgment engine live from Day 1, the daily traffic plan publishing, the stranded vessel schedule of Article 13.9 executing, and the non-</w:t>
      </w:r>
      <w:r>
        <w:lastRenderedPageBreak/>
        <w:t>interdiction protocol holding across the phase. The phase condition stands at: certification of the full Corridor Two and at least the eastern segments of Corridors One and Three, and no fewer than ten (10) consecutive clean days in the phase.</w:t>
      </w:r>
      <w:bookmarkEnd w:id="280"/>
    </w:p>
    <w:p w14:paraId="4DBEA4B9" w14:textId="77777777" w:rsidR="00723F18" w:rsidRDefault="00000000">
      <w:pPr>
        <w:pStyle w:val="Heading3"/>
      </w:pPr>
      <w:r>
        <w:t>35.2 The economic milestone</w:t>
      </w:r>
    </w:p>
    <w:p w14:paraId="25C22D58" w14:textId="77777777" w:rsidR="00723F18" w:rsidRDefault="00000000">
      <w:pPr>
        <w:pStyle w:val="FirstParagraph"/>
      </w:pPr>
      <w:bookmarkStart w:id="281" w:name="the-economic-milestone"/>
      <w:r>
        <w:t>Upon the Phase One certificate, the first economic trigger executes automatically: the release of a designated humanitarian and commercial tranche of frozen funds, in the amount and through the channels of Annex B, into the custody structure of Article 22.3. The tranche restricts to three categories: agricultural goods and food staples; medical supplies and pharmaceuticals; and equipment for civilian water and power infrastructure. Disbursement travels by direct vendor payment against verified procurement contracts.</w:t>
      </w:r>
      <w:bookmarkEnd w:id="281"/>
    </w:p>
    <w:p w14:paraId="25523E2B" w14:textId="77777777" w:rsidR="00723F18" w:rsidRDefault="00000000">
      <w:pPr>
        <w:pStyle w:val="Heading3"/>
      </w:pPr>
      <w:r>
        <w:t>35.3 The pairing</w:t>
      </w:r>
    </w:p>
    <w:p w14:paraId="5F27D01C" w14:textId="77777777" w:rsidR="00723F18" w:rsidRDefault="00000000">
      <w:pPr>
        <w:pStyle w:val="FirstParagraph"/>
      </w:pPr>
      <w:bookmarkStart w:id="282" w:name="the-pairing"/>
      <w:r>
        <w:t xml:space="preserve">The maritime milestone and the economic milestone pair as one step: certification of the corridors plus the clean-day count activates the tranche, and the tranche activates on telemetry alone. No signature ceremony, no further negotiation, and no additional condition </w:t>
      </w:r>
      <w:proofErr w:type="gramStart"/>
      <w:r>
        <w:t>stands</w:t>
      </w:r>
      <w:proofErr w:type="gramEnd"/>
      <w:r>
        <w:t xml:space="preserve"> between the certified record and the release.</w:t>
      </w:r>
      <w:bookmarkEnd w:id="282"/>
    </w:p>
    <w:p w14:paraId="1567AFDF" w14:textId="77777777" w:rsidR="00723F18" w:rsidRDefault="00000000">
      <w:pPr>
        <w:pStyle w:val="Heading3"/>
      </w:pPr>
      <w:r>
        <w:t>35.4 Insurance stabilization</w:t>
      </w:r>
    </w:p>
    <w:p w14:paraId="45D2AE7E" w14:textId="77777777" w:rsidR="00723F18" w:rsidRDefault="00000000">
      <w:pPr>
        <w:pStyle w:val="FirstParagraph"/>
      </w:pPr>
      <w:bookmarkStart w:id="283" w:name="insurance-stabilization"/>
      <w:bookmarkStart w:id="284" w:name="X0dddb83707d00a43a949b4787cdf70f4f8d6215"/>
      <w:r>
        <w:t>Phase One carries an insurance objective: the Commission and the IMO observer issue a joint safety statement to the protection and indemnity clubs upon each segment certification, and the Operations System opens the war-risk dialogue of Annex K. Premium movement follows certified performance, and the daily status report gives underwriters the evidence stream they price against.</w:t>
      </w:r>
      <w:bookmarkEnd w:id="283"/>
      <w:bookmarkEnd w:id="284"/>
    </w:p>
    <w:p w14:paraId="3E7CDF41" w14:textId="77777777" w:rsidR="00723F18" w:rsidRDefault="00000000">
      <w:pPr>
        <w:pStyle w:val="Heading2"/>
      </w:pPr>
      <w:bookmarkStart w:id="285" w:name="__RefHeading___Toc6464_2939721771"/>
      <w:bookmarkEnd w:id="285"/>
      <w:r>
        <w:t>Article 36: Phase Two (Days 21 to 40): Full Three-Corridor Operation and Energy Logistics Waivers</w:t>
      </w:r>
    </w:p>
    <w:p w14:paraId="578DA564" w14:textId="77777777" w:rsidR="00723F18" w:rsidRDefault="00000000">
      <w:pPr>
        <w:pStyle w:val="Heading3"/>
      </w:pPr>
      <w:r>
        <w:t>36.1 The maritime milestone</w:t>
      </w:r>
    </w:p>
    <w:p w14:paraId="700ED2EE" w14:textId="77777777" w:rsidR="00723F18" w:rsidRDefault="00000000">
      <w:pPr>
        <w:pStyle w:val="FirstParagraph"/>
      </w:pPr>
      <w:bookmarkStart w:id="286" w:name="the-maritime-milestone-1"/>
      <w:r>
        <w:t>Phase Two opens all three corridors at full depth: certification of every segment of Corridors One and Three completes, the clean-day count reaches thirty (30) cumulative days by the end of the phase, the Observer Mission stands at full roster, the stranded vessel backlog clears to the schedule of Annex E, and the first monthly stewardship performance report publishes.</w:t>
      </w:r>
      <w:bookmarkEnd w:id="286"/>
    </w:p>
    <w:p w14:paraId="03BED9FE" w14:textId="77777777" w:rsidR="00723F18" w:rsidRDefault="00000000">
      <w:pPr>
        <w:pStyle w:val="Heading3"/>
      </w:pPr>
      <w:r>
        <w:t>36.2 The economic milestone</w:t>
      </w:r>
    </w:p>
    <w:p w14:paraId="4BBD9D8B" w14:textId="77777777" w:rsidR="00723F18" w:rsidRDefault="00000000">
      <w:pPr>
        <w:pStyle w:val="FirstParagraph"/>
      </w:pPr>
      <w:bookmarkStart w:id="287" w:name="the-economic-milestone-1"/>
      <w:r>
        <w:t>Upon the Phase Two certificate, the second economic trigger executes automatically: the issuance and operation of expanded operational waivers for energy logistics, restoring the license architecture for energy exports under the volume framework of Annex B, with proceeds routing through the designated settlement channels into the custody structure. The waiver renews automatically at each thirty (30) day boundary on a clean record: renewal occurs by silence, and suspension occurs only through the step-back ladder of Article 40.</w:t>
      </w:r>
      <w:bookmarkEnd w:id="287"/>
    </w:p>
    <w:p w14:paraId="4451C725" w14:textId="77777777" w:rsidR="00723F18" w:rsidRDefault="00000000">
      <w:pPr>
        <w:pStyle w:val="Heading3"/>
      </w:pPr>
      <w:r>
        <w:lastRenderedPageBreak/>
        <w:t>36.3 The volume framework</w:t>
      </w:r>
    </w:p>
    <w:p w14:paraId="1051B4A1" w14:textId="77777777" w:rsidR="00723F18" w:rsidRDefault="00000000">
      <w:pPr>
        <w:pStyle w:val="FirstParagraph"/>
      </w:pPr>
      <w:bookmarkStart w:id="288" w:name="the-volume-framework"/>
      <w:r>
        <w:t xml:space="preserve">Annex B states the interim volume framework: the measurement points, the metering standard, the reporting cadence, and the reconciliation </w:t>
      </w:r>
      <w:proofErr w:type="gramStart"/>
      <w:r>
        <w:t>rules</w:t>
      </w:r>
      <w:proofErr w:type="gramEnd"/>
      <w:r>
        <w:t>. Metering feeds the Shared Evidence Platform hourly. The framework measures and reports; it does not ration passage, and it never touches the Zero-Toll Covenant.</w:t>
      </w:r>
      <w:bookmarkEnd w:id="288"/>
    </w:p>
    <w:p w14:paraId="298B4454" w14:textId="77777777" w:rsidR="00723F18" w:rsidRDefault="00000000">
      <w:pPr>
        <w:pStyle w:val="Heading3"/>
      </w:pPr>
      <w:r>
        <w:t>36.4 The pairing</w:t>
      </w:r>
    </w:p>
    <w:p w14:paraId="5EC91B10" w14:textId="77777777" w:rsidR="00723F18" w:rsidRDefault="00000000">
      <w:pPr>
        <w:pStyle w:val="FirstParagraph"/>
      </w:pPr>
      <w:bookmarkStart w:id="289" w:name="the-pairing-1"/>
      <w:bookmarkStart w:id="290" w:name="X1ec7ef6b8d9f650e3776fcb1f1a916eea4f358f"/>
      <w:r>
        <w:t xml:space="preserve">Sustained clean transit earns sustained economic operation. The pairing runs in both directions by design: a Party watching the platform sees the maritime record produce the </w:t>
      </w:r>
      <w:proofErr w:type="gramStart"/>
      <w:r>
        <w:t>waiver, and</w:t>
      </w:r>
      <w:proofErr w:type="gramEnd"/>
      <w:r>
        <w:t xml:space="preserve"> sees the waiver’s value depend on the maritime record. Each side’s compliance funds the other side’s recovery, and the loop tightens with every clean day.</w:t>
      </w:r>
      <w:bookmarkEnd w:id="289"/>
      <w:bookmarkEnd w:id="290"/>
    </w:p>
    <w:p w14:paraId="642018C4" w14:textId="77777777" w:rsidR="00723F18" w:rsidRDefault="00000000">
      <w:pPr>
        <w:pStyle w:val="Heading2"/>
      </w:pPr>
      <w:bookmarkStart w:id="291" w:name="__RefHeading___Toc6466_2939721771"/>
      <w:bookmarkEnd w:id="291"/>
      <w:r>
        <w:t>Article 37: Phase Three (Days 41 to 60): Consolidation, the Second Tranche, and Review</w:t>
      </w:r>
    </w:p>
    <w:p w14:paraId="3E62FCE2" w14:textId="77777777" w:rsidR="00723F18" w:rsidRDefault="00000000">
      <w:pPr>
        <w:pStyle w:val="Heading3"/>
      </w:pPr>
      <w:r>
        <w:t>37.1 The maritime milestone</w:t>
      </w:r>
    </w:p>
    <w:p w14:paraId="768C303B" w14:textId="77777777" w:rsidR="00723F18" w:rsidRDefault="00000000">
      <w:pPr>
        <w:pStyle w:val="FirstParagraph"/>
      </w:pPr>
      <w:bookmarkStart w:id="292" w:name="the-maritime-milestone-2"/>
      <w:r>
        <w:t>Phase Three consolidates: the clean-day count reaches fifty (50) cumulative days by Day 60, transit density recovers toward the pre-crisis baseline on the ramp of Annex E, the escort protocol operates at routine tempo, and the scheme publishes its first quarterly transparency pack: traffic, fund, audit, and performance.</w:t>
      </w:r>
      <w:bookmarkEnd w:id="292"/>
    </w:p>
    <w:p w14:paraId="7B23483B" w14:textId="77777777" w:rsidR="00723F18" w:rsidRDefault="00000000">
      <w:pPr>
        <w:pStyle w:val="Heading3"/>
      </w:pPr>
      <w:r>
        <w:t>37.2 The economic milestone</w:t>
      </w:r>
    </w:p>
    <w:p w14:paraId="139708EE" w14:textId="77777777" w:rsidR="00723F18" w:rsidRDefault="00000000">
      <w:pPr>
        <w:pStyle w:val="FirstParagraph"/>
      </w:pPr>
      <w:bookmarkStart w:id="293" w:name="the-economic-milestone-2"/>
      <w:r>
        <w:t>Upon the Phase Three certificate, the third economic trigger executes automatically: the release of a second designated tranche of frozen funds into the custody structure, in the amount and through the channels of Annex B, broadening the eligible categories to reconstruction-adjacent civilian equipment; and the capitalization of the Cooperative Safety Fund reaches its first full budget year baseline under the contribution framework of Article 21.</w:t>
      </w:r>
      <w:bookmarkEnd w:id="293"/>
    </w:p>
    <w:p w14:paraId="243E51ED" w14:textId="77777777" w:rsidR="00723F18" w:rsidRDefault="00000000">
      <w:pPr>
        <w:pStyle w:val="Heading3"/>
      </w:pPr>
      <w:r>
        <w:t>37.3 The review conference</w:t>
      </w:r>
    </w:p>
    <w:p w14:paraId="05D9C52C" w14:textId="77777777" w:rsidR="00723F18" w:rsidRDefault="00000000">
      <w:pPr>
        <w:pStyle w:val="FirstParagraph"/>
      </w:pPr>
      <w:bookmarkStart w:id="294" w:name="the-review-conference"/>
      <w:bookmarkStart w:id="295" w:name="Xcd7c393b6ce0ad0fce97420673adfd9ee38a583"/>
      <w:r>
        <w:t>The first architecture review convenes in Muscat at Day 60 under Omani chairmanship with Qatari vice-chairmanship: the Commission, the stewards’ technical leadership, the Neutral Administrator, and the technical observers. The review examines the full record and issues one of three findings: Continue (renewal by silence proceeds), Adjust (technical adjustments route through the correction channel), or Consult (a listed set of questions routes to the Parties through the facilitator channel, with the Accord continuing in force throughout the consultation).</w:t>
      </w:r>
      <w:bookmarkEnd w:id="294"/>
      <w:bookmarkEnd w:id="295"/>
    </w:p>
    <w:p w14:paraId="0E6DD4D2" w14:textId="77777777" w:rsidR="00723F18" w:rsidRDefault="00000000">
      <w:pPr>
        <w:pStyle w:val="Heading2"/>
      </w:pPr>
      <w:bookmarkStart w:id="296" w:name="__RefHeading___Toc6468_2939721771"/>
      <w:bookmarkEnd w:id="296"/>
      <w:r>
        <w:t>Article 38: The Emergency Brake and Reconstitution</w:t>
      </w:r>
    </w:p>
    <w:p w14:paraId="268A39BB" w14:textId="77777777" w:rsidR="00723F18" w:rsidRDefault="00000000">
      <w:pPr>
        <w:pStyle w:val="Heading3"/>
      </w:pPr>
      <w:r>
        <w:t>38.1 The brake</w:t>
      </w:r>
    </w:p>
    <w:p w14:paraId="1FD592AD" w14:textId="77777777" w:rsidR="00723F18" w:rsidRDefault="00000000">
      <w:pPr>
        <w:pStyle w:val="FirstParagraph"/>
      </w:pPr>
      <w:bookmarkStart w:id="297" w:name="the-brake"/>
      <w:r>
        <w:t xml:space="preserve">Any Party pauses the operation of the Accord with forty-eight (48) hours written notice through the facilitator channel, where it records a verifiable security violation: a certified </w:t>
      </w:r>
      <w:r>
        <w:lastRenderedPageBreak/>
        <w:t>Tier Delta event, a certified placement of a new hazard, or a certified interdiction of a compliant vessel. The notice states the violation, the evidence basis, and the pause scope.</w:t>
      </w:r>
      <w:bookmarkEnd w:id="297"/>
    </w:p>
    <w:p w14:paraId="5F68C539" w14:textId="77777777" w:rsidR="00723F18" w:rsidRDefault="00000000">
      <w:pPr>
        <w:pStyle w:val="Heading3"/>
      </w:pPr>
      <w:r>
        <w:t>38.2 What a pause does</w:t>
      </w:r>
    </w:p>
    <w:p w14:paraId="5162F565" w14:textId="77777777" w:rsidR="00723F18" w:rsidRDefault="00000000">
      <w:pPr>
        <w:pStyle w:val="FirstParagraph"/>
      </w:pPr>
      <w:bookmarkStart w:id="298" w:name="what-a-pause-does"/>
      <w:r>
        <w:t xml:space="preserve">A pause suspends the forward motion of the triggers: tranche releases, waiver renewals, and new service credit accrual stop at the pause date. A pause never </w:t>
      </w:r>
      <w:proofErr w:type="gramStart"/>
      <w:r>
        <w:t>reverses:</w:t>
      </w:r>
      <w:proofErr w:type="gramEnd"/>
      <w:r>
        <w:t xml:space="preserve"> banked clean days stay banked, released tranches stay released, corridor certifications stay certified. During a pause, the corridors continue to operate under the traffic rules of Part II for vessels already in the system, the humanitarian firewall of Article 40.4 operates in full, and the de-confliction network of Article 30.4 remains live.</w:t>
      </w:r>
      <w:bookmarkEnd w:id="298"/>
    </w:p>
    <w:p w14:paraId="5C6D0DCA" w14:textId="77777777" w:rsidR="00723F18" w:rsidRDefault="00000000">
      <w:pPr>
        <w:pStyle w:val="Heading3"/>
      </w:pPr>
      <w:r>
        <w:t>38.3 No penalty for braking</w:t>
      </w:r>
    </w:p>
    <w:p w14:paraId="5EB6E003" w14:textId="77777777" w:rsidR="00723F18" w:rsidRDefault="00000000">
      <w:pPr>
        <w:pStyle w:val="FirstParagraph"/>
      </w:pPr>
      <w:bookmarkStart w:id="299" w:name="no-penalty-for-braking"/>
      <w:r>
        <w:t>The brake never punishes the braker. A Party that pauses in good faith on a certified violation returns to full participation upon reconstitution with every banked position intact. A pause later certified as resting on a fabricated violation enters the braking Party’s conduct record under Article 39, and the fabricated claim itself classifies under that Article.</w:t>
      </w:r>
      <w:bookmarkEnd w:id="299"/>
    </w:p>
    <w:p w14:paraId="28BCC6EE" w14:textId="77777777" w:rsidR="00723F18" w:rsidRDefault="00000000">
      <w:pPr>
        <w:pStyle w:val="Heading3"/>
      </w:pPr>
      <w:r>
        <w:t>38.4 Reconstitution</w:t>
      </w:r>
    </w:p>
    <w:p w14:paraId="6D286B41" w14:textId="77777777" w:rsidR="00723F18" w:rsidRDefault="00000000">
      <w:pPr>
        <w:pStyle w:val="FirstParagraph"/>
      </w:pPr>
      <w:bookmarkStart w:id="300" w:name="reconstitution"/>
      <w:r>
        <w:t xml:space="preserve">Reconstitution reopens the paused triggers from the last certified checkpoint. The facilitator channel convenes the Parties within seventy-two (72) hours of a pause; the Neutral Administrator certifies the checkpoint record; and the Parties adopt a reconstitution note stating the resumption date and any technical adjustments. Reconstitution never renegotiates the Accord: the note executes the existing architecture from the checkpoint, and the continuity rule carries every </w:t>
      </w:r>
      <w:proofErr w:type="spellStart"/>
      <w:r>
        <w:t>unpaused</w:t>
      </w:r>
      <w:proofErr w:type="spellEnd"/>
      <w:r>
        <w:t xml:space="preserve"> provision forward without interruption.</w:t>
      </w:r>
      <w:bookmarkEnd w:id="300"/>
    </w:p>
    <w:p w14:paraId="42A791CD" w14:textId="77777777" w:rsidR="00723F18" w:rsidRDefault="00000000">
      <w:pPr>
        <w:pStyle w:val="Heading3"/>
      </w:pPr>
      <w:r>
        <w:t>38.5 Status quo ante</w:t>
      </w:r>
    </w:p>
    <w:p w14:paraId="3191429C" w14:textId="77777777" w:rsidR="00723F18" w:rsidRDefault="00000000">
      <w:pPr>
        <w:pStyle w:val="FirstParagraph"/>
      </w:pPr>
      <w:bookmarkStart w:id="301" w:name="Xd79df28c46a1cc5dd96f4f38f8cd071fc0d3b98"/>
      <w:bookmarkStart w:id="302" w:name="X9ebde6f5b95e038aa7c84b9494e6d57e5410da4"/>
      <w:bookmarkStart w:id="303" w:name="status-quo-ante"/>
      <w:r>
        <w:t>Where reconstitution fails within thirty (30) days of a pause, the Parties revert to the status quo ante without legal penalty or presumption of fault, and every Party preserves every legal position and every banked benefit as of the pause date. The architecture treats a failed pause as a storm passed, not a verdict rendered.</w:t>
      </w:r>
      <w:bookmarkEnd w:id="301"/>
      <w:bookmarkEnd w:id="302"/>
      <w:bookmarkEnd w:id="303"/>
    </w:p>
    <w:p w14:paraId="2CB52C0C" w14:textId="77777777" w:rsidR="00723F18" w:rsidRDefault="00000000">
      <w:pPr>
        <w:pStyle w:val="Heading1"/>
      </w:pPr>
      <w:bookmarkStart w:id="304" w:name="__RefHeading___Toc6470_2939721771"/>
      <w:bookmarkEnd w:id="304"/>
      <w:r>
        <w:t>Part VIII: Compliance, Step-Back, and Dispute Resolution</w:t>
      </w:r>
    </w:p>
    <w:p w14:paraId="3D6785E0" w14:textId="77777777" w:rsidR="00723F18" w:rsidRDefault="00000000">
      <w:pPr>
        <w:pStyle w:val="Heading2"/>
      </w:pPr>
      <w:bookmarkStart w:id="305" w:name="__RefHeading___Toc6472_2939721771"/>
      <w:bookmarkEnd w:id="305"/>
      <w:r>
        <w:t>Article 39: The Compliance Engine</w:t>
      </w:r>
    </w:p>
    <w:p w14:paraId="4787C116" w14:textId="77777777" w:rsidR="00723F18" w:rsidRDefault="00000000">
      <w:pPr>
        <w:pStyle w:val="Heading3"/>
      </w:pPr>
      <w:r>
        <w:t>39.1 Three categories of events</w:t>
      </w:r>
    </w:p>
    <w:p w14:paraId="3E07333F" w14:textId="77777777" w:rsidR="00723F18" w:rsidRDefault="00000000">
      <w:pPr>
        <w:pStyle w:val="FirstParagraph"/>
      </w:pPr>
      <w:bookmarkStart w:id="306" w:name="three-categories-of-events"/>
      <w:r>
        <w:t xml:space="preserve">The compliance engine classifies every verified deviation into three tiers. Tier One, operational deviations: isolated notice failures, minor geometry deviations, administrative shortfalls. Tier Two, material disruptions: pattern failures in service delivery, obstruction of observer functions, audit failures, double recovery under Article 24.4, fabrication of a brake notice. Tier Three, architectural breaches: kinetic action against a compliant vessel or an observer, placement of a hazard in a certified segment, collection of a charge on </w:t>
      </w:r>
      <w:r>
        <w:lastRenderedPageBreak/>
        <w:t xml:space="preserve">passage, unilateral closure of a corridor, diversion of Fund resources to military purposes, or </w:t>
      </w:r>
      <w:proofErr w:type="gramStart"/>
      <w:r>
        <w:t>a confirmed</w:t>
      </w:r>
      <w:proofErr w:type="gramEnd"/>
      <w:r>
        <w:t xml:space="preserve"> integrity breach of the data vault.</w:t>
      </w:r>
      <w:bookmarkEnd w:id="306"/>
    </w:p>
    <w:p w14:paraId="3545D1F4" w14:textId="77777777" w:rsidR="00723F18" w:rsidRDefault="00000000">
      <w:pPr>
        <w:pStyle w:val="Heading3"/>
      </w:pPr>
      <w:r>
        <w:t>39.2 The conduct record</w:t>
      </w:r>
    </w:p>
    <w:p w14:paraId="52943DDA" w14:textId="77777777" w:rsidR="00723F18" w:rsidRDefault="00000000">
      <w:pPr>
        <w:pStyle w:val="FirstParagraph"/>
      </w:pPr>
      <w:bookmarkStart w:id="307" w:name="the-conduct-record"/>
      <w:r>
        <w:t>The Neutral Administrator maintains the conduct record of each Party on the Shared Evidence Platform: every verified deviation, every classification, every restoration. The record publishes in full. No entry rests on a single evidence stream, and every entry carries the underlying convergent evidence package.</w:t>
      </w:r>
      <w:bookmarkEnd w:id="307"/>
    </w:p>
    <w:p w14:paraId="1C15C796" w14:textId="77777777" w:rsidR="00723F18" w:rsidRDefault="00000000">
      <w:pPr>
        <w:pStyle w:val="Heading3"/>
      </w:pPr>
      <w:r>
        <w:t>39.3 Classification procedure</w:t>
      </w:r>
    </w:p>
    <w:p w14:paraId="0A9694D8" w14:textId="77777777" w:rsidR="00723F18" w:rsidRDefault="00000000">
      <w:pPr>
        <w:pStyle w:val="FirstParagraph"/>
      </w:pPr>
      <w:bookmarkStart w:id="308" w:name="article-39-the-compliance-engine"/>
      <w:bookmarkStart w:id="309" w:name="classification-procedure"/>
      <w:r>
        <w:t xml:space="preserve">A classification proceeds in four steps: the evidence package assembles under the Convergence Standard; the Technical and Standards Committee reviews and recommends; the affected Party states its position within forty-eight (48) hours; and the classification posts to the conduct record. A Tier Three classification carries only with Commission confirmation under Article 14.2, and an unconfirmed Tier Three </w:t>
      </w:r>
      <w:proofErr w:type="gramStart"/>
      <w:r>
        <w:t>recommendation routes</w:t>
      </w:r>
      <w:proofErr w:type="gramEnd"/>
      <w:r>
        <w:t xml:space="preserve"> automatically to the facilitation tier of Article 42.2.</w:t>
      </w:r>
      <w:bookmarkEnd w:id="308"/>
      <w:bookmarkEnd w:id="309"/>
    </w:p>
    <w:p w14:paraId="4DD8E3A8" w14:textId="77777777" w:rsidR="00723F18" w:rsidRDefault="00000000">
      <w:pPr>
        <w:pStyle w:val="Heading2"/>
      </w:pPr>
      <w:bookmarkStart w:id="310" w:name="__RefHeading___Toc6474_2939721771"/>
      <w:bookmarkEnd w:id="310"/>
      <w:r>
        <w:t>Article 40: Step-Back, Earn-Back, and the Humanitarian Firewall</w:t>
      </w:r>
    </w:p>
    <w:p w14:paraId="14A27EEC" w14:textId="77777777" w:rsidR="00723F18" w:rsidRDefault="00000000">
      <w:pPr>
        <w:pStyle w:val="Heading3"/>
      </w:pPr>
      <w:r>
        <w:t>40.1 The step-back ladder</w:t>
      </w:r>
    </w:p>
    <w:p w14:paraId="38EBE3E0" w14:textId="77777777" w:rsidR="00723F18" w:rsidRDefault="00000000">
      <w:pPr>
        <w:pStyle w:val="FirstParagraph"/>
      </w:pPr>
      <w:bookmarkStart w:id="311" w:name="the-step-back-ladder"/>
      <w:r>
        <w:t xml:space="preserve">A verified deviation activates a graduated, proportionate response on a published ladder. </w:t>
      </w:r>
      <w:proofErr w:type="gramStart"/>
      <w:r>
        <w:t>Tier</w:t>
      </w:r>
      <w:proofErr w:type="gramEnd"/>
      <w:r>
        <w:t xml:space="preserve"> One events produce a remediation notice and a thirty (30) day correction window. Tier Two events pause the affected module’s discretionary benefits: service credit accrual for the affected corridor, or data service revenue share for the affected steward. Tier Three events pause the forward motion of the economic triggers of Part VII for the responsible Party, per the pairing logic of Article 34. A step-back never touches: the traffic rules of Part II, the non-interdiction protocol, the humanitarian firewall, the de-confliction network, or any banked position.</w:t>
      </w:r>
      <w:bookmarkEnd w:id="311"/>
    </w:p>
    <w:p w14:paraId="4C91CE6F" w14:textId="77777777" w:rsidR="00723F18" w:rsidRDefault="00000000">
      <w:pPr>
        <w:pStyle w:val="Heading3"/>
      </w:pPr>
      <w:r>
        <w:t>40.2 Proportionality</w:t>
      </w:r>
    </w:p>
    <w:p w14:paraId="10A94BCC" w14:textId="77777777" w:rsidR="00723F18" w:rsidRDefault="00000000">
      <w:pPr>
        <w:pStyle w:val="FirstParagraph"/>
      </w:pPr>
      <w:bookmarkStart w:id="312" w:name="proportionality"/>
      <w:r>
        <w:t>Every step-back matches the severity and duration of the deviation that triggers it. A minor deviation produces a minor consequence. The ladder never jumps tiers, and no deviation of one Party suspends the earned position of another.</w:t>
      </w:r>
      <w:bookmarkEnd w:id="312"/>
    </w:p>
    <w:p w14:paraId="49CD91EC" w14:textId="77777777" w:rsidR="00723F18" w:rsidRDefault="00000000">
      <w:pPr>
        <w:pStyle w:val="Heading3"/>
      </w:pPr>
      <w:r>
        <w:t>40.3 Earn-back</w:t>
      </w:r>
    </w:p>
    <w:p w14:paraId="6E63E924" w14:textId="77777777" w:rsidR="00723F18" w:rsidRDefault="00000000">
      <w:pPr>
        <w:pStyle w:val="FirstParagraph"/>
      </w:pPr>
      <w:bookmarkStart w:id="313" w:name="earn-back"/>
      <w:r>
        <w:t>Every step-back carries an automatic restoration pathway. A Party that cures the deviation and sustains thirty (30) clean days from the cure date returns to its pre-deviation position automatically: paused accruals resume, paused triggers resume, and the conduct record marks the restoration with the same prominence as the deviation. No deviation creates permanent exclusion.</w:t>
      </w:r>
      <w:bookmarkEnd w:id="313"/>
    </w:p>
    <w:p w14:paraId="09F40530" w14:textId="77777777" w:rsidR="00723F18" w:rsidRDefault="00000000">
      <w:pPr>
        <w:pStyle w:val="Heading3"/>
      </w:pPr>
      <w:r>
        <w:lastRenderedPageBreak/>
        <w:t>40.4 The humanitarian firewall</w:t>
      </w:r>
    </w:p>
    <w:p w14:paraId="7177C6B2" w14:textId="77777777" w:rsidR="00723F18" w:rsidRDefault="00000000">
      <w:pPr>
        <w:pStyle w:val="FirstParagraph"/>
      </w:pPr>
      <w:bookmarkStart w:id="314" w:name="Xc070a547188af365d506ec3d7f015ea021f6db2"/>
      <w:bookmarkStart w:id="315" w:name="the-humanitarian-firewall"/>
      <w:r>
        <w:t xml:space="preserve">No mechanism of this Accord </w:t>
      </w:r>
      <w:proofErr w:type="gramStart"/>
      <w:r>
        <w:t>reduces,</w:t>
      </w:r>
      <w:proofErr w:type="gramEnd"/>
      <w:r>
        <w:t xml:space="preserve"> delays, or conditions flows of food, medicine, medical equipment, relief personnel, or humanitarian payments, under any classification, any pause, any step-back, any suspension, or any exit. Class E vessels move in every flow state. Humanitarian disbursements from the custody structure continue under every scenario through the pre-cleared channels of Annex B. The firewall operates one way: it protects flows into humanitarian channels, and no Party ever invokes it to move value out.</w:t>
      </w:r>
      <w:bookmarkEnd w:id="314"/>
      <w:bookmarkEnd w:id="315"/>
    </w:p>
    <w:p w14:paraId="1B0E86B7" w14:textId="77777777" w:rsidR="00723F18" w:rsidRDefault="00000000">
      <w:pPr>
        <w:pStyle w:val="Heading2"/>
      </w:pPr>
      <w:bookmarkStart w:id="316" w:name="__RefHeading___Toc6476_2939721771"/>
      <w:bookmarkEnd w:id="316"/>
      <w:r>
        <w:t>Article 41: Attribution, Rogue Actors, and the Proxy Pathway</w:t>
      </w:r>
    </w:p>
    <w:p w14:paraId="1752CB43" w14:textId="77777777" w:rsidR="00723F18" w:rsidRDefault="00000000">
      <w:pPr>
        <w:pStyle w:val="Heading3"/>
      </w:pPr>
      <w:r>
        <w:t>41.1 Forensic sequence</w:t>
      </w:r>
    </w:p>
    <w:p w14:paraId="5E4C8654" w14:textId="77777777" w:rsidR="00723F18" w:rsidRDefault="00000000">
      <w:pPr>
        <w:pStyle w:val="FirstParagraph"/>
      </w:pPr>
      <w:bookmarkStart w:id="317" w:name="forensic-sequence"/>
      <w:r>
        <w:t>Attribution follows a fixed sequence: evidence preservation at the incident site under Observer Mission seal; forensic analysis by the Technical and Standards Committee with external expertise as the Committee invites; a forty-eight (48) hour attribution deferral before any classification; and classification under the Convergence Standard. No classification precedes the forensic record.</w:t>
      </w:r>
      <w:bookmarkEnd w:id="317"/>
    </w:p>
    <w:p w14:paraId="38CA3F2D" w14:textId="77777777" w:rsidR="00723F18" w:rsidRDefault="00000000">
      <w:pPr>
        <w:pStyle w:val="Heading3"/>
      </w:pPr>
      <w:r>
        <w:t>41.2 The proxy pathway</w:t>
      </w:r>
    </w:p>
    <w:p w14:paraId="41E66216" w14:textId="77777777" w:rsidR="00723F18" w:rsidRDefault="00000000">
      <w:pPr>
        <w:pStyle w:val="FirstParagraph"/>
      </w:pPr>
      <w:bookmarkStart w:id="318" w:name="the-proxy-pathway"/>
      <w:r>
        <w:t>Where an incident bears the signature of a proxy or aligned non-state actor, the Committee examines direction, control, supply, and sanctuary links on the evidence, and it states its findings as facts with confidence levels. A certified finding of direction or control by a Party classifies the incident against that Party. A certified finding of no direction or control routes the incident to the rogue-actor track of Article 41.3.</w:t>
      </w:r>
      <w:bookmarkEnd w:id="318"/>
    </w:p>
    <w:p w14:paraId="3E4DBD6F" w14:textId="77777777" w:rsidR="00723F18" w:rsidRDefault="00000000">
      <w:pPr>
        <w:pStyle w:val="Heading3"/>
      </w:pPr>
      <w:r>
        <w:t>41.3 The rogue-actor track</w:t>
      </w:r>
    </w:p>
    <w:p w14:paraId="47692430" w14:textId="77777777" w:rsidR="00723F18" w:rsidRDefault="00000000">
      <w:pPr>
        <w:pStyle w:val="FirstParagraph"/>
      </w:pPr>
      <w:bookmarkStart w:id="319" w:name="the-rogue-actor-track"/>
      <w:r>
        <w:t>An event certified as the act of a rogue actor, a false-flag operation, or an actor outside any Party’s direction or control stands outside bilateral consequences. The architecture answers such an event with system measures alone: corridor segment review, patrol intensification, escort window adjustments, and public evidence publication. The rogue-actor track protects the Accord from its enemies: an actor that attacks the scheme to break it discovers that the scheme bends, publishes, and continues.</w:t>
      </w:r>
      <w:bookmarkEnd w:id="319"/>
    </w:p>
    <w:p w14:paraId="279E2F9D" w14:textId="77777777" w:rsidR="00723F18" w:rsidRDefault="00000000">
      <w:pPr>
        <w:pStyle w:val="Heading3"/>
      </w:pPr>
      <w:r>
        <w:t>41.4 The false-claim safeguard</w:t>
      </w:r>
    </w:p>
    <w:p w14:paraId="7A955C45" w14:textId="77777777" w:rsidR="00723F18" w:rsidRDefault="00000000">
      <w:pPr>
        <w:pStyle w:val="FirstParagraph"/>
      </w:pPr>
      <w:bookmarkStart w:id="320" w:name="the-false-claim-safeguard"/>
      <w:bookmarkStart w:id="321" w:name="X1a60d581777b13bf6672de20568b52cc9367c22"/>
      <w:r>
        <w:t xml:space="preserve">A certified finding that a Party manufactured an attribution claim, fabricated evidence, or staged an incident </w:t>
      </w:r>
      <w:proofErr w:type="gramStart"/>
      <w:r>
        <w:t>classifies</w:t>
      </w:r>
      <w:proofErr w:type="gramEnd"/>
      <w:r>
        <w:t xml:space="preserve"> as a Tier Three event against the manufacturing Party. The safeguard disciplines the evidentiary process in both directions: no Party profits from an attack, and no Party profits from a fabrication.</w:t>
      </w:r>
      <w:bookmarkEnd w:id="320"/>
      <w:bookmarkEnd w:id="321"/>
    </w:p>
    <w:p w14:paraId="4F01B2C9" w14:textId="77777777" w:rsidR="00723F18" w:rsidRDefault="00000000">
      <w:pPr>
        <w:pStyle w:val="Heading2"/>
      </w:pPr>
      <w:bookmarkStart w:id="322" w:name="__RefHeading___Toc6478_2939721771"/>
      <w:bookmarkEnd w:id="322"/>
      <w:r>
        <w:t>Article 42: Dispute Resolution</w:t>
      </w:r>
    </w:p>
    <w:p w14:paraId="0F349C45" w14:textId="77777777" w:rsidR="00723F18" w:rsidRDefault="00000000">
      <w:pPr>
        <w:pStyle w:val="Heading3"/>
      </w:pPr>
      <w:r>
        <w:t>42.1 The tiered structure</w:t>
      </w:r>
    </w:p>
    <w:p w14:paraId="705BAEF9" w14:textId="77777777" w:rsidR="00723F18" w:rsidRDefault="00000000">
      <w:pPr>
        <w:pStyle w:val="FirstParagraph"/>
      </w:pPr>
      <w:bookmarkStart w:id="323" w:name="the-tiered-structure"/>
      <w:r>
        <w:t xml:space="preserve">Disputes under this Accord resolve through four tiers, in sequence: the technical consultation tier, the facilitation tier, the technical referee tier, and the </w:t>
      </w:r>
      <w:proofErr w:type="gramStart"/>
      <w:r>
        <w:t>principals</w:t>
      </w:r>
      <w:proofErr w:type="gramEnd"/>
      <w:r>
        <w:t xml:space="preserve"> channel. </w:t>
      </w:r>
      <w:r>
        <w:lastRenderedPageBreak/>
        <w:t>A dispute enters the structure at the tier its character assigns: data and measurement questions enter at tier one; architecture and interpretation questions enter at tier two; binding technical determinations enter at tier three; and political deadlocks enter at tier four.</w:t>
      </w:r>
      <w:bookmarkEnd w:id="323"/>
    </w:p>
    <w:p w14:paraId="0854713C" w14:textId="77777777" w:rsidR="00723F18" w:rsidRDefault="00000000">
      <w:pPr>
        <w:pStyle w:val="Heading3"/>
      </w:pPr>
      <w:r>
        <w:t>42.2 Tier two: facilitation</w:t>
      </w:r>
    </w:p>
    <w:p w14:paraId="2A88B821" w14:textId="77777777" w:rsidR="00723F18" w:rsidRDefault="00000000">
      <w:pPr>
        <w:pStyle w:val="FirstParagraph"/>
      </w:pPr>
      <w:bookmarkStart w:id="324" w:name="tier-two-facilitation"/>
      <w:r>
        <w:t>The facilitation tier convenes under the co-facilitating states within seventy-two (72) hours of referral. The facilitators frame the question, assemble the record, and propose a resolution text. The Parties adopt, adjust, or decline the text within fourteen (14) days. A declined text moves the question to tier three where it is technical in character, or to tier four where it is political. Throughout facilitation, the affected operation continues under the default continuity rule of Article 18.4.</w:t>
      </w:r>
      <w:bookmarkEnd w:id="324"/>
    </w:p>
    <w:p w14:paraId="5A0C9FB4" w14:textId="77777777" w:rsidR="00723F18" w:rsidRDefault="00000000">
      <w:pPr>
        <w:pStyle w:val="Heading3"/>
      </w:pPr>
      <w:r>
        <w:t>42.3 Tier three: the independent technical referee</w:t>
      </w:r>
    </w:p>
    <w:p w14:paraId="3157B4CD" w14:textId="77777777" w:rsidR="00723F18" w:rsidRDefault="00000000">
      <w:pPr>
        <w:pStyle w:val="FirstParagraph"/>
      </w:pPr>
      <w:bookmarkStart w:id="325" w:name="X8e4476dbf136db1e942e8088dc30ab50c83593a"/>
      <w:r>
        <w:t>The independent technical referee, appointed by the Neutral Administrator from the roster of Annex D, issues binding determinations on technical facts: corridor counts, service delivery verification, rate benchmarks, classification facts. The referee determines within seven (7) days of referral, on the evidence record alone, and the determination binds the operational machinery of the Accord from the moment of issue. The referee touches no policy question and no legal position.</w:t>
      </w:r>
      <w:bookmarkEnd w:id="325"/>
    </w:p>
    <w:p w14:paraId="0CBFF258" w14:textId="77777777" w:rsidR="00723F18" w:rsidRDefault="00000000">
      <w:pPr>
        <w:pStyle w:val="Heading3"/>
      </w:pPr>
      <w:r>
        <w:t xml:space="preserve">42.4 Tier four: the </w:t>
      </w:r>
      <w:proofErr w:type="gramStart"/>
      <w:r>
        <w:t>principals</w:t>
      </w:r>
      <w:proofErr w:type="gramEnd"/>
      <w:r>
        <w:t xml:space="preserve"> channel</w:t>
      </w:r>
    </w:p>
    <w:p w14:paraId="3AC0D397" w14:textId="77777777" w:rsidR="00723F18" w:rsidRDefault="00000000">
      <w:pPr>
        <w:pStyle w:val="FirstParagraph"/>
      </w:pPr>
      <w:bookmarkStart w:id="326" w:name="tier-four-the-principals-channel"/>
      <w:r>
        <w:t xml:space="preserve">A political deadlock routes to the </w:t>
      </w:r>
      <w:proofErr w:type="gramStart"/>
      <w:r>
        <w:t>principals</w:t>
      </w:r>
      <w:proofErr w:type="gramEnd"/>
      <w:r>
        <w:t xml:space="preserve"> channel through the co-facilitating states: direct engagement between the capitals, on the question alone, with the Accord continuing in force throughout. The principals channel carries no deadline pressure onto the water: every operational system of the Accord runs its clocks independently of the conversation above it.</w:t>
      </w:r>
      <w:bookmarkEnd w:id="326"/>
    </w:p>
    <w:p w14:paraId="1282157C" w14:textId="77777777" w:rsidR="00723F18" w:rsidRDefault="00000000">
      <w:pPr>
        <w:pStyle w:val="Heading3"/>
      </w:pPr>
      <w:r>
        <w:t>42.5 No dispute touches the water</w:t>
      </w:r>
    </w:p>
    <w:p w14:paraId="237EF06B" w14:textId="77777777" w:rsidR="00723F18" w:rsidRDefault="00000000">
      <w:pPr>
        <w:pStyle w:val="FirstParagraph"/>
      </w:pPr>
      <w:bookmarkStart w:id="327" w:name="X92eee7c5a2be44597adbc90c377de054fb27d1b"/>
      <w:bookmarkStart w:id="328" w:name="article-42-dispute-resolution"/>
      <w:bookmarkStart w:id="329" w:name="no-dispute-touches-the-water"/>
      <w:r>
        <w:t xml:space="preserve">No tier of this Article suspends, delays, or conditions the transit of any vessel. Disputes </w:t>
      </w:r>
      <w:proofErr w:type="gramStart"/>
      <w:r>
        <w:t>resolve</w:t>
      </w:r>
      <w:proofErr w:type="gramEnd"/>
      <w:r>
        <w:t xml:space="preserve"> ashore, on </w:t>
      </w:r>
      <w:proofErr w:type="gramStart"/>
      <w:r>
        <w:t>the record</w:t>
      </w:r>
      <w:proofErr w:type="gramEnd"/>
      <w:r>
        <w:t>, while the corridors run. The architecture separates the argument from the artery by design.</w:t>
      </w:r>
      <w:bookmarkEnd w:id="327"/>
      <w:bookmarkEnd w:id="328"/>
      <w:bookmarkEnd w:id="329"/>
    </w:p>
    <w:p w14:paraId="57D9FF74" w14:textId="77777777" w:rsidR="00723F18" w:rsidRDefault="00000000">
      <w:pPr>
        <w:pStyle w:val="Heading1"/>
      </w:pPr>
      <w:bookmarkStart w:id="330" w:name="__RefHeading___Toc6480_2939721771"/>
      <w:bookmarkEnd w:id="330"/>
      <w:r>
        <w:t>Part IX: Political Sensitivity and Narrative Protocol</w:t>
      </w:r>
    </w:p>
    <w:p w14:paraId="6129E306" w14:textId="77777777" w:rsidR="00723F18" w:rsidRDefault="00000000">
      <w:pPr>
        <w:pStyle w:val="Heading2"/>
      </w:pPr>
      <w:bookmarkStart w:id="331" w:name="__RefHeading___Toc6482_2939721771"/>
      <w:bookmarkEnd w:id="331"/>
      <w:r>
        <w:t>Article 43: Mutual Architecture and the Non-Humiliation Doctrine</w:t>
      </w:r>
    </w:p>
    <w:p w14:paraId="1EF74DE0" w14:textId="77777777" w:rsidR="00723F18" w:rsidRDefault="00000000">
      <w:pPr>
        <w:pStyle w:val="Heading3"/>
      </w:pPr>
      <w:r>
        <w:t>43.1 Mutual architecture</w:t>
      </w:r>
    </w:p>
    <w:p w14:paraId="1073450C" w14:textId="77777777" w:rsidR="00723F18" w:rsidRDefault="00000000">
      <w:pPr>
        <w:pStyle w:val="FirstParagraph"/>
      </w:pPr>
      <w:bookmarkStart w:id="332" w:name="mutual-architecture"/>
      <w:r>
        <w:t>Every constraint in this Accord binds every Party equally as a design feature of the shared framework. The framework architecture excludes kinetic enforcement mechanisms, excludes coerced public statements, and excludes any language of surrender, capitulation, or submission. Compliance constitutes the fulfillment of negotiated commitments between sovereign equals, and no provision stages humiliation optics for any side.</w:t>
      </w:r>
      <w:bookmarkEnd w:id="332"/>
    </w:p>
    <w:p w14:paraId="312C9974" w14:textId="77777777" w:rsidR="00723F18" w:rsidRDefault="00000000">
      <w:pPr>
        <w:pStyle w:val="Heading3"/>
      </w:pPr>
      <w:r>
        <w:lastRenderedPageBreak/>
        <w:t>43.2 The non-humiliation doctrine</w:t>
      </w:r>
    </w:p>
    <w:p w14:paraId="1707C48B" w14:textId="77777777" w:rsidR="00723F18" w:rsidRDefault="00000000">
      <w:pPr>
        <w:pStyle w:val="FirstParagraph"/>
      </w:pPr>
      <w:bookmarkStart w:id="333" w:name="the-non-humiliation-doctrine"/>
      <w:r>
        <w:t xml:space="preserve">No organ of the Accord publishes any </w:t>
      </w:r>
      <w:proofErr w:type="gramStart"/>
      <w:r>
        <w:t>finding</w:t>
      </w:r>
      <w:proofErr w:type="gramEnd"/>
      <w:r>
        <w:t xml:space="preserve">, </w:t>
      </w:r>
      <w:proofErr w:type="gramStart"/>
      <w:r>
        <w:t>certificate</w:t>
      </w:r>
      <w:proofErr w:type="gramEnd"/>
      <w:r>
        <w:t xml:space="preserve">, or </w:t>
      </w:r>
      <w:proofErr w:type="gramStart"/>
      <w:r>
        <w:t>report</w:t>
      </w:r>
      <w:proofErr w:type="gramEnd"/>
      <w:r>
        <w:t xml:space="preserve"> in a form that singles out one Party for public censure without that Party’s stated position appearing alongside in equal length and equal prominence. The conduct record publishes facts and classifications; it never publishes verdicts. The daily status report speaks in Calm, Irregular, and Investigating, never in guilt.</w:t>
      </w:r>
      <w:bookmarkEnd w:id="333"/>
    </w:p>
    <w:p w14:paraId="200BD453" w14:textId="77777777" w:rsidR="00723F18" w:rsidRDefault="00000000">
      <w:pPr>
        <w:pStyle w:val="Heading3"/>
      </w:pPr>
      <w:r>
        <w:t>43.3 Symmetric vocabulary</w:t>
      </w:r>
    </w:p>
    <w:p w14:paraId="00DD471A" w14:textId="77777777" w:rsidR="00723F18" w:rsidRDefault="00000000">
      <w:pPr>
        <w:pStyle w:val="FirstParagraph"/>
      </w:pPr>
      <w:bookmarkStart w:id="334" w:name="Xf8dfa77023b32ed5f325ad186ae8babd81bd3ba"/>
      <w:bookmarkStart w:id="335" w:name="symmetric-vocabulary"/>
      <w:r>
        <w:t>The Accord’s working texts use functional vocabulary throughout: steward, corridor, scheme, service, allocation, certificate. The texts avoid the vocabulary of victory and defeat, of permission and submission, of policing and obedience. Annex H states the authorized terminology registry.</w:t>
      </w:r>
      <w:bookmarkEnd w:id="334"/>
      <w:bookmarkEnd w:id="335"/>
    </w:p>
    <w:p w14:paraId="43FD66D8" w14:textId="77777777" w:rsidR="00723F18" w:rsidRDefault="00000000">
      <w:pPr>
        <w:pStyle w:val="Heading2"/>
      </w:pPr>
      <w:bookmarkStart w:id="336" w:name="__RefHeading___Toc6484_2939721771"/>
      <w:bookmarkEnd w:id="336"/>
      <w:r>
        <w:t>Article 44: Nomenclature Neutrality and Synchronized Announcements</w:t>
      </w:r>
    </w:p>
    <w:p w14:paraId="6B5F415D" w14:textId="77777777" w:rsidR="00723F18" w:rsidRDefault="00000000">
      <w:pPr>
        <w:pStyle w:val="Heading3"/>
      </w:pPr>
      <w:r>
        <w:t>44.1 Nomenclature neutrality</w:t>
      </w:r>
    </w:p>
    <w:p w14:paraId="405B6A5F" w14:textId="77777777" w:rsidR="00723F18" w:rsidRDefault="00000000">
      <w:pPr>
        <w:pStyle w:val="FirstParagraph"/>
      </w:pPr>
      <w:bookmarkStart w:id="337" w:name="nomenclature-neutrality"/>
      <w:r>
        <w:t>Each capital describes this instrument in its own vocabulary. One capital speaks of the stewardship of its coastal corridor; another speaks of the opening of the Strait; a third speaks of the cooperative fund; a fourth speaks of the mediation that held. The Accord adopts no official characterization of itself beyond its title and its text, and the Non-Prejudice Clause covers every characterization equally.</w:t>
      </w:r>
      <w:bookmarkEnd w:id="337"/>
    </w:p>
    <w:p w14:paraId="0E0C9369" w14:textId="77777777" w:rsidR="00723F18" w:rsidRDefault="00000000">
      <w:pPr>
        <w:pStyle w:val="Heading3"/>
      </w:pPr>
      <w:r>
        <w:t>44.2 Synchronized announcements</w:t>
      </w:r>
    </w:p>
    <w:p w14:paraId="137FCEE8" w14:textId="77777777" w:rsidR="00723F18" w:rsidRDefault="00000000">
      <w:pPr>
        <w:pStyle w:val="FirstParagraph"/>
      </w:pPr>
      <w:bookmarkStart w:id="338" w:name="synchronized-announcements"/>
      <w:r>
        <w:t>The Parties announce entry into force, phase certificates, and reconstitution notes through synchronized releases: one factual core text drafted by the co-facilitating states, released at the same hour in all four capitals, with each capital attaching its own framing paragraphs. The factual core states the operational facts and nothing else. Divergent framings attach around one shared record, so the publics of four countries read four explanations of one event rather than four events.</w:t>
      </w:r>
      <w:bookmarkEnd w:id="338"/>
    </w:p>
    <w:p w14:paraId="293150C1" w14:textId="77777777" w:rsidR="00723F18" w:rsidRDefault="00000000">
      <w:pPr>
        <w:pStyle w:val="Heading3"/>
      </w:pPr>
      <w:r>
        <w:t>44.3 Quiet remediation</w:t>
      </w:r>
    </w:p>
    <w:p w14:paraId="63F3D7F9" w14:textId="77777777" w:rsidR="00723F18" w:rsidRDefault="00000000">
      <w:pPr>
        <w:pStyle w:val="FirstParagraph"/>
      </w:pPr>
      <w:bookmarkStart w:id="339" w:name="X633a67e4d4e86b8953b9b486bbb990978844dfa"/>
      <w:bookmarkStart w:id="340" w:name="quiet-remediation"/>
      <w:r>
        <w:t xml:space="preserve">The architecture absorbs friction quietly by default. A remediation notice under Article 40 </w:t>
      </w:r>
      <w:proofErr w:type="gramStart"/>
      <w:r>
        <w:t>publishes</w:t>
      </w:r>
      <w:proofErr w:type="gramEnd"/>
      <w:r>
        <w:t xml:space="preserve"> in the technical record, and the public narrative layer leaves it there unless the deviation reaches Tier Three. Small failures stay small because the system declines to shout them.</w:t>
      </w:r>
      <w:bookmarkEnd w:id="339"/>
      <w:bookmarkEnd w:id="340"/>
    </w:p>
    <w:p w14:paraId="1CB15FD3" w14:textId="77777777" w:rsidR="00723F18" w:rsidRDefault="00000000">
      <w:pPr>
        <w:pStyle w:val="Heading2"/>
      </w:pPr>
      <w:bookmarkStart w:id="341" w:name="__RefHeading___Toc6486_2939721771"/>
      <w:bookmarkEnd w:id="341"/>
      <w:r>
        <w:t>Article 45: What Each Side States</w:t>
      </w:r>
    </w:p>
    <w:p w14:paraId="5BB5D880" w14:textId="77777777" w:rsidR="00723F18" w:rsidRDefault="00000000">
      <w:pPr>
        <w:pStyle w:val="Heading3"/>
      </w:pPr>
      <w:r>
        <w:t>45.1 The Iranian statement</w:t>
      </w:r>
    </w:p>
    <w:p w14:paraId="6A3F7ED7" w14:textId="77777777" w:rsidR="00723F18" w:rsidRDefault="00000000">
      <w:pPr>
        <w:pStyle w:val="FirstParagraph"/>
      </w:pPr>
      <w:bookmarkStart w:id="342" w:name="the-iranian-statement"/>
      <w:r>
        <w:t xml:space="preserve">Tehran states: the northern corridor operates under Iranian stewardship; Iranian services carry compensation at published rates through a multilateral fund; Iranian clearance units control clearance in the northern sector; verified performance releases frozen assets and </w:t>
      </w:r>
      <w:r>
        <w:lastRenderedPageBreak/>
        <w:t>restores energy exports at a scale no toll approaches; and no foreign force sets foot in Iranian-adjacent waters. Every clause of that statement is true under this Accord.</w:t>
      </w:r>
      <w:bookmarkEnd w:id="342"/>
    </w:p>
    <w:p w14:paraId="20F1DDDE" w14:textId="77777777" w:rsidR="00723F18" w:rsidRDefault="00000000">
      <w:pPr>
        <w:pStyle w:val="Heading3"/>
      </w:pPr>
      <w:r>
        <w:t>45.2 The United States statement</w:t>
      </w:r>
    </w:p>
    <w:p w14:paraId="79D9465E" w14:textId="77777777" w:rsidR="00723F18" w:rsidRDefault="00000000">
      <w:pPr>
        <w:pStyle w:val="FirstParagraph"/>
      </w:pPr>
      <w:bookmarkStart w:id="343" w:name="the-united-states-statement"/>
      <w:r>
        <w:t>Washington states: the Strait stands open in three corridors; no vessel pays any charge for passage anywhere; no coastal state holds a permission step over any corridor; the central corridor answers to no single coast; and verified performance, not concession, drives every economic step. Every clause of that statement is true under this Accord.</w:t>
      </w:r>
      <w:bookmarkEnd w:id="343"/>
    </w:p>
    <w:p w14:paraId="1F6D713F" w14:textId="77777777" w:rsidR="00723F18" w:rsidRDefault="00000000">
      <w:pPr>
        <w:pStyle w:val="Heading3"/>
      </w:pPr>
      <w:r>
        <w:t>45.3 The Omani statement</w:t>
      </w:r>
    </w:p>
    <w:p w14:paraId="449E4358" w14:textId="77777777" w:rsidR="00723F18" w:rsidRDefault="00000000">
      <w:pPr>
        <w:pStyle w:val="FirstParagraph"/>
      </w:pPr>
      <w:bookmarkStart w:id="344" w:name="the-omani-statement"/>
      <w:r>
        <w:t>Muscat states: the southern corridor operates under Omani stewardship; the scheme’s heart beats in Muscat; the funding architecture follows the cooperative model Oman tabled; and the Sultanate’s facilitation carried the file from the first day of the crisis to the operative text. Every clause of that statement is true under this Accord.</w:t>
      </w:r>
      <w:bookmarkEnd w:id="344"/>
    </w:p>
    <w:p w14:paraId="068A6F6C" w14:textId="77777777" w:rsidR="00723F18" w:rsidRDefault="00000000">
      <w:pPr>
        <w:pStyle w:val="Heading3"/>
      </w:pPr>
      <w:r>
        <w:t>45.4 The Qatari statement</w:t>
      </w:r>
    </w:p>
    <w:p w14:paraId="07E13DA8" w14:textId="77777777" w:rsidR="00723F18" w:rsidRDefault="00000000">
      <w:pPr>
        <w:pStyle w:val="FirstParagraph"/>
      </w:pPr>
      <w:bookmarkStart w:id="345" w:name="the-qatari-statement"/>
      <w:r>
        <w:t>Doha states: the mediation track produced the operative architecture; liquefied gas carriers move under protected priority windows; the economic desk of the scheme sits in Doha; and the Gulf’s energy lifeline flows under international observation. Every clause of that statement is true under this Accord.</w:t>
      </w:r>
      <w:bookmarkEnd w:id="345"/>
    </w:p>
    <w:p w14:paraId="67070B14" w14:textId="77777777" w:rsidR="00723F18" w:rsidRDefault="00000000">
      <w:pPr>
        <w:pStyle w:val="Heading3"/>
      </w:pPr>
      <w:r>
        <w:t>45.5 The non-contradiction principle</w:t>
      </w:r>
    </w:p>
    <w:p w14:paraId="1440EF30" w14:textId="77777777" w:rsidR="00723F18" w:rsidRDefault="00000000">
      <w:pPr>
        <w:pStyle w:val="FirstParagraph"/>
      </w:pPr>
      <w:bookmarkStart w:id="346" w:name="Xd2ee0b8d7f7b433e813361d11208759c453a213"/>
      <w:bookmarkStart w:id="347" w:name="article-45-what-each-side-states"/>
      <w:bookmarkStart w:id="348" w:name="the-non-contradiction-principle"/>
      <w:r>
        <w:t>The four statements coexist because the architecture holds each of their claims simultaneously. A statement that asserts more than the architecture holds travels outside the Accord’s protection, and the Non-Prejudice Clause strips it of operational effect. Each capital persuades its own public with the truth it prefers, and no capital’s truth injures another’s.</w:t>
      </w:r>
      <w:bookmarkEnd w:id="346"/>
      <w:bookmarkEnd w:id="347"/>
      <w:bookmarkEnd w:id="348"/>
    </w:p>
    <w:p w14:paraId="1A24ADA7" w14:textId="77777777" w:rsidR="00723F18" w:rsidRDefault="00000000">
      <w:pPr>
        <w:pStyle w:val="Heading1"/>
      </w:pPr>
      <w:bookmarkStart w:id="349" w:name="__RefHeading___Toc6488_2939721771"/>
      <w:bookmarkEnd w:id="349"/>
      <w:r>
        <w:t>Part X: Continuity, Accession, and Final Provisions</w:t>
      </w:r>
    </w:p>
    <w:p w14:paraId="0C268F67" w14:textId="77777777" w:rsidR="00723F18" w:rsidRDefault="00000000">
      <w:pPr>
        <w:pStyle w:val="Heading2"/>
      </w:pPr>
      <w:bookmarkStart w:id="350" w:name="__RefHeading___Toc6490_2939721771"/>
      <w:bookmarkEnd w:id="350"/>
      <w:r>
        <w:t>Article 46: Renewal by Silence and the Review Rhythm</w:t>
      </w:r>
    </w:p>
    <w:p w14:paraId="3E580A94" w14:textId="77777777" w:rsidR="00723F18" w:rsidRDefault="00000000">
      <w:pPr>
        <w:pStyle w:val="Heading3"/>
      </w:pPr>
      <w:r>
        <w:t>46.1 Renewal</w:t>
      </w:r>
    </w:p>
    <w:p w14:paraId="529AB764" w14:textId="77777777" w:rsidR="00723F18" w:rsidRDefault="00000000">
      <w:pPr>
        <w:pStyle w:val="FirstParagraph"/>
      </w:pPr>
      <w:bookmarkStart w:id="351" w:name="renewal"/>
      <w:r>
        <w:t>The Accord renews in successive sixty (60) day increments by silence: absent a notice under Article 48, continuation occurs automatically at each window boundary, and the Muscat Operations Center records the renewal on the Shared Evidence Platform as an administrative entry.</w:t>
      </w:r>
      <w:bookmarkEnd w:id="351"/>
    </w:p>
    <w:p w14:paraId="147A5930" w14:textId="77777777" w:rsidR="00723F18" w:rsidRDefault="00000000">
      <w:pPr>
        <w:pStyle w:val="Heading3"/>
      </w:pPr>
      <w:r>
        <w:t>46.2 The window review</w:t>
      </w:r>
    </w:p>
    <w:p w14:paraId="34BC4275" w14:textId="77777777" w:rsidR="00723F18" w:rsidRDefault="00000000">
      <w:pPr>
        <w:pStyle w:val="FirstParagraph"/>
      </w:pPr>
      <w:bookmarkStart w:id="352" w:name="the-window-review"/>
      <w:r>
        <w:t xml:space="preserve">Each window closes with a review conference under Article 37.3, examining the full record and issuing its </w:t>
      </w:r>
      <w:proofErr w:type="gramStart"/>
      <w:r>
        <w:t>finding</w:t>
      </w:r>
      <w:proofErr w:type="gramEnd"/>
      <w:r>
        <w:t xml:space="preserve">. The review rhythm accelerates after the first two windows: upon </w:t>
      </w:r>
      <w:r>
        <w:lastRenderedPageBreak/>
        <w:t>two consecutive Continue findings, the review convenes at ninety (90) day intervals, with the daily and weekly rhythms of the Accord unchanged.</w:t>
      </w:r>
      <w:bookmarkEnd w:id="352"/>
    </w:p>
    <w:p w14:paraId="354E48F0" w14:textId="77777777" w:rsidR="00723F18" w:rsidRDefault="00000000">
      <w:pPr>
        <w:pStyle w:val="Heading3"/>
      </w:pPr>
      <w:r>
        <w:t>46.3 No degradation by routine</w:t>
      </w:r>
    </w:p>
    <w:p w14:paraId="1750EF24" w14:textId="77777777" w:rsidR="00723F18" w:rsidRDefault="00000000">
      <w:pPr>
        <w:pStyle w:val="FirstParagraph"/>
      </w:pPr>
      <w:bookmarkStart w:id="353" w:name="Xc92cb70e5c87753a8e09870c74d021be9b19a02"/>
      <w:bookmarkStart w:id="354" w:name="no-degradation-by-routine"/>
      <w:r>
        <w:t>Verification intensity, observer presence, audit cadence, and reporting rhythms never decline by default. Any reduction of verification intensity constitutes an amendment and takes effect only through the procedure of Article 48.</w:t>
      </w:r>
      <w:bookmarkEnd w:id="353"/>
      <w:bookmarkEnd w:id="354"/>
    </w:p>
    <w:p w14:paraId="16F2E44A" w14:textId="77777777" w:rsidR="00723F18" w:rsidRDefault="00000000">
      <w:pPr>
        <w:pStyle w:val="Heading2"/>
      </w:pPr>
      <w:bookmarkStart w:id="355" w:name="__RefHeading___Toc6492_2939721771"/>
      <w:bookmarkEnd w:id="355"/>
      <w:r>
        <w:t>Article 47: Accession, Observer Participation, and the Expansion Path</w:t>
      </w:r>
    </w:p>
    <w:p w14:paraId="7F2CA4CD" w14:textId="77777777" w:rsidR="00723F18" w:rsidRDefault="00000000">
      <w:pPr>
        <w:pStyle w:val="Heading3"/>
      </w:pPr>
      <w:r>
        <w:t>47.1 The open path</w:t>
      </w:r>
    </w:p>
    <w:p w14:paraId="6EBB35F8" w14:textId="77777777" w:rsidR="00723F18" w:rsidRDefault="00000000">
      <w:pPr>
        <w:pStyle w:val="FirstParagraph"/>
      </w:pPr>
      <w:bookmarkStart w:id="356" w:name="the-open-path"/>
      <w:r>
        <w:t>The Accord opens a defined accession path to the Gulf littoral states beyond the Parties: the United Arab Emirates, the Kingdom of Saudi Arabia, the Kingdom of Bahrain, the State of Kuwait, and the Republic of Iraq accede by instrument of accession deposited with the Depositary, and an acceding state joins the organs of the Accord on the terms the Commission sets by consensus, with watch-floor presence under the staffing rules of Article 15.3.</w:t>
      </w:r>
      <w:bookmarkEnd w:id="356"/>
    </w:p>
    <w:p w14:paraId="1F1261B5" w14:textId="77777777" w:rsidR="00723F18" w:rsidRDefault="00000000">
      <w:pPr>
        <w:pStyle w:val="Heading3"/>
      </w:pPr>
      <w:r>
        <w:t>47.2 Observer states</w:t>
      </w:r>
    </w:p>
    <w:p w14:paraId="1F3B24EA" w14:textId="77777777" w:rsidR="00723F18" w:rsidRDefault="00000000">
      <w:pPr>
        <w:pStyle w:val="FirstParagraph"/>
      </w:pPr>
      <w:bookmarkStart w:id="357" w:name="observer-states"/>
      <w:r>
        <w:t>The standing observer invitations extend to the European Union, the United Kingdom, the Republic of India, the People’s Republic of China, Japan, the Republic of Korea, and such other states as the Commission adds by consensus. Observer states receive the full non-classified record, attend the Commission, address it on invitation, and contribute to the Fund under Article 21. An observer state holds no vote, no veto, and no operational role.</w:t>
      </w:r>
      <w:bookmarkEnd w:id="357"/>
    </w:p>
    <w:p w14:paraId="3B03D56A" w14:textId="77777777" w:rsidR="00723F18" w:rsidRDefault="00000000">
      <w:pPr>
        <w:pStyle w:val="Heading3"/>
      </w:pPr>
      <w:r>
        <w:t xml:space="preserve">47.3 </w:t>
      </w:r>
      <w:proofErr w:type="gramStart"/>
      <w:r>
        <w:t>Non-participation</w:t>
      </w:r>
      <w:proofErr w:type="gramEnd"/>
    </w:p>
    <w:p w14:paraId="1D1F0406" w14:textId="77777777" w:rsidR="00723F18" w:rsidRDefault="00000000">
      <w:pPr>
        <w:pStyle w:val="FirstParagraph"/>
      </w:pPr>
      <w:bookmarkStart w:id="358" w:name="non-participation"/>
      <w:r>
        <w:t>A littoral state that does not participate in this Accord retains every right it holds under international law, and this Accord neither diminishes nor conditions those rights. Within the Scheme Area, the Accord stands as the operative traffic system for the Strait, and the accession path remains open without time limit.</w:t>
      </w:r>
      <w:bookmarkEnd w:id="358"/>
    </w:p>
    <w:p w14:paraId="49EA1CB7" w14:textId="77777777" w:rsidR="00723F18" w:rsidRDefault="00000000">
      <w:pPr>
        <w:pStyle w:val="Heading3"/>
      </w:pPr>
      <w:r>
        <w:t>47.4 The Stakeholder Panel</w:t>
      </w:r>
    </w:p>
    <w:p w14:paraId="355C7DB6" w14:textId="77777777" w:rsidR="00723F18" w:rsidRDefault="00000000">
      <w:pPr>
        <w:pStyle w:val="FirstParagraph"/>
      </w:pPr>
      <w:bookmarkStart w:id="359" w:name="X6aa419a132df25a69da1172d2fcf560c8f89374"/>
      <w:bookmarkStart w:id="360" w:name="the-stakeholder-panel"/>
      <w:r>
        <w:t>The Accord seats a Stakeholder Panel of twelve advisory members: four flag-state maritime administrations, four shipowner and operator associations, two protection and indemnity club representatives, and two port authority representatives, one Gulf-side and one Oman-side. The Panel meets twice a year with the Commission, reviews the Bulletin statistics, the Catalog rates, and the registry operation, and files advisory opinions. The Commission answers every opinion in the record within sixty (60) days.</w:t>
      </w:r>
      <w:bookmarkEnd w:id="359"/>
      <w:bookmarkEnd w:id="360"/>
    </w:p>
    <w:p w14:paraId="384F71CE" w14:textId="77777777" w:rsidR="00723F18" w:rsidRDefault="00000000">
      <w:pPr>
        <w:pStyle w:val="Heading2"/>
      </w:pPr>
      <w:bookmarkStart w:id="361" w:name="__RefHeading___Toc6494_2939721771"/>
      <w:bookmarkEnd w:id="361"/>
      <w:r>
        <w:lastRenderedPageBreak/>
        <w:t>Article 48: Final Provisions</w:t>
      </w:r>
    </w:p>
    <w:p w14:paraId="5ACDB8A3" w14:textId="77777777" w:rsidR="00723F18" w:rsidRDefault="00000000">
      <w:pPr>
        <w:pStyle w:val="Heading3"/>
      </w:pPr>
      <w:r>
        <w:t>48.1 Entry into force</w:t>
      </w:r>
    </w:p>
    <w:p w14:paraId="21312606" w14:textId="77777777" w:rsidR="00723F18" w:rsidRDefault="00000000">
      <w:pPr>
        <w:pStyle w:val="FirstParagraph"/>
      </w:pPr>
      <w:bookmarkStart w:id="362" w:name="entry-into-force"/>
      <w:r>
        <w:t>The Accord enters into force upon signature by all four Parties and completion of the Military Endorsement Confirmation of Article 48.2. The activation sequence of Annex E begins at entry into force.</w:t>
      </w:r>
      <w:bookmarkEnd w:id="362"/>
    </w:p>
    <w:p w14:paraId="758C81BA" w14:textId="77777777" w:rsidR="00723F18" w:rsidRDefault="00000000">
      <w:pPr>
        <w:pStyle w:val="Heading3"/>
      </w:pPr>
      <w:r>
        <w:t>48.2 The Military Endorsement Confirmation</w:t>
      </w:r>
    </w:p>
    <w:p w14:paraId="2A59BCB3" w14:textId="77777777" w:rsidR="00723F18" w:rsidRDefault="00000000">
      <w:pPr>
        <w:pStyle w:val="FirstParagraph"/>
      </w:pPr>
      <w:bookmarkStart w:id="363" w:name="the-military-endorsement-confirmation"/>
      <w:r>
        <w:t xml:space="preserve">Activation of the Accord rests on endorsements from the operational level of every Party, not on diplomatic signature alone. Within twenty-four (24) hours of signature, each Party transmits its implementing orders to its forces to the Operations System through the facilitator channel, with operational </w:t>
      </w:r>
      <w:proofErr w:type="gramStart"/>
      <w:r>
        <w:t>detail</w:t>
      </w:r>
      <w:proofErr w:type="gramEnd"/>
      <w:r>
        <w:t>: the units covered, the geographic scope, the effective time, and the command channel. The Qatari co-facilitation confirms the parallel alignment of the military commands of the Islamic Republic through its established channel, and the United States confirms the alignment of its naval and air components through the same channel. The Operations System posts the four confirmations to the Shared Evidence Platform in identical form. Entry into force completes upon the fourth confirmation.</w:t>
      </w:r>
      <w:bookmarkEnd w:id="363"/>
    </w:p>
    <w:p w14:paraId="4FA8E9E1" w14:textId="77777777" w:rsidR="00723F18" w:rsidRDefault="00000000">
      <w:pPr>
        <w:pStyle w:val="Heading3"/>
      </w:pPr>
      <w:r>
        <w:t>48.3 Amendment</w:t>
      </w:r>
    </w:p>
    <w:p w14:paraId="1E214830" w14:textId="77777777" w:rsidR="00723F18" w:rsidRDefault="00000000">
      <w:pPr>
        <w:pStyle w:val="FirstParagraph"/>
      </w:pPr>
      <w:bookmarkStart w:id="364" w:name="amendment"/>
      <w:r>
        <w:t>Substantive amendment of this Accord proceeds by consensus of all four Parties, recorded in a joint written instrument deposited with the Depositary. Technical corrections route through Article 18.6. Amendment of the Red Lines Register of Annex F proceeds by consensus of all four Parties plus ratification by each of them.</w:t>
      </w:r>
      <w:bookmarkEnd w:id="364"/>
    </w:p>
    <w:p w14:paraId="7DDB1F0B" w14:textId="77777777" w:rsidR="00723F18" w:rsidRDefault="00000000">
      <w:pPr>
        <w:pStyle w:val="Heading3"/>
      </w:pPr>
      <w:r>
        <w:t>48.4 Withdrawal</w:t>
      </w:r>
    </w:p>
    <w:p w14:paraId="5A42DF62" w14:textId="77777777" w:rsidR="00723F18" w:rsidRDefault="00000000">
      <w:pPr>
        <w:pStyle w:val="FirstParagraph"/>
      </w:pPr>
      <w:bookmarkStart w:id="365" w:name="withdrawal"/>
      <w:r>
        <w:t>A Party withdraws from the Accord through a deliberate, notified, time-buffered act: written notice to the Depositary and the Parties, followed by a ninety (90) day notice period during which every provision of the Accord continues to operate in full, including the traffic rules, the non-interdiction protocol, and the humanitarian firewall. Withdrawal takes effect at the close of the notice period. Banked positions of every Party survive withdrawal, and the reconstitution channel of Article 38.4 remains open to the withdrawing Party for one hundred and eighty (180) days after withdrawal takes effect.</w:t>
      </w:r>
      <w:bookmarkEnd w:id="365"/>
    </w:p>
    <w:p w14:paraId="52808C24" w14:textId="77777777" w:rsidR="00723F18" w:rsidRDefault="00000000">
      <w:pPr>
        <w:pStyle w:val="Heading3"/>
      </w:pPr>
      <w:r>
        <w:t>48.5 Succession</w:t>
      </w:r>
    </w:p>
    <w:p w14:paraId="288D1D3E" w14:textId="77777777" w:rsidR="00723F18" w:rsidRDefault="00000000">
      <w:pPr>
        <w:pStyle w:val="FirstParagraph"/>
      </w:pPr>
      <w:bookmarkStart w:id="366" w:name="succession"/>
      <w:r>
        <w:t xml:space="preserve">The obligations of this Accord </w:t>
      </w:r>
      <w:proofErr w:type="gramStart"/>
      <w:r>
        <w:t>attach</w:t>
      </w:r>
      <w:proofErr w:type="gramEnd"/>
      <w:r>
        <w:t xml:space="preserve"> to the state. A change of government in any Party changes nothing in this Accord, and every incoming administration stands bound from its first day.</w:t>
      </w:r>
      <w:bookmarkEnd w:id="366"/>
    </w:p>
    <w:p w14:paraId="48A79709" w14:textId="77777777" w:rsidR="00723F18" w:rsidRDefault="00000000">
      <w:pPr>
        <w:pStyle w:val="Heading3"/>
      </w:pPr>
      <w:r>
        <w:t>48.6 Depositary and authentic texts</w:t>
      </w:r>
    </w:p>
    <w:p w14:paraId="605A00FF" w14:textId="77777777" w:rsidR="00723F18" w:rsidRDefault="00000000">
      <w:pPr>
        <w:pStyle w:val="FirstParagraph"/>
      </w:pPr>
      <w:bookmarkStart w:id="367" w:name="depositary-and-authentic-texts"/>
      <w:r>
        <w:t xml:space="preserve">The Swiss Confederation serves as Depositary. The Persian, Arabic, and English texts carry equal authority. The Depositary registers the Accord’s existence with the Secretariat of the </w:t>
      </w:r>
      <w:r>
        <w:lastRenderedPageBreak/>
        <w:t>United Nations as a technical arrangement, with the full text available to any Party for registration at its election.</w:t>
      </w:r>
      <w:bookmarkEnd w:id="367"/>
    </w:p>
    <w:p w14:paraId="77E51079" w14:textId="77777777" w:rsidR="00723F18" w:rsidRDefault="00000000">
      <w:pPr>
        <w:pStyle w:val="Heading3"/>
      </w:pPr>
      <w:r>
        <w:t>48.7 Relationship to parallel tracks</w:t>
      </w:r>
    </w:p>
    <w:p w14:paraId="29B5E9FE" w14:textId="77777777" w:rsidR="00723F18" w:rsidRDefault="00000000">
      <w:pPr>
        <w:pStyle w:val="FirstParagraph"/>
      </w:pPr>
      <w:bookmarkStart w:id="368" w:name="article-48-final-provisions"/>
      <w:bookmarkStart w:id="369" w:name="relationship-to-parallel-tracks"/>
      <w:bookmarkStart w:id="370" w:name="Xf73fa88db75672661799d9ee2c64f8b4f5e9869"/>
      <w:r>
        <w:t xml:space="preserve">The Accord stands alone as the maritime file. Progress or difficulty in any parallel negotiation track never </w:t>
      </w:r>
      <w:proofErr w:type="gramStart"/>
      <w:r>
        <w:t>suspends,</w:t>
      </w:r>
      <w:proofErr w:type="gramEnd"/>
      <w:r>
        <w:t xml:space="preserve"> conditions, or accelerates this Accord, and progress or difficulty in this Accord never </w:t>
      </w:r>
      <w:proofErr w:type="gramStart"/>
      <w:r>
        <w:t>suspends,</w:t>
      </w:r>
      <w:proofErr w:type="gramEnd"/>
      <w:r>
        <w:t xml:space="preserve"> conditions, or accelerates any parallel track.</w:t>
      </w:r>
      <w:bookmarkEnd w:id="368"/>
      <w:bookmarkEnd w:id="369"/>
      <w:bookmarkEnd w:id="370"/>
    </w:p>
    <w:p w14:paraId="42DE8ED0" w14:textId="77777777" w:rsidR="00723F18" w:rsidRDefault="00000000">
      <w:pPr>
        <w:pStyle w:val="Heading1"/>
      </w:pPr>
      <w:bookmarkStart w:id="371" w:name="__RefHeading___Toc6496_2939721771"/>
      <w:bookmarkEnd w:id="371"/>
      <w:r>
        <w:t>Signature Block</w:t>
      </w:r>
    </w:p>
    <w:p w14:paraId="6F199DB9" w14:textId="77777777" w:rsidR="00723F18" w:rsidRDefault="00000000">
      <w:pPr>
        <w:pStyle w:val="FirstParagraph"/>
      </w:pPr>
      <w:r>
        <w:t>Executed at Muscat and Doha, in the Persian, Arabic, and English languages, each text equally authoritative, on the date of the final signature below.</w:t>
      </w:r>
    </w:p>
    <w:p w14:paraId="44C4AC15" w14:textId="77777777" w:rsidR="00723F18" w:rsidRDefault="00000000">
      <w:pPr>
        <w:pStyle w:val="BodyText"/>
      </w:pPr>
      <w:r>
        <w:t>For the Islamic Republic of Iran: ______________________ Date: ____________</w:t>
      </w:r>
    </w:p>
    <w:p w14:paraId="480A6E6E" w14:textId="77777777" w:rsidR="00723F18" w:rsidRDefault="00000000">
      <w:pPr>
        <w:pStyle w:val="BodyText"/>
      </w:pPr>
      <w:r>
        <w:t>For the United States of America: ______________________ Date: ____________</w:t>
      </w:r>
    </w:p>
    <w:p w14:paraId="533B52C4" w14:textId="77777777" w:rsidR="00723F18" w:rsidRDefault="00000000">
      <w:pPr>
        <w:pStyle w:val="BodyText"/>
      </w:pPr>
      <w:r>
        <w:t>For the Sultanate of Oman: ______________________ Date: ____________</w:t>
      </w:r>
    </w:p>
    <w:p w14:paraId="25E31D1E" w14:textId="77777777" w:rsidR="00723F18" w:rsidRDefault="00000000">
      <w:pPr>
        <w:pStyle w:val="BodyText"/>
      </w:pPr>
      <w:r>
        <w:t>For the State of Qatar: ______________________ Date: ____________</w:t>
      </w:r>
    </w:p>
    <w:p w14:paraId="14E0E1AA" w14:textId="77777777" w:rsidR="00723F18" w:rsidRDefault="00000000">
      <w:pPr>
        <w:pStyle w:val="BodyText"/>
      </w:pPr>
      <w:r>
        <w:t>Witnessed for the co-facilitating states: the Office of the Special Envoy for Maritime Stabilization, Muscat; the Office of the Minister of State for Mediation Affairs, Doha.</w:t>
      </w:r>
    </w:p>
    <w:p w14:paraId="123E0177" w14:textId="77777777" w:rsidR="00723F18" w:rsidRDefault="00000000">
      <w:pPr>
        <w:pStyle w:val="BodyText"/>
      </w:pPr>
      <w:bookmarkStart w:id="372" w:name="signature-block"/>
      <w:r>
        <w:t xml:space="preserve">Recorded by the Neutral Administrator and Depositary: </w:t>
      </w:r>
      <w:proofErr w:type="gramStart"/>
      <w:r>
        <w:t>the</w:t>
      </w:r>
      <w:proofErr w:type="gramEnd"/>
      <w:r>
        <w:t xml:space="preserve"> Swiss Confederation.</w:t>
      </w:r>
      <w:bookmarkEnd w:id="372"/>
    </w:p>
    <w:p w14:paraId="6FCAE960" w14:textId="77777777" w:rsidR="00723F18" w:rsidRDefault="00000000">
      <w:pPr>
        <w:pStyle w:val="Heading1"/>
      </w:pPr>
      <w:bookmarkStart w:id="373" w:name="__RefHeading___Toc6498_2939721771"/>
      <w:bookmarkEnd w:id="373"/>
      <w:r>
        <w:t>Annex A: Scheme Coordinates and Geometry Registry</w:t>
      </w:r>
    </w:p>
    <w:p w14:paraId="5667FC16" w14:textId="77777777" w:rsidR="00723F18" w:rsidRDefault="00000000">
      <w:pPr>
        <w:pStyle w:val="Heading2"/>
      </w:pPr>
      <w:bookmarkStart w:id="374" w:name="__RefHeading___Toc6500_2939721771"/>
      <w:bookmarkEnd w:id="374"/>
      <w:r>
        <w:t>A.1 Geodetic basis</w:t>
      </w:r>
    </w:p>
    <w:p w14:paraId="6E3ECDB4" w14:textId="77777777" w:rsidR="00723F18" w:rsidRDefault="00000000">
      <w:pPr>
        <w:pStyle w:val="FirstParagraph"/>
      </w:pPr>
      <w:bookmarkStart w:id="375" w:name="a.1-geodetic-basis"/>
      <w:r>
        <w:t xml:space="preserve">All positions in this Annex rest on the WGS-84 datum, expressed in degrees and decimal minutes. The Neutral Coordinate Registry holds the master copy of every table in this Annex, and the certified </w:t>
      </w:r>
      <w:proofErr w:type="spellStart"/>
      <w:r>
        <w:t>chartlet</w:t>
      </w:r>
      <w:proofErr w:type="spellEnd"/>
      <w:r>
        <w:t xml:space="preserve"> series derives from these vertices alone.</w:t>
      </w:r>
      <w:bookmarkEnd w:id="375"/>
    </w:p>
    <w:p w14:paraId="7A6659F0" w14:textId="77777777" w:rsidR="00723F18" w:rsidRDefault="00000000">
      <w:pPr>
        <w:pStyle w:val="Heading2"/>
      </w:pPr>
      <w:bookmarkStart w:id="376" w:name="__RefHeading___Toc6502_2939721771"/>
      <w:bookmarkEnd w:id="376"/>
      <w:r>
        <w:t>A.2 Table A.1: Scheme Area boundary polygon</w:t>
      </w:r>
    </w:p>
    <w:tbl>
      <w:tblPr>
        <w:tblStyle w:val="Table"/>
        <w:tblW w:w="7920" w:type="dxa"/>
        <w:tblInd w:w="0" w:type="dxa"/>
        <w:tblLayout w:type="fixed"/>
        <w:tblLook w:val="0020" w:firstRow="1" w:lastRow="0" w:firstColumn="0" w:lastColumn="0" w:noHBand="0" w:noVBand="0"/>
      </w:tblPr>
      <w:tblGrid>
        <w:gridCol w:w="2640"/>
        <w:gridCol w:w="2640"/>
        <w:gridCol w:w="2640"/>
      </w:tblGrid>
      <w:tr w:rsidR="00723F18" w14:paraId="153D46B1"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tcPr>
          <w:p w14:paraId="43954D97" w14:textId="77777777" w:rsidR="00723F18" w:rsidRDefault="00000000">
            <w:pPr>
              <w:pStyle w:val="Compact"/>
              <w:widowControl w:val="0"/>
              <w:rPr>
                <w:rFonts w:ascii="Cambria" w:eastAsia="Cambria" w:hAnsi="Cambria"/>
              </w:rPr>
            </w:pPr>
            <w:r>
              <w:rPr>
                <w:rFonts w:eastAsia="Cambria"/>
                <w:b/>
                <w:bCs/>
              </w:rPr>
              <w:t>Vertex</w:t>
            </w:r>
          </w:p>
        </w:tc>
        <w:tc>
          <w:tcPr>
            <w:tcW w:w="2640" w:type="dxa"/>
            <w:tcBorders>
              <w:bottom w:val="single" w:sz="6" w:space="0" w:color="000000"/>
            </w:tcBorders>
          </w:tcPr>
          <w:p w14:paraId="51CE6801" w14:textId="77777777" w:rsidR="00723F18" w:rsidRDefault="00000000">
            <w:pPr>
              <w:pStyle w:val="Compact"/>
              <w:widowControl w:val="0"/>
              <w:rPr>
                <w:rFonts w:ascii="Cambria" w:eastAsia="Cambria" w:hAnsi="Cambria"/>
              </w:rPr>
            </w:pPr>
            <w:r>
              <w:rPr>
                <w:rFonts w:eastAsia="Cambria"/>
                <w:b/>
                <w:bCs/>
              </w:rPr>
              <w:t>Latitude (N)</w:t>
            </w:r>
          </w:p>
        </w:tc>
        <w:tc>
          <w:tcPr>
            <w:tcW w:w="2640" w:type="dxa"/>
            <w:tcBorders>
              <w:bottom w:val="single" w:sz="6" w:space="0" w:color="000000"/>
            </w:tcBorders>
          </w:tcPr>
          <w:p w14:paraId="7678D982" w14:textId="77777777" w:rsidR="00723F18" w:rsidRDefault="00000000">
            <w:pPr>
              <w:pStyle w:val="Compact"/>
              <w:widowControl w:val="0"/>
              <w:rPr>
                <w:rFonts w:ascii="Cambria" w:eastAsia="Cambria" w:hAnsi="Cambria"/>
              </w:rPr>
            </w:pPr>
            <w:r>
              <w:rPr>
                <w:rFonts w:eastAsia="Cambria"/>
                <w:b/>
                <w:bCs/>
              </w:rPr>
              <w:t>Longitude (E)</w:t>
            </w:r>
          </w:p>
        </w:tc>
      </w:tr>
      <w:tr w:rsidR="00723F18" w14:paraId="5D1E2CCF" w14:textId="77777777" w:rsidTr="00723F18">
        <w:tc>
          <w:tcPr>
            <w:tcW w:w="2640" w:type="dxa"/>
          </w:tcPr>
          <w:p w14:paraId="6ACDAE85" w14:textId="77777777" w:rsidR="00723F18" w:rsidRDefault="00000000">
            <w:pPr>
              <w:pStyle w:val="Compact"/>
              <w:widowControl w:val="0"/>
              <w:rPr>
                <w:rFonts w:ascii="Cambria" w:eastAsia="Cambria" w:hAnsi="Cambria"/>
              </w:rPr>
            </w:pPr>
            <w:r>
              <w:rPr>
                <w:rFonts w:eastAsia="Cambria"/>
              </w:rPr>
              <w:t>B-1</w:t>
            </w:r>
          </w:p>
        </w:tc>
        <w:tc>
          <w:tcPr>
            <w:tcW w:w="2640" w:type="dxa"/>
          </w:tcPr>
          <w:p w14:paraId="6FAD0353" w14:textId="77777777" w:rsidR="00723F18" w:rsidRDefault="00000000">
            <w:pPr>
              <w:pStyle w:val="Compact"/>
              <w:widowControl w:val="0"/>
              <w:rPr>
                <w:rFonts w:ascii="Cambria" w:eastAsia="Cambria" w:hAnsi="Cambria"/>
              </w:rPr>
            </w:pPr>
            <w:r>
              <w:rPr>
                <w:rFonts w:eastAsia="Cambria"/>
              </w:rPr>
              <w:t>26 degrees 45.0 minutes</w:t>
            </w:r>
          </w:p>
        </w:tc>
        <w:tc>
          <w:tcPr>
            <w:tcW w:w="2640" w:type="dxa"/>
          </w:tcPr>
          <w:p w14:paraId="5B656D47" w14:textId="77777777" w:rsidR="00723F18" w:rsidRDefault="00000000">
            <w:pPr>
              <w:pStyle w:val="Compact"/>
              <w:widowControl w:val="0"/>
              <w:rPr>
                <w:rFonts w:ascii="Cambria" w:eastAsia="Cambria" w:hAnsi="Cambria"/>
              </w:rPr>
            </w:pPr>
            <w:r>
              <w:rPr>
                <w:rFonts w:eastAsia="Cambria"/>
              </w:rPr>
              <w:t>057 degrees 00.0 minutes</w:t>
            </w:r>
          </w:p>
        </w:tc>
      </w:tr>
      <w:tr w:rsidR="00723F18" w14:paraId="4038FC2E" w14:textId="77777777" w:rsidTr="00723F18">
        <w:tc>
          <w:tcPr>
            <w:tcW w:w="2640" w:type="dxa"/>
          </w:tcPr>
          <w:p w14:paraId="69A9F03E" w14:textId="77777777" w:rsidR="00723F18" w:rsidRDefault="00000000">
            <w:pPr>
              <w:pStyle w:val="Compact"/>
              <w:widowControl w:val="0"/>
              <w:rPr>
                <w:rFonts w:ascii="Cambria" w:eastAsia="Cambria" w:hAnsi="Cambria"/>
              </w:rPr>
            </w:pPr>
            <w:r>
              <w:rPr>
                <w:rFonts w:eastAsia="Cambria"/>
              </w:rPr>
              <w:t>B-2</w:t>
            </w:r>
          </w:p>
        </w:tc>
        <w:tc>
          <w:tcPr>
            <w:tcW w:w="2640" w:type="dxa"/>
          </w:tcPr>
          <w:p w14:paraId="37725BB5" w14:textId="77777777" w:rsidR="00723F18" w:rsidRDefault="00000000">
            <w:pPr>
              <w:pStyle w:val="Compact"/>
              <w:widowControl w:val="0"/>
              <w:rPr>
                <w:rFonts w:ascii="Cambria" w:eastAsia="Cambria" w:hAnsi="Cambria"/>
              </w:rPr>
            </w:pPr>
            <w:r>
              <w:rPr>
                <w:rFonts w:eastAsia="Cambria"/>
              </w:rPr>
              <w:t>26 degrees 10.0 minutes</w:t>
            </w:r>
          </w:p>
        </w:tc>
        <w:tc>
          <w:tcPr>
            <w:tcW w:w="2640" w:type="dxa"/>
          </w:tcPr>
          <w:p w14:paraId="3934F8C9" w14:textId="77777777" w:rsidR="00723F18" w:rsidRDefault="00000000">
            <w:pPr>
              <w:pStyle w:val="Compact"/>
              <w:widowControl w:val="0"/>
              <w:rPr>
                <w:rFonts w:ascii="Cambria" w:eastAsia="Cambria" w:hAnsi="Cambria"/>
              </w:rPr>
            </w:pPr>
            <w:r>
              <w:rPr>
                <w:rFonts w:eastAsia="Cambria"/>
              </w:rPr>
              <w:t>057 degrees 00.0 minutes</w:t>
            </w:r>
          </w:p>
        </w:tc>
      </w:tr>
      <w:tr w:rsidR="00723F18" w14:paraId="08CB6478" w14:textId="77777777" w:rsidTr="00723F18">
        <w:tc>
          <w:tcPr>
            <w:tcW w:w="2640" w:type="dxa"/>
          </w:tcPr>
          <w:p w14:paraId="652F3D49" w14:textId="77777777" w:rsidR="00723F18" w:rsidRDefault="00000000">
            <w:pPr>
              <w:pStyle w:val="Compact"/>
              <w:widowControl w:val="0"/>
              <w:rPr>
                <w:rFonts w:ascii="Cambria" w:eastAsia="Cambria" w:hAnsi="Cambria"/>
              </w:rPr>
            </w:pPr>
            <w:r>
              <w:rPr>
                <w:rFonts w:eastAsia="Cambria"/>
              </w:rPr>
              <w:t>B-3</w:t>
            </w:r>
          </w:p>
        </w:tc>
        <w:tc>
          <w:tcPr>
            <w:tcW w:w="2640" w:type="dxa"/>
          </w:tcPr>
          <w:p w14:paraId="604F0BC9" w14:textId="77777777" w:rsidR="00723F18" w:rsidRDefault="00000000">
            <w:pPr>
              <w:pStyle w:val="Compact"/>
              <w:widowControl w:val="0"/>
              <w:rPr>
                <w:rFonts w:ascii="Cambria" w:eastAsia="Cambria" w:hAnsi="Cambria"/>
              </w:rPr>
            </w:pPr>
            <w:r>
              <w:rPr>
                <w:rFonts w:eastAsia="Cambria"/>
              </w:rPr>
              <w:t>25 degrees 55.0 minutes</w:t>
            </w:r>
          </w:p>
        </w:tc>
        <w:tc>
          <w:tcPr>
            <w:tcW w:w="2640" w:type="dxa"/>
          </w:tcPr>
          <w:p w14:paraId="5383F7EF" w14:textId="77777777" w:rsidR="00723F18" w:rsidRDefault="00000000">
            <w:pPr>
              <w:pStyle w:val="Compact"/>
              <w:widowControl w:val="0"/>
              <w:rPr>
                <w:rFonts w:ascii="Cambria" w:eastAsia="Cambria" w:hAnsi="Cambria"/>
              </w:rPr>
            </w:pPr>
            <w:r>
              <w:rPr>
                <w:rFonts w:eastAsia="Cambria"/>
              </w:rPr>
              <w:t>056 degrees 35.0 minutes</w:t>
            </w:r>
          </w:p>
        </w:tc>
      </w:tr>
      <w:tr w:rsidR="00723F18" w14:paraId="347F1E74" w14:textId="77777777" w:rsidTr="00723F18">
        <w:tc>
          <w:tcPr>
            <w:tcW w:w="2640" w:type="dxa"/>
          </w:tcPr>
          <w:p w14:paraId="7DD9FE7F" w14:textId="77777777" w:rsidR="00723F18" w:rsidRDefault="00000000">
            <w:pPr>
              <w:pStyle w:val="Compact"/>
              <w:widowControl w:val="0"/>
              <w:rPr>
                <w:rFonts w:ascii="Cambria" w:eastAsia="Cambria" w:hAnsi="Cambria"/>
              </w:rPr>
            </w:pPr>
            <w:r>
              <w:rPr>
                <w:rFonts w:eastAsia="Cambria"/>
              </w:rPr>
              <w:t>B-4</w:t>
            </w:r>
          </w:p>
        </w:tc>
        <w:tc>
          <w:tcPr>
            <w:tcW w:w="2640" w:type="dxa"/>
          </w:tcPr>
          <w:p w14:paraId="2F05431A" w14:textId="77777777" w:rsidR="00723F18" w:rsidRDefault="00000000">
            <w:pPr>
              <w:pStyle w:val="Compact"/>
              <w:widowControl w:val="0"/>
              <w:rPr>
                <w:rFonts w:ascii="Cambria" w:eastAsia="Cambria" w:hAnsi="Cambria"/>
              </w:rPr>
            </w:pPr>
            <w:r>
              <w:rPr>
                <w:rFonts w:eastAsia="Cambria"/>
              </w:rPr>
              <w:t>25 degrees 50.0 minutes</w:t>
            </w:r>
          </w:p>
        </w:tc>
        <w:tc>
          <w:tcPr>
            <w:tcW w:w="2640" w:type="dxa"/>
          </w:tcPr>
          <w:p w14:paraId="77EC04BF" w14:textId="77777777" w:rsidR="00723F18" w:rsidRDefault="00000000">
            <w:pPr>
              <w:pStyle w:val="Compact"/>
              <w:widowControl w:val="0"/>
              <w:rPr>
                <w:rFonts w:ascii="Cambria" w:eastAsia="Cambria" w:hAnsi="Cambria"/>
              </w:rPr>
            </w:pPr>
            <w:r>
              <w:rPr>
                <w:rFonts w:eastAsia="Cambria"/>
              </w:rPr>
              <w:t>056 degrees 10.0 minutes</w:t>
            </w:r>
          </w:p>
        </w:tc>
      </w:tr>
      <w:tr w:rsidR="00723F18" w14:paraId="446F0A7B" w14:textId="77777777" w:rsidTr="00723F18">
        <w:tc>
          <w:tcPr>
            <w:tcW w:w="2640" w:type="dxa"/>
          </w:tcPr>
          <w:p w14:paraId="0BC026C7" w14:textId="77777777" w:rsidR="00723F18" w:rsidRDefault="00000000">
            <w:pPr>
              <w:pStyle w:val="Compact"/>
              <w:widowControl w:val="0"/>
              <w:rPr>
                <w:rFonts w:ascii="Cambria" w:eastAsia="Cambria" w:hAnsi="Cambria"/>
              </w:rPr>
            </w:pPr>
            <w:r>
              <w:rPr>
                <w:rFonts w:eastAsia="Cambria"/>
              </w:rPr>
              <w:lastRenderedPageBreak/>
              <w:t>B-5</w:t>
            </w:r>
          </w:p>
        </w:tc>
        <w:tc>
          <w:tcPr>
            <w:tcW w:w="2640" w:type="dxa"/>
          </w:tcPr>
          <w:p w14:paraId="659C6394" w14:textId="77777777" w:rsidR="00723F18" w:rsidRDefault="00000000">
            <w:pPr>
              <w:pStyle w:val="Compact"/>
              <w:widowControl w:val="0"/>
              <w:rPr>
                <w:rFonts w:ascii="Cambria" w:eastAsia="Cambria" w:hAnsi="Cambria"/>
              </w:rPr>
            </w:pPr>
            <w:r>
              <w:rPr>
                <w:rFonts w:eastAsia="Cambria"/>
              </w:rPr>
              <w:t>25 degrees 55.0 minutes</w:t>
            </w:r>
          </w:p>
        </w:tc>
        <w:tc>
          <w:tcPr>
            <w:tcW w:w="2640" w:type="dxa"/>
          </w:tcPr>
          <w:p w14:paraId="3BA502F3" w14:textId="77777777" w:rsidR="00723F18" w:rsidRDefault="00000000">
            <w:pPr>
              <w:pStyle w:val="Compact"/>
              <w:widowControl w:val="0"/>
              <w:rPr>
                <w:rFonts w:ascii="Cambria" w:eastAsia="Cambria" w:hAnsi="Cambria"/>
              </w:rPr>
            </w:pPr>
            <w:r>
              <w:rPr>
                <w:rFonts w:eastAsia="Cambria"/>
              </w:rPr>
              <w:t>055 degrees 45.0 minutes</w:t>
            </w:r>
          </w:p>
        </w:tc>
      </w:tr>
      <w:tr w:rsidR="00723F18" w14:paraId="0FA066D2" w14:textId="77777777" w:rsidTr="00723F18">
        <w:tc>
          <w:tcPr>
            <w:tcW w:w="2640" w:type="dxa"/>
          </w:tcPr>
          <w:p w14:paraId="72F1E13B" w14:textId="77777777" w:rsidR="00723F18" w:rsidRDefault="00000000">
            <w:pPr>
              <w:pStyle w:val="Compact"/>
              <w:widowControl w:val="0"/>
              <w:rPr>
                <w:rFonts w:ascii="Cambria" w:eastAsia="Cambria" w:hAnsi="Cambria"/>
              </w:rPr>
            </w:pPr>
            <w:r>
              <w:rPr>
                <w:rFonts w:eastAsia="Cambria"/>
              </w:rPr>
              <w:t>B-6</w:t>
            </w:r>
          </w:p>
        </w:tc>
        <w:tc>
          <w:tcPr>
            <w:tcW w:w="2640" w:type="dxa"/>
          </w:tcPr>
          <w:p w14:paraId="445A7863" w14:textId="77777777" w:rsidR="00723F18" w:rsidRDefault="00000000">
            <w:pPr>
              <w:pStyle w:val="Compact"/>
              <w:widowControl w:val="0"/>
              <w:rPr>
                <w:rFonts w:ascii="Cambria" w:eastAsia="Cambria" w:hAnsi="Cambria"/>
              </w:rPr>
            </w:pPr>
            <w:r>
              <w:rPr>
                <w:rFonts w:eastAsia="Cambria"/>
              </w:rPr>
              <w:t>26 degrees 05.0 minutes</w:t>
            </w:r>
          </w:p>
        </w:tc>
        <w:tc>
          <w:tcPr>
            <w:tcW w:w="2640" w:type="dxa"/>
          </w:tcPr>
          <w:p w14:paraId="5DC953CA" w14:textId="77777777" w:rsidR="00723F18" w:rsidRDefault="00000000">
            <w:pPr>
              <w:pStyle w:val="Compact"/>
              <w:widowControl w:val="0"/>
              <w:rPr>
                <w:rFonts w:ascii="Cambria" w:eastAsia="Cambria" w:hAnsi="Cambria"/>
              </w:rPr>
            </w:pPr>
            <w:r>
              <w:rPr>
                <w:rFonts w:eastAsia="Cambria"/>
              </w:rPr>
              <w:t>055 degrees 30.0 minutes</w:t>
            </w:r>
          </w:p>
        </w:tc>
      </w:tr>
      <w:tr w:rsidR="00723F18" w14:paraId="5D5C87BF" w14:textId="77777777" w:rsidTr="00723F18">
        <w:tc>
          <w:tcPr>
            <w:tcW w:w="2640" w:type="dxa"/>
          </w:tcPr>
          <w:p w14:paraId="17953220" w14:textId="77777777" w:rsidR="00723F18" w:rsidRDefault="00000000">
            <w:pPr>
              <w:pStyle w:val="Compact"/>
              <w:widowControl w:val="0"/>
              <w:rPr>
                <w:rFonts w:ascii="Cambria" w:eastAsia="Cambria" w:hAnsi="Cambria"/>
              </w:rPr>
            </w:pPr>
            <w:r>
              <w:rPr>
                <w:rFonts w:eastAsia="Cambria"/>
              </w:rPr>
              <w:t>B-7</w:t>
            </w:r>
          </w:p>
        </w:tc>
        <w:tc>
          <w:tcPr>
            <w:tcW w:w="2640" w:type="dxa"/>
          </w:tcPr>
          <w:p w14:paraId="51B0B311" w14:textId="77777777" w:rsidR="00723F18" w:rsidRDefault="00000000">
            <w:pPr>
              <w:pStyle w:val="Compact"/>
              <w:widowControl w:val="0"/>
              <w:rPr>
                <w:rFonts w:ascii="Cambria" w:eastAsia="Cambria" w:hAnsi="Cambria"/>
              </w:rPr>
            </w:pPr>
            <w:r>
              <w:rPr>
                <w:rFonts w:eastAsia="Cambria"/>
              </w:rPr>
              <w:t>26 degrees 30.0 minutes</w:t>
            </w:r>
          </w:p>
        </w:tc>
        <w:tc>
          <w:tcPr>
            <w:tcW w:w="2640" w:type="dxa"/>
          </w:tcPr>
          <w:p w14:paraId="02D26AEC" w14:textId="77777777" w:rsidR="00723F18" w:rsidRDefault="00000000">
            <w:pPr>
              <w:pStyle w:val="Compact"/>
              <w:widowControl w:val="0"/>
              <w:rPr>
                <w:rFonts w:ascii="Cambria" w:eastAsia="Cambria" w:hAnsi="Cambria"/>
              </w:rPr>
            </w:pPr>
            <w:r>
              <w:rPr>
                <w:rFonts w:eastAsia="Cambria"/>
              </w:rPr>
              <w:t>055 degrees 30.0 minutes</w:t>
            </w:r>
          </w:p>
        </w:tc>
      </w:tr>
      <w:tr w:rsidR="00723F18" w14:paraId="72337CE8" w14:textId="77777777" w:rsidTr="00723F18">
        <w:tc>
          <w:tcPr>
            <w:tcW w:w="2640" w:type="dxa"/>
          </w:tcPr>
          <w:p w14:paraId="41D08414" w14:textId="77777777" w:rsidR="00723F18" w:rsidRDefault="00000000">
            <w:pPr>
              <w:pStyle w:val="Compact"/>
              <w:widowControl w:val="0"/>
              <w:rPr>
                <w:rFonts w:ascii="Cambria" w:eastAsia="Cambria" w:hAnsi="Cambria"/>
              </w:rPr>
            </w:pPr>
            <w:r>
              <w:rPr>
                <w:rFonts w:eastAsia="Cambria"/>
              </w:rPr>
              <w:t>B-8</w:t>
            </w:r>
          </w:p>
        </w:tc>
        <w:tc>
          <w:tcPr>
            <w:tcW w:w="2640" w:type="dxa"/>
          </w:tcPr>
          <w:p w14:paraId="7767CE00" w14:textId="77777777" w:rsidR="00723F18" w:rsidRDefault="00000000">
            <w:pPr>
              <w:pStyle w:val="Compact"/>
              <w:widowControl w:val="0"/>
              <w:rPr>
                <w:rFonts w:ascii="Cambria" w:eastAsia="Cambria" w:hAnsi="Cambria"/>
              </w:rPr>
            </w:pPr>
            <w:r>
              <w:rPr>
                <w:rFonts w:eastAsia="Cambria"/>
              </w:rPr>
              <w:t>26 degrees 50.0 minutes</w:t>
            </w:r>
          </w:p>
        </w:tc>
        <w:tc>
          <w:tcPr>
            <w:tcW w:w="2640" w:type="dxa"/>
          </w:tcPr>
          <w:p w14:paraId="6456D4ED" w14:textId="77777777" w:rsidR="00723F18" w:rsidRDefault="00000000">
            <w:pPr>
              <w:pStyle w:val="Compact"/>
              <w:widowControl w:val="0"/>
              <w:rPr>
                <w:rFonts w:ascii="Cambria" w:eastAsia="Cambria" w:hAnsi="Cambria"/>
              </w:rPr>
            </w:pPr>
            <w:r>
              <w:rPr>
                <w:rFonts w:eastAsia="Cambria"/>
              </w:rPr>
              <w:t>055 degrees 50.0 minutes</w:t>
            </w:r>
          </w:p>
        </w:tc>
      </w:tr>
      <w:tr w:rsidR="00723F18" w14:paraId="6D6A8441" w14:textId="77777777" w:rsidTr="00723F18">
        <w:tc>
          <w:tcPr>
            <w:tcW w:w="2640" w:type="dxa"/>
          </w:tcPr>
          <w:p w14:paraId="3C4BD74D" w14:textId="77777777" w:rsidR="00723F18" w:rsidRDefault="00000000">
            <w:pPr>
              <w:pStyle w:val="Compact"/>
              <w:widowControl w:val="0"/>
              <w:rPr>
                <w:rFonts w:ascii="Cambria" w:eastAsia="Cambria" w:hAnsi="Cambria"/>
              </w:rPr>
            </w:pPr>
            <w:r>
              <w:rPr>
                <w:rFonts w:eastAsia="Cambria"/>
              </w:rPr>
              <w:t>B-9</w:t>
            </w:r>
          </w:p>
        </w:tc>
        <w:tc>
          <w:tcPr>
            <w:tcW w:w="2640" w:type="dxa"/>
          </w:tcPr>
          <w:p w14:paraId="448F8B1A" w14:textId="77777777" w:rsidR="00723F18" w:rsidRDefault="00000000">
            <w:pPr>
              <w:pStyle w:val="Compact"/>
              <w:widowControl w:val="0"/>
              <w:rPr>
                <w:rFonts w:ascii="Cambria" w:eastAsia="Cambria" w:hAnsi="Cambria"/>
              </w:rPr>
            </w:pPr>
            <w:r>
              <w:rPr>
                <w:rFonts w:eastAsia="Cambria"/>
              </w:rPr>
              <w:t>26 degrees 55.0 minutes</w:t>
            </w:r>
          </w:p>
        </w:tc>
        <w:tc>
          <w:tcPr>
            <w:tcW w:w="2640" w:type="dxa"/>
          </w:tcPr>
          <w:p w14:paraId="51D82E06" w14:textId="77777777" w:rsidR="00723F18" w:rsidRDefault="00000000">
            <w:pPr>
              <w:pStyle w:val="Compact"/>
              <w:widowControl w:val="0"/>
              <w:rPr>
                <w:rFonts w:ascii="Cambria" w:eastAsia="Cambria" w:hAnsi="Cambria"/>
              </w:rPr>
            </w:pPr>
            <w:r>
              <w:rPr>
                <w:rFonts w:eastAsia="Cambria"/>
              </w:rPr>
              <w:t>056 degrees 20.0 minutes</w:t>
            </w:r>
          </w:p>
        </w:tc>
      </w:tr>
      <w:tr w:rsidR="00723F18" w14:paraId="703A83E3" w14:textId="77777777" w:rsidTr="00723F18">
        <w:tc>
          <w:tcPr>
            <w:tcW w:w="2640" w:type="dxa"/>
          </w:tcPr>
          <w:p w14:paraId="2A6096EB" w14:textId="77777777" w:rsidR="00723F18" w:rsidRDefault="00000000">
            <w:pPr>
              <w:pStyle w:val="Compact"/>
              <w:widowControl w:val="0"/>
              <w:rPr>
                <w:rFonts w:ascii="Cambria" w:eastAsia="Cambria" w:hAnsi="Cambria"/>
              </w:rPr>
            </w:pPr>
            <w:r>
              <w:rPr>
                <w:rFonts w:eastAsia="Cambria"/>
              </w:rPr>
              <w:t>B-10</w:t>
            </w:r>
          </w:p>
        </w:tc>
        <w:tc>
          <w:tcPr>
            <w:tcW w:w="2640" w:type="dxa"/>
          </w:tcPr>
          <w:p w14:paraId="568A7F06" w14:textId="77777777" w:rsidR="00723F18" w:rsidRDefault="00000000">
            <w:pPr>
              <w:pStyle w:val="Compact"/>
              <w:widowControl w:val="0"/>
              <w:rPr>
                <w:rFonts w:ascii="Cambria" w:eastAsia="Cambria" w:hAnsi="Cambria"/>
              </w:rPr>
            </w:pPr>
            <w:r>
              <w:rPr>
                <w:rFonts w:eastAsia="Cambria"/>
              </w:rPr>
              <w:t>26 degrees 50.0 minutes</w:t>
            </w:r>
          </w:p>
        </w:tc>
        <w:tc>
          <w:tcPr>
            <w:tcW w:w="2640" w:type="dxa"/>
          </w:tcPr>
          <w:p w14:paraId="1A37F83A" w14:textId="77777777" w:rsidR="00723F18" w:rsidRDefault="00000000">
            <w:pPr>
              <w:pStyle w:val="Compact"/>
              <w:widowControl w:val="0"/>
              <w:rPr>
                <w:rFonts w:ascii="Cambria" w:eastAsia="Cambria" w:hAnsi="Cambria"/>
              </w:rPr>
            </w:pPr>
            <w:r>
              <w:rPr>
                <w:rFonts w:eastAsia="Cambria"/>
              </w:rPr>
              <w:t>056 degrees 45.0 minutes</w:t>
            </w:r>
          </w:p>
        </w:tc>
      </w:tr>
    </w:tbl>
    <w:p w14:paraId="0FE28BDC" w14:textId="77777777" w:rsidR="00723F18" w:rsidRDefault="00000000">
      <w:pPr>
        <w:pStyle w:val="BodyText"/>
      </w:pPr>
      <w:bookmarkStart w:id="377" w:name="X179a314baf3b390df19725900f05e89bd58f21f"/>
      <w:r>
        <w:rPr>
          <w:i/>
          <w:iCs/>
        </w:rPr>
        <w:t>The polygon closes from B-10 to B-1 along the meridian 057 degrees 00.0 minutes East.</w:t>
      </w:r>
      <w:bookmarkEnd w:id="377"/>
    </w:p>
    <w:p w14:paraId="011C3C16" w14:textId="77777777" w:rsidR="00723F18" w:rsidRDefault="00000000">
      <w:pPr>
        <w:pStyle w:val="Heading2"/>
      </w:pPr>
      <w:bookmarkStart w:id="378" w:name="__RefHeading___Toc6504_2939721771"/>
      <w:bookmarkEnd w:id="378"/>
      <w:r>
        <w:t>A.3 Table A.2: Corridor One (Northern Stewardship Corridor) centerline</w:t>
      </w:r>
    </w:p>
    <w:tbl>
      <w:tblPr>
        <w:tblStyle w:val="Table"/>
        <w:tblW w:w="5000" w:type="pct"/>
        <w:tblInd w:w="0" w:type="dxa"/>
        <w:tblLayout w:type="fixed"/>
        <w:tblLook w:val="0020" w:firstRow="1" w:lastRow="0" w:firstColumn="0" w:lastColumn="0" w:noHBand="0" w:noVBand="0"/>
      </w:tblPr>
      <w:tblGrid>
        <w:gridCol w:w="2394"/>
        <w:gridCol w:w="2394"/>
        <w:gridCol w:w="2394"/>
        <w:gridCol w:w="2394"/>
      </w:tblGrid>
      <w:tr w:rsidR="00723F18" w14:paraId="2862D9A3"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3339BE35" w14:textId="77777777" w:rsidR="00723F18" w:rsidRDefault="00000000">
            <w:pPr>
              <w:pStyle w:val="Compact"/>
              <w:widowControl w:val="0"/>
              <w:rPr>
                <w:rFonts w:ascii="Cambria" w:eastAsia="Cambria" w:hAnsi="Cambria"/>
              </w:rPr>
            </w:pPr>
            <w:r>
              <w:rPr>
                <w:rFonts w:eastAsia="Cambria"/>
                <w:b/>
                <w:bCs/>
              </w:rPr>
              <w:t>Waypoint</w:t>
            </w:r>
          </w:p>
        </w:tc>
        <w:tc>
          <w:tcPr>
            <w:tcW w:w="2340" w:type="dxa"/>
            <w:tcBorders>
              <w:bottom w:val="single" w:sz="6" w:space="0" w:color="000000"/>
            </w:tcBorders>
          </w:tcPr>
          <w:p w14:paraId="4942C328" w14:textId="77777777" w:rsidR="00723F18" w:rsidRDefault="00000000">
            <w:pPr>
              <w:pStyle w:val="Compact"/>
              <w:widowControl w:val="0"/>
              <w:rPr>
                <w:rFonts w:ascii="Cambria" w:eastAsia="Cambria" w:hAnsi="Cambria"/>
              </w:rPr>
            </w:pPr>
            <w:r>
              <w:rPr>
                <w:rFonts w:eastAsia="Cambria"/>
                <w:b/>
                <w:bCs/>
              </w:rPr>
              <w:t>Latitude (N)</w:t>
            </w:r>
          </w:p>
        </w:tc>
        <w:tc>
          <w:tcPr>
            <w:tcW w:w="2340" w:type="dxa"/>
            <w:tcBorders>
              <w:bottom w:val="single" w:sz="6" w:space="0" w:color="000000"/>
            </w:tcBorders>
          </w:tcPr>
          <w:p w14:paraId="2145BAF3" w14:textId="77777777" w:rsidR="00723F18" w:rsidRDefault="00000000">
            <w:pPr>
              <w:pStyle w:val="Compact"/>
              <w:widowControl w:val="0"/>
              <w:rPr>
                <w:rFonts w:ascii="Cambria" w:eastAsia="Cambria" w:hAnsi="Cambria"/>
              </w:rPr>
            </w:pPr>
            <w:r>
              <w:rPr>
                <w:rFonts w:eastAsia="Cambria"/>
                <w:b/>
                <w:bCs/>
              </w:rPr>
              <w:t>Longitude (E)</w:t>
            </w:r>
          </w:p>
        </w:tc>
        <w:tc>
          <w:tcPr>
            <w:tcW w:w="2340" w:type="dxa"/>
            <w:tcBorders>
              <w:bottom w:val="single" w:sz="6" w:space="0" w:color="000000"/>
            </w:tcBorders>
          </w:tcPr>
          <w:p w14:paraId="0B21BD2B" w14:textId="77777777" w:rsidR="00723F18" w:rsidRDefault="00000000">
            <w:pPr>
              <w:pStyle w:val="Compact"/>
              <w:widowControl w:val="0"/>
              <w:rPr>
                <w:rFonts w:ascii="Cambria" w:eastAsia="Cambria" w:hAnsi="Cambria"/>
              </w:rPr>
            </w:pPr>
            <w:r>
              <w:rPr>
                <w:rFonts w:eastAsia="Cambria"/>
                <w:b/>
                <w:bCs/>
              </w:rPr>
              <w:t>Function</w:t>
            </w:r>
          </w:p>
        </w:tc>
      </w:tr>
      <w:tr w:rsidR="00723F18" w14:paraId="39F7C7A2" w14:textId="77777777" w:rsidTr="00723F18">
        <w:tc>
          <w:tcPr>
            <w:tcW w:w="2339" w:type="dxa"/>
          </w:tcPr>
          <w:p w14:paraId="734412D6" w14:textId="77777777" w:rsidR="00723F18" w:rsidRDefault="00000000">
            <w:pPr>
              <w:pStyle w:val="Compact"/>
              <w:widowControl w:val="0"/>
              <w:rPr>
                <w:rFonts w:ascii="Cambria" w:eastAsia="Cambria" w:hAnsi="Cambria"/>
              </w:rPr>
            </w:pPr>
            <w:r>
              <w:rPr>
                <w:rFonts w:eastAsia="Cambria"/>
              </w:rPr>
              <w:t>N-1</w:t>
            </w:r>
          </w:p>
        </w:tc>
        <w:tc>
          <w:tcPr>
            <w:tcW w:w="2340" w:type="dxa"/>
          </w:tcPr>
          <w:p w14:paraId="159386AB" w14:textId="77777777" w:rsidR="00723F18" w:rsidRDefault="00000000">
            <w:pPr>
              <w:pStyle w:val="Compact"/>
              <w:widowControl w:val="0"/>
              <w:rPr>
                <w:rFonts w:ascii="Cambria" w:eastAsia="Cambria" w:hAnsi="Cambria"/>
              </w:rPr>
            </w:pPr>
            <w:r>
              <w:rPr>
                <w:rFonts w:eastAsia="Cambria"/>
              </w:rPr>
              <w:t>26 degrees 42.0 minutes</w:t>
            </w:r>
          </w:p>
        </w:tc>
        <w:tc>
          <w:tcPr>
            <w:tcW w:w="2340" w:type="dxa"/>
          </w:tcPr>
          <w:p w14:paraId="57A20963" w14:textId="77777777" w:rsidR="00723F18" w:rsidRDefault="00000000">
            <w:pPr>
              <w:pStyle w:val="Compact"/>
              <w:widowControl w:val="0"/>
              <w:rPr>
                <w:rFonts w:ascii="Cambria" w:eastAsia="Cambria" w:hAnsi="Cambria"/>
              </w:rPr>
            </w:pPr>
            <w:r>
              <w:rPr>
                <w:rFonts w:eastAsia="Cambria"/>
              </w:rPr>
              <w:t>056 degrees 55.0 minutes</w:t>
            </w:r>
          </w:p>
        </w:tc>
        <w:tc>
          <w:tcPr>
            <w:tcW w:w="2340" w:type="dxa"/>
          </w:tcPr>
          <w:p w14:paraId="7E4F0ECD" w14:textId="77777777" w:rsidR="00723F18" w:rsidRDefault="00000000">
            <w:pPr>
              <w:pStyle w:val="Compact"/>
              <w:widowControl w:val="0"/>
              <w:rPr>
                <w:rFonts w:ascii="Cambria" w:eastAsia="Cambria" w:hAnsi="Cambria"/>
              </w:rPr>
            </w:pPr>
            <w:r>
              <w:rPr>
                <w:rFonts w:eastAsia="Cambria"/>
              </w:rPr>
              <w:t>Eastern entry, inbound lane</w:t>
            </w:r>
          </w:p>
        </w:tc>
      </w:tr>
      <w:tr w:rsidR="00723F18" w14:paraId="5B379D54" w14:textId="77777777" w:rsidTr="00723F18">
        <w:tc>
          <w:tcPr>
            <w:tcW w:w="2339" w:type="dxa"/>
          </w:tcPr>
          <w:p w14:paraId="71B260C0" w14:textId="77777777" w:rsidR="00723F18" w:rsidRDefault="00000000">
            <w:pPr>
              <w:pStyle w:val="Compact"/>
              <w:widowControl w:val="0"/>
              <w:rPr>
                <w:rFonts w:ascii="Cambria" w:eastAsia="Cambria" w:hAnsi="Cambria"/>
              </w:rPr>
            </w:pPr>
            <w:r>
              <w:rPr>
                <w:rFonts w:eastAsia="Cambria"/>
              </w:rPr>
              <w:t>N-2</w:t>
            </w:r>
          </w:p>
        </w:tc>
        <w:tc>
          <w:tcPr>
            <w:tcW w:w="2340" w:type="dxa"/>
          </w:tcPr>
          <w:p w14:paraId="633689DA" w14:textId="77777777" w:rsidR="00723F18" w:rsidRDefault="00000000">
            <w:pPr>
              <w:pStyle w:val="Compact"/>
              <w:widowControl w:val="0"/>
              <w:rPr>
                <w:rFonts w:ascii="Cambria" w:eastAsia="Cambria" w:hAnsi="Cambria"/>
              </w:rPr>
            </w:pPr>
            <w:r>
              <w:rPr>
                <w:rFonts w:eastAsia="Cambria"/>
              </w:rPr>
              <w:t>26 degrees 44.0 minutes</w:t>
            </w:r>
          </w:p>
        </w:tc>
        <w:tc>
          <w:tcPr>
            <w:tcW w:w="2340" w:type="dxa"/>
          </w:tcPr>
          <w:p w14:paraId="3E5363CF" w14:textId="77777777" w:rsidR="00723F18" w:rsidRDefault="00000000">
            <w:pPr>
              <w:pStyle w:val="Compact"/>
              <w:widowControl w:val="0"/>
              <w:rPr>
                <w:rFonts w:ascii="Cambria" w:eastAsia="Cambria" w:hAnsi="Cambria"/>
              </w:rPr>
            </w:pPr>
            <w:r>
              <w:rPr>
                <w:rFonts w:eastAsia="Cambria"/>
              </w:rPr>
              <w:t>056 degrees 40.0 minutes</w:t>
            </w:r>
          </w:p>
        </w:tc>
        <w:tc>
          <w:tcPr>
            <w:tcW w:w="2340" w:type="dxa"/>
          </w:tcPr>
          <w:p w14:paraId="2028E075" w14:textId="77777777" w:rsidR="00723F18" w:rsidRDefault="00000000">
            <w:pPr>
              <w:pStyle w:val="Compact"/>
              <w:widowControl w:val="0"/>
              <w:rPr>
                <w:rFonts w:ascii="Cambria" w:eastAsia="Cambria" w:hAnsi="Cambria"/>
              </w:rPr>
            </w:pPr>
            <w:r>
              <w:rPr>
                <w:rFonts w:eastAsia="Cambria"/>
              </w:rPr>
              <w:t>Mid-strait reporting point</w:t>
            </w:r>
          </w:p>
        </w:tc>
      </w:tr>
      <w:tr w:rsidR="00723F18" w14:paraId="6B74CE94" w14:textId="77777777" w:rsidTr="00723F18">
        <w:tc>
          <w:tcPr>
            <w:tcW w:w="2339" w:type="dxa"/>
          </w:tcPr>
          <w:p w14:paraId="7F9B7B86" w14:textId="77777777" w:rsidR="00723F18" w:rsidRDefault="00000000">
            <w:pPr>
              <w:pStyle w:val="Compact"/>
              <w:widowControl w:val="0"/>
              <w:rPr>
                <w:rFonts w:ascii="Cambria" w:eastAsia="Cambria" w:hAnsi="Cambria"/>
              </w:rPr>
            </w:pPr>
            <w:r>
              <w:rPr>
                <w:rFonts w:eastAsia="Cambria"/>
              </w:rPr>
              <w:t>N-3</w:t>
            </w:r>
          </w:p>
        </w:tc>
        <w:tc>
          <w:tcPr>
            <w:tcW w:w="2340" w:type="dxa"/>
          </w:tcPr>
          <w:p w14:paraId="0ADEC5FC" w14:textId="77777777" w:rsidR="00723F18" w:rsidRDefault="00000000">
            <w:pPr>
              <w:pStyle w:val="Compact"/>
              <w:widowControl w:val="0"/>
              <w:rPr>
                <w:rFonts w:ascii="Cambria" w:eastAsia="Cambria" w:hAnsi="Cambria"/>
              </w:rPr>
            </w:pPr>
            <w:r>
              <w:rPr>
                <w:rFonts w:eastAsia="Cambria"/>
              </w:rPr>
              <w:t>26 degrees 45.5 minutes</w:t>
            </w:r>
          </w:p>
        </w:tc>
        <w:tc>
          <w:tcPr>
            <w:tcW w:w="2340" w:type="dxa"/>
          </w:tcPr>
          <w:p w14:paraId="1F5E033B" w14:textId="77777777" w:rsidR="00723F18" w:rsidRDefault="00000000">
            <w:pPr>
              <w:pStyle w:val="Compact"/>
              <w:widowControl w:val="0"/>
              <w:rPr>
                <w:rFonts w:ascii="Cambria" w:eastAsia="Cambria" w:hAnsi="Cambria"/>
              </w:rPr>
            </w:pPr>
            <w:r>
              <w:rPr>
                <w:rFonts w:eastAsia="Cambria"/>
              </w:rPr>
              <w:t>056 degrees 25.0 minutes</w:t>
            </w:r>
          </w:p>
        </w:tc>
        <w:tc>
          <w:tcPr>
            <w:tcW w:w="2340" w:type="dxa"/>
          </w:tcPr>
          <w:p w14:paraId="74AEA820" w14:textId="77777777" w:rsidR="00723F18" w:rsidRDefault="00000000">
            <w:pPr>
              <w:pStyle w:val="Compact"/>
              <w:widowControl w:val="0"/>
              <w:rPr>
                <w:rFonts w:ascii="Cambria" w:eastAsia="Cambria" w:hAnsi="Cambria"/>
              </w:rPr>
            </w:pPr>
            <w:r>
              <w:rPr>
                <w:rFonts w:eastAsia="Cambria"/>
              </w:rPr>
              <w:t>North of Larak Island</w:t>
            </w:r>
          </w:p>
        </w:tc>
      </w:tr>
      <w:tr w:rsidR="00723F18" w14:paraId="1E6BE628" w14:textId="77777777" w:rsidTr="00723F18">
        <w:tc>
          <w:tcPr>
            <w:tcW w:w="2339" w:type="dxa"/>
          </w:tcPr>
          <w:p w14:paraId="7B2606D0" w14:textId="77777777" w:rsidR="00723F18" w:rsidRDefault="00000000">
            <w:pPr>
              <w:pStyle w:val="Compact"/>
              <w:widowControl w:val="0"/>
              <w:rPr>
                <w:rFonts w:ascii="Cambria" w:eastAsia="Cambria" w:hAnsi="Cambria"/>
              </w:rPr>
            </w:pPr>
            <w:r>
              <w:rPr>
                <w:rFonts w:eastAsia="Cambria"/>
              </w:rPr>
              <w:t>N-4</w:t>
            </w:r>
          </w:p>
        </w:tc>
        <w:tc>
          <w:tcPr>
            <w:tcW w:w="2340" w:type="dxa"/>
          </w:tcPr>
          <w:p w14:paraId="7CE04DEC" w14:textId="77777777" w:rsidR="00723F18" w:rsidRDefault="00000000">
            <w:pPr>
              <w:pStyle w:val="Compact"/>
              <w:widowControl w:val="0"/>
              <w:rPr>
                <w:rFonts w:ascii="Cambria" w:eastAsia="Cambria" w:hAnsi="Cambria"/>
              </w:rPr>
            </w:pPr>
            <w:r>
              <w:rPr>
                <w:rFonts w:eastAsia="Cambria"/>
              </w:rPr>
              <w:t>26 degrees 44.0 minutes</w:t>
            </w:r>
          </w:p>
        </w:tc>
        <w:tc>
          <w:tcPr>
            <w:tcW w:w="2340" w:type="dxa"/>
          </w:tcPr>
          <w:p w14:paraId="441A5A62" w14:textId="77777777" w:rsidR="00723F18" w:rsidRDefault="00000000">
            <w:pPr>
              <w:pStyle w:val="Compact"/>
              <w:widowControl w:val="0"/>
              <w:rPr>
                <w:rFonts w:ascii="Cambria" w:eastAsia="Cambria" w:hAnsi="Cambria"/>
              </w:rPr>
            </w:pPr>
            <w:r>
              <w:rPr>
                <w:rFonts w:eastAsia="Cambria"/>
              </w:rPr>
              <w:t>056 degrees 10.0 minutes</w:t>
            </w:r>
          </w:p>
        </w:tc>
        <w:tc>
          <w:tcPr>
            <w:tcW w:w="2340" w:type="dxa"/>
          </w:tcPr>
          <w:p w14:paraId="420A40FC" w14:textId="77777777" w:rsidR="00723F18" w:rsidRDefault="00000000">
            <w:pPr>
              <w:pStyle w:val="Compact"/>
              <w:widowControl w:val="0"/>
              <w:rPr>
                <w:rFonts w:ascii="Cambria" w:eastAsia="Cambria" w:hAnsi="Cambria"/>
              </w:rPr>
            </w:pPr>
            <w:r>
              <w:rPr>
                <w:rFonts w:eastAsia="Cambria"/>
              </w:rPr>
              <w:t>Pilot boarding ground</w:t>
            </w:r>
          </w:p>
        </w:tc>
      </w:tr>
      <w:tr w:rsidR="00723F18" w14:paraId="70D331B5" w14:textId="77777777" w:rsidTr="00723F18">
        <w:tc>
          <w:tcPr>
            <w:tcW w:w="2339" w:type="dxa"/>
          </w:tcPr>
          <w:p w14:paraId="2C694182" w14:textId="77777777" w:rsidR="00723F18" w:rsidRDefault="00000000">
            <w:pPr>
              <w:pStyle w:val="Compact"/>
              <w:widowControl w:val="0"/>
              <w:rPr>
                <w:rFonts w:ascii="Cambria" w:eastAsia="Cambria" w:hAnsi="Cambria"/>
              </w:rPr>
            </w:pPr>
            <w:r>
              <w:rPr>
                <w:rFonts w:eastAsia="Cambria"/>
              </w:rPr>
              <w:t>N-5</w:t>
            </w:r>
          </w:p>
        </w:tc>
        <w:tc>
          <w:tcPr>
            <w:tcW w:w="2340" w:type="dxa"/>
          </w:tcPr>
          <w:p w14:paraId="5D02DBCF" w14:textId="77777777" w:rsidR="00723F18" w:rsidRDefault="00000000">
            <w:pPr>
              <w:pStyle w:val="Compact"/>
              <w:widowControl w:val="0"/>
              <w:rPr>
                <w:rFonts w:ascii="Cambria" w:eastAsia="Cambria" w:hAnsi="Cambria"/>
              </w:rPr>
            </w:pPr>
            <w:r>
              <w:rPr>
                <w:rFonts w:eastAsia="Cambria"/>
              </w:rPr>
              <w:t>26 degrees 42.0 minutes</w:t>
            </w:r>
          </w:p>
        </w:tc>
        <w:tc>
          <w:tcPr>
            <w:tcW w:w="2340" w:type="dxa"/>
          </w:tcPr>
          <w:p w14:paraId="51B78E42" w14:textId="77777777" w:rsidR="00723F18" w:rsidRDefault="00000000">
            <w:pPr>
              <w:pStyle w:val="Compact"/>
              <w:widowControl w:val="0"/>
              <w:rPr>
                <w:rFonts w:ascii="Cambria" w:eastAsia="Cambria" w:hAnsi="Cambria"/>
              </w:rPr>
            </w:pPr>
            <w:r>
              <w:rPr>
                <w:rFonts w:eastAsia="Cambria"/>
              </w:rPr>
              <w:t>055 degrees 55.0 minutes</w:t>
            </w:r>
          </w:p>
        </w:tc>
        <w:tc>
          <w:tcPr>
            <w:tcW w:w="2340" w:type="dxa"/>
          </w:tcPr>
          <w:p w14:paraId="09D94FB3" w14:textId="77777777" w:rsidR="00723F18" w:rsidRDefault="00000000">
            <w:pPr>
              <w:pStyle w:val="Compact"/>
              <w:widowControl w:val="0"/>
              <w:rPr>
                <w:rFonts w:ascii="Cambria" w:eastAsia="Cambria" w:hAnsi="Cambria"/>
              </w:rPr>
            </w:pPr>
            <w:r>
              <w:rPr>
                <w:rFonts w:eastAsia="Cambria"/>
              </w:rPr>
              <w:t>North of Hormuz Island</w:t>
            </w:r>
          </w:p>
        </w:tc>
      </w:tr>
      <w:tr w:rsidR="00723F18" w14:paraId="5127A954" w14:textId="77777777" w:rsidTr="00723F18">
        <w:tc>
          <w:tcPr>
            <w:tcW w:w="2339" w:type="dxa"/>
          </w:tcPr>
          <w:p w14:paraId="7126E8FB" w14:textId="77777777" w:rsidR="00723F18" w:rsidRDefault="00000000">
            <w:pPr>
              <w:pStyle w:val="Compact"/>
              <w:widowControl w:val="0"/>
              <w:rPr>
                <w:rFonts w:ascii="Cambria" w:eastAsia="Cambria" w:hAnsi="Cambria"/>
              </w:rPr>
            </w:pPr>
            <w:r>
              <w:rPr>
                <w:rFonts w:eastAsia="Cambria"/>
              </w:rPr>
              <w:t>N-6</w:t>
            </w:r>
          </w:p>
        </w:tc>
        <w:tc>
          <w:tcPr>
            <w:tcW w:w="2340" w:type="dxa"/>
          </w:tcPr>
          <w:p w14:paraId="7CC4EBAD" w14:textId="77777777" w:rsidR="00723F18" w:rsidRDefault="00000000">
            <w:pPr>
              <w:pStyle w:val="Compact"/>
              <w:widowControl w:val="0"/>
              <w:rPr>
                <w:rFonts w:ascii="Cambria" w:eastAsia="Cambria" w:hAnsi="Cambria"/>
              </w:rPr>
            </w:pPr>
            <w:r>
              <w:rPr>
                <w:rFonts w:eastAsia="Cambria"/>
              </w:rPr>
              <w:t>26 degrees 40.0 minutes</w:t>
            </w:r>
          </w:p>
        </w:tc>
        <w:tc>
          <w:tcPr>
            <w:tcW w:w="2340" w:type="dxa"/>
          </w:tcPr>
          <w:p w14:paraId="29924DDA" w14:textId="77777777" w:rsidR="00723F18" w:rsidRDefault="00000000">
            <w:pPr>
              <w:pStyle w:val="Compact"/>
              <w:widowControl w:val="0"/>
              <w:rPr>
                <w:rFonts w:ascii="Cambria" w:eastAsia="Cambria" w:hAnsi="Cambria"/>
              </w:rPr>
            </w:pPr>
            <w:r>
              <w:rPr>
                <w:rFonts w:eastAsia="Cambria"/>
              </w:rPr>
              <w:t>055 degrees 40.0 minutes</w:t>
            </w:r>
          </w:p>
        </w:tc>
        <w:tc>
          <w:tcPr>
            <w:tcW w:w="2340" w:type="dxa"/>
          </w:tcPr>
          <w:p w14:paraId="6CC15D5D" w14:textId="77777777" w:rsidR="00723F18" w:rsidRDefault="00000000">
            <w:pPr>
              <w:pStyle w:val="Compact"/>
              <w:widowControl w:val="0"/>
              <w:rPr>
                <w:rFonts w:ascii="Cambria" w:eastAsia="Cambria" w:hAnsi="Cambria"/>
              </w:rPr>
            </w:pPr>
            <w:r>
              <w:rPr>
                <w:rFonts w:eastAsia="Cambria"/>
              </w:rPr>
              <w:t>Western exit, inbound lane</w:t>
            </w:r>
          </w:p>
        </w:tc>
      </w:tr>
      <w:tr w:rsidR="00723F18" w14:paraId="7243E673" w14:textId="77777777" w:rsidTr="00723F18">
        <w:tc>
          <w:tcPr>
            <w:tcW w:w="2339" w:type="dxa"/>
          </w:tcPr>
          <w:p w14:paraId="7997CEC2" w14:textId="77777777" w:rsidR="00723F18" w:rsidRDefault="00000000">
            <w:pPr>
              <w:pStyle w:val="Compact"/>
              <w:widowControl w:val="0"/>
              <w:rPr>
                <w:rFonts w:ascii="Cambria" w:eastAsia="Cambria" w:hAnsi="Cambria"/>
              </w:rPr>
            </w:pPr>
            <w:r>
              <w:rPr>
                <w:rFonts w:eastAsia="Cambria"/>
              </w:rPr>
              <w:t>N-7</w:t>
            </w:r>
          </w:p>
        </w:tc>
        <w:tc>
          <w:tcPr>
            <w:tcW w:w="2340" w:type="dxa"/>
          </w:tcPr>
          <w:p w14:paraId="4FE3E11C" w14:textId="77777777" w:rsidR="00723F18" w:rsidRDefault="00000000">
            <w:pPr>
              <w:pStyle w:val="Compact"/>
              <w:widowControl w:val="0"/>
              <w:rPr>
                <w:rFonts w:ascii="Cambria" w:eastAsia="Cambria" w:hAnsi="Cambria"/>
              </w:rPr>
            </w:pPr>
            <w:r>
              <w:rPr>
                <w:rFonts w:eastAsia="Cambria"/>
              </w:rPr>
              <w:t>26 degrees 38.0 minutes</w:t>
            </w:r>
          </w:p>
        </w:tc>
        <w:tc>
          <w:tcPr>
            <w:tcW w:w="2340" w:type="dxa"/>
          </w:tcPr>
          <w:p w14:paraId="743FDA17" w14:textId="77777777" w:rsidR="00723F18" w:rsidRDefault="00000000">
            <w:pPr>
              <w:pStyle w:val="Compact"/>
              <w:widowControl w:val="0"/>
              <w:rPr>
                <w:rFonts w:ascii="Cambria" w:eastAsia="Cambria" w:hAnsi="Cambria"/>
              </w:rPr>
            </w:pPr>
            <w:r>
              <w:rPr>
                <w:rFonts w:eastAsia="Cambria"/>
              </w:rPr>
              <w:t>055 degrees 42.0 minutes</w:t>
            </w:r>
          </w:p>
        </w:tc>
        <w:tc>
          <w:tcPr>
            <w:tcW w:w="2340" w:type="dxa"/>
          </w:tcPr>
          <w:p w14:paraId="509EAC46" w14:textId="77777777" w:rsidR="00723F18" w:rsidRDefault="00000000">
            <w:pPr>
              <w:pStyle w:val="Compact"/>
              <w:widowControl w:val="0"/>
              <w:rPr>
                <w:rFonts w:ascii="Cambria" w:eastAsia="Cambria" w:hAnsi="Cambria"/>
              </w:rPr>
            </w:pPr>
            <w:r>
              <w:rPr>
                <w:rFonts w:eastAsia="Cambria"/>
              </w:rPr>
              <w:t>Western entry, outbound lane</w:t>
            </w:r>
          </w:p>
        </w:tc>
      </w:tr>
      <w:tr w:rsidR="00723F18" w14:paraId="000EC058" w14:textId="77777777" w:rsidTr="00723F18">
        <w:tc>
          <w:tcPr>
            <w:tcW w:w="2339" w:type="dxa"/>
          </w:tcPr>
          <w:p w14:paraId="31ECAEA2" w14:textId="77777777" w:rsidR="00723F18" w:rsidRDefault="00000000">
            <w:pPr>
              <w:pStyle w:val="Compact"/>
              <w:widowControl w:val="0"/>
              <w:rPr>
                <w:rFonts w:ascii="Cambria" w:eastAsia="Cambria" w:hAnsi="Cambria"/>
              </w:rPr>
            </w:pPr>
            <w:r>
              <w:rPr>
                <w:rFonts w:eastAsia="Cambria"/>
              </w:rPr>
              <w:t>N-8</w:t>
            </w:r>
          </w:p>
        </w:tc>
        <w:tc>
          <w:tcPr>
            <w:tcW w:w="2340" w:type="dxa"/>
          </w:tcPr>
          <w:p w14:paraId="5FF44335" w14:textId="77777777" w:rsidR="00723F18" w:rsidRDefault="00000000">
            <w:pPr>
              <w:pStyle w:val="Compact"/>
              <w:widowControl w:val="0"/>
              <w:rPr>
                <w:rFonts w:ascii="Cambria" w:eastAsia="Cambria" w:hAnsi="Cambria"/>
              </w:rPr>
            </w:pPr>
            <w:r>
              <w:rPr>
                <w:rFonts w:eastAsia="Cambria"/>
              </w:rPr>
              <w:t>26 degrees 40.5 minutes</w:t>
            </w:r>
          </w:p>
        </w:tc>
        <w:tc>
          <w:tcPr>
            <w:tcW w:w="2340" w:type="dxa"/>
          </w:tcPr>
          <w:p w14:paraId="38C33799" w14:textId="77777777" w:rsidR="00723F18" w:rsidRDefault="00000000">
            <w:pPr>
              <w:pStyle w:val="Compact"/>
              <w:widowControl w:val="0"/>
              <w:rPr>
                <w:rFonts w:ascii="Cambria" w:eastAsia="Cambria" w:hAnsi="Cambria"/>
              </w:rPr>
            </w:pPr>
            <w:r>
              <w:rPr>
                <w:rFonts w:eastAsia="Cambria"/>
              </w:rPr>
              <w:t>056 degrees 52.0 minutes</w:t>
            </w:r>
          </w:p>
        </w:tc>
        <w:tc>
          <w:tcPr>
            <w:tcW w:w="2340" w:type="dxa"/>
          </w:tcPr>
          <w:p w14:paraId="3438BF46" w14:textId="77777777" w:rsidR="00723F18" w:rsidRDefault="00000000">
            <w:pPr>
              <w:pStyle w:val="Compact"/>
              <w:widowControl w:val="0"/>
              <w:rPr>
                <w:rFonts w:ascii="Cambria" w:eastAsia="Cambria" w:hAnsi="Cambria"/>
              </w:rPr>
            </w:pPr>
            <w:r>
              <w:rPr>
                <w:rFonts w:eastAsia="Cambria"/>
              </w:rPr>
              <w:t>Eastern exit, outbound lane</w:t>
            </w:r>
          </w:p>
        </w:tc>
      </w:tr>
    </w:tbl>
    <w:p w14:paraId="50F59043" w14:textId="77777777" w:rsidR="00723F18" w:rsidRDefault="00000000">
      <w:pPr>
        <w:pStyle w:val="BodyText"/>
      </w:pPr>
      <w:bookmarkStart w:id="379" w:name="X229ab18644f050e709e3548515d681f5242bfa7"/>
      <w:r>
        <w:rPr>
          <w:i/>
          <w:iCs/>
        </w:rPr>
        <w:t>Inbound lane two (2.0) nautical miles nominal width; outbound lane two (2.0) nautical miles nominal width; lane separation one (1.0) nautical mile.</w:t>
      </w:r>
      <w:bookmarkEnd w:id="379"/>
    </w:p>
    <w:p w14:paraId="77AC3F31" w14:textId="77777777" w:rsidR="00723F18" w:rsidRDefault="00000000">
      <w:pPr>
        <w:pStyle w:val="Heading2"/>
      </w:pPr>
      <w:bookmarkStart w:id="380" w:name="__RefHeading___Toc6506_2939721771"/>
      <w:bookmarkEnd w:id="380"/>
      <w:r>
        <w:t>A.4 Table A.3: Corridor Two (Central Open Corridor) centerline</w:t>
      </w:r>
    </w:p>
    <w:tbl>
      <w:tblPr>
        <w:tblStyle w:val="Table"/>
        <w:tblW w:w="5000" w:type="pct"/>
        <w:tblInd w:w="0" w:type="dxa"/>
        <w:tblLayout w:type="fixed"/>
        <w:tblLook w:val="0020" w:firstRow="1" w:lastRow="0" w:firstColumn="0" w:lastColumn="0" w:noHBand="0" w:noVBand="0"/>
      </w:tblPr>
      <w:tblGrid>
        <w:gridCol w:w="2394"/>
        <w:gridCol w:w="2394"/>
        <w:gridCol w:w="2394"/>
        <w:gridCol w:w="2394"/>
      </w:tblGrid>
      <w:tr w:rsidR="00723F18" w14:paraId="0FBBE433"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26013503" w14:textId="77777777" w:rsidR="00723F18" w:rsidRDefault="00000000">
            <w:pPr>
              <w:pStyle w:val="Compact"/>
              <w:widowControl w:val="0"/>
              <w:rPr>
                <w:rFonts w:ascii="Cambria" w:eastAsia="Cambria" w:hAnsi="Cambria"/>
              </w:rPr>
            </w:pPr>
            <w:r>
              <w:rPr>
                <w:rFonts w:eastAsia="Cambria"/>
                <w:b/>
                <w:bCs/>
              </w:rPr>
              <w:t>Waypoint</w:t>
            </w:r>
          </w:p>
        </w:tc>
        <w:tc>
          <w:tcPr>
            <w:tcW w:w="2340" w:type="dxa"/>
            <w:tcBorders>
              <w:bottom w:val="single" w:sz="6" w:space="0" w:color="000000"/>
            </w:tcBorders>
          </w:tcPr>
          <w:p w14:paraId="175B7175" w14:textId="77777777" w:rsidR="00723F18" w:rsidRDefault="00000000">
            <w:pPr>
              <w:pStyle w:val="Compact"/>
              <w:widowControl w:val="0"/>
              <w:rPr>
                <w:rFonts w:ascii="Cambria" w:eastAsia="Cambria" w:hAnsi="Cambria"/>
              </w:rPr>
            </w:pPr>
            <w:r>
              <w:rPr>
                <w:rFonts w:eastAsia="Cambria"/>
                <w:b/>
                <w:bCs/>
              </w:rPr>
              <w:t>Latitude (N)</w:t>
            </w:r>
          </w:p>
        </w:tc>
        <w:tc>
          <w:tcPr>
            <w:tcW w:w="2340" w:type="dxa"/>
            <w:tcBorders>
              <w:bottom w:val="single" w:sz="6" w:space="0" w:color="000000"/>
            </w:tcBorders>
          </w:tcPr>
          <w:p w14:paraId="2A1C6647" w14:textId="77777777" w:rsidR="00723F18" w:rsidRDefault="00000000">
            <w:pPr>
              <w:pStyle w:val="Compact"/>
              <w:widowControl w:val="0"/>
              <w:rPr>
                <w:rFonts w:ascii="Cambria" w:eastAsia="Cambria" w:hAnsi="Cambria"/>
              </w:rPr>
            </w:pPr>
            <w:r>
              <w:rPr>
                <w:rFonts w:eastAsia="Cambria"/>
                <w:b/>
                <w:bCs/>
              </w:rPr>
              <w:t>Longitude (E)</w:t>
            </w:r>
          </w:p>
        </w:tc>
        <w:tc>
          <w:tcPr>
            <w:tcW w:w="2340" w:type="dxa"/>
            <w:tcBorders>
              <w:bottom w:val="single" w:sz="6" w:space="0" w:color="000000"/>
            </w:tcBorders>
          </w:tcPr>
          <w:p w14:paraId="1E8C844B" w14:textId="77777777" w:rsidR="00723F18" w:rsidRDefault="00000000">
            <w:pPr>
              <w:pStyle w:val="Compact"/>
              <w:widowControl w:val="0"/>
              <w:rPr>
                <w:rFonts w:ascii="Cambria" w:eastAsia="Cambria" w:hAnsi="Cambria"/>
              </w:rPr>
            </w:pPr>
            <w:r>
              <w:rPr>
                <w:rFonts w:eastAsia="Cambria"/>
                <w:b/>
                <w:bCs/>
              </w:rPr>
              <w:t>Function</w:t>
            </w:r>
          </w:p>
        </w:tc>
      </w:tr>
      <w:tr w:rsidR="00723F18" w14:paraId="5E38BBED" w14:textId="77777777" w:rsidTr="00723F18">
        <w:tc>
          <w:tcPr>
            <w:tcW w:w="2339" w:type="dxa"/>
          </w:tcPr>
          <w:p w14:paraId="362E3FC9" w14:textId="77777777" w:rsidR="00723F18" w:rsidRDefault="00000000">
            <w:pPr>
              <w:pStyle w:val="Compact"/>
              <w:widowControl w:val="0"/>
              <w:rPr>
                <w:rFonts w:ascii="Cambria" w:eastAsia="Cambria" w:hAnsi="Cambria"/>
              </w:rPr>
            </w:pPr>
            <w:r>
              <w:rPr>
                <w:rFonts w:eastAsia="Cambria"/>
              </w:rPr>
              <w:t>C-1</w:t>
            </w:r>
          </w:p>
        </w:tc>
        <w:tc>
          <w:tcPr>
            <w:tcW w:w="2340" w:type="dxa"/>
          </w:tcPr>
          <w:p w14:paraId="2751D1E5" w14:textId="77777777" w:rsidR="00723F18" w:rsidRDefault="00000000">
            <w:pPr>
              <w:pStyle w:val="Compact"/>
              <w:widowControl w:val="0"/>
              <w:rPr>
                <w:rFonts w:ascii="Cambria" w:eastAsia="Cambria" w:hAnsi="Cambria"/>
              </w:rPr>
            </w:pPr>
            <w:r>
              <w:rPr>
                <w:rFonts w:eastAsia="Cambria"/>
              </w:rPr>
              <w:t>26 degrees 30.0 minutes</w:t>
            </w:r>
          </w:p>
        </w:tc>
        <w:tc>
          <w:tcPr>
            <w:tcW w:w="2340" w:type="dxa"/>
          </w:tcPr>
          <w:p w14:paraId="08EE09CC" w14:textId="77777777" w:rsidR="00723F18" w:rsidRDefault="00000000">
            <w:pPr>
              <w:pStyle w:val="Compact"/>
              <w:widowControl w:val="0"/>
              <w:rPr>
                <w:rFonts w:ascii="Cambria" w:eastAsia="Cambria" w:hAnsi="Cambria"/>
              </w:rPr>
            </w:pPr>
            <w:r>
              <w:rPr>
                <w:rFonts w:eastAsia="Cambria"/>
              </w:rPr>
              <w:t>056 degrees 56.0 minutes</w:t>
            </w:r>
          </w:p>
        </w:tc>
        <w:tc>
          <w:tcPr>
            <w:tcW w:w="2340" w:type="dxa"/>
          </w:tcPr>
          <w:p w14:paraId="2EFA9527" w14:textId="77777777" w:rsidR="00723F18" w:rsidRDefault="00000000">
            <w:pPr>
              <w:pStyle w:val="Compact"/>
              <w:widowControl w:val="0"/>
              <w:rPr>
                <w:rFonts w:ascii="Cambria" w:eastAsia="Cambria" w:hAnsi="Cambria"/>
              </w:rPr>
            </w:pPr>
            <w:r>
              <w:rPr>
                <w:rFonts w:eastAsia="Cambria"/>
              </w:rPr>
              <w:t>Eastern entry, inbound lane</w:t>
            </w:r>
          </w:p>
        </w:tc>
      </w:tr>
      <w:tr w:rsidR="00723F18" w14:paraId="254046AD" w14:textId="77777777" w:rsidTr="00723F18">
        <w:tc>
          <w:tcPr>
            <w:tcW w:w="2339" w:type="dxa"/>
          </w:tcPr>
          <w:p w14:paraId="418E6D3B" w14:textId="77777777" w:rsidR="00723F18" w:rsidRDefault="00000000">
            <w:pPr>
              <w:pStyle w:val="Compact"/>
              <w:widowControl w:val="0"/>
              <w:rPr>
                <w:rFonts w:ascii="Cambria" w:eastAsia="Cambria" w:hAnsi="Cambria"/>
              </w:rPr>
            </w:pPr>
            <w:r>
              <w:rPr>
                <w:rFonts w:eastAsia="Cambria"/>
              </w:rPr>
              <w:lastRenderedPageBreak/>
              <w:t>C-2</w:t>
            </w:r>
          </w:p>
        </w:tc>
        <w:tc>
          <w:tcPr>
            <w:tcW w:w="2340" w:type="dxa"/>
          </w:tcPr>
          <w:p w14:paraId="10014D20" w14:textId="77777777" w:rsidR="00723F18" w:rsidRDefault="00000000">
            <w:pPr>
              <w:pStyle w:val="Compact"/>
              <w:widowControl w:val="0"/>
              <w:rPr>
                <w:rFonts w:ascii="Cambria" w:eastAsia="Cambria" w:hAnsi="Cambria"/>
              </w:rPr>
            </w:pPr>
            <w:r>
              <w:rPr>
                <w:rFonts w:eastAsia="Cambria"/>
              </w:rPr>
              <w:t>26 degrees 32.0 minutes</w:t>
            </w:r>
          </w:p>
        </w:tc>
        <w:tc>
          <w:tcPr>
            <w:tcW w:w="2340" w:type="dxa"/>
          </w:tcPr>
          <w:p w14:paraId="1CF86C31" w14:textId="77777777" w:rsidR="00723F18" w:rsidRDefault="00000000">
            <w:pPr>
              <w:pStyle w:val="Compact"/>
              <w:widowControl w:val="0"/>
              <w:rPr>
                <w:rFonts w:ascii="Cambria" w:eastAsia="Cambria" w:hAnsi="Cambria"/>
              </w:rPr>
            </w:pPr>
            <w:r>
              <w:rPr>
                <w:rFonts w:eastAsia="Cambria"/>
              </w:rPr>
              <w:t>056 degrees 40.0 minutes</w:t>
            </w:r>
          </w:p>
        </w:tc>
        <w:tc>
          <w:tcPr>
            <w:tcW w:w="2340" w:type="dxa"/>
          </w:tcPr>
          <w:p w14:paraId="015B43AF" w14:textId="77777777" w:rsidR="00723F18" w:rsidRDefault="00000000">
            <w:pPr>
              <w:pStyle w:val="Compact"/>
              <w:widowControl w:val="0"/>
              <w:rPr>
                <w:rFonts w:ascii="Cambria" w:eastAsia="Cambria" w:hAnsi="Cambria"/>
              </w:rPr>
            </w:pPr>
            <w:r>
              <w:rPr>
                <w:rFonts w:eastAsia="Cambria"/>
              </w:rPr>
              <w:t>Mid-strait reporting point</w:t>
            </w:r>
          </w:p>
        </w:tc>
      </w:tr>
      <w:tr w:rsidR="00723F18" w14:paraId="39E7BDEE" w14:textId="77777777" w:rsidTr="00723F18">
        <w:tc>
          <w:tcPr>
            <w:tcW w:w="2339" w:type="dxa"/>
          </w:tcPr>
          <w:p w14:paraId="2DE413DF" w14:textId="77777777" w:rsidR="00723F18" w:rsidRDefault="00000000">
            <w:pPr>
              <w:pStyle w:val="Compact"/>
              <w:widowControl w:val="0"/>
              <w:rPr>
                <w:rFonts w:ascii="Cambria" w:eastAsia="Cambria" w:hAnsi="Cambria"/>
              </w:rPr>
            </w:pPr>
            <w:r>
              <w:rPr>
                <w:rFonts w:eastAsia="Cambria"/>
              </w:rPr>
              <w:t>C-3</w:t>
            </w:r>
          </w:p>
        </w:tc>
        <w:tc>
          <w:tcPr>
            <w:tcW w:w="2340" w:type="dxa"/>
          </w:tcPr>
          <w:p w14:paraId="21DB19C2" w14:textId="77777777" w:rsidR="00723F18" w:rsidRDefault="00000000">
            <w:pPr>
              <w:pStyle w:val="Compact"/>
              <w:widowControl w:val="0"/>
              <w:rPr>
                <w:rFonts w:ascii="Cambria" w:eastAsia="Cambria" w:hAnsi="Cambria"/>
              </w:rPr>
            </w:pPr>
            <w:r>
              <w:rPr>
                <w:rFonts w:eastAsia="Cambria"/>
              </w:rPr>
              <w:t>26 degrees 32.5 minutes</w:t>
            </w:r>
          </w:p>
        </w:tc>
        <w:tc>
          <w:tcPr>
            <w:tcW w:w="2340" w:type="dxa"/>
          </w:tcPr>
          <w:p w14:paraId="6D77EB19" w14:textId="77777777" w:rsidR="00723F18" w:rsidRDefault="00000000">
            <w:pPr>
              <w:pStyle w:val="Compact"/>
              <w:widowControl w:val="0"/>
              <w:rPr>
                <w:rFonts w:ascii="Cambria" w:eastAsia="Cambria" w:hAnsi="Cambria"/>
              </w:rPr>
            </w:pPr>
            <w:r>
              <w:rPr>
                <w:rFonts w:eastAsia="Cambria"/>
              </w:rPr>
              <w:t>056 degrees 22.0 minutes</w:t>
            </w:r>
          </w:p>
        </w:tc>
        <w:tc>
          <w:tcPr>
            <w:tcW w:w="2340" w:type="dxa"/>
          </w:tcPr>
          <w:p w14:paraId="2C830872" w14:textId="77777777" w:rsidR="00723F18" w:rsidRDefault="00000000">
            <w:pPr>
              <w:pStyle w:val="Compact"/>
              <w:widowControl w:val="0"/>
              <w:rPr>
                <w:rFonts w:ascii="Cambria" w:eastAsia="Cambria" w:hAnsi="Cambria"/>
              </w:rPr>
            </w:pPr>
            <w:r>
              <w:rPr>
                <w:rFonts w:eastAsia="Cambria"/>
              </w:rPr>
              <w:t>Central deep-water segment</w:t>
            </w:r>
          </w:p>
        </w:tc>
      </w:tr>
      <w:tr w:rsidR="00723F18" w14:paraId="733BA1CD" w14:textId="77777777" w:rsidTr="00723F18">
        <w:tc>
          <w:tcPr>
            <w:tcW w:w="2339" w:type="dxa"/>
          </w:tcPr>
          <w:p w14:paraId="0A6E1600" w14:textId="77777777" w:rsidR="00723F18" w:rsidRDefault="00000000">
            <w:pPr>
              <w:pStyle w:val="Compact"/>
              <w:widowControl w:val="0"/>
              <w:rPr>
                <w:rFonts w:ascii="Cambria" w:eastAsia="Cambria" w:hAnsi="Cambria"/>
              </w:rPr>
            </w:pPr>
            <w:r>
              <w:rPr>
                <w:rFonts w:eastAsia="Cambria"/>
              </w:rPr>
              <w:t>C-4</w:t>
            </w:r>
          </w:p>
        </w:tc>
        <w:tc>
          <w:tcPr>
            <w:tcW w:w="2340" w:type="dxa"/>
          </w:tcPr>
          <w:p w14:paraId="3C4EBCDE" w14:textId="77777777" w:rsidR="00723F18" w:rsidRDefault="00000000">
            <w:pPr>
              <w:pStyle w:val="Compact"/>
              <w:widowControl w:val="0"/>
              <w:rPr>
                <w:rFonts w:ascii="Cambria" w:eastAsia="Cambria" w:hAnsi="Cambria"/>
              </w:rPr>
            </w:pPr>
            <w:r>
              <w:rPr>
                <w:rFonts w:eastAsia="Cambria"/>
              </w:rPr>
              <w:t>26 degrees 31.0 minutes</w:t>
            </w:r>
          </w:p>
        </w:tc>
        <w:tc>
          <w:tcPr>
            <w:tcW w:w="2340" w:type="dxa"/>
          </w:tcPr>
          <w:p w14:paraId="33B05356" w14:textId="77777777" w:rsidR="00723F18" w:rsidRDefault="00000000">
            <w:pPr>
              <w:pStyle w:val="Compact"/>
              <w:widowControl w:val="0"/>
              <w:rPr>
                <w:rFonts w:ascii="Cambria" w:eastAsia="Cambria" w:hAnsi="Cambria"/>
              </w:rPr>
            </w:pPr>
            <w:r>
              <w:rPr>
                <w:rFonts w:eastAsia="Cambria"/>
              </w:rPr>
              <w:t>056 degrees 05.0 minutes</w:t>
            </w:r>
          </w:p>
        </w:tc>
        <w:tc>
          <w:tcPr>
            <w:tcW w:w="2340" w:type="dxa"/>
          </w:tcPr>
          <w:p w14:paraId="0E79D70C" w14:textId="77777777" w:rsidR="00723F18" w:rsidRDefault="00000000">
            <w:pPr>
              <w:pStyle w:val="Compact"/>
              <w:widowControl w:val="0"/>
              <w:rPr>
                <w:rFonts w:ascii="Cambria" w:eastAsia="Cambria" w:hAnsi="Cambria"/>
              </w:rPr>
            </w:pPr>
            <w:r>
              <w:rPr>
                <w:rFonts w:eastAsia="Cambria"/>
              </w:rPr>
              <w:t>Central reporting point</w:t>
            </w:r>
          </w:p>
        </w:tc>
      </w:tr>
      <w:tr w:rsidR="00723F18" w14:paraId="352613A0" w14:textId="77777777" w:rsidTr="00723F18">
        <w:tc>
          <w:tcPr>
            <w:tcW w:w="2339" w:type="dxa"/>
          </w:tcPr>
          <w:p w14:paraId="51BB2963" w14:textId="77777777" w:rsidR="00723F18" w:rsidRDefault="00000000">
            <w:pPr>
              <w:pStyle w:val="Compact"/>
              <w:widowControl w:val="0"/>
              <w:rPr>
                <w:rFonts w:ascii="Cambria" w:eastAsia="Cambria" w:hAnsi="Cambria"/>
              </w:rPr>
            </w:pPr>
            <w:r>
              <w:rPr>
                <w:rFonts w:eastAsia="Cambria"/>
              </w:rPr>
              <w:t>C-5</w:t>
            </w:r>
          </w:p>
        </w:tc>
        <w:tc>
          <w:tcPr>
            <w:tcW w:w="2340" w:type="dxa"/>
          </w:tcPr>
          <w:p w14:paraId="142F94CF" w14:textId="77777777" w:rsidR="00723F18" w:rsidRDefault="00000000">
            <w:pPr>
              <w:pStyle w:val="Compact"/>
              <w:widowControl w:val="0"/>
              <w:rPr>
                <w:rFonts w:ascii="Cambria" w:eastAsia="Cambria" w:hAnsi="Cambria"/>
              </w:rPr>
            </w:pPr>
            <w:r>
              <w:rPr>
                <w:rFonts w:eastAsia="Cambria"/>
              </w:rPr>
              <w:t>26 degrees 29.0 minutes</w:t>
            </w:r>
          </w:p>
        </w:tc>
        <w:tc>
          <w:tcPr>
            <w:tcW w:w="2340" w:type="dxa"/>
          </w:tcPr>
          <w:p w14:paraId="006C7483" w14:textId="77777777" w:rsidR="00723F18" w:rsidRDefault="00000000">
            <w:pPr>
              <w:pStyle w:val="Compact"/>
              <w:widowControl w:val="0"/>
              <w:rPr>
                <w:rFonts w:ascii="Cambria" w:eastAsia="Cambria" w:hAnsi="Cambria"/>
              </w:rPr>
            </w:pPr>
            <w:r>
              <w:rPr>
                <w:rFonts w:eastAsia="Cambria"/>
              </w:rPr>
              <w:t>055 degrees 48.0 minutes</w:t>
            </w:r>
          </w:p>
        </w:tc>
        <w:tc>
          <w:tcPr>
            <w:tcW w:w="2340" w:type="dxa"/>
          </w:tcPr>
          <w:p w14:paraId="5BBE789D" w14:textId="77777777" w:rsidR="00723F18" w:rsidRDefault="00000000">
            <w:pPr>
              <w:pStyle w:val="Compact"/>
              <w:widowControl w:val="0"/>
              <w:rPr>
                <w:rFonts w:ascii="Cambria" w:eastAsia="Cambria" w:hAnsi="Cambria"/>
              </w:rPr>
            </w:pPr>
            <w:r>
              <w:rPr>
                <w:rFonts w:eastAsia="Cambria"/>
              </w:rPr>
              <w:t>Western approach segment</w:t>
            </w:r>
          </w:p>
        </w:tc>
      </w:tr>
      <w:tr w:rsidR="00723F18" w14:paraId="6949A12D" w14:textId="77777777" w:rsidTr="00723F18">
        <w:tc>
          <w:tcPr>
            <w:tcW w:w="2339" w:type="dxa"/>
          </w:tcPr>
          <w:p w14:paraId="10CBB858" w14:textId="77777777" w:rsidR="00723F18" w:rsidRDefault="00000000">
            <w:pPr>
              <w:pStyle w:val="Compact"/>
              <w:widowControl w:val="0"/>
              <w:rPr>
                <w:rFonts w:ascii="Cambria" w:eastAsia="Cambria" w:hAnsi="Cambria"/>
              </w:rPr>
            </w:pPr>
            <w:r>
              <w:rPr>
                <w:rFonts w:eastAsia="Cambria"/>
              </w:rPr>
              <w:t>C-6</w:t>
            </w:r>
          </w:p>
        </w:tc>
        <w:tc>
          <w:tcPr>
            <w:tcW w:w="2340" w:type="dxa"/>
          </w:tcPr>
          <w:p w14:paraId="726BCBED" w14:textId="77777777" w:rsidR="00723F18" w:rsidRDefault="00000000">
            <w:pPr>
              <w:pStyle w:val="Compact"/>
              <w:widowControl w:val="0"/>
              <w:rPr>
                <w:rFonts w:ascii="Cambria" w:eastAsia="Cambria" w:hAnsi="Cambria"/>
              </w:rPr>
            </w:pPr>
            <w:r>
              <w:rPr>
                <w:rFonts w:eastAsia="Cambria"/>
              </w:rPr>
              <w:t>26 degrees 27.5 minutes</w:t>
            </w:r>
          </w:p>
        </w:tc>
        <w:tc>
          <w:tcPr>
            <w:tcW w:w="2340" w:type="dxa"/>
          </w:tcPr>
          <w:p w14:paraId="2C7B39A3" w14:textId="77777777" w:rsidR="00723F18" w:rsidRDefault="00000000">
            <w:pPr>
              <w:pStyle w:val="Compact"/>
              <w:widowControl w:val="0"/>
              <w:rPr>
                <w:rFonts w:ascii="Cambria" w:eastAsia="Cambria" w:hAnsi="Cambria"/>
              </w:rPr>
            </w:pPr>
            <w:r>
              <w:rPr>
                <w:rFonts w:eastAsia="Cambria"/>
              </w:rPr>
              <w:t>055 degrees 35.0 minutes</w:t>
            </w:r>
          </w:p>
        </w:tc>
        <w:tc>
          <w:tcPr>
            <w:tcW w:w="2340" w:type="dxa"/>
          </w:tcPr>
          <w:p w14:paraId="0E5EE37B" w14:textId="77777777" w:rsidR="00723F18" w:rsidRDefault="00000000">
            <w:pPr>
              <w:pStyle w:val="Compact"/>
              <w:widowControl w:val="0"/>
              <w:rPr>
                <w:rFonts w:ascii="Cambria" w:eastAsia="Cambria" w:hAnsi="Cambria"/>
              </w:rPr>
            </w:pPr>
            <w:r>
              <w:rPr>
                <w:rFonts w:eastAsia="Cambria"/>
              </w:rPr>
              <w:t>Western exit, inbound lane</w:t>
            </w:r>
          </w:p>
        </w:tc>
      </w:tr>
      <w:tr w:rsidR="00723F18" w14:paraId="2894DE7E" w14:textId="77777777" w:rsidTr="00723F18">
        <w:tc>
          <w:tcPr>
            <w:tcW w:w="2339" w:type="dxa"/>
          </w:tcPr>
          <w:p w14:paraId="48B91DBA" w14:textId="77777777" w:rsidR="00723F18" w:rsidRDefault="00000000">
            <w:pPr>
              <w:pStyle w:val="Compact"/>
              <w:widowControl w:val="0"/>
              <w:rPr>
                <w:rFonts w:ascii="Cambria" w:eastAsia="Cambria" w:hAnsi="Cambria"/>
              </w:rPr>
            </w:pPr>
            <w:r>
              <w:rPr>
                <w:rFonts w:eastAsia="Cambria"/>
              </w:rPr>
              <w:t>C-7</w:t>
            </w:r>
          </w:p>
        </w:tc>
        <w:tc>
          <w:tcPr>
            <w:tcW w:w="2340" w:type="dxa"/>
          </w:tcPr>
          <w:p w14:paraId="00B6555F" w14:textId="77777777" w:rsidR="00723F18" w:rsidRDefault="00000000">
            <w:pPr>
              <w:pStyle w:val="Compact"/>
              <w:widowControl w:val="0"/>
              <w:rPr>
                <w:rFonts w:ascii="Cambria" w:eastAsia="Cambria" w:hAnsi="Cambria"/>
              </w:rPr>
            </w:pPr>
            <w:r>
              <w:rPr>
                <w:rFonts w:eastAsia="Cambria"/>
              </w:rPr>
              <w:t>26 degrees 25.5 minutes</w:t>
            </w:r>
          </w:p>
        </w:tc>
        <w:tc>
          <w:tcPr>
            <w:tcW w:w="2340" w:type="dxa"/>
          </w:tcPr>
          <w:p w14:paraId="6DF5C718" w14:textId="77777777" w:rsidR="00723F18" w:rsidRDefault="00000000">
            <w:pPr>
              <w:pStyle w:val="Compact"/>
              <w:widowControl w:val="0"/>
              <w:rPr>
                <w:rFonts w:ascii="Cambria" w:eastAsia="Cambria" w:hAnsi="Cambria"/>
              </w:rPr>
            </w:pPr>
            <w:r>
              <w:rPr>
                <w:rFonts w:eastAsia="Cambria"/>
              </w:rPr>
              <w:t>055 degrees 37.0 minutes</w:t>
            </w:r>
          </w:p>
        </w:tc>
        <w:tc>
          <w:tcPr>
            <w:tcW w:w="2340" w:type="dxa"/>
          </w:tcPr>
          <w:p w14:paraId="08E3DCA8" w14:textId="77777777" w:rsidR="00723F18" w:rsidRDefault="00000000">
            <w:pPr>
              <w:pStyle w:val="Compact"/>
              <w:widowControl w:val="0"/>
              <w:rPr>
                <w:rFonts w:ascii="Cambria" w:eastAsia="Cambria" w:hAnsi="Cambria"/>
              </w:rPr>
            </w:pPr>
            <w:r>
              <w:rPr>
                <w:rFonts w:eastAsia="Cambria"/>
              </w:rPr>
              <w:t>Western entry, outbound lane</w:t>
            </w:r>
          </w:p>
        </w:tc>
      </w:tr>
      <w:tr w:rsidR="00723F18" w14:paraId="05CDE4CC" w14:textId="77777777" w:rsidTr="00723F18">
        <w:tc>
          <w:tcPr>
            <w:tcW w:w="2339" w:type="dxa"/>
          </w:tcPr>
          <w:p w14:paraId="722849DC" w14:textId="77777777" w:rsidR="00723F18" w:rsidRDefault="00000000">
            <w:pPr>
              <w:pStyle w:val="Compact"/>
              <w:widowControl w:val="0"/>
              <w:rPr>
                <w:rFonts w:ascii="Cambria" w:eastAsia="Cambria" w:hAnsi="Cambria"/>
              </w:rPr>
            </w:pPr>
            <w:r>
              <w:rPr>
                <w:rFonts w:eastAsia="Cambria"/>
              </w:rPr>
              <w:t>C-8</w:t>
            </w:r>
          </w:p>
        </w:tc>
        <w:tc>
          <w:tcPr>
            <w:tcW w:w="2340" w:type="dxa"/>
          </w:tcPr>
          <w:p w14:paraId="0EA65EB5" w14:textId="77777777" w:rsidR="00723F18" w:rsidRDefault="00000000">
            <w:pPr>
              <w:pStyle w:val="Compact"/>
              <w:widowControl w:val="0"/>
              <w:rPr>
                <w:rFonts w:ascii="Cambria" w:eastAsia="Cambria" w:hAnsi="Cambria"/>
              </w:rPr>
            </w:pPr>
            <w:r>
              <w:rPr>
                <w:rFonts w:eastAsia="Cambria"/>
              </w:rPr>
              <w:t>26 degrees 28.5 minutes</w:t>
            </w:r>
          </w:p>
        </w:tc>
        <w:tc>
          <w:tcPr>
            <w:tcW w:w="2340" w:type="dxa"/>
          </w:tcPr>
          <w:p w14:paraId="1F8BFAE1" w14:textId="77777777" w:rsidR="00723F18" w:rsidRDefault="00000000">
            <w:pPr>
              <w:pStyle w:val="Compact"/>
              <w:widowControl w:val="0"/>
              <w:rPr>
                <w:rFonts w:ascii="Cambria" w:eastAsia="Cambria" w:hAnsi="Cambria"/>
              </w:rPr>
            </w:pPr>
            <w:r>
              <w:rPr>
                <w:rFonts w:eastAsia="Cambria"/>
              </w:rPr>
              <w:t>056 degrees 53.0 minutes</w:t>
            </w:r>
          </w:p>
        </w:tc>
        <w:tc>
          <w:tcPr>
            <w:tcW w:w="2340" w:type="dxa"/>
          </w:tcPr>
          <w:p w14:paraId="58245B42" w14:textId="77777777" w:rsidR="00723F18" w:rsidRDefault="00000000">
            <w:pPr>
              <w:pStyle w:val="Compact"/>
              <w:widowControl w:val="0"/>
              <w:rPr>
                <w:rFonts w:ascii="Cambria" w:eastAsia="Cambria" w:hAnsi="Cambria"/>
              </w:rPr>
            </w:pPr>
            <w:r>
              <w:rPr>
                <w:rFonts w:eastAsia="Cambria"/>
              </w:rPr>
              <w:t>Eastern exit, outbound lane</w:t>
            </w:r>
          </w:p>
        </w:tc>
      </w:tr>
    </w:tbl>
    <w:p w14:paraId="46CF1637" w14:textId="77777777" w:rsidR="00723F18" w:rsidRDefault="00000000">
      <w:pPr>
        <w:pStyle w:val="BodyText"/>
      </w:pPr>
      <w:bookmarkStart w:id="381" w:name="Xd502eca9ecee527d1f33ea8f9a29c620d7a0f95"/>
      <w:r>
        <w:rPr>
          <w:i/>
          <w:iCs/>
        </w:rPr>
        <w:t>Lane widths and separation as for Corridor One. Corridor Two depth profile supports full-draft very large crude carrier transit along the entire centerline.</w:t>
      </w:r>
      <w:bookmarkEnd w:id="381"/>
    </w:p>
    <w:p w14:paraId="119406FD" w14:textId="77777777" w:rsidR="00723F18" w:rsidRDefault="00000000">
      <w:pPr>
        <w:pStyle w:val="Heading2"/>
      </w:pPr>
      <w:bookmarkStart w:id="382" w:name="__RefHeading___Toc6508_2939721771"/>
      <w:bookmarkEnd w:id="382"/>
      <w:r>
        <w:t>A.5 Table A.4: Corridor Three (Southern Assurance Corridor) centerline</w:t>
      </w:r>
    </w:p>
    <w:tbl>
      <w:tblPr>
        <w:tblStyle w:val="Table"/>
        <w:tblW w:w="5000" w:type="pct"/>
        <w:tblInd w:w="0" w:type="dxa"/>
        <w:tblLayout w:type="fixed"/>
        <w:tblLook w:val="0020" w:firstRow="1" w:lastRow="0" w:firstColumn="0" w:lastColumn="0" w:noHBand="0" w:noVBand="0"/>
      </w:tblPr>
      <w:tblGrid>
        <w:gridCol w:w="2394"/>
        <w:gridCol w:w="2394"/>
        <w:gridCol w:w="2394"/>
        <w:gridCol w:w="2394"/>
      </w:tblGrid>
      <w:tr w:rsidR="00723F18" w14:paraId="79650AD5"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76DCC490" w14:textId="77777777" w:rsidR="00723F18" w:rsidRDefault="00000000">
            <w:pPr>
              <w:pStyle w:val="Compact"/>
              <w:widowControl w:val="0"/>
              <w:rPr>
                <w:rFonts w:ascii="Cambria" w:eastAsia="Cambria" w:hAnsi="Cambria"/>
              </w:rPr>
            </w:pPr>
            <w:r>
              <w:rPr>
                <w:rFonts w:eastAsia="Cambria"/>
                <w:b/>
                <w:bCs/>
              </w:rPr>
              <w:t>Waypoint</w:t>
            </w:r>
          </w:p>
        </w:tc>
        <w:tc>
          <w:tcPr>
            <w:tcW w:w="2340" w:type="dxa"/>
            <w:tcBorders>
              <w:bottom w:val="single" w:sz="6" w:space="0" w:color="000000"/>
            </w:tcBorders>
          </w:tcPr>
          <w:p w14:paraId="0E6DD269" w14:textId="77777777" w:rsidR="00723F18" w:rsidRDefault="00000000">
            <w:pPr>
              <w:pStyle w:val="Compact"/>
              <w:widowControl w:val="0"/>
              <w:rPr>
                <w:rFonts w:ascii="Cambria" w:eastAsia="Cambria" w:hAnsi="Cambria"/>
              </w:rPr>
            </w:pPr>
            <w:r>
              <w:rPr>
                <w:rFonts w:eastAsia="Cambria"/>
                <w:b/>
                <w:bCs/>
              </w:rPr>
              <w:t>Latitude (N)</w:t>
            </w:r>
          </w:p>
        </w:tc>
        <w:tc>
          <w:tcPr>
            <w:tcW w:w="2340" w:type="dxa"/>
            <w:tcBorders>
              <w:bottom w:val="single" w:sz="6" w:space="0" w:color="000000"/>
            </w:tcBorders>
          </w:tcPr>
          <w:p w14:paraId="262DB0A1" w14:textId="77777777" w:rsidR="00723F18" w:rsidRDefault="00000000">
            <w:pPr>
              <w:pStyle w:val="Compact"/>
              <w:widowControl w:val="0"/>
              <w:rPr>
                <w:rFonts w:ascii="Cambria" w:eastAsia="Cambria" w:hAnsi="Cambria"/>
              </w:rPr>
            </w:pPr>
            <w:r>
              <w:rPr>
                <w:rFonts w:eastAsia="Cambria"/>
                <w:b/>
                <w:bCs/>
              </w:rPr>
              <w:t>Longitude (E)</w:t>
            </w:r>
          </w:p>
        </w:tc>
        <w:tc>
          <w:tcPr>
            <w:tcW w:w="2340" w:type="dxa"/>
            <w:tcBorders>
              <w:bottom w:val="single" w:sz="6" w:space="0" w:color="000000"/>
            </w:tcBorders>
          </w:tcPr>
          <w:p w14:paraId="41DDE9F4" w14:textId="77777777" w:rsidR="00723F18" w:rsidRDefault="00000000">
            <w:pPr>
              <w:pStyle w:val="Compact"/>
              <w:widowControl w:val="0"/>
              <w:rPr>
                <w:rFonts w:ascii="Cambria" w:eastAsia="Cambria" w:hAnsi="Cambria"/>
              </w:rPr>
            </w:pPr>
            <w:r>
              <w:rPr>
                <w:rFonts w:eastAsia="Cambria"/>
                <w:b/>
                <w:bCs/>
              </w:rPr>
              <w:t>Function</w:t>
            </w:r>
          </w:p>
        </w:tc>
      </w:tr>
      <w:tr w:rsidR="00723F18" w14:paraId="2F1F7524" w14:textId="77777777" w:rsidTr="00723F18">
        <w:tc>
          <w:tcPr>
            <w:tcW w:w="2339" w:type="dxa"/>
          </w:tcPr>
          <w:p w14:paraId="345D7B60" w14:textId="77777777" w:rsidR="00723F18" w:rsidRDefault="00000000">
            <w:pPr>
              <w:pStyle w:val="Compact"/>
              <w:widowControl w:val="0"/>
              <w:rPr>
                <w:rFonts w:ascii="Cambria" w:eastAsia="Cambria" w:hAnsi="Cambria"/>
              </w:rPr>
            </w:pPr>
            <w:r>
              <w:rPr>
                <w:rFonts w:eastAsia="Cambria"/>
              </w:rPr>
              <w:t>S-1</w:t>
            </w:r>
          </w:p>
        </w:tc>
        <w:tc>
          <w:tcPr>
            <w:tcW w:w="2340" w:type="dxa"/>
          </w:tcPr>
          <w:p w14:paraId="0152DE3B" w14:textId="77777777" w:rsidR="00723F18" w:rsidRDefault="00000000">
            <w:pPr>
              <w:pStyle w:val="Compact"/>
              <w:widowControl w:val="0"/>
              <w:rPr>
                <w:rFonts w:ascii="Cambria" w:eastAsia="Cambria" w:hAnsi="Cambria"/>
              </w:rPr>
            </w:pPr>
            <w:r>
              <w:rPr>
                <w:rFonts w:eastAsia="Cambria"/>
              </w:rPr>
              <w:t>26 degrees 16.0 minutes</w:t>
            </w:r>
          </w:p>
        </w:tc>
        <w:tc>
          <w:tcPr>
            <w:tcW w:w="2340" w:type="dxa"/>
          </w:tcPr>
          <w:p w14:paraId="6324346E" w14:textId="77777777" w:rsidR="00723F18" w:rsidRDefault="00000000">
            <w:pPr>
              <w:pStyle w:val="Compact"/>
              <w:widowControl w:val="0"/>
              <w:rPr>
                <w:rFonts w:ascii="Cambria" w:eastAsia="Cambria" w:hAnsi="Cambria"/>
              </w:rPr>
            </w:pPr>
            <w:r>
              <w:rPr>
                <w:rFonts w:eastAsia="Cambria"/>
              </w:rPr>
              <w:t>055 degrees 38.0 minutes</w:t>
            </w:r>
          </w:p>
        </w:tc>
        <w:tc>
          <w:tcPr>
            <w:tcW w:w="2340" w:type="dxa"/>
          </w:tcPr>
          <w:p w14:paraId="7EFC463C" w14:textId="77777777" w:rsidR="00723F18" w:rsidRDefault="00000000">
            <w:pPr>
              <w:pStyle w:val="Compact"/>
              <w:widowControl w:val="0"/>
              <w:rPr>
                <w:rFonts w:ascii="Cambria" w:eastAsia="Cambria" w:hAnsi="Cambria"/>
              </w:rPr>
            </w:pPr>
            <w:r>
              <w:rPr>
                <w:rFonts w:eastAsia="Cambria"/>
              </w:rPr>
              <w:t>Western entry, outbound lane</w:t>
            </w:r>
          </w:p>
        </w:tc>
      </w:tr>
      <w:tr w:rsidR="00723F18" w14:paraId="001FAAF7" w14:textId="77777777" w:rsidTr="00723F18">
        <w:tc>
          <w:tcPr>
            <w:tcW w:w="2339" w:type="dxa"/>
          </w:tcPr>
          <w:p w14:paraId="64DDBDF8" w14:textId="77777777" w:rsidR="00723F18" w:rsidRDefault="00000000">
            <w:pPr>
              <w:pStyle w:val="Compact"/>
              <w:widowControl w:val="0"/>
              <w:rPr>
                <w:rFonts w:ascii="Cambria" w:eastAsia="Cambria" w:hAnsi="Cambria"/>
              </w:rPr>
            </w:pPr>
            <w:r>
              <w:rPr>
                <w:rFonts w:eastAsia="Cambria"/>
              </w:rPr>
              <w:t>S-2</w:t>
            </w:r>
          </w:p>
        </w:tc>
        <w:tc>
          <w:tcPr>
            <w:tcW w:w="2340" w:type="dxa"/>
          </w:tcPr>
          <w:p w14:paraId="29CDAF68" w14:textId="77777777" w:rsidR="00723F18" w:rsidRDefault="00000000">
            <w:pPr>
              <w:pStyle w:val="Compact"/>
              <w:widowControl w:val="0"/>
              <w:rPr>
                <w:rFonts w:ascii="Cambria" w:eastAsia="Cambria" w:hAnsi="Cambria"/>
              </w:rPr>
            </w:pPr>
            <w:r>
              <w:rPr>
                <w:rFonts w:eastAsia="Cambria"/>
              </w:rPr>
              <w:t>26 degrees 18.0 minutes</w:t>
            </w:r>
          </w:p>
        </w:tc>
        <w:tc>
          <w:tcPr>
            <w:tcW w:w="2340" w:type="dxa"/>
          </w:tcPr>
          <w:p w14:paraId="52CEFA3A" w14:textId="77777777" w:rsidR="00723F18" w:rsidRDefault="00000000">
            <w:pPr>
              <w:pStyle w:val="Compact"/>
              <w:widowControl w:val="0"/>
              <w:rPr>
                <w:rFonts w:ascii="Cambria" w:eastAsia="Cambria" w:hAnsi="Cambria"/>
              </w:rPr>
            </w:pPr>
            <w:r>
              <w:rPr>
                <w:rFonts w:eastAsia="Cambria"/>
              </w:rPr>
              <w:t>055 degrees 55.0 minutes</w:t>
            </w:r>
          </w:p>
        </w:tc>
        <w:tc>
          <w:tcPr>
            <w:tcW w:w="2340" w:type="dxa"/>
          </w:tcPr>
          <w:p w14:paraId="69626DEA" w14:textId="77777777" w:rsidR="00723F18" w:rsidRDefault="00000000">
            <w:pPr>
              <w:pStyle w:val="Compact"/>
              <w:widowControl w:val="0"/>
              <w:rPr>
                <w:rFonts w:ascii="Cambria" w:eastAsia="Cambria" w:hAnsi="Cambria"/>
              </w:rPr>
            </w:pPr>
            <w:r>
              <w:rPr>
                <w:rFonts w:eastAsia="Cambria"/>
              </w:rPr>
              <w:t>Southern segment reporting point</w:t>
            </w:r>
          </w:p>
        </w:tc>
      </w:tr>
      <w:tr w:rsidR="00723F18" w14:paraId="2B2E3912" w14:textId="77777777" w:rsidTr="00723F18">
        <w:tc>
          <w:tcPr>
            <w:tcW w:w="2339" w:type="dxa"/>
          </w:tcPr>
          <w:p w14:paraId="59EE69FF" w14:textId="77777777" w:rsidR="00723F18" w:rsidRDefault="00000000">
            <w:pPr>
              <w:pStyle w:val="Compact"/>
              <w:widowControl w:val="0"/>
              <w:rPr>
                <w:rFonts w:ascii="Cambria" w:eastAsia="Cambria" w:hAnsi="Cambria"/>
              </w:rPr>
            </w:pPr>
            <w:r>
              <w:rPr>
                <w:rFonts w:eastAsia="Cambria"/>
              </w:rPr>
              <w:t>S-3</w:t>
            </w:r>
          </w:p>
        </w:tc>
        <w:tc>
          <w:tcPr>
            <w:tcW w:w="2340" w:type="dxa"/>
          </w:tcPr>
          <w:p w14:paraId="2A65322F" w14:textId="77777777" w:rsidR="00723F18" w:rsidRDefault="00000000">
            <w:pPr>
              <w:pStyle w:val="Compact"/>
              <w:widowControl w:val="0"/>
              <w:rPr>
                <w:rFonts w:ascii="Cambria" w:eastAsia="Cambria" w:hAnsi="Cambria"/>
              </w:rPr>
            </w:pPr>
            <w:r>
              <w:rPr>
                <w:rFonts w:eastAsia="Cambria"/>
              </w:rPr>
              <w:t>26 degrees 20.0 minutes</w:t>
            </w:r>
          </w:p>
        </w:tc>
        <w:tc>
          <w:tcPr>
            <w:tcW w:w="2340" w:type="dxa"/>
          </w:tcPr>
          <w:p w14:paraId="0742EF13" w14:textId="77777777" w:rsidR="00723F18" w:rsidRDefault="00000000">
            <w:pPr>
              <w:pStyle w:val="Compact"/>
              <w:widowControl w:val="0"/>
              <w:rPr>
                <w:rFonts w:ascii="Cambria" w:eastAsia="Cambria" w:hAnsi="Cambria"/>
              </w:rPr>
            </w:pPr>
            <w:r>
              <w:rPr>
                <w:rFonts w:eastAsia="Cambria"/>
              </w:rPr>
              <w:t>056 degrees 12.0 minutes</w:t>
            </w:r>
          </w:p>
        </w:tc>
        <w:tc>
          <w:tcPr>
            <w:tcW w:w="2340" w:type="dxa"/>
          </w:tcPr>
          <w:p w14:paraId="2DDA4FA5" w14:textId="77777777" w:rsidR="00723F18" w:rsidRDefault="00000000">
            <w:pPr>
              <w:pStyle w:val="Compact"/>
              <w:widowControl w:val="0"/>
              <w:rPr>
                <w:rFonts w:ascii="Cambria" w:eastAsia="Cambria" w:hAnsi="Cambria"/>
              </w:rPr>
            </w:pPr>
            <w:r>
              <w:rPr>
                <w:rFonts w:eastAsia="Cambria"/>
              </w:rPr>
              <w:t>Gas-carrier window marker</w:t>
            </w:r>
          </w:p>
        </w:tc>
      </w:tr>
      <w:tr w:rsidR="00723F18" w14:paraId="76048847" w14:textId="77777777" w:rsidTr="00723F18">
        <w:tc>
          <w:tcPr>
            <w:tcW w:w="2339" w:type="dxa"/>
          </w:tcPr>
          <w:p w14:paraId="27502FFF" w14:textId="77777777" w:rsidR="00723F18" w:rsidRDefault="00000000">
            <w:pPr>
              <w:pStyle w:val="Compact"/>
              <w:widowControl w:val="0"/>
              <w:rPr>
                <w:rFonts w:ascii="Cambria" w:eastAsia="Cambria" w:hAnsi="Cambria"/>
              </w:rPr>
            </w:pPr>
            <w:r>
              <w:rPr>
                <w:rFonts w:eastAsia="Cambria"/>
              </w:rPr>
              <w:t>S-4</w:t>
            </w:r>
          </w:p>
        </w:tc>
        <w:tc>
          <w:tcPr>
            <w:tcW w:w="2340" w:type="dxa"/>
          </w:tcPr>
          <w:p w14:paraId="4A4E15EA" w14:textId="77777777" w:rsidR="00723F18" w:rsidRDefault="00000000">
            <w:pPr>
              <w:pStyle w:val="Compact"/>
              <w:widowControl w:val="0"/>
              <w:rPr>
                <w:rFonts w:ascii="Cambria" w:eastAsia="Cambria" w:hAnsi="Cambria"/>
              </w:rPr>
            </w:pPr>
            <w:r>
              <w:rPr>
                <w:rFonts w:eastAsia="Cambria"/>
              </w:rPr>
              <w:t>26 degrees 22.0 minutes</w:t>
            </w:r>
          </w:p>
        </w:tc>
        <w:tc>
          <w:tcPr>
            <w:tcW w:w="2340" w:type="dxa"/>
          </w:tcPr>
          <w:p w14:paraId="30AB8867" w14:textId="77777777" w:rsidR="00723F18" w:rsidRDefault="00000000">
            <w:pPr>
              <w:pStyle w:val="Compact"/>
              <w:widowControl w:val="0"/>
              <w:rPr>
                <w:rFonts w:ascii="Cambria" w:eastAsia="Cambria" w:hAnsi="Cambria"/>
              </w:rPr>
            </w:pPr>
            <w:r>
              <w:rPr>
                <w:rFonts w:eastAsia="Cambria"/>
              </w:rPr>
              <w:t>056 degrees 30.0 minutes</w:t>
            </w:r>
          </w:p>
        </w:tc>
        <w:tc>
          <w:tcPr>
            <w:tcW w:w="2340" w:type="dxa"/>
          </w:tcPr>
          <w:p w14:paraId="3F9C9B74" w14:textId="77777777" w:rsidR="00723F18" w:rsidRDefault="00000000">
            <w:pPr>
              <w:pStyle w:val="Compact"/>
              <w:widowControl w:val="0"/>
              <w:rPr>
                <w:rFonts w:ascii="Cambria" w:eastAsia="Cambria" w:hAnsi="Cambria"/>
              </w:rPr>
            </w:pPr>
            <w:r>
              <w:rPr>
                <w:rFonts w:eastAsia="Cambria"/>
              </w:rPr>
              <w:t>Mid-strait reporting point</w:t>
            </w:r>
          </w:p>
        </w:tc>
      </w:tr>
      <w:tr w:rsidR="00723F18" w14:paraId="7F77EAE3" w14:textId="77777777" w:rsidTr="00723F18">
        <w:tc>
          <w:tcPr>
            <w:tcW w:w="2339" w:type="dxa"/>
          </w:tcPr>
          <w:p w14:paraId="26ED1583" w14:textId="77777777" w:rsidR="00723F18" w:rsidRDefault="00000000">
            <w:pPr>
              <w:pStyle w:val="Compact"/>
              <w:widowControl w:val="0"/>
              <w:rPr>
                <w:rFonts w:ascii="Cambria" w:eastAsia="Cambria" w:hAnsi="Cambria"/>
              </w:rPr>
            </w:pPr>
            <w:r>
              <w:rPr>
                <w:rFonts w:eastAsia="Cambria"/>
              </w:rPr>
              <w:t>S-5</w:t>
            </w:r>
          </w:p>
        </w:tc>
        <w:tc>
          <w:tcPr>
            <w:tcW w:w="2340" w:type="dxa"/>
          </w:tcPr>
          <w:p w14:paraId="705F1708" w14:textId="77777777" w:rsidR="00723F18" w:rsidRDefault="00000000">
            <w:pPr>
              <w:pStyle w:val="Compact"/>
              <w:widowControl w:val="0"/>
              <w:rPr>
                <w:rFonts w:ascii="Cambria" w:eastAsia="Cambria" w:hAnsi="Cambria"/>
              </w:rPr>
            </w:pPr>
            <w:r>
              <w:rPr>
                <w:rFonts w:eastAsia="Cambria"/>
              </w:rPr>
              <w:t>26 degrees 24.0 minutes</w:t>
            </w:r>
          </w:p>
        </w:tc>
        <w:tc>
          <w:tcPr>
            <w:tcW w:w="2340" w:type="dxa"/>
          </w:tcPr>
          <w:p w14:paraId="0B0382F3" w14:textId="77777777" w:rsidR="00723F18" w:rsidRDefault="00000000">
            <w:pPr>
              <w:pStyle w:val="Compact"/>
              <w:widowControl w:val="0"/>
              <w:rPr>
                <w:rFonts w:ascii="Cambria" w:eastAsia="Cambria" w:hAnsi="Cambria"/>
              </w:rPr>
            </w:pPr>
            <w:r>
              <w:rPr>
                <w:rFonts w:eastAsia="Cambria"/>
              </w:rPr>
              <w:t>056 degrees 45.0 minutes</w:t>
            </w:r>
          </w:p>
        </w:tc>
        <w:tc>
          <w:tcPr>
            <w:tcW w:w="2340" w:type="dxa"/>
          </w:tcPr>
          <w:p w14:paraId="20C34D44" w14:textId="77777777" w:rsidR="00723F18" w:rsidRDefault="00000000">
            <w:pPr>
              <w:pStyle w:val="Compact"/>
              <w:widowControl w:val="0"/>
              <w:rPr>
                <w:rFonts w:ascii="Cambria" w:eastAsia="Cambria" w:hAnsi="Cambria"/>
              </w:rPr>
            </w:pPr>
            <w:r>
              <w:rPr>
                <w:rFonts w:eastAsia="Cambria"/>
              </w:rPr>
              <w:t>Musandam approach</w:t>
            </w:r>
          </w:p>
        </w:tc>
      </w:tr>
      <w:tr w:rsidR="00723F18" w14:paraId="2D6BA4AC" w14:textId="77777777" w:rsidTr="00723F18">
        <w:tc>
          <w:tcPr>
            <w:tcW w:w="2339" w:type="dxa"/>
          </w:tcPr>
          <w:p w14:paraId="367B07B8" w14:textId="77777777" w:rsidR="00723F18" w:rsidRDefault="00000000">
            <w:pPr>
              <w:pStyle w:val="Compact"/>
              <w:widowControl w:val="0"/>
              <w:rPr>
                <w:rFonts w:ascii="Cambria" w:eastAsia="Cambria" w:hAnsi="Cambria"/>
              </w:rPr>
            </w:pPr>
            <w:r>
              <w:rPr>
                <w:rFonts w:eastAsia="Cambria"/>
              </w:rPr>
              <w:t>S-6</w:t>
            </w:r>
          </w:p>
        </w:tc>
        <w:tc>
          <w:tcPr>
            <w:tcW w:w="2340" w:type="dxa"/>
          </w:tcPr>
          <w:p w14:paraId="28E3DE0F" w14:textId="77777777" w:rsidR="00723F18" w:rsidRDefault="00000000">
            <w:pPr>
              <w:pStyle w:val="Compact"/>
              <w:widowControl w:val="0"/>
              <w:rPr>
                <w:rFonts w:ascii="Cambria" w:eastAsia="Cambria" w:hAnsi="Cambria"/>
              </w:rPr>
            </w:pPr>
            <w:r>
              <w:rPr>
                <w:rFonts w:eastAsia="Cambria"/>
              </w:rPr>
              <w:t>26 degrees 26.0 minutes</w:t>
            </w:r>
          </w:p>
        </w:tc>
        <w:tc>
          <w:tcPr>
            <w:tcW w:w="2340" w:type="dxa"/>
          </w:tcPr>
          <w:p w14:paraId="48CAB27A" w14:textId="77777777" w:rsidR="00723F18" w:rsidRDefault="00000000">
            <w:pPr>
              <w:pStyle w:val="Compact"/>
              <w:widowControl w:val="0"/>
              <w:rPr>
                <w:rFonts w:ascii="Cambria" w:eastAsia="Cambria" w:hAnsi="Cambria"/>
              </w:rPr>
            </w:pPr>
            <w:r>
              <w:rPr>
                <w:rFonts w:eastAsia="Cambria"/>
              </w:rPr>
              <w:t>056 degrees 56.0 minutes</w:t>
            </w:r>
          </w:p>
        </w:tc>
        <w:tc>
          <w:tcPr>
            <w:tcW w:w="2340" w:type="dxa"/>
          </w:tcPr>
          <w:p w14:paraId="232DC1AC" w14:textId="77777777" w:rsidR="00723F18" w:rsidRDefault="00000000">
            <w:pPr>
              <w:pStyle w:val="Compact"/>
              <w:widowControl w:val="0"/>
              <w:rPr>
                <w:rFonts w:ascii="Cambria" w:eastAsia="Cambria" w:hAnsi="Cambria"/>
              </w:rPr>
            </w:pPr>
            <w:r>
              <w:rPr>
                <w:rFonts w:eastAsia="Cambria"/>
              </w:rPr>
              <w:t>Eastern exit, outbound lane</w:t>
            </w:r>
          </w:p>
        </w:tc>
      </w:tr>
      <w:tr w:rsidR="00723F18" w14:paraId="3F2132A0" w14:textId="77777777" w:rsidTr="00723F18">
        <w:tc>
          <w:tcPr>
            <w:tcW w:w="2339" w:type="dxa"/>
          </w:tcPr>
          <w:p w14:paraId="15993560" w14:textId="77777777" w:rsidR="00723F18" w:rsidRDefault="00000000">
            <w:pPr>
              <w:pStyle w:val="Compact"/>
              <w:widowControl w:val="0"/>
              <w:rPr>
                <w:rFonts w:ascii="Cambria" w:eastAsia="Cambria" w:hAnsi="Cambria"/>
              </w:rPr>
            </w:pPr>
            <w:r>
              <w:rPr>
                <w:rFonts w:eastAsia="Cambria"/>
              </w:rPr>
              <w:t>S-7</w:t>
            </w:r>
          </w:p>
        </w:tc>
        <w:tc>
          <w:tcPr>
            <w:tcW w:w="2340" w:type="dxa"/>
          </w:tcPr>
          <w:p w14:paraId="31A16404" w14:textId="77777777" w:rsidR="00723F18" w:rsidRDefault="00000000">
            <w:pPr>
              <w:pStyle w:val="Compact"/>
              <w:widowControl w:val="0"/>
              <w:rPr>
                <w:rFonts w:ascii="Cambria" w:eastAsia="Cambria" w:hAnsi="Cambria"/>
              </w:rPr>
            </w:pPr>
            <w:r>
              <w:rPr>
                <w:rFonts w:eastAsia="Cambria"/>
              </w:rPr>
              <w:t>26 degrees 28.0 minutes</w:t>
            </w:r>
          </w:p>
        </w:tc>
        <w:tc>
          <w:tcPr>
            <w:tcW w:w="2340" w:type="dxa"/>
          </w:tcPr>
          <w:p w14:paraId="1786B384" w14:textId="77777777" w:rsidR="00723F18" w:rsidRDefault="00000000">
            <w:pPr>
              <w:pStyle w:val="Compact"/>
              <w:widowControl w:val="0"/>
              <w:rPr>
                <w:rFonts w:ascii="Cambria" w:eastAsia="Cambria" w:hAnsi="Cambria"/>
              </w:rPr>
            </w:pPr>
            <w:r>
              <w:rPr>
                <w:rFonts w:eastAsia="Cambria"/>
              </w:rPr>
              <w:t>056 degrees 54.0 minutes</w:t>
            </w:r>
          </w:p>
        </w:tc>
        <w:tc>
          <w:tcPr>
            <w:tcW w:w="2340" w:type="dxa"/>
          </w:tcPr>
          <w:p w14:paraId="25A17C10" w14:textId="77777777" w:rsidR="00723F18" w:rsidRDefault="00000000">
            <w:pPr>
              <w:pStyle w:val="Compact"/>
              <w:widowControl w:val="0"/>
              <w:rPr>
                <w:rFonts w:ascii="Cambria" w:eastAsia="Cambria" w:hAnsi="Cambria"/>
              </w:rPr>
            </w:pPr>
            <w:r>
              <w:rPr>
                <w:rFonts w:eastAsia="Cambria"/>
              </w:rPr>
              <w:t>Eastern entry, inbound lane</w:t>
            </w:r>
          </w:p>
        </w:tc>
      </w:tr>
      <w:tr w:rsidR="00723F18" w14:paraId="0E1AC1E7" w14:textId="77777777" w:rsidTr="00723F18">
        <w:tc>
          <w:tcPr>
            <w:tcW w:w="2339" w:type="dxa"/>
          </w:tcPr>
          <w:p w14:paraId="77A00288" w14:textId="77777777" w:rsidR="00723F18" w:rsidRDefault="00000000">
            <w:pPr>
              <w:pStyle w:val="Compact"/>
              <w:widowControl w:val="0"/>
              <w:rPr>
                <w:rFonts w:ascii="Cambria" w:eastAsia="Cambria" w:hAnsi="Cambria"/>
              </w:rPr>
            </w:pPr>
            <w:r>
              <w:rPr>
                <w:rFonts w:eastAsia="Cambria"/>
              </w:rPr>
              <w:t>S-8</w:t>
            </w:r>
          </w:p>
        </w:tc>
        <w:tc>
          <w:tcPr>
            <w:tcW w:w="2340" w:type="dxa"/>
          </w:tcPr>
          <w:p w14:paraId="508E1683" w14:textId="77777777" w:rsidR="00723F18" w:rsidRDefault="00000000">
            <w:pPr>
              <w:pStyle w:val="Compact"/>
              <w:widowControl w:val="0"/>
              <w:rPr>
                <w:rFonts w:ascii="Cambria" w:eastAsia="Cambria" w:hAnsi="Cambria"/>
              </w:rPr>
            </w:pPr>
            <w:r>
              <w:rPr>
                <w:rFonts w:eastAsia="Cambria"/>
              </w:rPr>
              <w:t>26 degrees 18.5 minutes</w:t>
            </w:r>
          </w:p>
        </w:tc>
        <w:tc>
          <w:tcPr>
            <w:tcW w:w="2340" w:type="dxa"/>
          </w:tcPr>
          <w:p w14:paraId="76028A36" w14:textId="77777777" w:rsidR="00723F18" w:rsidRDefault="00000000">
            <w:pPr>
              <w:pStyle w:val="Compact"/>
              <w:widowControl w:val="0"/>
              <w:rPr>
                <w:rFonts w:ascii="Cambria" w:eastAsia="Cambria" w:hAnsi="Cambria"/>
              </w:rPr>
            </w:pPr>
            <w:r>
              <w:rPr>
                <w:rFonts w:eastAsia="Cambria"/>
              </w:rPr>
              <w:t>055 degrees 36.0 minutes</w:t>
            </w:r>
          </w:p>
        </w:tc>
        <w:tc>
          <w:tcPr>
            <w:tcW w:w="2340" w:type="dxa"/>
          </w:tcPr>
          <w:p w14:paraId="5A7D25AA" w14:textId="77777777" w:rsidR="00723F18" w:rsidRDefault="00000000">
            <w:pPr>
              <w:pStyle w:val="Compact"/>
              <w:widowControl w:val="0"/>
              <w:rPr>
                <w:rFonts w:ascii="Cambria" w:eastAsia="Cambria" w:hAnsi="Cambria"/>
              </w:rPr>
            </w:pPr>
            <w:r>
              <w:rPr>
                <w:rFonts w:eastAsia="Cambria"/>
              </w:rPr>
              <w:t>Western exit, inbound lane</w:t>
            </w:r>
          </w:p>
        </w:tc>
      </w:tr>
    </w:tbl>
    <w:p w14:paraId="338D77E9" w14:textId="77777777" w:rsidR="00723F18" w:rsidRDefault="00000000">
      <w:pPr>
        <w:pStyle w:val="BodyText"/>
      </w:pPr>
      <w:bookmarkStart w:id="383" w:name="Xe24fc8c84aff75b81fe1737508ce748ccc41eff"/>
      <w:r>
        <w:rPr>
          <w:i/>
          <w:iCs/>
        </w:rPr>
        <w:t>Lane widths and separation as for Corridor One.</w:t>
      </w:r>
      <w:bookmarkEnd w:id="383"/>
    </w:p>
    <w:p w14:paraId="553DF9F0" w14:textId="77777777" w:rsidR="00723F18" w:rsidRDefault="00000000">
      <w:pPr>
        <w:pStyle w:val="Heading2"/>
      </w:pPr>
      <w:bookmarkStart w:id="384" w:name="__RefHeading___Toc6510_2939721771"/>
      <w:bookmarkEnd w:id="384"/>
      <w:r>
        <w:t>A.6 Table A.5: Separation belts</w:t>
      </w:r>
    </w:p>
    <w:tbl>
      <w:tblPr>
        <w:tblStyle w:val="Table"/>
        <w:tblW w:w="5000" w:type="pct"/>
        <w:tblInd w:w="0" w:type="dxa"/>
        <w:tblLayout w:type="fixed"/>
        <w:tblLook w:val="0020" w:firstRow="1" w:lastRow="0" w:firstColumn="0" w:lastColumn="0" w:noHBand="0" w:noVBand="0"/>
      </w:tblPr>
      <w:tblGrid>
        <w:gridCol w:w="2394"/>
        <w:gridCol w:w="2394"/>
        <w:gridCol w:w="2394"/>
        <w:gridCol w:w="2394"/>
      </w:tblGrid>
      <w:tr w:rsidR="00723F18" w14:paraId="041933BB"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45AA534A" w14:textId="77777777" w:rsidR="00723F18" w:rsidRDefault="00000000">
            <w:pPr>
              <w:pStyle w:val="Compact"/>
              <w:widowControl w:val="0"/>
              <w:rPr>
                <w:rFonts w:ascii="Cambria" w:eastAsia="Cambria" w:hAnsi="Cambria"/>
              </w:rPr>
            </w:pPr>
            <w:r>
              <w:rPr>
                <w:rFonts w:eastAsia="Cambria"/>
                <w:b/>
                <w:bCs/>
              </w:rPr>
              <w:t>Belt</w:t>
            </w:r>
          </w:p>
        </w:tc>
        <w:tc>
          <w:tcPr>
            <w:tcW w:w="2340" w:type="dxa"/>
            <w:tcBorders>
              <w:bottom w:val="single" w:sz="6" w:space="0" w:color="000000"/>
            </w:tcBorders>
          </w:tcPr>
          <w:p w14:paraId="324A1553" w14:textId="77777777" w:rsidR="00723F18" w:rsidRDefault="00000000">
            <w:pPr>
              <w:pStyle w:val="Compact"/>
              <w:widowControl w:val="0"/>
              <w:rPr>
                <w:rFonts w:ascii="Cambria" w:eastAsia="Cambria" w:hAnsi="Cambria"/>
              </w:rPr>
            </w:pPr>
            <w:r>
              <w:rPr>
                <w:rFonts w:eastAsia="Cambria"/>
                <w:b/>
                <w:bCs/>
              </w:rPr>
              <w:t>Position</w:t>
            </w:r>
          </w:p>
        </w:tc>
        <w:tc>
          <w:tcPr>
            <w:tcW w:w="2340" w:type="dxa"/>
            <w:tcBorders>
              <w:bottom w:val="single" w:sz="6" w:space="0" w:color="000000"/>
            </w:tcBorders>
          </w:tcPr>
          <w:p w14:paraId="5F20EA04" w14:textId="77777777" w:rsidR="00723F18" w:rsidRDefault="00000000">
            <w:pPr>
              <w:pStyle w:val="Compact"/>
              <w:widowControl w:val="0"/>
              <w:rPr>
                <w:rFonts w:ascii="Cambria" w:eastAsia="Cambria" w:hAnsi="Cambria"/>
              </w:rPr>
            </w:pPr>
            <w:r>
              <w:rPr>
                <w:rFonts w:eastAsia="Cambria"/>
                <w:b/>
                <w:bCs/>
              </w:rPr>
              <w:t>Nominal width</w:t>
            </w:r>
          </w:p>
        </w:tc>
        <w:tc>
          <w:tcPr>
            <w:tcW w:w="2340" w:type="dxa"/>
            <w:tcBorders>
              <w:bottom w:val="single" w:sz="6" w:space="0" w:color="000000"/>
            </w:tcBorders>
          </w:tcPr>
          <w:p w14:paraId="0CBE85A1" w14:textId="77777777" w:rsidR="00723F18" w:rsidRDefault="00000000">
            <w:pPr>
              <w:pStyle w:val="Compact"/>
              <w:widowControl w:val="0"/>
              <w:rPr>
                <w:rFonts w:ascii="Cambria" w:eastAsia="Cambria" w:hAnsi="Cambria"/>
              </w:rPr>
            </w:pPr>
            <w:r>
              <w:rPr>
                <w:rFonts w:eastAsia="Cambria"/>
                <w:b/>
                <w:bCs/>
              </w:rPr>
              <w:t>Rule</w:t>
            </w:r>
          </w:p>
        </w:tc>
      </w:tr>
      <w:tr w:rsidR="00723F18" w14:paraId="2D5C0E3E" w14:textId="77777777" w:rsidTr="00723F18">
        <w:tc>
          <w:tcPr>
            <w:tcW w:w="2339" w:type="dxa"/>
          </w:tcPr>
          <w:p w14:paraId="55E22FED" w14:textId="77777777" w:rsidR="00723F18" w:rsidRDefault="00000000">
            <w:pPr>
              <w:pStyle w:val="Compact"/>
              <w:widowControl w:val="0"/>
              <w:rPr>
                <w:rFonts w:ascii="Cambria" w:eastAsia="Cambria" w:hAnsi="Cambria"/>
              </w:rPr>
            </w:pPr>
            <w:r>
              <w:rPr>
                <w:rFonts w:eastAsia="Cambria"/>
              </w:rPr>
              <w:lastRenderedPageBreak/>
              <w:t>Separation Belt Alpha</w:t>
            </w:r>
          </w:p>
        </w:tc>
        <w:tc>
          <w:tcPr>
            <w:tcW w:w="2340" w:type="dxa"/>
          </w:tcPr>
          <w:p w14:paraId="61556A44" w14:textId="77777777" w:rsidR="00723F18" w:rsidRDefault="00000000">
            <w:pPr>
              <w:pStyle w:val="Compact"/>
              <w:widowControl w:val="0"/>
              <w:rPr>
                <w:rFonts w:ascii="Cambria" w:eastAsia="Cambria" w:hAnsi="Cambria"/>
              </w:rPr>
            </w:pPr>
            <w:r>
              <w:rPr>
                <w:rFonts w:eastAsia="Cambria"/>
              </w:rPr>
              <w:t>Between Corridor One and Corridor Two limit lines</w:t>
            </w:r>
          </w:p>
        </w:tc>
        <w:tc>
          <w:tcPr>
            <w:tcW w:w="2340" w:type="dxa"/>
          </w:tcPr>
          <w:p w14:paraId="24DAA45F" w14:textId="77777777" w:rsidR="00723F18" w:rsidRDefault="00000000">
            <w:pPr>
              <w:pStyle w:val="Compact"/>
              <w:widowControl w:val="0"/>
              <w:rPr>
                <w:rFonts w:ascii="Cambria" w:eastAsia="Cambria" w:hAnsi="Cambria"/>
              </w:rPr>
            </w:pPr>
            <w:r>
              <w:rPr>
                <w:rFonts w:eastAsia="Cambria"/>
              </w:rPr>
              <w:t>Two (2.0) nautical miles</w:t>
            </w:r>
          </w:p>
        </w:tc>
        <w:tc>
          <w:tcPr>
            <w:tcW w:w="2340" w:type="dxa"/>
          </w:tcPr>
          <w:p w14:paraId="72E0990A" w14:textId="77777777" w:rsidR="00723F18" w:rsidRDefault="00000000">
            <w:pPr>
              <w:pStyle w:val="Compact"/>
              <w:widowControl w:val="0"/>
              <w:rPr>
                <w:rFonts w:ascii="Cambria" w:eastAsia="Cambria" w:hAnsi="Cambria"/>
              </w:rPr>
            </w:pPr>
            <w:r>
              <w:rPr>
                <w:rFonts w:eastAsia="Cambria"/>
              </w:rPr>
              <w:t>No commercial traffic; no stationary military presence; survey craft cross on direct transits</w:t>
            </w:r>
          </w:p>
        </w:tc>
      </w:tr>
      <w:tr w:rsidR="00723F18" w14:paraId="1DD63EBA" w14:textId="77777777" w:rsidTr="00723F18">
        <w:tc>
          <w:tcPr>
            <w:tcW w:w="2339" w:type="dxa"/>
          </w:tcPr>
          <w:p w14:paraId="3F9B32DF" w14:textId="77777777" w:rsidR="00723F18" w:rsidRDefault="00000000">
            <w:pPr>
              <w:pStyle w:val="Compact"/>
              <w:widowControl w:val="0"/>
              <w:rPr>
                <w:rFonts w:ascii="Cambria" w:eastAsia="Cambria" w:hAnsi="Cambria"/>
              </w:rPr>
            </w:pPr>
            <w:r>
              <w:rPr>
                <w:rFonts w:eastAsia="Cambria"/>
              </w:rPr>
              <w:t>Separation Belt Beta</w:t>
            </w:r>
          </w:p>
        </w:tc>
        <w:tc>
          <w:tcPr>
            <w:tcW w:w="2340" w:type="dxa"/>
          </w:tcPr>
          <w:p w14:paraId="3FFB6064" w14:textId="77777777" w:rsidR="00723F18" w:rsidRDefault="00000000">
            <w:pPr>
              <w:pStyle w:val="Compact"/>
              <w:widowControl w:val="0"/>
              <w:rPr>
                <w:rFonts w:ascii="Cambria" w:eastAsia="Cambria" w:hAnsi="Cambria"/>
              </w:rPr>
            </w:pPr>
            <w:r>
              <w:rPr>
                <w:rFonts w:eastAsia="Cambria"/>
              </w:rPr>
              <w:t>Between Corridor Two and Corridor Three limit lines</w:t>
            </w:r>
          </w:p>
        </w:tc>
        <w:tc>
          <w:tcPr>
            <w:tcW w:w="2340" w:type="dxa"/>
          </w:tcPr>
          <w:p w14:paraId="29ADABD4" w14:textId="77777777" w:rsidR="00723F18" w:rsidRDefault="00000000">
            <w:pPr>
              <w:pStyle w:val="Compact"/>
              <w:widowControl w:val="0"/>
              <w:rPr>
                <w:rFonts w:ascii="Cambria" w:eastAsia="Cambria" w:hAnsi="Cambria"/>
              </w:rPr>
            </w:pPr>
            <w:r>
              <w:rPr>
                <w:rFonts w:eastAsia="Cambria"/>
              </w:rPr>
              <w:t>Two (2.0) nautical miles</w:t>
            </w:r>
          </w:p>
        </w:tc>
        <w:tc>
          <w:tcPr>
            <w:tcW w:w="2340" w:type="dxa"/>
          </w:tcPr>
          <w:p w14:paraId="06A5B325" w14:textId="77777777" w:rsidR="00723F18" w:rsidRDefault="00000000">
            <w:pPr>
              <w:pStyle w:val="Compact"/>
              <w:widowControl w:val="0"/>
              <w:rPr>
                <w:rFonts w:ascii="Cambria" w:eastAsia="Cambria" w:hAnsi="Cambria"/>
              </w:rPr>
            </w:pPr>
            <w:bookmarkStart w:id="385" w:name="a.6-table-a.5-separation-belts"/>
            <w:r>
              <w:rPr>
                <w:rFonts w:eastAsia="Cambria"/>
              </w:rPr>
              <w:t>Identical rule</w:t>
            </w:r>
            <w:bookmarkEnd w:id="385"/>
          </w:p>
        </w:tc>
      </w:tr>
    </w:tbl>
    <w:p w14:paraId="3F312675" w14:textId="77777777" w:rsidR="00723F18" w:rsidRDefault="00000000">
      <w:pPr>
        <w:pStyle w:val="Heading2"/>
      </w:pPr>
      <w:bookmarkStart w:id="386" w:name="__RefHeading___Toc6512_2939721771"/>
      <w:bookmarkEnd w:id="386"/>
      <w:r>
        <w:t>A.7 Table A.6: Holding anchorages</w:t>
      </w:r>
    </w:p>
    <w:tbl>
      <w:tblPr>
        <w:tblStyle w:val="Table"/>
        <w:tblW w:w="5000" w:type="pct"/>
        <w:tblInd w:w="0" w:type="dxa"/>
        <w:tblLayout w:type="fixed"/>
        <w:tblLook w:val="0020" w:firstRow="1" w:lastRow="0" w:firstColumn="0" w:lastColumn="0" w:noHBand="0" w:noVBand="0"/>
      </w:tblPr>
      <w:tblGrid>
        <w:gridCol w:w="2394"/>
        <w:gridCol w:w="2394"/>
        <w:gridCol w:w="2394"/>
        <w:gridCol w:w="2394"/>
      </w:tblGrid>
      <w:tr w:rsidR="00723F18" w14:paraId="1DDDBD85"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5B9D3BE1" w14:textId="77777777" w:rsidR="00723F18" w:rsidRDefault="00000000">
            <w:pPr>
              <w:pStyle w:val="Compact"/>
              <w:widowControl w:val="0"/>
              <w:rPr>
                <w:rFonts w:ascii="Cambria" w:eastAsia="Cambria" w:hAnsi="Cambria"/>
              </w:rPr>
            </w:pPr>
            <w:r>
              <w:rPr>
                <w:rFonts w:eastAsia="Cambria"/>
                <w:b/>
                <w:bCs/>
              </w:rPr>
              <w:t>Anchorage</w:t>
            </w:r>
          </w:p>
        </w:tc>
        <w:tc>
          <w:tcPr>
            <w:tcW w:w="2340" w:type="dxa"/>
            <w:tcBorders>
              <w:bottom w:val="single" w:sz="6" w:space="0" w:color="000000"/>
            </w:tcBorders>
          </w:tcPr>
          <w:p w14:paraId="3A0F1DBA" w14:textId="77777777" w:rsidR="00723F18" w:rsidRDefault="00000000">
            <w:pPr>
              <w:pStyle w:val="Compact"/>
              <w:widowControl w:val="0"/>
              <w:rPr>
                <w:rFonts w:ascii="Cambria" w:eastAsia="Cambria" w:hAnsi="Cambria"/>
              </w:rPr>
            </w:pPr>
            <w:r>
              <w:rPr>
                <w:rFonts w:eastAsia="Cambria"/>
                <w:b/>
                <w:bCs/>
              </w:rPr>
              <w:t>Latitude (N)</w:t>
            </w:r>
          </w:p>
        </w:tc>
        <w:tc>
          <w:tcPr>
            <w:tcW w:w="2340" w:type="dxa"/>
            <w:tcBorders>
              <w:bottom w:val="single" w:sz="6" w:space="0" w:color="000000"/>
            </w:tcBorders>
          </w:tcPr>
          <w:p w14:paraId="70F42D21" w14:textId="77777777" w:rsidR="00723F18" w:rsidRDefault="00000000">
            <w:pPr>
              <w:pStyle w:val="Compact"/>
              <w:widowControl w:val="0"/>
              <w:rPr>
                <w:rFonts w:ascii="Cambria" w:eastAsia="Cambria" w:hAnsi="Cambria"/>
              </w:rPr>
            </w:pPr>
            <w:r>
              <w:rPr>
                <w:rFonts w:eastAsia="Cambria"/>
                <w:b/>
                <w:bCs/>
              </w:rPr>
              <w:t>Longitude (E)</w:t>
            </w:r>
          </w:p>
        </w:tc>
        <w:tc>
          <w:tcPr>
            <w:tcW w:w="2340" w:type="dxa"/>
            <w:tcBorders>
              <w:bottom w:val="single" w:sz="6" w:space="0" w:color="000000"/>
            </w:tcBorders>
          </w:tcPr>
          <w:p w14:paraId="62742C8B" w14:textId="77777777" w:rsidR="00723F18" w:rsidRDefault="00000000">
            <w:pPr>
              <w:pStyle w:val="Compact"/>
              <w:widowControl w:val="0"/>
              <w:rPr>
                <w:rFonts w:ascii="Cambria" w:eastAsia="Cambria" w:hAnsi="Cambria"/>
              </w:rPr>
            </w:pPr>
            <w:r>
              <w:rPr>
                <w:rFonts w:eastAsia="Cambria"/>
                <w:b/>
                <w:bCs/>
              </w:rPr>
              <w:t>Assignment</w:t>
            </w:r>
          </w:p>
        </w:tc>
      </w:tr>
      <w:tr w:rsidR="00723F18" w14:paraId="4F60B6AC" w14:textId="77777777" w:rsidTr="00723F18">
        <w:tc>
          <w:tcPr>
            <w:tcW w:w="2339" w:type="dxa"/>
          </w:tcPr>
          <w:p w14:paraId="5EBC55CE" w14:textId="77777777" w:rsidR="00723F18" w:rsidRDefault="00000000">
            <w:pPr>
              <w:pStyle w:val="Compact"/>
              <w:widowControl w:val="0"/>
              <w:rPr>
                <w:rFonts w:ascii="Cambria" w:eastAsia="Cambria" w:hAnsi="Cambria"/>
              </w:rPr>
            </w:pPr>
            <w:r>
              <w:rPr>
                <w:rFonts w:eastAsia="Cambria"/>
              </w:rPr>
              <w:t>Anchorage Alpha</w:t>
            </w:r>
          </w:p>
        </w:tc>
        <w:tc>
          <w:tcPr>
            <w:tcW w:w="2340" w:type="dxa"/>
          </w:tcPr>
          <w:p w14:paraId="7A34AC67" w14:textId="77777777" w:rsidR="00723F18" w:rsidRDefault="00000000">
            <w:pPr>
              <w:pStyle w:val="Compact"/>
              <w:widowControl w:val="0"/>
              <w:rPr>
                <w:rFonts w:ascii="Cambria" w:eastAsia="Cambria" w:hAnsi="Cambria"/>
              </w:rPr>
            </w:pPr>
            <w:r>
              <w:rPr>
                <w:rFonts w:eastAsia="Cambria"/>
              </w:rPr>
              <w:t>26 degrees 47.0 minutes</w:t>
            </w:r>
          </w:p>
        </w:tc>
        <w:tc>
          <w:tcPr>
            <w:tcW w:w="2340" w:type="dxa"/>
          </w:tcPr>
          <w:p w14:paraId="51C6F330" w14:textId="77777777" w:rsidR="00723F18" w:rsidRDefault="00000000">
            <w:pPr>
              <w:pStyle w:val="Compact"/>
              <w:widowControl w:val="0"/>
              <w:rPr>
                <w:rFonts w:ascii="Cambria" w:eastAsia="Cambria" w:hAnsi="Cambria"/>
              </w:rPr>
            </w:pPr>
            <w:r>
              <w:rPr>
                <w:rFonts w:eastAsia="Cambria"/>
              </w:rPr>
              <w:t>056 degrees 58.0 minutes</w:t>
            </w:r>
          </w:p>
        </w:tc>
        <w:tc>
          <w:tcPr>
            <w:tcW w:w="2340" w:type="dxa"/>
          </w:tcPr>
          <w:p w14:paraId="586C575F" w14:textId="77777777" w:rsidR="00723F18" w:rsidRDefault="00000000">
            <w:pPr>
              <w:pStyle w:val="Compact"/>
              <w:widowControl w:val="0"/>
              <w:rPr>
                <w:rFonts w:ascii="Cambria" w:eastAsia="Cambria" w:hAnsi="Cambria"/>
              </w:rPr>
            </w:pPr>
            <w:r>
              <w:rPr>
                <w:rFonts w:eastAsia="Cambria"/>
              </w:rPr>
              <w:t>Corridor One remediation and Class H verification</w:t>
            </w:r>
          </w:p>
        </w:tc>
      </w:tr>
      <w:tr w:rsidR="00723F18" w14:paraId="55A6CBAE" w14:textId="77777777" w:rsidTr="00723F18">
        <w:tc>
          <w:tcPr>
            <w:tcW w:w="2339" w:type="dxa"/>
          </w:tcPr>
          <w:p w14:paraId="4C4CB22F" w14:textId="77777777" w:rsidR="00723F18" w:rsidRDefault="00000000">
            <w:pPr>
              <w:pStyle w:val="Compact"/>
              <w:widowControl w:val="0"/>
              <w:rPr>
                <w:rFonts w:ascii="Cambria" w:eastAsia="Cambria" w:hAnsi="Cambria"/>
              </w:rPr>
            </w:pPr>
            <w:r>
              <w:rPr>
                <w:rFonts w:eastAsia="Cambria"/>
              </w:rPr>
              <w:t>Anchorage Bravo</w:t>
            </w:r>
          </w:p>
        </w:tc>
        <w:tc>
          <w:tcPr>
            <w:tcW w:w="2340" w:type="dxa"/>
          </w:tcPr>
          <w:p w14:paraId="355C9CC7" w14:textId="77777777" w:rsidR="00723F18" w:rsidRDefault="00000000">
            <w:pPr>
              <w:pStyle w:val="Compact"/>
              <w:widowControl w:val="0"/>
              <w:rPr>
                <w:rFonts w:ascii="Cambria" w:eastAsia="Cambria" w:hAnsi="Cambria"/>
              </w:rPr>
            </w:pPr>
            <w:r>
              <w:rPr>
                <w:rFonts w:eastAsia="Cambria"/>
              </w:rPr>
              <w:t>26 degrees 12.0 minutes</w:t>
            </w:r>
          </w:p>
        </w:tc>
        <w:tc>
          <w:tcPr>
            <w:tcW w:w="2340" w:type="dxa"/>
          </w:tcPr>
          <w:p w14:paraId="3CF740C1" w14:textId="77777777" w:rsidR="00723F18" w:rsidRDefault="00000000">
            <w:pPr>
              <w:pStyle w:val="Compact"/>
              <w:widowControl w:val="0"/>
              <w:rPr>
                <w:rFonts w:ascii="Cambria" w:eastAsia="Cambria" w:hAnsi="Cambria"/>
              </w:rPr>
            </w:pPr>
            <w:r>
              <w:rPr>
                <w:rFonts w:eastAsia="Cambria"/>
              </w:rPr>
              <w:t>056 degrees 58.0 minutes</w:t>
            </w:r>
          </w:p>
        </w:tc>
        <w:tc>
          <w:tcPr>
            <w:tcW w:w="2340" w:type="dxa"/>
          </w:tcPr>
          <w:p w14:paraId="747C0A5F" w14:textId="77777777" w:rsidR="00723F18" w:rsidRDefault="00000000">
            <w:pPr>
              <w:pStyle w:val="Compact"/>
              <w:widowControl w:val="0"/>
              <w:rPr>
                <w:rFonts w:ascii="Cambria" w:eastAsia="Cambria" w:hAnsi="Cambria"/>
              </w:rPr>
            </w:pPr>
            <w:r>
              <w:rPr>
                <w:rFonts w:eastAsia="Cambria"/>
              </w:rPr>
              <w:t>Corridor Three remediation and Class H verification</w:t>
            </w:r>
          </w:p>
        </w:tc>
      </w:tr>
      <w:tr w:rsidR="00723F18" w14:paraId="3CF2FD8E" w14:textId="77777777" w:rsidTr="00723F18">
        <w:tc>
          <w:tcPr>
            <w:tcW w:w="2339" w:type="dxa"/>
          </w:tcPr>
          <w:p w14:paraId="7AE0C513" w14:textId="77777777" w:rsidR="00723F18" w:rsidRDefault="00000000">
            <w:pPr>
              <w:pStyle w:val="Compact"/>
              <w:widowControl w:val="0"/>
              <w:rPr>
                <w:rFonts w:ascii="Cambria" w:eastAsia="Cambria" w:hAnsi="Cambria"/>
              </w:rPr>
            </w:pPr>
            <w:r>
              <w:rPr>
                <w:rFonts w:eastAsia="Cambria"/>
              </w:rPr>
              <w:t>Anchorage Charlie</w:t>
            </w:r>
          </w:p>
        </w:tc>
        <w:tc>
          <w:tcPr>
            <w:tcW w:w="2340" w:type="dxa"/>
          </w:tcPr>
          <w:p w14:paraId="1BF55534" w14:textId="77777777" w:rsidR="00723F18" w:rsidRDefault="00000000">
            <w:pPr>
              <w:pStyle w:val="Compact"/>
              <w:widowControl w:val="0"/>
              <w:rPr>
                <w:rFonts w:ascii="Cambria" w:eastAsia="Cambria" w:hAnsi="Cambria"/>
              </w:rPr>
            </w:pPr>
            <w:r>
              <w:rPr>
                <w:rFonts w:eastAsia="Cambria"/>
              </w:rPr>
              <w:t>26 degrees 33.0 minutes</w:t>
            </w:r>
          </w:p>
        </w:tc>
        <w:tc>
          <w:tcPr>
            <w:tcW w:w="2340" w:type="dxa"/>
          </w:tcPr>
          <w:p w14:paraId="2DD26390" w14:textId="77777777" w:rsidR="00723F18" w:rsidRDefault="00000000">
            <w:pPr>
              <w:pStyle w:val="Compact"/>
              <w:widowControl w:val="0"/>
              <w:rPr>
                <w:rFonts w:ascii="Cambria" w:eastAsia="Cambria" w:hAnsi="Cambria"/>
              </w:rPr>
            </w:pPr>
            <w:r>
              <w:rPr>
                <w:rFonts w:eastAsia="Cambria"/>
              </w:rPr>
              <w:t>057 degrees 05.0 minutes</w:t>
            </w:r>
          </w:p>
        </w:tc>
        <w:tc>
          <w:tcPr>
            <w:tcW w:w="2340" w:type="dxa"/>
          </w:tcPr>
          <w:p w14:paraId="7B426393" w14:textId="77777777" w:rsidR="00723F18" w:rsidRDefault="00000000">
            <w:pPr>
              <w:pStyle w:val="Compact"/>
              <w:widowControl w:val="0"/>
              <w:rPr>
                <w:rFonts w:ascii="Cambria" w:eastAsia="Cambria" w:hAnsi="Cambria"/>
              </w:rPr>
            </w:pPr>
            <w:r>
              <w:rPr>
                <w:rFonts w:eastAsia="Cambria"/>
              </w:rPr>
              <w:t>Corridor Two remediation and staging</w:t>
            </w:r>
          </w:p>
        </w:tc>
      </w:tr>
    </w:tbl>
    <w:p w14:paraId="50F613DD" w14:textId="77777777" w:rsidR="00723F18" w:rsidRDefault="00000000">
      <w:pPr>
        <w:pStyle w:val="Heading2"/>
      </w:pPr>
      <w:bookmarkStart w:id="387" w:name="__RefHeading___Toc6514_2939721771"/>
      <w:bookmarkEnd w:id="387"/>
      <w:r>
        <w:t>A.8 Reporting points and crossing gates</w:t>
      </w:r>
    </w:p>
    <w:p w14:paraId="0B64F8FA" w14:textId="77777777" w:rsidR="00723F18" w:rsidRDefault="00000000">
      <w:pPr>
        <w:pStyle w:val="FirstParagraph"/>
      </w:pPr>
      <w:r>
        <w:t>Each corridor carries three reporting points: entry, mid-strait, and exit, as marked in Tables A.2 through A.4. Class D small craft cross the corridors only at the designated crossing gates: Gate North at N-2, Gate Central at C-2, and Gate South at S-4, under the crossing discipline of the Mariners’ Handbook.</w:t>
      </w:r>
    </w:p>
    <w:p w14:paraId="3BB053AE" w14:textId="77777777" w:rsidR="00723F18" w:rsidRDefault="00000000">
      <w:pPr>
        <w:pStyle w:val="Heading2"/>
      </w:pPr>
      <w:bookmarkStart w:id="388" w:name="__RefHeading___Toc6516_2939721771"/>
      <w:bookmarkEnd w:id="388"/>
      <w:r>
        <w:t>A.9 Chart edition</w:t>
      </w:r>
    </w:p>
    <w:p w14:paraId="76871146" w14:textId="77777777" w:rsidR="00723F18" w:rsidRDefault="00000000">
      <w:pPr>
        <w:pStyle w:val="FirstParagraph"/>
      </w:pPr>
      <w:bookmarkStart w:id="389" w:name="X65bef8a7b30937a739eed81cafe6a56beb781aa"/>
      <w:bookmarkStart w:id="390" w:name="a.9-chart-edition"/>
      <w:r>
        <w:t xml:space="preserve">The Operations System publishes the certified </w:t>
      </w:r>
      <w:proofErr w:type="spellStart"/>
      <w:r>
        <w:t>chartlet</w:t>
      </w:r>
      <w:proofErr w:type="spellEnd"/>
      <w:r>
        <w:t xml:space="preserve"> series as Edition HTCSA-1 at entry into force, transmits it to the IHO and the IMO Secretariat the same day, and posts it to the Shared Evidence Platform. </w:t>
      </w:r>
      <w:proofErr w:type="gramStart"/>
      <w:r>
        <w:t>Edition changes</w:t>
      </w:r>
      <w:proofErr w:type="gramEnd"/>
      <w:r>
        <w:t xml:space="preserve"> </w:t>
      </w:r>
      <w:proofErr w:type="gramStart"/>
      <w:r>
        <w:t>travel</w:t>
      </w:r>
      <w:proofErr w:type="gramEnd"/>
      <w:r>
        <w:t xml:space="preserve"> under Article 7.5.</w:t>
      </w:r>
      <w:bookmarkEnd w:id="389"/>
      <w:bookmarkEnd w:id="390"/>
    </w:p>
    <w:p w14:paraId="36AEAD2E" w14:textId="77777777" w:rsidR="00723F18" w:rsidRDefault="00000000">
      <w:pPr>
        <w:pStyle w:val="Heading1"/>
      </w:pPr>
      <w:bookmarkStart w:id="391" w:name="__RefHeading___Toc6518_2939721771"/>
      <w:bookmarkEnd w:id="391"/>
      <w:r>
        <w:t>Annex B: The Hormuz Cooperative Safety Fund Charter</w:t>
      </w:r>
    </w:p>
    <w:p w14:paraId="66369633" w14:textId="77777777" w:rsidR="00723F18" w:rsidRDefault="00000000">
      <w:pPr>
        <w:pStyle w:val="Heading2"/>
      </w:pPr>
      <w:bookmarkStart w:id="392" w:name="__RefHeading___Toc6520_2939721771"/>
      <w:bookmarkEnd w:id="392"/>
      <w:r>
        <w:t>B.1 Legal form and accounts</w:t>
      </w:r>
    </w:p>
    <w:p w14:paraId="572D1039" w14:textId="77777777" w:rsidR="00723F18" w:rsidRDefault="00000000">
      <w:pPr>
        <w:pStyle w:val="FirstParagraph"/>
      </w:pPr>
      <w:bookmarkStart w:id="393" w:name="b.1-legal-form-and-accounts"/>
      <w:r>
        <w:t>The Fund takes the legal form of a multilateral fiduciary facility administered by the Neutral Administrator under Swiss law. The principal account stands in Switzerland. Mirror settlement arrangements stand at the Central Bank of Oman and at a Qatari settlement institution the Commission designates, each operating under the sanctions-compliance firewall of Article 23.</w:t>
      </w:r>
      <w:bookmarkEnd w:id="393"/>
    </w:p>
    <w:p w14:paraId="76D4318C" w14:textId="77777777" w:rsidR="00723F18" w:rsidRDefault="00000000">
      <w:pPr>
        <w:pStyle w:val="Heading2"/>
      </w:pPr>
      <w:bookmarkStart w:id="394" w:name="__RefHeading___Toc6522_2939721771"/>
      <w:bookmarkEnd w:id="394"/>
      <w:r>
        <w:lastRenderedPageBreak/>
        <w:t>B.2 Sub-accounts</w:t>
      </w:r>
    </w:p>
    <w:p w14:paraId="457DB5B4" w14:textId="77777777" w:rsidR="00723F18" w:rsidRDefault="00000000">
      <w:pPr>
        <w:pStyle w:val="FirstParagraph"/>
      </w:pPr>
      <w:bookmarkStart w:id="395" w:name="b.2-sub-accounts"/>
      <w:r>
        <w:t xml:space="preserve">The Fund operates four sub-accounts. Sub-Account One, Operations: aids to navigation, hydrographic survey, environmental and rescue readiness. Sub-Account Two, Services: </w:t>
      </w:r>
      <w:proofErr w:type="gramStart"/>
      <w:r>
        <w:t>the</w:t>
      </w:r>
      <w:proofErr w:type="gramEnd"/>
      <w:r>
        <w:t xml:space="preserve"> Verified Services Ledger payments and the stewardship allocations. Sub-Account Three, Administrative: the institutional costs of Article 18.7. Sub-Account Four, Reserve: the humanitarian lock of Article 21.5, held at six (6) months of institutional costs and untouchable by any draw, suspension, or dispute.</w:t>
      </w:r>
      <w:bookmarkEnd w:id="395"/>
    </w:p>
    <w:p w14:paraId="02B09F53" w14:textId="77777777" w:rsidR="00723F18" w:rsidRDefault="00000000">
      <w:pPr>
        <w:pStyle w:val="Heading2"/>
      </w:pPr>
      <w:bookmarkStart w:id="396" w:name="__RefHeading___Toc6524_2939721771"/>
      <w:bookmarkEnd w:id="396"/>
      <w:r>
        <w:t>B.3 Initial capitalization</w:t>
      </w:r>
    </w:p>
    <w:p w14:paraId="4CDCD9F7" w14:textId="77777777" w:rsidR="00723F18" w:rsidRDefault="00000000">
      <w:pPr>
        <w:pStyle w:val="FirstParagraph"/>
      </w:pPr>
      <w:bookmarkStart w:id="397" w:name="b.3-initial-capitalization"/>
      <w:r>
        <w:t>The initial capitalization target stands at four hundred million (400,000,000) United States dollars for the first budget year: one hundred and sixty million (160,000,000) from user-state endowment contributions on the recommended scale; one hundred and twenty million (120,000,000) from voluntary transiting-entity declarations; eighty million (80,000,000) from the Parties’ administrative shares; and forty million (40,000,000) from route assurance data service subscriptions and environmental registry administration charges. The Commission reviews the capitalization against actual traffic recovery at each window boundary.</w:t>
      </w:r>
      <w:bookmarkEnd w:id="397"/>
    </w:p>
    <w:p w14:paraId="4FA2B605" w14:textId="77777777" w:rsidR="00723F18" w:rsidRDefault="00000000">
      <w:pPr>
        <w:pStyle w:val="Heading2"/>
      </w:pPr>
      <w:bookmarkStart w:id="398" w:name="__RefHeading___Toc6526_2939721771"/>
      <w:bookmarkEnd w:id="398"/>
      <w:r>
        <w:t>B.4 The recommended contribution scale</w:t>
      </w:r>
    </w:p>
    <w:p w14:paraId="302DADC4" w14:textId="77777777" w:rsidR="00723F18" w:rsidRDefault="00000000">
      <w:pPr>
        <w:pStyle w:val="FirstParagraph"/>
      </w:pPr>
      <w:bookmarkStart w:id="399" w:name="b.4-the-recommended-contribution-scale"/>
      <w:r>
        <w:t>The recommended scale sets a voluntary contribution of 0.05 percent of declared cargo value for transiting entities electing to contribute, with a floor of five thousand (5,000) United States dollars and a ceiling of fifty thousand (50,000) United States dollars per transit for those electing. User states contribute on the scale the Commission publishes annually, benchmarked to fleet transit share. No vessel’s contribution status appears on any operational document, and no operational act ever references it.</w:t>
      </w:r>
      <w:bookmarkEnd w:id="399"/>
    </w:p>
    <w:p w14:paraId="63700AC6" w14:textId="77777777" w:rsidR="00723F18" w:rsidRDefault="00000000">
      <w:pPr>
        <w:pStyle w:val="Heading2"/>
      </w:pPr>
      <w:bookmarkStart w:id="400" w:name="__RefHeading___Toc6528_2939721771"/>
      <w:bookmarkEnd w:id="400"/>
      <w:r>
        <w:t>B.5 The Services Catalog and initial rate card</w:t>
      </w:r>
    </w:p>
    <w:tbl>
      <w:tblPr>
        <w:tblStyle w:val="Table"/>
        <w:tblW w:w="5000" w:type="pct"/>
        <w:tblInd w:w="0" w:type="dxa"/>
        <w:tblLayout w:type="fixed"/>
        <w:tblLook w:val="0020" w:firstRow="1" w:lastRow="0" w:firstColumn="0" w:lastColumn="0" w:noHBand="0" w:noVBand="0"/>
      </w:tblPr>
      <w:tblGrid>
        <w:gridCol w:w="2394"/>
        <w:gridCol w:w="2394"/>
        <w:gridCol w:w="2394"/>
        <w:gridCol w:w="2394"/>
      </w:tblGrid>
      <w:tr w:rsidR="00723F18" w14:paraId="5917636A"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5C5A2E36" w14:textId="77777777" w:rsidR="00723F18" w:rsidRDefault="00000000">
            <w:pPr>
              <w:pStyle w:val="Compact"/>
              <w:widowControl w:val="0"/>
              <w:rPr>
                <w:rFonts w:ascii="Cambria" w:eastAsia="Cambria" w:hAnsi="Cambria"/>
              </w:rPr>
            </w:pPr>
            <w:r>
              <w:rPr>
                <w:rFonts w:eastAsia="Cambria"/>
                <w:b/>
                <w:bCs/>
              </w:rPr>
              <w:t>Service</w:t>
            </w:r>
          </w:p>
        </w:tc>
        <w:tc>
          <w:tcPr>
            <w:tcW w:w="2340" w:type="dxa"/>
            <w:tcBorders>
              <w:bottom w:val="single" w:sz="6" w:space="0" w:color="000000"/>
            </w:tcBorders>
          </w:tcPr>
          <w:p w14:paraId="0AABB71F" w14:textId="77777777" w:rsidR="00723F18" w:rsidRDefault="00000000">
            <w:pPr>
              <w:pStyle w:val="Compact"/>
              <w:widowControl w:val="0"/>
              <w:rPr>
                <w:rFonts w:ascii="Cambria" w:eastAsia="Cambria" w:hAnsi="Cambria"/>
              </w:rPr>
            </w:pPr>
            <w:r>
              <w:rPr>
                <w:rFonts w:eastAsia="Cambria"/>
                <w:b/>
                <w:bCs/>
              </w:rPr>
              <w:t>Unit</w:t>
            </w:r>
          </w:p>
        </w:tc>
        <w:tc>
          <w:tcPr>
            <w:tcW w:w="2340" w:type="dxa"/>
            <w:tcBorders>
              <w:bottom w:val="single" w:sz="6" w:space="0" w:color="000000"/>
            </w:tcBorders>
          </w:tcPr>
          <w:p w14:paraId="789CCA25" w14:textId="77777777" w:rsidR="00723F18" w:rsidRDefault="00000000">
            <w:pPr>
              <w:pStyle w:val="Compact"/>
              <w:widowControl w:val="0"/>
              <w:rPr>
                <w:rFonts w:ascii="Cambria" w:eastAsia="Cambria" w:hAnsi="Cambria"/>
              </w:rPr>
            </w:pPr>
            <w:r>
              <w:rPr>
                <w:rFonts w:eastAsia="Cambria"/>
                <w:b/>
                <w:bCs/>
              </w:rPr>
              <w:t>Initial rate (USD)</w:t>
            </w:r>
          </w:p>
        </w:tc>
        <w:tc>
          <w:tcPr>
            <w:tcW w:w="2340" w:type="dxa"/>
            <w:tcBorders>
              <w:bottom w:val="single" w:sz="6" w:space="0" w:color="000000"/>
            </w:tcBorders>
          </w:tcPr>
          <w:p w14:paraId="3203DBE3" w14:textId="77777777" w:rsidR="00723F18" w:rsidRDefault="00000000">
            <w:pPr>
              <w:pStyle w:val="Compact"/>
              <w:widowControl w:val="0"/>
              <w:rPr>
                <w:rFonts w:ascii="Cambria" w:eastAsia="Cambria" w:hAnsi="Cambria"/>
              </w:rPr>
            </w:pPr>
            <w:r>
              <w:rPr>
                <w:rFonts w:eastAsia="Cambria"/>
                <w:b/>
                <w:bCs/>
              </w:rPr>
              <w:t>Benchmark source</w:t>
            </w:r>
          </w:p>
        </w:tc>
      </w:tr>
      <w:tr w:rsidR="00723F18" w14:paraId="3EE15875" w14:textId="77777777" w:rsidTr="00723F18">
        <w:tc>
          <w:tcPr>
            <w:tcW w:w="2339" w:type="dxa"/>
          </w:tcPr>
          <w:p w14:paraId="714DAC13" w14:textId="77777777" w:rsidR="00723F18" w:rsidRDefault="00000000">
            <w:pPr>
              <w:pStyle w:val="Compact"/>
              <w:widowControl w:val="0"/>
              <w:rPr>
                <w:rFonts w:ascii="Cambria" w:eastAsia="Cambria" w:hAnsi="Cambria"/>
              </w:rPr>
            </w:pPr>
            <w:r>
              <w:rPr>
                <w:rFonts w:eastAsia="Cambria"/>
              </w:rPr>
              <w:t>Pilotage, Corridor One or Corridor Three</w:t>
            </w:r>
          </w:p>
        </w:tc>
        <w:tc>
          <w:tcPr>
            <w:tcW w:w="2340" w:type="dxa"/>
          </w:tcPr>
          <w:p w14:paraId="4BCF5B8C" w14:textId="77777777" w:rsidR="00723F18" w:rsidRDefault="00000000">
            <w:pPr>
              <w:pStyle w:val="Compact"/>
              <w:widowControl w:val="0"/>
              <w:rPr>
                <w:rFonts w:ascii="Cambria" w:eastAsia="Cambria" w:hAnsi="Cambria"/>
              </w:rPr>
            </w:pPr>
            <w:r>
              <w:rPr>
                <w:rFonts w:eastAsia="Cambria"/>
              </w:rPr>
              <w:t xml:space="preserve">Per transit, </w:t>
            </w:r>
            <w:proofErr w:type="gramStart"/>
            <w:r>
              <w:rPr>
                <w:rFonts w:eastAsia="Cambria"/>
              </w:rPr>
              <w:t>vessel</w:t>
            </w:r>
            <w:proofErr w:type="gramEnd"/>
            <w:r>
              <w:rPr>
                <w:rFonts w:eastAsia="Cambria"/>
              </w:rPr>
              <w:t xml:space="preserve"> over 50,000 DWT</w:t>
            </w:r>
          </w:p>
        </w:tc>
        <w:tc>
          <w:tcPr>
            <w:tcW w:w="2340" w:type="dxa"/>
          </w:tcPr>
          <w:p w14:paraId="6CF7F36E" w14:textId="77777777" w:rsidR="00723F18" w:rsidRDefault="00000000">
            <w:pPr>
              <w:pStyle w:val="Compact"/>
              <w:widowControl w:val="0"/>
              <w:rPr>
                <w:rFonts w:ascii="Cambria" w:eastAsia="Cambria" w:hAnsi="Cambria"/>
              </w:rPr>
            </w:pPr>
            <w:r>
              <w:rPr>
                <w:rFonts w:eastAsia="Cambria"/>
              </w:rPr>
              <w:t>8,000 to 14,000 by tonnage band</w:t>
            </w:r>
          </w:p>
        </w:tc>
        <w:tc>
          <w:tcPr>
            <w:tcW w:w="2340" w:type="dxa"/>
          </w:tcPr>
          <w:p w14:paraId="7F42C08A" w14:textId="77777777" w:rsidR="00723F18" w:rsidRDefault="00000000">
            <w:pPr>
              <w:pStyle w:val="Compact"/>
              <w:widowControl w:val="0"/>
              <w:rPr>
                <w:rFonts w:ascii="Cambria" w:eastAsia="Cambria" w:hAnsi="Cambria"/>
              </w:rPr>
            </w:pPr>
            <w:r>
              <w:rPr>
                <w:rFonts w:eastAsia="Cambria"/>
              </w:rPr>
              <w:t>Regional pilotage tariffs, Gulf and Red Sea ports</w:t>
            </w:r>
          </w:p>
        </w:tc>
      </w:tr>
      <w:tr w:rsidR="00723F18" w14:paraId="6786C94F" w14:textId="77777777" w:rsidTr="00723F18">
        <w:tc>
          <w:tcPr>
            <w:tcW w:w="2339" w:type="dxa"/>
          </w:tcPr>
          <w:p w14:paraId="660B50C0" w14:textId="77777777" w:rsidR="00723F18" w:rsidRDefault="00000000">
            <w:pPr>
              <w:pStyle w:val="Compact"/>
              <w:widowControl w:val="0"/>
              <w:rPr>
                <w:rFonts w:ascii="Cambria" w:eastAsia="Cambria" w:hAnsi="Cambria"/>
              </w:rPr>
            </w:pPr>
            <w:r>
              <w:rPr>
                <w:rFonts w:eastAsia="Cambria"/>
              </w:rPr>
              <w:t>Pilotage, Corridor Two (international pilots)</w:t>
            </w:r>
          </w:p>
        </w:tc>
        <w:tc>
          <w:tcPr>
            <w:tcW w:w="2340" w:type="dxa"/>
          </w:tcPr>
          <w:p w14:paraId="5B25C431" w14:textId="77777777" w:rsidR="00723F18" w:rsidRDefault="00000000">
            <w:pPr>
              <w:pStyle w:val="Compact"/>
              <w:widowControl w:val="0"/>
              <w:rPr>
                <w:rFonts w:ascii="Cambria" w:eastAsia="Cambria" w:hAnsi="Cambria"/>
              </w:rPr>
            </w:pPr>
            <w:r>
              <w:rPr>
                <w:rFonts w:eastAsia="Cambria"/>
              </w:rPr>
              <w:t xml:space="preserve">Per transit, </w:t>
            </w:r>
            <w:proofErr w:type="gramStart"/>
            <w:r>
              <w:rPr>
                <w:rFonts w:eastAsia="Cambria"/>
              </w:rPr>
              <w:t>vessel</w:t>
            </w:r>
            <w:proofErr w:type="gramEnd"/>
            <w:r>
              <w:rPr>
                <w:rFonts w:eastAsia="Cambria"/>
              </w:rPr>
              <w:t xml:space="preserve"> over 50,000 DWT</w:t>
            </w:r>
          </w:p>
        </w:tc>
        <w:tc>
          <w:tcPr>
            <w:tcW w:w="2340" w:type="dxa"/>
          </w:tcPr>
          <w:p w14:paraId="52E481F6" w14:textId="77777777" w:rsidR="00723F18" w:rsidRDefault="00000000">
            <w:pPr>
              <w:pStyle w:val="Compact"/>
              <w:widowControl w:val="0"/>
              <w:rPr>
                <w:rFonts w:ascii="Cambria" w:eastAsia="Cambria" w:hAnsi="Cambria"/>
              </w:rPr>
            </w:pPr>
            <w:r>
              <w:rPr>
                <w:rFonts w:eastAsia="Cambria"/>
              </w:rPr>
              <w:t>8,000 to 14,000 by tonnage band</w:t>
            </w:r>
          </w:p>
        </w:tc>
        <w:tc>
          <w:tcPr>
            <w:tcW w:w="2340" w:type="dxa"/>
          </w:tcPr>
          <w:p w14:paraId="235AA55E" w14:textId="77777777" w:rsidR="00723F18" w:rsidRDefault="00000000">
            <w:pPr>
              <w:pStyle w:val="Compact"/>
              <w:widowControl w:val="0"/>
              <w:rPr>
                <w:rFonts w:ascii="Cambria" w:eastAsia="Cambria" w:hAnsi="Cambria"/>
              </w:rPr>
            </w:pPr>
            <w:r>
              <w:rPr>
                <w:rFonts w:eastAsia="Cambria"/>
              </w:rPr>
              <w:t>Identical scale</w:t>
            </w:r>
          </w:p>
        </w:tc>
      </w:tr>
      <w:tr w:rsidR="00723F18" w14:paraId="0D2F74DF" w14:textId="77777777" w:rsidTr="00723F18">
        <w:tc>
          <w:tcPr>
            <w:tcW w:w="2339" w:type="dxa"/>
          </w:tcPr>
          <w:p w14:paraId="38E5C473" w14:textId="77777777" w:rsidR="00723F18" w:rsidRDefault="00000000">
            <w:pPr>
              <w:pStyle w:val="Compact"/>
              <w:widowControl w:val="0"/>
              <w:rPr>
                <w:rFonts w:ascii="Cambria" w:eastAsia="Cambria" w:hAnsi="Cambria"/>
              </w:rPr>
            </w:pPr>
            <w:r>
              <w:rPr>
                <w:rFonts w:eastAsia="Cambria"/>
              </w:rPr>
              <w:t>Tug assistance</w:t>
            </w:r>
          </w:p>
        </w:tc>
        <w:tc>
          <w:tcPr>
            <w:tcW w:w="2340" w:type="dxa"/>
          </w:tcPr>
          <w:p w14:paraId="61AE4711" w14:textId="77777777" w:rsidR="00723F18" w:rsidRDefault="00000000">
            <w:pPr>
              <w:pStyle w:val="Compact"/>
              <w:widowControl w:val="0"/>
              <w:rPr>
                <w:rFonts w:ascii="Cambria" w:eastAsia="Cambria" w:hAnsi="Cambria"/>
              </w:rPr>
            </w:pPr>
            <w:r>
              <w:rPr>
                <w:rFonts w:eastAsia="Cambria"/>
              </w:rPr>
              <w:t>Per tug-hour</w:t>
            </w:r>
          </w:p>
        </w:tc>
        <w:tc>
          <w:tcPr>
            <w:tcW w:w="2340" w:type="dxa"/>
          </w:tcPr>
          <w:p w14:paraId="75E94877" w14:textId="77777777" w:rsidR="00723F18" w:rsidRDefault="00000000">
            <w:pPr>
              <w:pStyle w:val="Compact"/>
              <w:widowControl w:val="0"/>
              <w:rPr>
                <w:rFonts w:ascii="Cambria" w:eastAsia="Cambria" w:hAnsi="Cambria"/>
              </w:rPr>
            </w:pPr>
            <w:r>
              <w:rPr>
                <w:rFonts w:eastAsia="Cambria"/>
              </w:rPr>
              <w:t>4,500</w:t>
            </w:r>
          </w:p>
        </w:tc>
        <w:tc>
          <w:tcPr>
            <w:tcW w:w="2340" w:type="dxa"/>
          </w:tcPr>
          <w:p w14:paraId="118DEFA6" w14:textId="77777777" w:rsidR="00723F18" w:rsidRDefault="00000000">
            <w:pPr>
              <w:pStyle w:val="Compact"/>
              <w:widowControl w:val="0"/>
              <w:rPr>
                <w:rFonts w:ascii="Cambria" w:eastAsia="Cambria" w:hAnsi="Cambria"/>
              </w:rPr>
            </w:pPr>
            <w:r>
              <w:rPr>
                <w:rFonts w:eastAsia="Cambria"/>
              </w:rPr>
              <w:t>Regional salvage and towage market</w:t>
            </w:r>
          </w:p>
        </w:tc>
      </w:tr>
      <w:tr w:rsidR="00723F18" w14:paraId="1F088877" w14:textId="77777777" w:rsidTr="00723F18">
        <w:tc>
          <w:tcPr>
            <w:tcW w:w="2339" w:type="dxa"/>
          </w:tcPr>
          <w:p w14:paraId="70A34003" w14:textId="77777777" w:rsidR="00723F18" w:rsidRDefault="00000000">
            <w:pPr>
              <w:pStyle w:val="Compact"/>
              <w:widowControl w:val="0"/>
              <w:rPr>
                <w:rFonts w:ascii="Cambria" w:eastAsia="Cambria" w:hAnsi="Cambria"/>
              </w:rPr>
            </w:pPr>
            <w:r>
              <w:rPr>
                <w:rFonts w:eastAsia="Cambria"/>
              </w:rPr>
              <w:t>Vessel traffic watch operation</w:t>
            </w:r>
          </w:p>
        </w:tc>
        <w:tc>
          <w:tcPr>
            <w:tcW w:w="2340" w:type="dxa"/>
          </w:tcPr>
          <w:p w14:paraId="41DBAB5A" w14:textId="77777777" w:rsidR="00723F18" w:rsidRDefault="00000000">
            <w:pPr>
              <w:pStyle w:val="Compact"/>
              <w:widowControl w:val="0"/>
              <w:rPr>
                <w:rFonts w:ascii="Cambria" w:eastAsia="Cambria" w:hAnsi="Cambria"/>
              </w:rPr>
            </w:pPr>
            <w:r>
              <w:rPr>
                <w:rFonts w:eastAsia="Cambria"/>
              </w:rPr>
              <w:t>Per corridor per month</w:t>
            </w:r>
          </w:p>
        </w:tc>
        <w:tc>
          <w:tcPr>
            <w:tcW w:w="2340" w:type="dxa"/>
          </w:tcPr>
          <w:p w14:paraId="234963B4" w14:textId="77777777" w:rsidR="00723F18" w:rsidRDefault="00000000">
            <w:pPr>
              <w:pStyle w:val="Compact"/>
              <w:widowControl w:val="0"/>
              <w:rPr>
                <w:rFonts w:ascii="Cambria" w:eastAsia="Cambria" w:hAnsi="Cambria"/>
              </w:rPr>
            </w:pPr>
            <w:r>
              <w:rPr>
                <w:rFonts w:eastAsia="Cambria"/>
              </w:rPr>
              <w:t>1,200,000</w:t>
            </w:r>
          </w:p>
        </w:tc>
        <w:tc>
          <w:tcPr>
            <w:tcW w:w="2340" w:type="dxa"/>
          </w:tcPr>
          <w:p w14:paraId="5182B938" w14:textId="77777777" w:rsidR="00723F18" w:rsidRDefault="00000000">
            <w:pPr>
              <w:pStyle w:val="Compact"/>
              <w:widowControl w:val="0"/>
              <w:rPr>
                <w:rFonts w:ascii="Cambria" w:eastAsia="Cambria" w:hAnsi="Cambria"/>
              </w:rPr>
            </w:pPr>
            <w:r>
              <w:rPr>
                <w:rFonts w:eastAsia="Cambria"/>
              </w:rPr>
              <w:t>Documented operating cost plus ten (10) percent margin</w:t>
            </w:r>
          </w:p>
        </w:tc>
      </w:tr>
      <w:tr w:rsidR="00723F18" w14:paraId="572954F2" w14:textId="77777777" w:rsidTr="00723F18">
        <w:tc>
          <w:tcPr>
            <w:tcW w:w="2339" w:type="dxa"/>
          </w:tcPr>
          <w:p w14:paraId="2567FF05" w14:textId="77777777" w:rsidR="00723F18" w:rsidRDefault="00000000">
            <w:pPr>
              <w:pStyle w:val="Compact"/>
              <w:widowControl w:val="0"/>
              <w:rPr>
                <w:rFonts w:ascii="Cambria" w:eastAsia="Cambria" w:hAnsi="Cambria"/>
              </w:rPr>
            </w:pPr>
            <w:r>
              <w:rPr>
                <w:rFonts w:eastAsia="Cambria"/>
              </w:rPr>
              <w:t>Aids to navigation maintenance</w:t>
            </w:r>
          </w:p>
        </w:tc>
        <w:tc>
          <w:tcPr>
            <w:tcW w:w="2340" w:type="dxa"/>
          </w:tcPr>
          <w:p w14:paraId="21AF28BA" w14:textId="77777777" w:rsidR="00723F18" w:rsidRDefault="00000000">
            <w:pPr>
              <w:pStyle w:val="Compact"/>
              <w:widowControl w:val="0"/>
              <w:rPr>
                <w:rFonts w:ascii="Cambria" w:eastAsia="Cambria" w:hAnsi="Cambria"/>
              </w:rPr>
            </w:pPr>
            <w:r>
              <w:rPr>
                <w:rFonts w:eastAsia="Cambria"/>
              </w:rPr>
              <w:t>Per aid per year</w:t>
            </w:r>
          </w:p>
        </w:tc>
        <w:tc>
          <w:tcPr>
            <w:tcW w:w="2340" w:type="dxa"/>
          </w:tcPr>
          <w:p w14:paraId="57BA2D1A" w14:textId="77777777" w:rsidR="00723F18" w:rsidRDefault="00000000">
            <w:pPr>
              <w:pStyle w:val="Compact"/>
              <w:widowControl w:val="0"/>
              <w:rPr>
                <w:rFonts w:ascii="Cambria" w:eastAsia="Cambria" w:hAnsi="Cambria"/>
              </w:rPr>
            </w:pPr>
            <w:r>
              <w:rPr>
                <w:rFonts w:eastAsia="Cambria"/>
              </w:rPr>
              <w:t>85,000</w:t>
            </w:r>
          </w:p>
        </w:tc>
        <w:tc>
          <w:tcPr>
            <w:tcW w:w="2340" w:type="dxa"/>
          </w:tcPr>
          <w:p w14:paraId="1C612DDE" w14:textId="77777777" w:rsidR="00723F18" w:rsidRDefault="00000000">
            <w:pPr>
              <w:pStyle w:val="Compact"/>
              <w:widowControl w:val="0"/>
              <w:rPr>
                <w:rFonts w:ascii="Cambria" w:eastAsia="Cambria" w:hAnsi="Cambria"/>
              </w:rPr>
            </w:pPr>
            <w:r>
              <w:rPr>
                <w:rFonts w:eastAsia="Cambria"/>
              </w:rPr>
              <w:t>Documented cost study</w:t>
            </w:r>
          </w:p>
        </w:tc>
      </w:tr>
      <w:tr w:rsidR="00723F18" w14:paraId="164EE3DC" w14:textId="77777777" w:rsidTr="00723F18">
        <w:tc>
          <w:tcPr>
            <w:tcW w:w="2339" w:type="dxa"/>
          </w:tcPr>
          <w:p w14:paraId="67ACA3B3" w14:textId="77777777" w:rsidR="00723F18" w:rsidRDefault="00000000">
            <w:pPr>
              <w:pStyle w:val="Compact"/>
              <w:widowControl w:val="0"/>
              <w:rPr>
                <w:rFonts w:ascii="Cambria" w:eastAsia="Cambria" w:hAnsi="Cambria"/>
              </w:rPr>
            </w:pPr>
            <w:r>
              <w:rPr>
                <w:rFonts w:eastAsia="Cambria"/>
              </w:rPr>
              <w:lastRenderedPageBreak/>
              <w:t>Hydrographic survey</w:t>
            </w:r>
          </w:p>
        </w:tc>
        <w:tc>
          <w:tcPr>
            <w:tcW w:w="2340" w:type="dxa"/>
          </w:tcPr>
          <w:p w14:paraId="6510F76C" w14:textId="77777777" w:rsidR="00723F18" w:rsidRDefault="00000000">
            <w:pPr>
              <w:pStyle w:val="Compact"/>
              <w:widowControl w:val="0"/>
              <w:rPr>
                <w:rFonts w:ascii="Cambria" w:eastAsia="Cambria" w:hAnsi="Cambria"/>
              </w:rPr>
            </w:pPr>
            <w:r>
              <w:rPr>
                <w:rFonts w:eastAsia="Cambria"/>
              </w:rPr>
              <w:t>Per survey day</w:t>
            </w:r>
          </w:p>
        </w:tc>
        <w:tc>
          <w:tcPr>
            <w:tcW w:w="2340" w:type="dxa"/>
          </w:tcPr>
          <w:p w14:paraId="56F0CB91" w14:textId="77777777" w:rsidR="00723F18" w:rsidRDefault="00000000">
            <w:pPr>
              <w:pStyle w:val="Compact"/>
              <w:widowControl w:val="0"/>
              <w:rPr>
                <w:rFonts w:ascii="Cambria" w:eastAsia="Cambria" w:hAnsi="Cambria"/>
              </w:rPr>
            </w:pPr>
            <w:r>
              <w:rPr>
                <w:rFonts w:eastAsia="Cambria"/>
              </w:rPr>
              <w:t>38,000</w:t>
            </w:r>
          </w:p>
        </w:tc>
        <w:tc>
          <w:tcPr>
            <w:tcW w:w="2340" w:type="dxa"/>
          </w:tcPr>
          <w:p w14:paraId="6EBE51A4" w14:textId="77777777" w:rsidR="00723F18" w:rsidRDefault="00000000">
            <w:pPr>
              <w:pStyle w:val="Compact"/>
              <w:widowControl w:val="0"/>
              <w:rPr>
                <w:rFonts w:ascii="Cambria" w:eastAsia="Cambria" w:hAnsi="Cambria"/>
              </w:rPr>
            </w:pPr>
            <w:r>
              <w:rPr>
                <w:rFonts w:eastAsia="Cambria"/>
              </w:rPr>
              <w:t>Commercial survey market</w:t>
            </w:r>
          </w:p>
        </w:tc>
      </w:tr>
      <w:tr w:rsidR="00723F18" w14:paraId="357283CB" w14:textId="77777777" w:rsidTr="00723F18">
        <w:tc>
          <w:tcPr>
            <w:tcW w:w="2339" w:type="dxa"/>
          </w:tcPr>
          <w:p w14:paraId="6B883C52" w14:textId="77777777" w:rsidR="00723F18" w:rsidRDefault="00000000">
            <w:pPr>
              <w:pStyle w:val="Compact"/>
              <w:widowControl w:val="0"/>
              <w:rPr>
                <w:rFonts w:ascii="Cambria" w:eastAsia="Cambria" w:hAnsi="Cambria"/>
              </w:rPr>
            </w:pPr>
            <w:r>
              <w:rPr>
                <w:rFonts w:eastAsia="Cambria"/>
              </w:rPr>
              <w:t>Hazard clearance operation</w:t>
            </w:r>
          </w:p>
        </w:tc>
        <w:tc>
          <w:tcPr>
            <w:tcW w:w="2340" w:type="dxa"/>
          </w:tcPr>
          <w:p w14:paraId="647F07FA" w14:textId="77777777" w:rsidR="00723F18" w:rsidRDefault="00000000">
            <w:pPr>
              <w:pStyle w:val="Compact"/>
              <w:widowControl w:val="0"/>
              <w:rPr>
                <w:rFonts w:ascii="Cambria" w:eastAsia="Cambria" w:hAnsi="Cambria"/>
              </w:rPr>
            </w:pPr>
            <w:r>
              <w:rPr>
                <w:rFonts w:eastAsia="Cambria"/>
              </w:rPr>
              <w:t>Per clearance day</w:t>
            </w:r>
          </w:p>
        </w:tc>
        <w:tc>
          <w:tcPr>
            <w:tcW w:w="2340" w:type="dxa"/>
          </w:tcPr>
          <w:p w14:paraId="7861FB20" w14:textId="77777777" w:rsidR="00723F18" w:rsidRDefault="00000000">
            <w:pPr>
              <w:pStyle w:val="Compact"/>
              <w:widowControl w:val="0"/>
              <w:rPr>
                <w:rFonts w:ascii="Cambria" w:eastAsia="Cambria" w:hAnsi="Cambria"/>
              </w:rPr>
            </w:pPr>
            <w:r>
              <w:rPr>
                <w:rFonts w:eastAsia="Cambria"/>
              </w:rPr>
              <w:t>55,000</w:t>
            </w:r>
          </w:p>
        </w:tc>
        <w:tc>
          <w:tcPr>
            <w:tcW w:w="2340" w:type="dxa"/>
          </w:tcPr>
          <w:p w14:paraId="61EBFDBF" w14:textId="77777777" w:rsidR="00723F18" w:rsidRDefault="00000000">
            <w:pPr>
              <w:pStyle w:val="Compact"/>
              <w:widowControl w:val="0"/>
              <w:rPr>
                <w:rFonts w:ascii="Cambria" w:eastAsia="Cambria" w:hAnsi="Cambria"/>
              </w:rPr>
            </w:pPr>
            <w:r>
              <w:rPr>
                <w:rFonts w:eastAsia="Cambria"/>
              </w:rPr>
              <w:t>Cost-plus rule of Section B.5.1</w:t>
            </w:r>
          </w:p>
        </w:tc>
      </w:tr>
      <w:tr w:rsidR="00723F18" w14:paraId="08C492CA" w14:textId="77777777" w:rsidTr="00723F18">
        <w:tc>
          <w:tcPr>
            <w:tcW w:w="2339" w:type="dxa"/>
          </w:tcPr>
          <w:p w14:paraId="0536E2CF" w14:textId="77777777" w:rsidR="00723F18" w:rsidRDefault="00000000">
            <w:pPr>
              <w:pStyle w:val="Compact"/>
              <w:widowControl w:val="0"/>
              <w:rPr>
                <w:rFonts w:ascii="Cambria" w:eastAsia="Cambria" w:hAnsi="Cambria"/>
              </w:rPr>
            </w:pPr>
            <w:r>
              <w:rPr>
                <w:rFonts w:eastAsia="Cambria"/>
              </w:rPr>
              <w:t>Safety communications broadcast</w:t>
            </w:r>
          </w:p>
        </w:tc>
        <w:tc>
          <w:tcPr>
            <w:tcW w:w="2340" w:type="dxa"/>
          </w:tcPr>
          <w:p w14:paraId="25A7CD6F" w14:textId="77777777" w:rsidR="00723F18" w:rsidRDefault="00000000">
            <w:pPr>
              <w:pStyle w:val="Compact"/>
              <w:widowControl w:val="0"/>
              <w:rPr>
                <w:rFonts w:ascii="Cambria" w:eastAsia="Cambria" w:hAnsi="Cambria"/>
              </w:rPr>
            </w:pPr>
            <w:r>
              <w:rPr>
                <w:rFonts w:eastAsia="Cambria"/>
              </w:rPr>
              <w:t>Per corridor per month</w:t>
            </w:r>
          </w:p>
        </w:tc>
        <w:tc>
          <w:tcPr>
            <w:tcW w:w="2340" w:type="dxa"/>
          </w:tcPr>
          <w:p w14:paraId="3180D193" w14:textId="77777777" w:rsidR="00723F18" w:rsidRDefault="00000000">
            <w:pPr>
              <w:pStyle w:val="Compact"/>
              <w:widowControl w:val="0"/>
              <w:rPr>
                <w:rFonts w:ascii="Cambria" w:eastAsia="Cambria" w:hAnsi="Cambria"/>
              </w:rPr>
            </w:pPr>
            <w:r>
              <w:rPr>
                <w:rFonts w:eastAsia="Cambria"/>
              </w:rPr>
              <w:t>150,000</w:t>
            </w:r>
          </w:p>
        </w:tc>
        <w:tc>
          <w:tcPr>
            <w:tcW w:w="2340" w:type="dxa"/>
          </w:tcPr>
          <w:p w14:paraId="35F4BB5C" w14:textId="77777777" w:rsidR="00723F18" w:rsidRDefault="00000000">
            <w:pPr>
              <w:pStyle w:val="Compact"/>
              <w:widowControl w:val="0"/>
              <w:rPr>
                <w:rFonts w:ascii="Cambria" w:eastAsia="Cambria" w:hAnsi="Cambria"/>
              </w:rPr>
            </w:pPr>
            <w:r>
              <w:rPr>
                <w:rFonts w:eastAsia="Cambria"/>
              </w:rPr>
              <w:t>Documented operating cost</w:t>
            </w:r>
          </w:p>
        </w:tc>
      </w:tr>
      <w:tr w:rsidR="00723F18" w14:paraId="3E166561" w14:textId="77777777" w:rsidTr="00723F18">
        <w:tc>
          <w:tcPr>
            <w:tcW w:w="2339" w:type="dxa"/>
          </w:tcPr>
          <w:p w14:paraId="7840051A" w14:textId="77777777" w:rsidR="00723F18" w:rsidRDefault="00000000">
            <w:pPr>
              <w:pStyle w:val="Compact"/>
              <w:widowControl w:val="0"/>
              <w:rPr>
                <w:rFonts w:ascii="Cambria" w:eastAsia="Cambria" w:hAnsi="Cambria"/>
              </w:rPr>
            </w:pPr>
            <w:r>
              <w:rPr>
                <w:rFonts w:eastAsia="Cambria"/>
              </w:rPr>
              <w:t>Emergency readiness standby</w:t>
            </w:r>
          </w:p>
        </w:tc>
        <w:tc>
          <w:tcPr>
            <w:tcW w:w="2340" w:type="dxa"/>
          </w:tcPr>
          <w:p w14:paraId="4B10BFB7" w14:textId="77777777" w:rsidR="00723F18" w:rsidRDefault="00000000">
            <w:pPr>
              <w:pStyle w:val="Compact"/>
              <w:widowControl w:val="0"/>
              <w:rPr>
                <w:rFonts w:ascii="Cambria" w:eastAsia="Cambria" w:hAnsi="Cambria"/>
              </w:rPr>
            </w:pPr>
            <w:r>
              <w:rPr>
                <w:rFonts w:eastAsia="Cambria"/>
              </w:rPr>
              <w:t>Per corridor per quarter</w:t>
            </w:r>
          </w:p>
        </w:tc>
        <w:tc>
          <w:tcPr>
            <w:tcW w:w="2340" w:type="dxa"/>
          </w:tcPr>
          <w:p w14:paraId="5C97A054" w14:textId="77777777" w:rsidR="00723F18" w:rsidRDefault="00000000">
            <w:pPr>
              <w:pStyle w:val="Compact"/>
              <w:widowControl w:val="0"/>
              <w:rPr>
                <w:rFonts w:ascii="Cambria" w:eastAsia="Cambria" w:hAnsi="Cambria"/>
              </w:rPr>
            </w:pPr>
            <w:r>
              <w:rPr>
                <w:rFonts w:eastAsia="Cambria"/>
              </w:rPr>
              <w:t>2,600,000</w:t>
            </w:r>
          </w:p>
        </w:tc>
        <w:tc>
          <w:tcPr>
            <w:tcW w:w="2340" w:type="dxa"/>
          </w:tcPr>
          <w:p w14:paraId="3FEE8FFB" w14:textId="77777777" w:rsidR="00723F18" w:rsidRDefault="00000000">
            <w:pPr>
              <w:pStyle w:val="Compact"/>
              <w:widowControl w:val="0"/>
              <w:rPr>
                <w:rFonts w:ascii="Cambria" w:eastAsia="Cambria" w:hAnsi="Cambria"/>
              </w:rPr>
            </w:pPr>
            <w:r>
              <w:rPr>
                <w:rFonts w:eastAsia="Cambria"/>
              </w:rPr>
              <w:t>Documented readiness plan</w:t>
            </w:r>
          </w:p>
        </w:tc>
      </w:tr>
      <w:tr w:rsidR="00723F18" w14:paraId="498EBA66" w14:textId="77777777" w:rsidTr="00723F18">
        <w:tc>
          <w:tcPr>
            <w:tcW w:w="2339" w:type="dxa"/>
          </w:tcPr>
          <w:p w14:paraId="7C3C01DE" w14:textId="77777777" w:rsidR="00723F18" w:rsidRDefault="00000000">
            <w:pPr>
              <w:pStyle w:val="Compact"/>
              <w:widowControl w:val="0"/>
              <w:rPr>
                <w:rFonts w:ascii="Cambria" w:eastAsia="Cambria" w:hAnsi="Cambria"/>
              </w:rPr>
            </w:pPr>
            <w:r>
              <w:rPr>
                <w:rFonts w:eastAsia="Cambria"/>
              </w:rPr>
              <w:t>Environmental registry administration</w:t>
            </w:r>
          </w:p>
        </w:tc>
        <w:tc>
          <w:tcPr>
            <w:tcW w:w="2340" w:type="dxa"/>
          </w:tcPr>
          <w:p w14:paraId="2520945E" w14:textId="77777777" w:rsidR="00723F18" w:rsidRDefault="00000000">
            <w:pPr>
              <w:pStyle w:val="Compact"/>
              <w:widowControl w:val="0"/>
              <w:rPr>
                <w:rFonts w:ascii="Cambria" w:eastAsia="Cambria" w:hAnsi="Cambria"/>
              </w:rPr>
            </w:pPr>
            <w:r>
              <w:rPr>
                <w:rFonts w:eastAsia="Cambria"/>
              </w:rPr>
              <w:t>Per filing</w:t>
            </w:r>
          </w:p>
        </w:tc>
        <w:tc>
          <w:tcPr>
            <w:tcW w:w="2340" w:type="dxa"/>
          </w:tcPr>
          <w:p w14:paraId="6DE89138" w14:textId="77777777" w:rsidR="00723F18" w:rsidRDefault="00000000">
            <w:pPr>
              <w:pStyle w:val="Compact"/>
              <w:widowControl w:val="0"/>
              <w:rPr>
                <w:rFonts w:ascii="Cambria" w:eastAsia="Cambria" w:hAnsi="Cambria"/>
              </w:rPr>
            </w:pPr>
            <w:r>
              <w:rPr>
                <w:rFonts w:eastAsia="Cambria"/>
              </w:rPr>
              <w:t>500</w:t>
            </w:r>
          </w:p>
        </w:tc>
        <w:tc>
          <w:tcPr>
            <w:tcW w:w="2340" w:type="dxa"/>
          </w:tcPr>
          <w:p w14:paraId="0E17FE98" w14:textId="77777777" w:rsidR="00723F18" w:rsidRDefault="00000000">
            <w:pPr>
              <w:pStyle w:val="Compact"/>
              <w:widowControl w:val="0"/>
              <w:rPr>
                <w:rFonts w:ascii="Cambria" w:eastAsia="Cambria" w:hAnsi="Cambria"/>
              </w:rPr>
            </w:pPr>
            <w:r>
              <w:rPr>
                <w:rFonts w:eastAsia="Cambria"/>
              </w:rPr>
              <w:t>Comparable registry operations worldwide</w:t>
            </w:r>
          </w:p>
        </w:tc>
      </w:tr>
      <w:tr w:rsidR="00723F18" w14:paraId="35751DA7" w14:textId="77777777" w:rsidTr="00723F18">
        <w:tc>
          <w:tcPr>
            <w:tcW w:w="2339" w:type="dxa"/>
          </w:tcPr>
          <w:p w14:paraId="0391C934" w14:textId="77777777" w:rsidR="00723F18" w:rsidRDefault="00000000">
            <w:pPr>
              <w:pStyle w:val="Compact"/>
              <w:widowControl w:val="0"/>
              <w:rPr>
                <w:rFonts w:ascii="Cambria" w:eastAsia="Cambria" w:hAnsi="Cambria"/>
              </w:rPr>
            </w:pPr>
            <w:r>
              <w:rPr>
                <w:rFonts w:eastAsia="Cambria"/>
              </w:rPr>
              <w:t>Route assurance data service subscription</w:t>
            </w:r>
          </w:p>
        </w:tc>
        <w:tc>
          <w:tcPr>
            <w:tcW w:w="2340" w:type="dxa"/>
          </w:tcPr>
          <w:p w14:paraId="0AE083D2" w14:textId="77777777" w:rsidR="00723F18" w:rsidRDefault="00000000">
            <w:pPr>
              <w:pStyle w:val="Compact"/>
              <w:widowControl w:val="0"/>
              <w:rPr>
                <w:rFonts w:ascii="Cambria" w:eastAsia="Cambria" w:hAnsi="Cambria"/>
              </w:rPr>
            </w:pPr>
            <w:r>
              <w:rPr>
                <w:rFonts w:eastAsia="Cambria"/>
              </w:rPr>
              <w:t>Per year, professional tier</w:t>
            </w:r>
          </w:p>
        </w:tc>
        <w:tc>
          <w:tcPr>
            <w:tcW w:w="2340" w:type="dxa"/>
          </w:tcPr>
          <w:p w14:paraId="622DBE0B" w14:textId="77777777" w:rsidR="00723F18" w:rsidRDefault="00000000">
            <w:pPr>
              <w:pStyle w:val="Compact"/>
              <w:widowControl w:val="0"/>
              <w:rPr>
                <w:rFonts w:ascii="Cambria" w:eastAsia="Cambria" w:hAnsi="Cambria"/>
              </w:rPr>
            </w:pPr>
            <w:r>
              <w:rPr>
                <w:rFonts w:eastAsia="Cambria"/>
              </w:rPr>
              <w:t>250,000</w:t>
            </w:r>
          </w:p>
        </w:tc>
        <w:tc>
          <w:tcPr>
            <w:tcW w:w="2340" w:type="dxa"/>
          </w:tcPr>
          <w:p w14:paraId="0FE09307" w14:textId="77777777" w:rsidR="00723F18" w:rsidRDefault="00000000">
            <w:pPr>
              <w:pStyle w:val="Compact"/>
              <w:widowControl w:val="0"/>
              <w:rPr>
                <w:rFonts w:ascii="Cambria" w:eastAsia="Cambria" w:hAnsi="Cambria"/>
              </w:rPr>
            </w:pPr>
            <w:r>
              <w:rPr>
                <w:rFonts w:eastAsia="Cambria"/>
              </w:rPr>
              <w:t>Commercial maritime analytics market</w:t>
            </w:r>
          </w:p>
        </w:tc>
      </w:tr>
    </w:tbl>
    <w:p w14:paraId="68FF6CA7" w14:textId="77777777" w:rsidR="00723F18" w:rsidRDefault="00000000">
      <w:pPr>
        <w:pStyle w:val="BodyText"/>
      </w:pPr>
      <w:r>
        <w:rPr>
          <w:i/>
          <w:iCs/>
        </w:rPr>
        <w:t>Table B.1: Initial rate card. The Commission reviews the card at each window boundary under Article 24.1.</w:t>
      </w:r>
    </w:p>
    <w:p w14:paraId="29F82C78" w14:textId="77777777" w:rsidR="00723F18" w:rsidRDefault="00000000">
      <w:pPr>
        <w:pStyle w:val="Heading3"/>
      </w:pPr>
      <w:r>
        <w:t>B.5.1 The cost-plus rule for clearance</w:t>
      </w:r>
    </w:p>
    <w:p w14:paraId="30CEBD5A" w14:textId="77777777" w:rsidR="00723F18" w:rsidRDefault="00000000">
      <w:pPr>
        <w:pStyle w:val="FirstParagraph"/>
      </w:pPr>
      <w:bookmarkStart w:id="401" w:name="X89946a52027b4661a6e364134f6ccff8be50076"/>
      <w:bookmarkStart w:id="402" w:name="b.5.1-the-cost-plus-rule-for-clearance"/>
      <w:r>
        <w:t xml:space="preserve">Clearance work invoices at documented cost plus a margin of twelve (12) percent, with the cost record open to the Independent Compliance Auditor in full. </w:t>
      </w:r>
      <w:proofErr w:type="gramStart"/>
      <w:r>
        <w:t>The rule</w:t>
      </w:r>
      <w:proofErr w:type="gramEnd"/>
      <w:r>
        <w:t xml:space="preserve"> prices </w:t>
      </w:r>
      <w:proofErr w:type="gramStart"/>
      <w:r>
        <w:t>urgency</w:t>
      </w:r>
      <w:proofErr w:type="gramEnd"/>
      <w:r>
        <w:t xml:space="preserve"> honestly: clearance pays well because clearance matters, and the margin never disguises a passage charge because clearance attaches to no vessel’s transit.</w:t>
      </w:r>
      <w:bookmarkEnd w:id="401"/>
      <w:bookmarkEnd w:id="402"/>
    </w:p>
    <w:p w14:paraId="064303A9" w14:textId="77777777" w:rsidR="00723F18" w:rsidRDefault="00000000">
      <w:pPr>
        <w:pStyle w:val="Heading2"/>
      </w:pPr>
      <w:bookmarkStart w:id="403" w:name="__RefHeading___Toc6530_2939721771"/>
      <w:bookmarkEnd w:id="403"/>
      <w:r>
        <w:t>B.6 Apportionment mechanics</w:t>
      </w:r>
    </w:p>
    <w:p w14:paraId="53F01554" w14:textId="77777777" w:rsidR="00723F18" w:rsidRDefault="00000000">
      <w:pPr>
        <w:pStyle w:val="FirstParagraph"/>
      </w:pPr>
      <w:bookmarkStart w:id="404" w:name="b.6-apportionment-mechanics"/>
      <w:r>
        <w:t xml:space="preserve">Corridor One Ledger payments flow to </w:t>
      </w:r>
      <w:proofErr w:type="gramStart"/>
      <w:r>
        <w:t>the Northern</w:t>
      </w:r>
      <w:proofErr w:type="gramEnd"/>
      <w:r>
        <w:t xml:space="preserve"> Steward’s service institutions. Corridor Three Ledger payments flow to </w:t>
      </w:r>
      <w:proofErr w:type="gramStart"/>
      <w:r>
        <w:t>the Southern</w:t>
      </w:r>
      <w:proofErr w:type="gramEnd"/>
      <w:r>
        <w:t xml:space="preserve"> Steward’s service institutions. Corridor Two Ledger payments apportion: forty (40) percent to the Northern Steward’s institutions, forty (40) percent to the Southern Steward’s institutions, and twenty (20) percent to the Central Corridor Panel budget, reflecting the joint delivery structure of Article 9.4. Route assurance data service net revenue apportions: forty-five (45) percent to the Northern Steward, thirty-five (35) percent to the Southern Steward, and twenty (20) percent to the data infrastructure budget. Environmental registry administration net revenue apportions on the same scale.</w:t>
      </w:r>
      <w:bookmarkEnd w:id="404"/>
    </w:p>
    <w:p w14:paraId="3C6F146D" w14:textId="77777777" w:rsidR="00723F18" w:rsidRDefault="00000000">
      <w:pPr>
        <w:pStyle w:val="Heading2"/>
      </w:pPr>
      <w:bookmarkStart w:id="405" w:name="__RefHeading___Toc6532_2939721771"/>
      <w:bookmarkEnd w:id="405"/>
      <w:r>
        <w:t>B.7 The custody structure for released funds</w:t>
      </w:r>
    </w:p>
    <w:p w14:paraId="0C6F7C6E" w14:textId="77777777" w:rsidR="00723F18" w:rsidRDefault="00000000">
      <w:pPr>
        <w:pStyle w:val="FirstParagraph"/>
      </w:pPr>
      <w:bookmarkStart w:id="406" w:name="X1413d99d8534c58d244c650619c6ca14f577c72"/>
      <w:r>
        <w:t xml:space="preserve">The custody structure of Article 22.3 operates through a dedicated facility at the Neutral Administrator: title rests with the owner state; disbursement travels by direct vendor payment against verified procurement contracts; the Neutral Administrator traces every transaction end to end; and the Shared Evidence Platform publishes the transaction record at the category level. The categories expand by phase per Part VII: Phase One, food, </w:t>
      </w:r>
      <w:r>
        <w:lastRenderedPageBreak/>
        <w:t>medicine, and civilian water and power equipment; Phase Three, reconstruction-adjacent civilian equipment; subsequent windows, as the Commission records by consensus.</w:t>
      </w:r>
      <w:bookmarkEnd w:id="406"/>
    </w:p>
    <w:p w14:paraId="2C0551D7" w14:textId="77777777" w:rsidR="00723F18" w:rsidRDefault="00000000">
      <w:pPr>
        <w:pStyle w:val="Heading2"/>
      </w:pPr>
      <w:bookmarkStart w:id="407" w:name="__RefHeading___Toc6534_2939721771"/>
      <w:bookmarkEnd w:id="407"/>
      <w:r>
        <w:t>B.8 The clean-day credit schedule</w:t>
      </w:r>
    </w:p>
    <w:p w14:paraId="632182B0" w14:textId="77777777" w:rsidR="00723F18" w:rsidRDefault="00000000">
      <w:pPr>
        <w:pStyle w:val="FirstParagraph"/>
      </w:pPr>
      <w:bookmarkStart w:id="408" w:name="b.8-the-clean-day-credit-schedule"/>
      <w:r>
        <w:t>Each clean day accrues one credit. The first tranche releases upon the Phase One certificate against no fewer than ten (10) consecutive clean days. The second tranche releases upon the Phase Three certificate against fifty (50) cumulative clean days. Thereafter, each thirty (30) cumulative clean days releases a rolling tranche on the schedule the Commission adopts at the first review conference. Tranche amounts stand in the side letter of the economic track and incorporate into this Charter upon entry into force.</w:t>
      </w:r>
      <w:bookmarkEnd w:id="408"/>
    </w:p>
    <w:p w14:paraId="179F951F" w14:textId="77777777" w:rsidR="00723F18" w:rsidRDefault="00000000">
      <w:pPr>
        <w:pStyle w:val="Heading2"/>
      </w:pPr>
      <w:bookmarkStart w:id="409" w:name="__RefHeading___Toc6536_2939721771"/>
      <w:bookmarkEnd w:id="409"/>
      <w:r>
        <w:t>B.9 The energy logistics volume framework</w:t>
      </w:r>
    </w:p>
    <w:p w14:paraId="6028916A" w14:textId="77777777" w:rsidR="00723F18" w:rsidRDefault="00000000">
      <w:pPr>
        <w:pStyle w:val="FirstParagraph"/>
      </w:pPr>
      <w:bookmarkStart w:id="410" w:name="Xbdc49cf9e32ccdc60da049f1cd4ffba9c5f9e86"/>
      <w:r>
        <w:t>The volume framework states the measurement points at the export terminals, the metering standard of the International Organization for Standardization, hourly reporting to the Shared Evidence Platform, and monthly reconciliation by the Technical and Standards Committee. The framework measures and reports; it never rations passage, and it never touches the Zero-Toll Covenant.</w:t>
      </w:r>
      <w:bookmarkEnd w:id="410"/>
    </w:p>
    <w:p w14:paraId="0F5F7078" w14:textId="77777777" w:rsidR="00723F18" w:rsidRDefault="00000000">
      <w:pPr>
        <w:pStyle w:val="Heading2"/>
      </w:pPr>
      <w:bookmarkStart w:id="411" w:name="__RefHeading___Toc6538_2939721771"/>
      <w:bookmarkEnd w:id="411"/>
      <w:r>
        <w:t>B.10 Audit calendar</w:t>
      </w:r>
    </w:p>
    <w:p w14:paraId="5B6A60B7" w14:textId="77777777" w:rsidR="00723F18" w:rsidRDefault="00000000">
      <w:pPr>
        <w:pStyle w:val="FirstParagraph"/>
      </w:pPr>
      <w:bookmarkStart w:id="412" w:name="b.10-audit-calendar"/>
      <w:r>
        <w:t xml:space="preserve">The Independent Compliance Auditor audits quarterly: the first audit closes at Day 90, and each subsequent audit closes thirty (30) days after each quarter end. Every audit certificate </w:t>
      </w:r>
      <w:proofErr w:type="gramStart"/>
      <w:r>
        <w:t>posts</w:t>
      </w:r>
      <w:proofErr w:type="gramEnd"/>
      <w:r>
        <w:t xml:space="preserve"> to the Shared Evidence Platform, and the annual consolidated audit publishes in full.</w:t>
      </w:r>
      <w:bookmarkEnd w:id="412"/>
    </w:p>
    <w:p w14:paraId="1B0D445E" w14:textId="77777777" w:rsidR="00723F18" w:rsidRDefault="00000000">
      <w:pPr>
        <w:pStyle w:val="Heading2"/>
      </w:pPr>
      <w:bookmarkStart w:id="413" w:name="__RefHeading___Toc6540_2939721771"/>
      <w:bookmarkEnd w:id="413"/>
      <w:r>
        <w:t>B.11 Anti-circumvention</w:t>
      </w:r>
    </w:p>
    <w:p w14:paraId="67049599" w14:textId="77777777" w:rsidR="00723F18" w:rsidRDefault="00000000">
      <w:pPr>
        <w:pStyle w:val="FirstParagraph"/>
      </w:pPr>
      <w:bookmarkStart w:id="414" w:name="b.11-anti-circumvention"/>
      <w:r>
        <w:t>No entity replicates the Fund’s functions outside the Fund, and no Party establishes any parallel collection touching the Scheme Area. A parallel collection touching passage classifies as a toll under Article 19.2 regardless of its label, and the Perimeter Test fails it on sight.</w:t>
      </w:r>
      <w:bookmarkEnd w:id="414"/>
    </w:p>
    <w:p w14:paraId="35EC0B6A" w14:textId="77777777" w:rsidR="00723F18" w:rsidRDefault="00000000">
      <w:pPr>
        <w:pStyle w:val="Heading2"/>
      </w:pPr>
      <w:bookmarkStart w:id="415" w:name="__RefHeading___Toc6542_2939721771"/>
      <w:bookmarkEnd w:id="415"/>
      <w:r>
        <w:t>B.12 Worked disbursement example: pharmaceutical procurement</w:t>
      </w:r>
    </w:p>
    <w:p w14:paraId="3B7EAC83" w14:textId="77777777" w:rsidR="00723F18" w:rsidRDefault="00000000">
      <w:pPr>
        <w:pStyle w:val="FirstParagraph"/>
      </w:pPr>
      <w:bookmarkStart w:id="416" w:name="Xc2ec7ecfcae07827d134af8c9e7667eb16528b1"/>
      <w:r>
        <w:t>A verified procurement contract for pharmaceuticals presents to the custody structure. The Neutral Administrator verifies the contract category against the Phase One list, verifies the vendor against the sanctions-compliance firewall, and executes direct payment to the vendor from the tranche. The platform posts the entry: category pharmaceuticals, vendor class verified, amount at the category level. The goods ship. No government account touches the flow.</w:t>
      </w:r>
      <w:bookmarkEnd w:id="416"/>
    </w:p>
    <w:p w14:paraId="05ACF09D" w14:textId="77777777" w:rsidR="00723F18" w:rsidRDefault="00000000">
      <w:pPr>
        <w:pStyle w:val="Heading2"/>
      </w:pPr>
      <w:bookmarkStart w:id="417" w:name="__RefHeading___Toc6544_2939721771"/>
      <w:bookmarkEnd w:id="417"/>
      <w:r>
        <w:t>B.13 Worked disbursement example: desalination equipment</w:t>
      </w:r>
    </w:p>
    <w:p w14:paraId="56977466" w14:textId="77777777" w:rsidR="00723F18" w:rsidRDefault="00000000">
      <w:pPr>
        <w:pStyle w:val="FirstParagraph"/>
      </w:pPr>
      <w:bookmarkStart w:id="418" w:name="X7695a02c9bd7754008825057a5c2494b07c12ae"/>
      <w:bookmarkStart w:id="419" w:name="Xb8abd4553d507247a9ce9a7885e3291fd554ddd"/>
      <w:r>
        <w:t xml:space="preserve">A verified procurement contract for desalination plant components presents under the civilian water infrastructure category. The identical chain </w:t>
      </w:r>
      <w:proofErr w:type="gramStart"/>
      <w:r>
        <w:t>executes:</w:t>
      </w:r>
      <w:proofErr w:type="gramEnd"/>
      <w:r>
        <w:t xml:space="preserve"> category verification, vendor screening, direct vendor payment, platform entry. The entry appears alongside </w:t>
      </w:r>
      <w:r>
        <w:lastRenderedPageBreak/>
        <w:t>every other entry, and the quarterly audit traces it from contract to payment to delivery confirmation.</w:t>
      </w:r>
      <w:bookmarkEnd w:id="418"/>
      <w:bookmarkEnd w:id="419"/>
    </w:p>
    <w:p w14:paraId="0B596432" w14:textId="77777777" w:rsidR="00723F18" w:rsidRDefault="00000000">
      <w:pPr>
        <w:pStyle w:val="Heading1"/>
      </w:pPr>
      <w:bookmarkStart w:id="420" w:name="__RefHeading___Toc6546_2939721771"/>
      <w:bookmarkEnd w:id="420"/>
      <w:r>
        <w:t>Annex C: The Tolls Settlement Compendium</w:t>
      </w:r>
    </w:p>
    <w:p w14:paraId="7F657E4B" w14:textId="77777777" w:rsidR="00723F18" w:rsidRDefault="00000000">
      <w:pPr>
        <w:pStyle w:val="Heading2"/>
      </w:pPr>
      <w:bookmarkStart w:id="421" w:name="__RefHeading___Toc6548_2939721771"/>
      <w:bookmarkEnd w:id="421"/>
      <w:r>
        <w:t>C.1 Purpose</w:t>
      </w:r>
    </w:p>
    <w:p w14:paraId="73AB02EC" w14:textId="77777777" w:rsidR="00723F18" w:rsidRDefault="00000000">
      <w:pPr>
        <w:pStyle w:val="FirstParagraph"/>
      </w:pPr>
      <w:bookmarkStart w:id="422" w:name="c.1-purpose"/>
      <w:r>
        <w:t xml:space="preserve">This Annex records the full working analysis behind Part IV: the ten settlement models the drafting track examined, the legal and political exposure of each, and the hybrid architecture the Accord adopts. The analysis exists so that </w:t>
      </w:r>
      <w:proofErr w:type="gramStart"/>
      <w:r>
        <w:t>every</w:t>
      </w:r>
      <w:proofErr w:type="gramEnd"/>
      <w:r>
        <w:t xml:space="preserve"> Party’s negotiators read the same menu, price the same trade-offs, and defend the same selection at home.</w:t>
      </w:r>
      <w:bookmarkEnd w:id="422"/>
    </w:p>
    <w:p w14:paraId="029C055C" w14:textId="77777777" w:rsidR="00723F18" w:rsidRDefault="00000000">
      <w:pPr>
        <w:pStyle w:val="Heading2"/>
      </w:pPr>
      <w:bookmarkStart w:id="423" w:name="__RefHeading___Toc6550_2939721771"/>
      <w:bookmarkEnd w:id="423"/>
      <w:r>
        <w:t>C.2 The evaluation frame</w:t>
      </w:r>
    </w:p>
    <w:p w14:paraId="36864402" w14:textId="77777777" w:rsidR="00723F18" w:rsidRDefault="00000000">
      <w:pPr>
        <w:pStyle w:val="FirstParagraph"/>
      </w:pPr>
      <w:bookmarkStart w:id="424" w:name="c.2-the-evaluation-frame"/>
      <w:r>
        <w:t xml:space="preserve">Every model faces three tests. The legality test: the model stays on the service side of the line between a charge on passage and a charge for work. The politics test: the model gives Tehran a tangible, presentable win and gives Washington, Muscat, and the Gulf states a clean answer to the chokehold objection. The operations test: the model runs inside sixty (60) to ninety (90) days with institutions the Accord </w:t>
      </w:r>
      <w:proofErr w:type="gramStart"/>
      <w:r>
        <w:t>actually builds</w:t>
      </w:r>
      <w:proofErr w:type="gramEnd"/>
      <w:r>
        <w:t>.</w:t>
      </w:r>
      <w:bookmarkEnd w:id="424"/>
    </w:p>
    <w:p w14:paraId="57EBD34C" w14:textId="77777777" w:rsidR="00723F18" w:rsidRDefault="00000000">
      <w:pPr>
        <w:pStyle w:val="Heading2"/>
      </w:pPr>
      <w:bookmarkStart w:id="425" w:name="__RefHeading___Toc6552_2939721771"/>
      <w:bookmarkEnd w:id="425"/>
      <w:r>
        <w:t>C.3 Model One: the voluntary safety contribution</w:t>
      </w:r>
    </w:p>
    <w:p w14:paraId="0D1601E6" w14:textId="77777777" w:rsidR="00723F18" w:rsidRDefault="00000000">
      <w:pPr>
        <w:pStyle w:val="FirstParagraph"/>
      </w:pPr>
      <w:bookmarkStart w:id="426" w:name="X5c4c2c752f39bda409f1369c01ccb25b2d2dfb5"/>
      <w:r>
        <w:t>Transiting vessels elect a voluntary contribution to the Cooperative Safety Fund, framed as payment toward services rendered: pilotage, buoy maintenance, rescue readiness. Strength: fully defensible, Malacca-proven, zero toll exposure. Weakness: revenue depends on voluntary uptake, and Tehran reads pure voluntarism as an unstable income. Role in the Accord: adopted as the contribution arm of Article 21, hardened with user-state endowments and a published scale so the stream runs predictably without ever touching passage.</w:t>
      </w:r>
      <w:bookmarkEnd w:id="426"/>
    </w:p>
    <w:p w14:paraId="20538EA0" w14:textId="77777777" w:rsidR="00723F18" w:rsidRDefault="00000000">
      <w:pPr>
        <w:pStyle w:val="Heading2"/>
      </w:pPr>
      <w:bookmarkStart w:id="427" w:name="__RefHeading___Toc6554_2939721771"/>
      <w:bookmarkEnd w:id="427"/>
      <w:r>
        <w:t>C.4 Model Two: the annual navigation pass</w:t>
      </w:r>
    </w:p>
    <w:p w14:paraId="40936133" w14:textId="77777777" w:rsidR="00723F18" w:rsidRDefault="00000000">
      <w:pPr>
        <w:pStyle w:val="FirstParagraph"/>
      </w:pPr>
      <w:bookmarkStart w:id="428" w:name="c.4-model-two-the-annual-navigation-pass"/>
      <w:r>
        <w:t>Shipping companies purchase annual passes from a neutral administrator, with revenue distributed by formula. Strength: predictable upfront revenue. Weakness: an annual charge on navigators reads, in shape, like a toll with a longer billing cycle, and it prices the year’s passage rather than any year’s work. Role in the Accord: not adopted as a pass. Its predictability advantage migrates into the stewardship allocation of Article 21.6, which pays quarterly against a maintenance plan rather than against hulls.</w:t>
      </w:r>
      <w:bookmarkEnd w:id="428"/>
    </w:p>
    <w:p w14:paraId="7104A988" w14:textId="77777777" w:rsidR="00723F18" w:rsidRDefault="00000000">
      <w:pPr>
        <w:pStyle w:val="Heading2"/>
      </w:pPr>
      <w:bookmarkStart w:id="429" w:name="__RefHeading___Toc6556_2939721771"/>
      <w:bookmarkEnd w:id="429"/>
      <w:r>
        <w:t>C.5 Model Three: the in-kind service swap</w:t>
      </w:r>
    </w:p>
    <w:p w14:paraId="5AE8B599" w14:textId="77777777" w:rsidR="00723F18" w:rsidRDefault="00000000">
      <w:pPr>
        <w:pStyle w:val="FirstParagraph"/>
      </w:pPr>
      <w:bookmarkStart w:id="430" w:name="c.5-model-three-the-in-kind-service-swap"/>
      <w:r>
        <w:t xml:space="preserve">Iran receives equipment, dredging capacity, training, and technical goods equivalent to the value of services it delivers. Strength: no cash, no toll optics, real assets. </w:t>
      </w:r>
      <w:proofErr w:type="gramStart"/>
      <w:r>
        <w:t>Weakness</w:t>
      </w:r>
      <w:proofErr w:type="gramEnd"/>
      <w:r>
        <w:t>: valuation friction, procurement delays, and limited scale. Role in the Accord: adopted as a supplementary track. The Commission maintains a standing capacity-building window in the Fund budget under Article 21.1, and Annex E schedules the first equipment deliveries inside the trial window.</w:t>
      </w:r>
      <w:bookmarkEnd w:id="430"/>
    </w:p>
    <w:p w14:paraId="2C8B9DB4" w14:textId="77777777" w:rsidR="00723F18" w:rsidRDefault="00000000">
      <w:pPr>
        <w:pStyle w:val="Heading2"/>
      </w:pPr>
      <w:bookmarkStart w:id="431" w:name="__RefHeading___Toc6558_2939721771"/>
      <w:bookmarkEnd w:id="431"/>
      <w:r>
        <w:lastRenderedPageBreak/>
        <w:t>C.6 Model Four: the two-tier pilotage mandate</w:t>
      </w:r>
    </w:p>
    <w:p w14:paraId="032DC42F" w14:textId="77777777" w:rsidR="00723F18" w:rsidRDefault="00000000">
      <w:pPr>
        <w:pStyle w:val="FirstParagraph"/>
      </w:pPr>
      <w:bookmarkStart w:id="432" w:name="Xb8caa475bf203047246d3866c77a5a1cbb27ba3"/>
      <w:r>
        <w:t>Large vessels take pilots by safety regulation rather than by coastal-state demand, with fees set by a joint body and collected through a neutral channel. Strength: safety logic, employment and revenue for the steward’s pilotage service, and precedent in straits worldwide. Weakness: compulsion edges toward a condition on passage where coverage extends too far. Role in the Accord: adopted in bounded form. Pilotage stays on shipmaster request in every corridor, at catalog rates through the Ledger, with the daily traffic plan recommending pilots for deep-draft and gas traffic on safety grounds. The boundary keeps the practice a service and never a permission.</w:t>
      </w:r>
      <w:bookmarkEnd w:id="432"/>
    </w:p>
    <w:p w14:paraId="0DCBDE9F" w14:textId="77777777" w:rsidR="00723F18" w:rsidRDefault="00000000">
      <w:pPr>
        <w:pStyle w:val="Heading2"/>
      </w:pPr>
      <w:bookmarkStart w:id="433" w:name="__RefHeading___Toc6560_2939721771"/>
      <w:bookmarkEnd w:id="433"/>
      <w:r>
        <w:t>C.7 Model Five: the environmental bond and administration charge</w:t>
      </w:r>
    </w:p>
    <w:p w14:paraId="61283F4C" w14:textId="77777777" w:rsidR="00723F18" w:rsidRDefault="00000000">
      <w:pPr>
        <w:pStyle w:val="FirstParagraph"/>
      </w:pPr>
      <w:bookmarkStart w:id="434" w:name="X33e2099a0ab6438d0937c075770f1d2a1174e82"/>
      <w:r>
        <w:t>Vessels post refundable environmental bonds, and the registry administrator charges a small administration fee for managing the registry. Strength: environmental framing, real administrative work. Weakness: bond logistics at crisis-premium traffic levels burden liquidity, and a per-transit bond reads as a levy under stress. Role in the Accord: adopted in modified form. The environmental registry of Article 22.6 verifies existing liability coverage through the clubs rather than posting new bonds, and it carries a per-filing administration charge at benchmark rates: the assurance value survives, the liquidity burden disappears.</w:t>
      </w:r>
      <w:bookmarkEnd w:id="434"/>
    </w:p>
    <w:p w14:paraId="601126AA" w14:textId="77777777" w:rsidR="00723F18" w:rsidRDefault="00000000">
      <w:pPr>
        <w:pStyle w:val="Heading2"/>
      </w:pPr>
      <w:bookmarkStart w:id="435" w:name="__RefHeading___Toc6562_2939721771"/>
      <w:bookmarkEnd w:id="435"/>
      <w:r>
        <w:t>C.8 Model Six: the service bundle</w:t>
      </w:r>
    </w:p>
    <w:p w14:paraId="0D0542B8" w14:textId="77777777" w:rsidR="00723F18" w:rsidRDefault="00000000">
      <w:pPr>
        <w:pStyle w:val="FirstParagraph"/>
      </w:pPr>
      <w:bookmarkStart w:id="436" w:name="c.8-model-six-the-service-bundle"/>
      <w:r>
        <w:t xml:space="preserve">The steward offers bundled maritime services at competitive market rates: pilotage, tug coordination, weather routing, berth sequencing. Strength: pure commerce, no toll exposure. Weakness: uptake depends on price and trust built over time. Role in the Accord: adopted. The Services Catalog of Annex B structures exactly these bundles, and the Ledger pays for them at </w:t>
      </w:r>
      <w:proofErr w:type="gramStart"/>
      <w:r>
        <w:t>benchmarked</w:t>
      </w:r>
      <w:proofErr w:type="gramEnd"/>
      <w:r>
        <w:t xml:space="preserve"> rates.</w:t>
      </w:r>
      <w:bookmarkEnd w:id="436"/>
    </w:p>
    <w:p w14:paraId="1DDD4318" w14:textId="77777777" w:rsidR="00723F18" w:rsidRDefault="00000000">
      <w:pPr>
        <w:pStyle w:val="Heading2"/>
      </w:pPr>
      <w:bookmarkStart w:id="437" w:name="__RefHeading___Toc6564_2939721771"/>
      <w:bookmarkEnd w:id="437"/>
      <w:r>
        <w:t>C.9 Model Seven: deferred payment linked to asset release</w:t>
      </w:r>
    </w:p>
    <w:p w14:paraId="4C63B6AD" w14:textId="77777777" w:rsidR="00723F18" w:rsidRDefault="00000000">
      <w:pPr>
        <w:pStyle w:val="FirstParagraph"/>
      </w:pPr>
      <w:bookmarkStart w:id="438" w:name="X0d966e827316557b2528c299311b34fc09045dc"/>
      <w:r>
        <w:t>Transit performance converts into credits toward the release of frozen assets through a neutral escrow. Strength: dwarfs any toll yield, touches no shipper, and ties the claimant’s largest financial interest to clean operation. Weakness: sanctions complexity and the need for airtight custody. Role in the Accord: adopted as Channel One of Article 22, with the custody structure of Annex B, Section B.7 and the credit schedule of Section B.8.</w:t>
      </w:r>
      <w:bookmarkEnd w:id="438"/>
    </w:p>
    <w:p w14:paraId="2863E537" w14:textId="77777777" w:rsidR="00723F18" w:rsidRDefault="00000000">
      <w:pPr>
        <w:pStyle w:val="Heading2"/>
      </w:pPr>
      <w:bookmarkStart w:id="439" w:name="__RefHeading___Toc6566_2939721771"/>
      <w:bookmarkEnd w:id="439"/>
      <w:r>
        <w:t>C.10 Model Eight: the multilateral cost-recovery fee</w:t>
      </w:r>
    </w:p>
    <w:p w14:paraId="1B5D24B5" w14:textId="77777777" w:rsidR="00723F18" w:rsidRDefault="00000000">
      <w:pPr>
        <w:pStyle w:val="FirstParagraph"/>
      </w:pPr>
      <w:bookmarkStart w:id="440" w:name="X65fa418d0263b02dc9371189f5cd3e0458ac8ba"/>
      <w:r>
        <w:t>An international body levies a cost-recovery charge and distributes it to service providers. Strength: multilateral legitimacy. Weakness: requires institutional buy-in on a slow clock, and a charge on every transiting hull still prices passage, however legitimate the collector. Role in the Accord: not adopted in charging form. Its distribution logic migrates into the Fund’s apportionment mechanics of Annex B, Section B.6, where the Fund, not the ship, carries the cost.</w:t>
      </w:r>
      <w:bookmarkEnd w:id="440"/>
    </w:p>
    <w:p w14:paraId="5F55F04B" w14:textId="77777777" w:rsidR="00723F18" w:rsidRDefault="00000000">
      <w:pPr>
        <w:pStyle w:val="Heading2"/>
      </w:pPr>
      <w:bookmarkStart w:id="441" w:name="__RefHeading___Toc6568_2939721771"/>
      <w:bookmarkEnd w:id="441"/>
      <w:r>
        <w:lastRenderedPageBreak/>
        <w:t>C.11 Model Nine: the transit data marketplace</w:t>
      </w:r>
    </w:p>
    <w:p w14:paraId="7EF06474" w14:textId="77777777" w:rsidR="00723F18" w:rsidRDefault="00000000">
      <w:pPr>
        <w:pStyle w:val="FirstParagraph"/>
      </w:pPr>
      <w:bookmarkStart w:id="442" w:name="X7fc392ff92d039e2a33eedf560d25e71f5d1e1b"/>
      <w:r>
        <w:t>Anonymized, aggregated transit data licenses commercially to analytics firms, insurers, and traders. Strength: revenue from information, never from passage; high market value in an opaque crisis. Weakness: modest scale and privacy discipline demands. Role in the Accord: adopted as Channel Three of Article 22, with the privacy safeguards of Annex B and the apportionment of Section B.6.</w:t>
      </w:r>
      <w:bookmarkEnd w:id="442"/>
    </w:p>
    <w:p w14:paraId="674AB5F7" w14:textId="77777777" w:rsidR="00723F18" w:rsidRDefault="00000000">
      <w:pPr>
        <w:pStyle w:val="Heading2"/>
      </w:pPr>
      <w:bookmarkStart w:id="443" w:name="__RefHeading___Toc6570_2939721771"/>
      <w:bookmarkEnd w:id="443"/>
      <w:r>
        <w:t>C.12 Model Ten: the regional infrastructure bond</w:t>
      </w:r>
    </w:p>
    <w:p w14:paraId="3833C070" w14:textId="77777777" w:rsidR="00723F18" w:rsidRDefault="00000000">
      <w:pPr>
        <w:pStyle w:val="FirstParagraph"/>
      </w:pPr>
      <w:bookmarkStart w:id="444" w:name="Xcd736565a352c7a477ddd4f8f1c3895f6c97ee7"/>
      <w:r>
        <w:t>The coastal states and facilitators issue a regional bond for strait infrastructure, with the steward earning a management fee for coordinating its corridor’s projects. Strength: long-horizon revenue and visible stewardship. Weakness: slow to stand up inside a sixty (60) day window. Role in the Accord: adopted as the second-window track. The first review conference of Article 37.3 tables the infrastructure facility, with the Central Corridor Panel as project owner and the stewards as corridor coordinators.</w:t>
      </w:r>
      <w:bookmarkEnd w:id="444"/>
    </w:p>
    <w:p w14:paraId="346A5E42" w14:textId="77777777" w:rsidR="00723F18" w:rsidRDefault="00000000">
      <w:pPr>
        <w:pStyle w:val="Heading2"/>
      </w:pPr>
      <w:bookmarkStart w:id="445" w:name="__RefHeading___Toc6572_2939721771"/>
      <w:bookmarkEnd w:id="445"/>
      <w:r>
        <w:t>C.13 The selection: one covenant, three channels</w:t>
      </w:r>
    </w:p>
    <w:p w14:paraId="6FAECE15" w14:textId="77777777" w:rsidR="00723F18" w:rsidRDefault="00000000">
      <w:pPr>
        <w:pStyle w:val="FirstParagraph"/>
      </w:pPr>
      <w:bookmarkStart w:id="446" w:name="Xdb94d76bd1ab5c3562c60cd3d68183a5b81ea2f"/>
      <w:r>
        <w:t xml:space="preserve">The Accord selects a hybrid: the Zero-Toll Covenant holds the passage line absolutely; the Ledger and the Fund pay for real work at real prices; and the Performance-Linked Value Channels deliver scale. The arithmetic closes </w:t>
      </w:r>
      <w:proofErr w:type="gramStart"/>
      <w:r>
        <w:t>the politics</w:t>
      </w:r>
      <w:proofErr w:type="gramEnd"/>
      <w:r>
        <w:t>. A per-vessel toll at the crisis-era peak of two million (2,000,000) dollars per transit prices roughly one hundred (100) compliant transits per day at most, against a market that refuses, reroutes, or reroutes around, and it purchases isolation at the price of income. The adopted architecture prices the northern steward’s verified services, readiness, data, and administration at three hundred (300) to four hundred and fifty (450) million dollars per year at full traffic recovery, and it stacks the frozen-asset and waiver channels at an order of magnitude beyond that figure, without one dollar attaching to one hull. The selection satisfies the Iranian demand for compensated control-adjacent stewardship, the American demand for unconditioned free transit, the Omani demand for the cooperative model, and the Qatari demand for a protected, lawful artery.</w:t>
      </w:r>
      <w:bookmarkEnd w:id="446"/>
    </w:p>
    <w:p w14:paraId="2025001B" w14:textId="77777777" w:rsidR="00723F18" w:rsidRDefault="00000000">
      <w:pPr>
        <w:pStyle w:val="Heading2"/>
      </w:pPr>
      <w:bookmarkStart w:id="447" w:name="__RefHeading___Toc6574_2939721771"/>
      <w:bookmarkEnd w:id="447"/>
      <w:r>
        <w:t>C.14 The red-line screen</w:t>
      </w:r>
    </w:p>
    <w:tbl>
      <w:tblPr>
        <w:tblStyle w:val="Table"/>
        <w:tblW w:w="5000" w:type="pct"/>
        <w:tblInd w:w="0" w:type="dxa"/>
        <w:tblLayout w:type="fixed"/>
        <w:tblLook w:val="0020" w:firstRow="1" w:lastRow="0" w:firstColumn="0" w:lastColumn="0" w:noHBand="0" w:noVBand="0"/>
      </w:tblPr>
      <w:tblGrid>
        <w:gridCol w:w="1597"/>
        <w:gridCol w:w="1595"/>
        <w:gridCol w:w="1596"/>
        <w:gridCol w:w="1597"/>
        <w:gridCol w:w="1595"/>
        <w:gridCol w:w="1596"/>
      </w:tblGrid>
      <w:tr w:rsidR="00723F18" w14:paraId="27F961B3"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1560" w:type="dxa"/>
            <w:tcBorders>
              <w:bottom w:val="single" w:sz="6" w:space="0" w:color="000000"/>
            </w:tcBorders>
          </w:tcPr>
          <w:p w14:paraId="4681C4AE" w14:textId="77777777" w:rsidR="00723F18" w:rsidRDefault="00000000">
            <w:pPr>
              <w:pStyle w:val="Compact"/>
              <w:widowControl w:val="0"/>
              <w:rPr>
                <w:rFonts w:ascii="Cambria" w:eastAsia="Cambria" w:hAnsi="Cambria"/>
              </w:rPr>
            </w:pPr>
            <w:r>
              <w:rPr>
                <w:rFonts w:eastAsia="Cambria"/>
                <w:b/>
                <w:bCs/>
              </w:rPr>
              <w:t>Model</w:t>
            </w:r>
          </w:p>
        </w:tc>
        <w:tc>
          <w:tcPr>
            <w:tcW w:w="1559" w:type="dxa"/>
            <w:tcBorders>
              <w:bottom w:val="single" w:sz="6" w:space="0" w:color="000000"/>
            </w:tcBorders>
          </w:tcPr>
          <w:p w14:paraId="7B631BE0" w14:textId="77777777" w:rsidR="00723F18" w:rsidRDefault="00000000">
            <w:pPr>
              <w:pStyle w:val="Compact"/>
              <w:widowControl w:val="0"/>
              <w:rPr>
                <w:rFonts w:ascii="Cambria" w:eastAsia="Cambria" w:hAnsi="Cambria"/>
              </w:rPr>
            </w:pPr>
            <w:r>
              <w:rPr>
                <w:rFonts w:eastAsia="Cambria"/>
                <w:b/>
                <w:bCs/>
              </w:rPr>
              <w:t>Tehran’s screen</w:t>
            </w:r>
          </w:p>
        </w:tc>
        <w:tc>
          <w:tcPr>
            <w:tcW w:w="1560" w:type="dxa"/>
            <w:tcBorders>
              <w:bottom w:val="single" w:sz="6" w:space="0" w:color="000000"/>
            </w:tcBorders>
          </w:tcPr>
          <w:p w14:paraId="24316A52" w14:textId="77777777" w:rsidR="00723F18" w:rsidRDefault="00000000">
            <w:pPr>
              <w:pStyle w:val="Compact"/>
              <w:widowControl w:val="0"/>
              <w:rPr>
                <w:rFonts w:ascii="Cambria" w:eastAsia="Cambria" w:hAnsi="Cambria"/>
              </w:rPr>
            </w:pPr>
            <w:r>
              <w:rPr>
                <w:rFonts w:eastAsia="Cambria"/>
                <w:b/>
                <w:bCs/>
              </w:rPr>
              <w:t>Washington’s screen</w:t>
            </w:r>
          </w:p>
        </w:tc>
        <w:tc>
          <w:tcPr>
            <w:tcW w:w="1561" w:type="dxa"/>
            <w:tcBorders>
              <w:bottom w:val="single" w:sz="6" w:space="0" w:color="000000"/>
            </w:tcBorders>
          </w:tcPr>
          <w:p w14:paraId="16C88EB4" w14:textId="77777777" w:rsidR="00723F18" w:rsidRDefault="00000000">
            <w:pPr>
              <w:pStyle w:val="Compact"/>
              <w:widowControl w:val="0"/>
              <w:rPr>
                <w:rFonts w:ascii="Cambria" w:eastAsia="Cambria" w:hAnsi="Cambria"/>
              </w:rPr>
            </w:pPr>
            <w:r>
              <w:rPr>
                <w:rFonts w:eastAsia="Cambria"/>
                <w:b/>
                <w:bCs/>
              </w:rPr>
              <w:t>Muscat’s screen</w:t>
            </w:r>
          </w:p>
        </w:tc>
        <w:tc>
          <w:tcPr>
            <w:tcW w:w="1559" w:type="dxa"/>
            <w:tcBorders>
              <w:bottom w:val="single" w:sz="6" w:space="0" w:color="000000"/>
            </w:tcBorders>
          </w:tcPr>
          <w:p w14:paraId="27174ABC" w14:textId="77777777" w:rsidR="00723F18" w:rsidRDefault="00000000">
            <w:pPr>
              <w:pStyle w:val="Compact"/>
              <w:widowControl w:val="0"/>
              <w:rPr>
                <w:rFonts w:ascii="Cambria" w:eastAsia="Cambria" w:hAnsi="Cambria"/>
              </w:rPr>
            </w:pPr>
            <w:r>
              <w:rPr>
                <w:rFonts w:eastAsia="Cambria"/>
                <w:b/>
                <w:bCs/>
              </w:rPr>
              <w:t>Doha’s screen</w:t>
            </w:r>
          </w:p>
        </w:tc>
        <w:tc>
          <w:tcPr>
            <w:tcW w:w="1560" w:type="dxa"/>
            <w:tcBorders>
              <w:bottom w:val="single" w:sz="6" w:space="0" w:color="000000"/>
            </w:tcBorders>
          </w:tcPr>
          <w:p w14:paraId="439AE2BE" w14:textId="77777777" w:rsidR="00723F18" w:rsidRDefault="00000000">
            <w:pPr>
              <w:pStyle w:val="Compact"/>
              <w:widowControl w:val="0"/>
              <w:rPr>
                <w:rFonts w:ascii="Cambria" w:eastAsia="Cambria" w:hAnsi="Cambria"/>
              </w:rPr>
            </w:pPr>
            <w:r>
              <w:rPr>
                <w:rFonts w:eastAsia="Cambria"/>
                <w:b/>
                <w:bCs/>
              </w:rPr>
              <w:t>Verdict</w:t>
            </w:r>
          </w:p>
        </w:tc>
      </w:tr>
      <w:tr w:rsidR="00723F18" w14:paraId="3D5EA8FF" w14:textId="77777777" w:rsidTr="00723F18">
        <w:tc>
          <w:tcPr>
            <w:tcW w:w="1560" w:type="dxa"/>
          </w:tcPr>
          <w:p w14:paraId="2525DF3A" w14:textId="77777777" w:rsidR="00723F18" w:rsidRDefault="00000000">
            <w:pPr>
              <w:pStyle w:val="Compact"/>
              <w:widowControl w:val="0"/>
              <w:rPr>
                <w:rFonts w:ascii="Cambria" w:eastAsia="Cambria" w:hAnsi="Cambria"/>
              </w:rPr>
            </w:pPr>
            <w:r>
              <w:rPr>
                <w:rFonts w:eastAsia="Cambria"/>
              </w:rPr>
              <w:t>Voluntary contribution</w:t>
            </w:r>
          </w:p>
        </w:tc>
        <w:tc>
          <w:tcPr>
            <w:tcW w:w="1559" w:type="dxa"/>
          </w:tcPr>
          <w:p w14:paraId="38F18DAF" w14:textId="77777777" w:rsidR="00723F18" w:rsidRDefault="00000000">
            <w:pPr>
              <w:pStyle w:val="Compact"/>
              <w:widowControl w:val="0"/>
              <w:rPr>
                <w:rFonts w:ascii="Cambria" w:eastAsia="Cambria" w:hAnsi="Cambria"/>
              </w:rPr>
            </w:pPr>
            <w:r>
              <w:rPr>
                <w:rFonts w:eastAsia="Cambria"/>
              </w:rPr>
              <w:t>Revenue without toll label</w:t>
            </w:r>
          </w:p>
        </w:tc>
        <w:tc>
          <w:tcPr>
            <w:tcW w:w="1560" w:type="dxa"/>
          </w:tcPr>
          <w:p w14:paraId="25D555B5" w14:textId="77777777" w:rsidR="00723F18" w:rsidRDefault="00000000">
            <w:pPr>
              <w:pStyle w:val="Compact"/>
              <w:widowControl w:val="0"/>
              <w:rPr>
                <w:rFonts w:ascii="Cambria" w:eastAsia="Cambria" w:hAnsi="Cambria"/>
              </w:rPr>
            </w:pPr>
            <w:r>
              <w:rPr>
                <w:rFonts w:eastAsia="Cambria"/>
              </w:rPr>
              <w:t>No charge on passage</w:t>
            </w:r>
          </w:p>
        </w:tc>
        <w:tc>
          <w:tcPr>
            <w:tcW w:w="1561" w:type="dxa"/>
          </w:tcPr>
          <w:p w14:paraId="0445C026" w14:textId="77777777" w:rsidR="00723F18" w:rsidRDefault="00000000">
            <w:pPr>
              <w:pStyle w:val="Compact"/>
              <w:widowControl w:val="0"/>
              <w:rPr>
                <w:rFonts w:ascii="Cambria" w:eastAsia="Cambria" w:hAnsi="Cambria"/>
              </w:rPr>
            </w:pPr>
            <w:r>
              <w:rPr>
                <w:rFonts w:eastAsia="Cambria"/>
              </w:rPr>
              <w:t>Malacca model honored</w:t>
            </w:r>
          </w:p>
        </w:tc>
        <w:tc>
          <w:tcPr>
            <w:tcW w:w="1559" w:type="dxa"/>
          </w:tcPr>
          <w:p w14:paraId="02E9188C" w14:textId="77777777" w:rsidR="00723F18" w:rsidRDefault="00000000">
            <w:pPr>
              <w:pStyle w:val="Compact"/>
              <w:widowControl w:val="0"/>
              <w:rPr>
                <w:rFonts w:ascii="Cambria" w:eastAsia="Cambria" w:hAnsi="Cambria"/>
              </w:rPr>
            </w:pPr>
            <w:r>
              <w:rPr>
                <w:rFonts w:eastAsia="Cambria"/>
              </w:rPr>
              <w:t>Lawful and fundable</w:t>
            </w:r>
          </w:p>
        </w:tc>
        <w:tc>
          <w:tcPr>
            <w:tcW w:w="1560" w:type="dxa"/>
          </w:tcPr>
          <w:p w14:paraId="435F62D0" w14:textId="77777777" w:rsidR="00723F18" w:rsidRDefault="00000000">
            <w:pPr>
              <w:pStyle w:val="Compact"/>
              <w:widowControl w:val="0"/>
              <w:rPr>
                <w:rFonts w:ascii="Cambria" w:eastAsia="Cambria" w:hAnsi="Cambria"/>
              </w:rPr>
            </w:pPr>
            <w:r>
              <w:rPr>
                <w:rFonts w:eastAsia="Cambria"/>
              </w:rPr>
              <w:t>Adopted, hardened</w:t>
            </w:r>
          </w:p>
        </w:tc>
      </w:tr>
      <w:tr w:rsidR="00723F18" w14:paraId="6D693FA2" w14:textId="77777777" w:rsidTr="00723F18">
        <w:tc>
          <w:tcPr>
            <w:tcW w:w="1560" w:type="dxa"/>
          </w:tcPr>
          <w:p w14:paraId="73860A89" w14:textId="77777777" w:rsidR="00723F18" w:rsidRDefault="00000000">
            <w:pPr>
              <w:pStyle w:val="Compact"/>
              <w:widowControl w:val="0"/>
              <w:rPr>
                <w:rFonts w:ascii="Cambria" w:eastAsia="Cambria" w:hAnsi="Cambria"/>
              </w:rPr>
            </w:pPr>
            <w:r>
              <w:rPr>
                <w:rFonts w:eastAsia="Cambria"/>
              </w:rPr>
              <w:t>Annual pass</w:t>
            </w:r>
          </w:p>
        </w:tc>
        <w:tc>
          <w:tcPr>
            <w:tcW w:w="1559" w:type="dxa"/>
          </w:tcPr>
          <w:p w14:paraId="784F2A0B" w14:textId="77777777" w:rsidR="00723F18" w:rsidRDefault="00000000">
            <w:pPr>
              <w:pStyle w:val="Compact"/>
              <w:widowControl w:val="0"/>
              <w:rPr>
                <w:rFonts w:ascii="Cambria" w:eastAsia="Cambria" w:hAnsi="Cambria"/>
              </w:rPr>
            </w:pPr>
            <w:r>
              <w:rPr>
                <w:rFonts w:eastAsia="Cambria"/>
              </w:rPr>
              <w:t>Predictable income</w:t>
            </w:r>
          </w:p>
        </w:tc>
        <w:tc>
          <w:tcPr>
            <w:tcW w:w="1560" w:type="dxa"/>
          </w:tcPr>
          <w:p w14:paraId="100CE701" w14:textId="77777777" w:rsidR="00723F18" w:rsidRDefault="00000000">
            <w:pPr>
              <w:pStyle w:val="Compact"/>
              <w:widowControl w:val="0"/>
              <w:rPr>
                <w:rFonts w:ascii="Cambria" w:eastAsia="Cambria" w:hAnsi="Cambria"/>
              </w:rPr>
            </w:pPr>
            <w:r>
              <w:rPr>
                <w:rFonts w:eastAsia="Cambria"/>
              </w:rPr>
              <w:t>Reads as toll variant</w:t>
            </w:r>
          </w:p>
        </w:tc>
        <w:tc>
          <w:tcPr>
            <w:tcW w:w="1561" w:type="dxa"/>
          </w:tcPr>
          <w:p w14:paraId="5A06C058" w14:textId="77777777" w:rsidR="00723F18" w:rsidRDefault="00000000">
            <w:pPr>
              <w:pStyle w:val="Compact"/>
              <w:widowControl w:val="0"/>
              <w:rPr>
                <w:rFonts w:ascii="Cambria" w:eastAsia="Cambria" w:hAnsi="Cambria"/>
              </w:rPr>
            </w:pPr>
            <w:r>
              <w:rPr>
                <w:rFonts w:eastAsia="Cambria"/>
              </w:rPr>
              <w:t>Disfavored</w:t>
            </w:r>
          </w:p>
        </w:tc>
        <w:tc>
          <w:tcPr>
            <w:tcW w:w="1559" w:type="dxa"/>
          </w:tcPr>
          <w:p w14:paraId="500DC589" w14:textId="77777777" w:rsidR="00723F18" w:rsidRDefault="00000000">
            <w:pPr>
              <w:pStyle w:val="Compact"/>
              <w:widowControl w:val="0"/>
              <w:rPr>
                <w:rFonts w:ascii="Cambria" w:eastAsia="Cambria" w:hAnsi="Cambria"/>
              </w:rPr>
            </w:pPr>
            <w:r>
              <w:rPr>
                <w:rFonts w:eastAsia="Cambria"/>
              </w:rPr>
              <w:t>Disfavored</w:t>
            </w:r>
          </w:p>
        </w:tc>
        <w:tc>
          <w:tcPr>
            <w:tcW w:w="1560" w:type="dxa"/>
          </w:tcPr>
          <w:p w14:paraId="3B60033E" w14:textId="77777777" w:rsidR="00723F18" w:rsidRDefault="00000000">
            <w:pPr>
              <w:pStyle w:val="Compact"/>
              <w:widowControl w:val="0"/>
              <w:rPr>
                <w:rFonts w:ascii="Cambria" w:eastAsia="Cambria" w:hAnsi="Cambria"/>
              </w:rPr>
            </w:pPr>
            <w:r>
              <w:rPr>
                <w:rFonts w:eastAsia="Cambria"/>
              </w:rPr>
              <w:t>Rejected as pass; predictability migrated</w:t>
            </w:r>
          </w:p>
        </w:tc>
      </w:tr>
      <w:tr w:rsidR="00723F18" w14:paraId="65E859ED" w14:textId="77777777" w:rsidTr="00723F18">
        <w:tc>
          <w:tcPr>
            <w:tcW w:w="1560" w:type="dxa"/>
          </w:tcPr>
          <w:p w14:paraId="79BB0915" w14:textId="77777777" w:rsidR="00723F18" w:rsidRDefault="00000000">
            <w:pPr>
              <w:pStyle w:val="Compact"/>
              <w:widowControl w:val="0"/>
              <w:rPr>
                <w:rFonts w:ascii="Cambria" w:eastAsia="Cambria" w:hAnsi="Cambria"/>
              </w:rPr>
            </w:pPr>
            <w:r>
              <w:rPr>
                <w:rFonts w:eastAsia="Cambria"/>
              </w:rPr>
              <w:t>In-kind swap</w:t>
            </w:r>
          </w:p>
        </w:tc>
        <w:tc>
          <w:tcPr>
            <w:tcW w:w="1559" w:type="dxa"/>
          </w:tcPr>
          <w:p w14:paraId="175865BD" w14:textId="77777777" w:rsidR="00723F18" w:rsidRDefault="00000000">
            <w:pPr>
              <w:pStyle w:val="Compact"/>
              <w:widowControl w:val="0"/>
              <w:rPr>
                <w:rFonts w:ascii="Cambria" w:eastAsia="Cambria" w:hAnsi="Cambria"/>
              </w:rPr>
            </w:pPr>
            <w:r>
              <w:rPr>
                <w:rFonts w:eastAsia="Cambria"/>
              </w:rPr>
              <w:t>Tangible assets</w:t>
            </w:r>
          </w:p>
        </w:tc>
        <w:tc>
          <w:tcPr>
            <w:tcW w:w="1560" w:type="dxa"/>
          </w:tcPr>
          <w:p w14:paraId="3543C7EC" w14:textId="77777777" w:rsidR="00723F18" w:rsidRDefault="00000000">
            <w:pPr>
              <w:pStyle w:val="Compact"/>
              <w:widowControl w:val="0"/>
              <w:rPr>
                <w:rFonts w:ascii="Cambria" w:eastAsia="Cambria" w:hAnsi="Cambria"/>
              </w:rPr>
            </w:pPr>
            <w:r>
              <w:rPr>
                <w:rFonts w:eastAsia="Cambria"/>
              </w:rPr>
              <w:t>No cash transfer</w:t>
            </w:r>
          </w:p>
        </w:tc>
        <w:tc>
          <w:tcPr>
            <w:tcW w:w="1561" w:type="dxa"/>
          </w:tcPr>
          <w:p w14:paraId="04596E6C" w14:textId="77777777" w:rsidR="00723F18" w:rsidRDefault="00000000">
            <w:pPr>
              <w:pStyle w:val="Compact"/>
              <w:widowControl w:val="0"/>
              <w:rPr>
                <w:rFonts w:ascii="Cambria" w:eastAsia="Cambria" w:hAnsi="Cambria"/>
              </w:rPr>
            </w:pPr>
            <w:r>
              <w:rPr>
                <w:rFonts w:eastAsia="Cambria"/>
              </w:rPr>
              <w:t>Technical cooperation</w:t>
            </w:r>
          </w:p>
        </w:tc>
        <w:tc>
          <w:tcPr>
            <w:tcW w:w="1559" w:type="dxa"/>
          </w:tcPr>
          <w:p w14:paraId="75EDD5DC" w14:textId="77777777" w:rsidR="00723F18" w:rsidRDefault="00000000">
            <w:pPr>
              <w:pStyle w:val="Compact"/>
              <w:widowControl w:val="0"/>
              <w:rPr>
                <w:rFonts w:ascii="Cambria" w:eastAsia="Cambria" w:hAnsi="Cambria"/>
              </w:rPr>
            </w:pPr>
            <w:r>
              <w:rPr>
                <w:rFonts w:eastAsia="Cambria"/>
              </w:rPr>
              <w:t>Compatible</w:t>
            </w:r>
          </w:p>
        </w:tc>
        <w:tc>
          <w:tcPr>
            <w:tcW w:w="1560" w:type="dxa"/>
          </w:tcPr>
          <w:p w14:paraId="403254B4" w14:textId="77777777" w:rsidR="00723F18" w:rsidRDefault="00000000">
            <w:pPr>
              <w:pStyle w:val="Compact"/>
              <w:widowControl w:val="0"/>
              <w:rPr>
                <w:rFonts w:ascii="Cambria" w:eastAsia="Cambria" w:hAnsi="Cambria"/>
              </w:rPr>
            </w:pPr>
            <w:r>
              <w:rPr>
                <w:rFonts w:eastAsia="Cambria"/>
              </w:rPr>
              <w:t>Adopted as supplement</w:t>
            </w:r>
          </w:p>
        </w:tc>
      </w:tr>
      <w:tr w:rsidR="00723F18" w14:paraId="75E5455D" w14:textId="77777777" w:rsidTr="00723F18">
        <w:tc>
          <w:tcPr>
            <w:tcW w:w="1560" w:type="dxa"/>
          </w:tcPr>
          <w:p w14:paraId="1DCEBF74" w14:textId="77777777" w:rsidR="00723F18" w:rsidRDefault="00000000">
            <w:pPr>
              <w:pStyle w:val="Compact"/>
              <w:widowControl w:val="0"/>
              <w:rPr>
                <w:rFonts w:ascii="Cambria" w:eastAsia="Cambria" w:hAnsi="Cambria"/>
              </w:rPr>
            </w:pPr>
            <w:r>
              <w:rPr>
                <w:rFonts w:eastAsia="Cambria"/>
              </w:rPr>
              <w:lastRenderedPageBreak/>
              <w:t>Two-tier pilotage</w:t>
            </w:r>
          </w:p>
        </w:tc>
        <w:tc>
          <w:tcPr>
            <w:tcW w:w="1559" w:type="dxa"/>
          </w:tcPr>
          <w:p w14:paraId="1F937D44" w14:textId="77777777" w:rsidR="00723F18" w:rsidRDefault="00000000">
            <w:pPr>
              <w:pStyle w:val="Compact"/>
              <w:widowControl w:val="0"/>
              <w:rPr>
                <w:rFonts w:ascii="Cambria" w:eastAsia="Cambria" w:hAnsi="Cambria"/>
              </w:rPr>
            </w:pPr>
            <w:r>
              <w:rPr>
                <w:rFonts w:eastAsia="Cambria"/>
              </w:rPr>
              <w:t>Employment and fees</w:t>
            </w:r>
          </w:p>
        </w:tc>
        <w:tc>
          <w:tcPr>
            <w:tcW w:w="1560" w:type="dxa"/>
          </w:tcPr>
          <w:p w14:paraId="78394F0D" w14:textId="77777777" w:rsidR="00723F18" w:rsidRDefault="00000000">
            <w:pPr>
              <w:pStyle w:val="Compact"/>
              <w:widowControl w:val="0"/>
              <w:rPr>
                <w:rFonts w:ascii="Cambria" w:eastAsia="Cambria" w:hAnsi="Cambria"/>
              </w:rPr>
            </w:pPr>
            <w:r>
              <w:rPr>
                <w:rFonts w:eastAsia="Cambria"/>
              </w:rPr>
              <w:t>Safety logic, bounded</w:t>
            </w:r>
          </w:p>
        </w:tc>
        <w:tc>
          <w:tcPr>
            <w:tcW w:w="1561" w:type="dxa"/>
          </w:tcPr>
          <w:p w14:paraId="499A8C26" w14:textId="77777777" w:rsidR="00723F18" w:rsidRDefault="00000000">
            <w:pPr>
              <w:pStyle w:val="Compact"/>
              <w:widowControl w:val="0"/>
              <w:rPr>
                <w:rFonts w:ascii="Cambria" w:eastAsia="Cambria" w:hAnsi="Cambria"/>
              </w:rPr>
            </w:pPr>
            <w:r>
              <w:rPr>
                <w:rFonts w:eastAsia="Cambria"/>
              </w:rPr>
              <w:t>Compatible</w:t>
            </w:r>
          </w:p>
        </w:tc>
        <w:tc>
          <w:tcPr>
            <w:tcW w:w="1559" w:type="dxa"/>
          </w:tcPr>
          <w:p w14:paraId="48FF7355" w14:textId="77777777" w:rsidR="00723F18" w:rsidRDefault="00000000">
            <w:pPr>
              <w:pStyle w:val="Compact"/>
              <w:widowControl w:val="0"/>
              <w:rPr>
                <w:rFonts w:ascii="Cambria" w:eastAsia="Cambria" w:hAnsi="Cambria"/>
              </w:rPr>
            </w:pPr>
            <w:r>
              <w:rPr>
                <w:rFonts w:eastAsia="Cambria"/>
              </w:rPr>
              <w:t>Compatible</w:t>
            </w:r>
          </w:p>
        </w:tc>
        <w:tc>
          <w:tcPr>
            <w:tcW w:w="1560" w:type="dxa"/>
          </w:tcPr>
          <w:p w14:paraId="0AF86271" w14:textId="77777777" w:rsidR="00723F18" w:rsidRDefault="00000000">
            <w:pPr>
              <w:pStyle w:val="Compact"/>
              <w:widowControl w:val="0"/>
              <w:rPr>
                <w:rFonts w:ascii="Cambria" w:eastAsia="Cambria" w:hAnsi="Cambria"/>
              </w:rPr>
            </w:pPr>
            <w:r>
              <w:rPr>
                <w:rFonts w:eastAsia="Cambria"/>
              </w:rPr>
              <w:t>Adopted, bounded</w:t>
            </w:r>
          </w:p>
        </w:tc>
      </w:tr>
      <w:tr w:rsidR="00723F18" w14:paraId="22532D8F" w14:textId="77777777" w:rsidTr="00723F18">
        <w:tc>
          <w:tcPr>
            <w:tcW w:w="1560" w:type="dxa"/>
          </w:tcPr>
          <w:p w14:paraId="77A30974" w14:textId="77777777" w:rsidR="00723F18" w:rsidRDefault="00000000">
            <w:pPr>
              <w:pStyle w:val="Compact"/>
              <w:widowControl w:val="0"/>
              <w:rPr>
                <w:rFonts w:ascii="Cambria" w:eastAsia="Cambria" w:hAnsi="Cambria"/>
              </w:rPr>
            </w:pPr>
            <w:r>
              <w:rPr>
                <w:rFonts w:eastAsia="Cambria"/>
              </w:rPr>
              <w:t>Environmental bond</w:t>
            </w:r>
          </w:p>
        </w:tc>
        <w:tc>
          <w:tcPr>
            <w:tcW w:w="1559" w:type="dxa"/>
          </w:tcPr>
          <w:p w14:paraId="44AE8CF8" w14:textId="77777777" w:rsidR="00723F18" w:rsidRDefault="00000000">
            <w:pPr>
              <w:pStyle w:val="Compact"/>
              <w:widowControl w:val="0"/>
              <w:rPr>
                <w:rFonts w:ascii="Cambria" w:eastAsia="Cambria" w:hAnsi="Cambria"/>
              </w:rPr>
            </w:pPr>
            <w:r>
              <w:rPr>
                <w:rFonts w:eastAsia="Cambria"/>
              </w:rPr>
              <w:t>Administration income</w:t>
            </w:r>
          </w:p>
        </w:tc>
        <w:tc>
          <w:tcPr>
            <w:tcW w:w="1560" w:type="dxa"/>
          </w:tcPr>
          <w:p w14:paraId="7762DA3C" w14:textId="77777777" w:rsidR="00723F18" w:rsidRDefault="00000000">
            <w:pPr>
              <w:pStyle w:val="Compact"/>
              <w:widowControl w:val="0"/>
              <w:rPr>
                <w:rFonts w:ascii="Cambria" w:eastAsia="Cambria" w:hAnsi="Cambria"/>
              </w:rPr>
            </w:pPr>
            <w:r>
              <w:rPr>
                <w:rFonts w:eastAsia="Cambria"/>
              </w:rPr>
              <w:t>Environmental framing</w:t>
            </w:r>
          </w:p>
        </w:tc>
        <w:tc>
          <w:tcPr>
            <w:tcW w:w="1561" w:type="dxa"/>
          </w:tcPr>
          <w:p w14:paraId="265B2F54" w14:textId="77777777" w:rsidR="00723F18" w:rsidRDefault="00000000">
            <w:pPr>
              <w:pStyle w:val="Compact"/>
              <w:widowControl w:val="0"/>
              <w:rPr>
                <w:rFonts w:ascii="Cambria" w:eastAsia="Cambria" w:hAnsi="Cambria"/>
              </w:rPr>
            </w:pPr>
            <w:r>
              <w:rPr>
                <w:rFonts w:eastAsia="Cambria"/>
              </w:rPr>
              <w:t>Compatible</w:t>
            </w:r>
          </w:p>
        </w:tc>
        <w:tc>
          <w:tcPr>
            <w:tcW w:w="1559" w:type="dxa"/>
          </w:tcPr>
          <w:p w14:paraId="133362FD" w14:textId="77777777" w:rsidR="00723F18" w:rsidRDefault="00000000">
            <w:pPr>
              <w:pStyle w:val="Compact"/>
              <w:widowControl w:val="0"/>
              <w:rPr>
                <w:rFonts w:ascii="Cambria" w:eastAsia="Cambria" w:hAnsi="Cambria"/>
              </w:rPr>
            </w:pPr>
            <w:r>
              <w:rPr>
                <w:rFonts w:eastAsia="Cambria"/>
              </w:rPr>
              <w:t>Compatible</w:t>
            </w:r>
          </w:p>
        </w:tc>
        <w:tc>
          <w:tcPr>
            <w:tcW w:w="1560" w:type="dxa"/>
          </w:tcPr>
          <w:p w14:paraId="3569439A" w14:textId="77777777" w:rsidR="00723F18" w:rsidRDefault="00000000">
            <w:pPr>
              <w:pStyle w:val="Compact"/>
              <w:widowControl w:val="0"/>
              <w:rPr>
                <w:rFonts w:ascii="Cambria" w:eastAsia="Cambria" w:hAnsi="Cambria"/>
              </w:rPr>
            </w:pPr>
            <w:r>
              <w:rPr>
                <w:rFonts w:eastAsia="Cambria"/>
              </w:rPr>
              <w:t>Adopted, modified to registry</w:t>
            </w:r>
          </w:p>
        </w:tc>
      </w:tr>
      <w:tr w:rsidR="00723F18" w14:paraId="17765A0C" w14:textId="77777777" w:rsidTr="00723F18">
        <w:tc>
          <w:tcPr>
            <w:tcW w:w="1560" w:type="dxa"/>
          </w:tcPr>
          <w:p w14:paraId="6C078CC8" w14:textId="77777777" w:rsidR="00723F18" w:rsidRDefault="00000000">
            <w:pPr>
              <w:pStyle w:val="Compact"/>
              <w:widowControl w:val="0"/>
              <w:rPr>
                <w:rFonts w:ascii="Cambria" w:eastAsia="Cambria" w:hAnsi="Cambria"/>
              </w:rPr>
            </w:pPr>
            <w:r>
              <w:rPr>
                <w:rFonts w:eastAsia="Cambria"/>
              </w:rPr>
              <w:t>Service bundle</w:t>
            </w:r>
          </w:p>
        </w:tc>
        <w:tc>
          <w:tcPr>
            <w:tcW w:w="1559" w:type="dxa"/>
          </w:tcPr>
          <w:p w14:paraId="78B0B995" w14:textId="77777777" w:rsidR="00723F18" w:rsidRDefault="00000000">
            <w:pPr>
              <w:pStyle w:val="Compact"/>
              <w:widowControl w:val="0"/>
              <w:rPr>
                <w:rFonts w:ascii="Cambria" w:eastAsia="Cambria" w:hAnsi="Cambria"/>
              </w:rPr>
            </w:pPr>
            <w:r>
              <w:rPr>
                <w:rFonts w:eastAsia="Cambria"/>
              </w:rPr>
              <w:t>Commercial revenue</w:t>
            </w:r>
          </w:p>
        </w:tc>
        <w:tc>
          <w:tcPr>
            <w:tcW w:w="1560" w:type="dxa"/>
          </w:tcPr>
          <w:p w14:paraId="2ECC7CBF" w14:textId="77777777" w:rsidR="00723F18" w:rsidRDefault="00000000">
            <w:pPr>
              <w:pStyle w:val="Compact"/>
              <w:widowControl w:val="0"/>
              <w:rPr>
                <w:rFonts w:ascii="Cambria" w:eastAsia="Cambria" w:hAnsi="Cambria"/>
              </w:rPr>
            </w:pPr>
            <w:r>
              <w:rPr>
                <w:rFonts w:eastAsia="Cambria"/>
              </w:rPr>
              <w:t>Market-based</w:t>
            </w:r>
          </w:p>
        </w:tc>
        <w:tc>
          <w:tcPr>
            <w:tcW w:w="1561" w:type="dxa"/>
          </w:tcPr>
          <w:p w14:paraId="75DA6959" w14:textId="77777777" w:rsidR="00723F18" w:rsidRDefault="00000000">
            <w:pPr>
              <w:pStyle w:val="Compact"/>
              <w:widowControl w:val="0"/>
              <w:rPr>
                <w:rFonts w:ascii="Cambria" w:eastAsia="Cambria" w:hAnsi="Cambria"/>
              </w:rPr>
            </w:pPr>
            <w:r>
              <w:rPr>
                <w:rFonts w:eastAsia="Cambria"/>
              </w:rPr>
              <w:t>Compatible</w:t>
            </w:r>
          </w:p>
        </w:tc>
        <w:tc>
          <w:tcPr>
            <w:tcW w:w="1559" w:type="dxa"/>
          </w:tcPr>
          <w:p w14:paraId="570883DA" w14:textId="77777777" w:rsidR="00723F18" w:rsidRDefault="00000000">
            <w:pPr>
              <w:pStyle w:val="Compact"/>
              <w:widowControl w:val="0"/>
              <w:rPr>
                <w:rFonts w:ascii="Cambria" w:eastAsia="Cambria" w:hAnsi="Cambria"/>
              </w:rPr>
            </w:pPr>
            <w:r>
              <w:rPr>
                <w:rFonts w:eastAsia="Cambria"/>
              </w:rPr>
              <w:t>Compatible</w:t>
            </w:r>
          </w:p>
        </w:tc>
        <w:tc>
          <w:tcPr>
            <w:tcW w:w="1560" w:type="dxa"/>
          </w:tcPr>
          <w:p w14:paraId="7CB71A3C" w14:textId="77777777" w:rsidR="00723F18" w:rsidRDefault="00000000">
            <w:pPr>
              <w:pStyle w:val="Compact"/>
              <w:widowControl w:val="0"/>
              <w:rPr>
                <w:rFonts w:ascii="Cambria" w:eastAsia="Cambria" w:hAnsi="Cambria"/>
              </w:rPr>
            </w:pPr>
            <w:r>
              <w:rPr>
                <w:rFonts w:eastAsia="Cambria"/>
              </w:rPr>
              <w:t>Adopted</w:t>
            </w:r>
          </w:p>
        </w:tc>
      </w:tr>
      <w:tr w:rsidR="00723F18" w14:paraId="606FF33E" w14:textId="77777777" w:rsidTr="00723F18">
        <w:tc>
          <w:tcPr>
            <w:tcW w:w="1560" w:type="dxa"/>
          </w:tcPr>
          <w:p w14:paraId="326947B7" w14:textId="77777777" w:rsidR="00723F18" w:rsidRDefault="00000000">
            <w:pPr>
              <w:pStyle w:val="Compact"/>
              <w:widowControl w:val="0"/>
              <w:rPr>
                <w:rFonts w:ascii="Cambria" w:eastAsia="Cambria" w:hAnsi="Cambria"/>
              </w:rPr>
            </w:pPr>
            <w:r>
              <w:rPr>
                <w:rFonts w:eastAsia="Cambria"/>
              </w:rPr>
              <w:t>Deferred asset release</w:t>
            </w:r>
          </w:p>
        </w:tc>
        <w:tc>
          <w:tcPr>
            <w:tcW w:w="1559" w:type="dxa"/>
          </w:tcPr>
          <w:p w14:paraId="0BF10AA8" w14:textId="77777777" w:rsidR="00723F18" w:rsidRDefault="00000000">
            <w:pPr>
              <w:pStyle w:val="Compact"/>
              <w:widowControl w:val="0"/>
              <w:rPr>
                <w:rFonts w:ascii="Cambria" w:eastAsia="Cambria" w:hAnsi="Cambria"/>
              </w:rPr>
            </w:pPr>
            <w:r>
              <w:rPr>
                <w:rFonts w:eastAsia="Cambria"/>
              </w:rPr>
              <w:t>Largest financial win</w:t>
            </w:r>
          </w:p>
        </w:tc>
        <w:tc>
          <w:tcPr>
            <w:tcW w:w="1560" w:type="dxa"/>
          </w:tcPr>
          <w:p w14:paraId="393273F9" w14:textId="77777777" w:rsidR="00723F18" w:rsidRDefault="00000000">
            <w:pPr>
              <w:pStyle w:val="Compact"/>
              <w:widowControl w:val="0"/>
              <w:rPr>
                <w:rFonts w:ascii="Cambria" w:eastAsia="Cambria" w:hAnsi="Cambria"/>
              </w:rPr>
            </w:pPr>
            <w:r>
              <w:rPr>
                <w:rFonts w:eastAsia="Cambria"/>
              </w:rPr>
              <w:t>No payment to passage</w:t>
            </w:r>
          </w:p>
        </w:tc>
        <w:tc>
          <w:tcPr>
            <w:tcW w:w="1561" w:type="dxa"/>
          </w:tcPr>
          <w:p w14:paraId="5F97DFFC" w14:textId="77777777" w:rsidR="00723F18" w:rsidRDefault="00000000">
            <w:pPr>
              <w:pStyle w:val="Compact"/>
              <w:widowControl w:val="0"/>
              <w:rPr>
                <w:rFonts w:ascii="Cambria" w:eastAsia="Cambria" w:hAnsi="Cambria"/>
              </w:rPr>
            </w:pPr>
            <w:r>
              <w:rPr>
                <w:rFonts w:eastAsia="Cambria"/>
              </w:rPr>
              <w:t>Compatible</w:t>
            </w:r>
          </w:p>
        </w:tc>
        <w:tc>
          <w:tcPr>
            <w:tcW w:w="1559" w:type="dxa"/>
          </w:tcPr>
          <w:p w14:paraId="6078C027" w14:textId="77777777" w:rsidR="00723F18" w:rsidRDefault="00000000">
            <w:pPr>
              <w:pStyle w:val="Compact"/>
              <w:widowControl w:val="0"/>
              <w:rPr>
                <w:rFonts w:ascii="Cambria" w:eastAsia="Cambria" w:hAnsi="Cambria"/>
              </w:rPr>
            </w:pPr>
            <w:r>
              <w:rPr>
                <w:rFonts w:eastAsia="Cambria"/>
              </w:rPr>
              <w:t>Compatible</w:t>
            </w:r>
          </w:p>
        </w:tc>
        <w:tc>
          <w:tcPr>
            <w:tcW w:w="1560" w:type="dxa"/>
          </w:tcPr>
          <w:p w14:paraId="137090CE" w14:textId="77777777" w:rsidR="00723F18" w:rsidRDefault="00000000">
            <w:pPr>
              <w:pStyle w:val="Compact"/>
              <w:widowControl w:val="0"/>
              <w:rPr>
                <w:rFonts w:ascii="Cambria" w:eastAsia="Cambria" w:hAnsi="Cambria"/>
              </w:rPr>
            </w:pPr>
            <w:r>
              <w:rPr>
                <w:rFonts w:eastAsia="Cambria"/>
              </w:rPr>
              <w:t>Adopted as Channel One</w:t>
            </w:r>
          </w:p>
        </w:tc>
      </w:tr>
      <w:tr w:rsidR="00723F18" w14:paraId="0C63B700" w14:textId="77777777" w:rsidTr="00723F18">
        <w:tc>
          <w:tcPr>
            <w:tcW w:w="1560" w:type="dxa"/>
          </w:tcPr>
          <w:p w14:paraId="41D38B82" w14:textId="77777777" w:rsidR="00723F18" w:rsidRDefault="00000000">
            <w:pPr>
              <w:pStyle w:val="Compact"/>
              <w:widowControl w:val="0"/>
              <w:rPr>
                <w:rFonts w:ascii="Cambria" w:eastAsia="Cambria" w:hAnsi="Cambria"/>
              </w:rPr>
            </w:pPr>
            <w:r>
              <w:rPr>
                <w:rFonts w:eastAsia="Cambria"/>
              </w:rPr>
              <w:t>Multilateral fee</w:t>
            </w:r>
          </w:p>
        </w:tc>
        <w:tc>
          <w:tcPr>
            <w:tcW w:w="1559" w:type="dxa"/>
          </w:tcPr>
          <w:p w14:paraId="6B9BC8F9" w14:textId="77777777" w:rsidR="00723F18" w:rsidRDefault="00000000">
            <w:pPr>
              <w:pStyle w:val="Compact"/>
              <w:widowControl w:val="0"/>
              <w:rPr>
                <w:rFonts w:ascii="Cambria" w:eastAsia="Cambria" w:hAnsi="Cambria"/>
              </w:rPr>
            </w:pPr>
            <w:r>
              <w:rPr>
                <w:rFonts w:eastAsia="Cambria"/>
              </w:rPr>
              <w:t>Legitimized share</w:t>
            </w:r>
          </w:p>
        </w:tc>
        <w:tc>
          <w:tcPr>
            <w:tcW w:w="1560" w:type="dxa"/>
          </w:tcPr>
          <w:p w14:paraId="5279F4FD" w14:textId="77777777" w:rsidR="00723F18" w:rsidRDefault="00000000">
            <w:pPr>
              <w:pStyle w:val="Compact"/>
              <w:widowControl w:val="0"/>
              <w:rPr>
                <w:rFonts w:ascii="Cambria" w:eastAsia="Cambria" w:hAnsi="Cambria"/>
              </w:rPr>
            </w:pPr>
            <w:r>
              <w:rPr>
                <w:rFonts w:eastAsia="Cambria"/>
              </w:rPr>
              <w:t>Slow, still prices hulls</w:t>
            </w:r>
          </w:p>
        </w:tc>
        <w:tc>
          <w:tcPr>
            <w:tcW w:w="1561" w:type="dxa"/>
          </w:tcPr>
          <w:p w14:paraId="2BB8638E" w14:textId="77777777" w:rsidR="00723F18" w:rsidRDefault="00000000">
            <w:pPr>
              <w:pStyle w:val="Compact"/>
              <w:widowControl w:val="0"/>
              <w:rPr>
                <w:rFonts w:ascii="Cambria" w:eastAsia="Cambria" w:hAnsi="Cambria"/>
              </w:rPr>
            </w:pPr>
            <w:r>
              <w:rPr>
                <w:rFonts w:eastAsia="Cambria"/>
              </w:rPr>
              <w:t>Disfavored</w:t>
            </w:r>
          </w:p>
        </w:tc>
        <w:tc>
          <w:tcPr>
            <w:tcW w:w="1559" w:type="dxa"/>
          </w:tcPr>
          <w:p w14:paraId="5BD009AA" w14:textId="77777777" w:rsidR="00723F18" w:rsidRDefault="00000000">
            <w:pPr>
              <w:pStyle w:val="Compact"/>
              <w:widowControl w:val="0"/>
              <w:rPr>
                <w:rFonts w:ascii="Cambria" w:eastAsia="Cambria" w:hAnsi="Cambria"/>
              </w:rPr>
            </w:pPr>
            <w:r>
              <w:rPr>
                <w:rFonts w:eastAsia="Cambria"/>
              </w:rPr>
              <w:t>Neutral</w:t>
            </w:r>
          </w:p>
        </w:tc>
        <w:tc>
          <w:tcPr>
            <w:tcW w:w="1560" w:type="dxa"/>
          </w:tcPr>
          <w:p w14:paraId="570F98BF" w14:textId="77777777" w:rsidR="00723F18" w:rsidRDefault="00000000">
            <w:pPr>
              <w:pStyle w:val="Compact"/>
              <w:widowControl w:val="0"/>
              <w:rPr>
                <w:rFonts w:ascii="Cambria" w:eastAsia="Cambria" w:hAnsi="Cambria"/>
              </w:rPr>
            </w:pPr>
            <w:r>
              <w:rPr>
                <w:rFonts w:eastAsia="Cambria"/>
              </w:rPr>
              <w:t>Rejected; distribution logic migrated</w:t>
            </w:r>
          </w:p>
        </w:tc>
      </w:tr>
      <w:tr w:rsidR="00723F18" w14:paraId="1C85A03F" w14:textId="77777777" w:rsidTr="00723F18">
        <w:tc>
          <w:tcPr>
            <w:tcW w:w="1560" w:type="dxa"/>
          </w:tcPr>
          <w:p w14:paraId="687025C8" w14:textId="77777777" w:rsidR="00723F18" w:rsidRDefault="00000000">
            <w:pPr>
              <w:pStyle w:val="Compact"/>
              <w:widowControl w:val="0"/>
              <w:rPr>
                <w:rFonts w:ascii="Cambria" w:eastAsia="Cambria" w:hAnsi="Cambria"/>
              </w:rPr>
            </w:pPr>
            <w:r>
              <w:rPr>
                <w:rFonts w:eastAsia="Cambria"/>
              </w:rPr>
              <w:t>Data marketplace</w:t>
            </w:r>
          </w:p>
        </w:tc>
        <w:tc>
          <w:tcPr>
            <w:tcW w:w="1559" w:type="dxa"/>
          </w:tcPr>
          <w:p w14:paraId="31665EFF" w14:textId="77777777" w:rsidR="00723F18" w:rsidRDefault="00000000">
            <w:pPr>
              <w:pStyle w:val="Compact"/>
              <w:widowControl w:val="0"/>
              <w:rPr>
                <w:rFonts w:ascii="Cambria" w:eastAsia="Cambria" w:hAnsi="Cambria"/>
              </w:rPr>
            </w:pPr>
            <w:r>
              <w:rPr>
                <w:rFonts w:eastAsia="Cambria"/>
              </w:rPr>
              <w:t>New revenue line</w:t>
            </w:r>
          </w:p>
        </w:tc>
        <w:tc>
          <w:tcPr>
            <w:tcW w:w="1560" w:type="dxa"/>
          </w:tcPr>
          <w:p w14:paraId="3F572159" w14:textId="77777777" w:rsidR="00723F18" w:rsidRDefault="00000000">
            <w:pPr>
              <w:pStyle w:val="Compact"/>
              <w:widowControl w:val="0"/>
              <w:rPr>
                <w:rFonts w:ascii="Cambria" w:eastAsia="Cambria" w:hAnsi="Cambria"/>
              </w:rPr>
            </w:pPr>
            <w:r>
              <w:rPr>
                <w:rFonts w:eastAsia="Cambria"/>
              </w:rPr>
              <w:t>No passage fee</w:t>
            </w:r>
          </w:p>
        </w:tc>
        <w:tc>
          <w:tcPr>
            <w:tcW w:w="1561" w:type="dxa"/>
          </w:tcPr>
          <w:p w14:paraId="0CA71C77" w14:textId="77777777" w:rsidR="00723F18" w:rsidRDefault="00000000">
            <w:pPr>
              <w:pStyle w:val="Compact"/>
              <w:widowControl w:val="0"/>
              <w:rPr>
                <w:rFonts w:ascii="Cambria" w:eastAsia="Cambria" w:hAnsi="Cambria"/>
              </w:rPr>
            </w:pPr>
            <w:r>
              <w:rPr>
                <w:rFonts w:eastAsia="Cambria"/>
              </w:rPr>
              <w:t>Compatible</w:t>
            </w:r>
          </w:p>
        </w:tc>
        <w:tc>
          <w:tcPr>
            <w:tcW w:w="1559" w:type="dxa"/>
          </w:tcPr>
          <w:p w14:paraId="01FBBF80" w14:textId="77777777" w:rsidR="00723F18" w:rsidRDefault="00000000">
            <w:pPr>
              <w:pStyle w:val="Compact"/>
              <w:widowControl w:val="0"/>
              <w:rPr>
                <w:rFonts w:ascii="Cambria" w:eastAsia="Cambria" w:hAnsi="Cambria"/>
              </w:rPr>
            </w:pPr>
            <w:r>
              <w:rPr>
                <w:rFonts w:eastAsia="Cambria"/>
              </w:rPr>
              <w:t>Compatible</w:t>
            </w:r>
          </w:p>
        </w:tc>
        <w:tc>
          <w:tcPr>
            <w:tcW w:w="1560" w:type="dxa"/>
          </w:tcPr>
          <w:p w14:paraId="31EE42CE" w14:textId="77777777" w:rsidR="00723F18" w:rsidRDefault="00000000">
            <w:pPr>
              <w:pStyle w:val="Compact"/>
              <w:widowControl w:val="0"/>
              <w:rPr>
                <w:rFonts w:ascii="Cambria" w:eastAsia="Cambria" w:hAnsi="Cambria"/>
              </w:rPr>
            </w:pPr>
            <w:r>
              <w:rPr>
                <w:rFonts w:eastAsia="Cambria"/>
              </w:rPr>
              <w:t>Adopted as Channel Three</w:t>
            </w:r>
          </w:p>
        </w:tc>
      </w:tr>
      <w:tr w:rsidR="00723F18" w14:paraId="775D7CEE" w14:textId="77777777" w:rsidTr="00723F18">
        <w:tc>
          <w:tcPr>
            <w:tcW w:w="1560" w:type="dxa"/>
          </w:tcPr>
          <w:p w14:paraId="4D615F56" w14:textId="77777777" w:rsidR="00723F18" w:rsidRDefault="00000000">
            <w:pPr>
              <w:pStyle w:val="Compact"/>
              <w:widowControl w:val="0"/>
              <w:rPr>
                <w:rFonts w:ascii="Cambria" w:eastAsia="Cambria" w:hAnsi="Cambria"/>
              </w:rPr>
            </w:pPr>
            <w:r>
              <w:rPr>
                <w:rFonts w:eastAsia="Cambria"/>
              </w:rPr>
              <w:t>Infrastructure bond</w:t>
            </w:r>
          </w:p>
        </w:tc>
        <w:tc>
          <w:tcPr>
            <w:tcW w:w="1559" w:type="dxa"/>
          </w:tcPr>
          <w:p w14:paraId="2B9346E7" w14:textId="77777777" w:rsidR="00723F18" w:rsidRDefault="00000000">
            <w:pPr>
              <w:pStyle w:val="Compact"/>
              <w:widowControl w:val="0"/>
              <w:rPr>
                <w:rFonts w:ascii="Cambria" w:eastAsia="Cambria" w:hAnsi="Cambria"/>
              </w:rPr>
            </w:pPr>
            <w:r>
              <w:rPr>
                <w:rFonts w:eastAsia="Cambria"/>
              </w:rPr>
              <w:t>Management role and fee</w:t>
            </w:r>
          </w:p>
        </w:tc>
        <w:tc>
          <w:tcPr>
            <w:tcW w:w="1560" w:type="dxa"/>
          </w:tcPr>
          <w:p w14:paraId="4C13CB88" w14:textId="77777777" w:rsidR="00723F18" w:rsidRDefault="00000000">
            <w:pPr>
              <w:pStyle w:val="Compact"/>
              <w:widowControl w:val="0"/>
              <w:rPr>
                <w:rFonts w:ascii="Cambria" w:eastAsia="Cambria" w:hAnsi="Cambria"/>
              </w:rPr>
            </w:pPr>
            <w:r>
              <w:rPr>
                <w:rFonts w:eastAsia="Cambria"/>
              </w:rPr>
              <w:t>Voluntary investment</w:t>
            </w:r>
          </w:p>
        </w:tc>
        <w:tc>
          <w:tcPr>
            <w:tcW w:w="1561" w:type="dxa"/>
          </w:tcPr>
          <w:p w14:paraId="2E74026A" w14:textId="77777777" w:rsidR="00723F18" w:rsidRDefault="00000000">
            <w:pPr>
              <w:pStyle w:val="Compact"/>
              <w:widowControl w:val="0"/>
              <w:rPr>
                <w:rFonts w:ascii="Cambria" w:eastAsia="Cambria" w:hAnsi="Cambria"/>
              </w:rPr>
            </w:pPr>
            <w:r>
              <w:rPr>
                <w:rFonts w:eastAsia="Cambria"/>
              </w:rPr>
              <w:t>Compatible</w:t>
            </w:r>
          </w:p>
        </w:tc>
        <w:tc>
          <w:tcPr>
            <w:tcW w:w="1559" w:type="dxa"/>
          </w:tcPr>
          <w:p w14:paraId="338D6677" w14:textId="77777777" w:rsidR="00723F18" w:rsidRDefault="00000000">
            <w:pPr>
              <w:pStyle w:val="Compact"/>
              <w:widowControl w:val="0"/>
              <w:rPr>
                <w:rFonts w:ascii="Cambria" w:eastAsia="Cambria" w:hAnsi="Cambria"/>
              </w:rPr>
            </w:pPr>
            <w:r>
              <w:rPr>
                <w:rFonts w:eastAsia="Cambria"/>
              </w:rPr>
              <w:t>Compatible</w:t>
            </w:r>
          </w:p>
        </w:tc>
        <w:tc>
          <w:tcPr>
            <w:tcW w:w="1560" w:type="dxa"/>
          </w:tcPr>
          <w:p w14:paraId="52A0A16C" w14:textId="77777777" w:rsidR="00723F18" w:rsidRDefault="00000000">
            <w:pPr>
              <w:pStyle w:val="Compact"/>
              <w:widowControl w:val="0"/>
              <w:rPr>
                <w:rFonts w:ascii="Cambria" w:eastAsia="Cambria" w:hAnsi="Cambria"/>
              </w:rPr>
            </w:pPr>
            <w:r>
              <w:rPr>
                <w:rFonts w:eastAsia="Cambria"/>
              </w:rPr>
              <w:t>Adopted, second window</w:t>
            </w:r>
          </w:p>
        </w:tc>
      </w:tr>
    </w:tbl>
    <w:p w14:paraId="588EA85A" w14:textId="77777777" w:rsidR="00723F18" w:rsidRDefault="00000000">
      <w:pPr>
        <w:pStyle w:val="BodyText"/>
      </w:pPr>
      <w:bookmarkStart w:id="448" w:name="annex-c-the-tolls-settlement-compendium"/>
      <w:bookmarkStart w:id="449" w:name="c.14-the-red-line-screen"/>
      <w:r>
        <w:rPr>
          <w:i/>
          <w:iCs/>
        </w:rPr>
        <w:t>Table C.1: The ten models against the four red-line screens.</w:t>
      </w:r>
      <w:bookmarkEnd w:id="448"/>
      <w:bookmarkEnd w:id="449"/>
    </w:p>
    <w:p w14:paraId="73DD6221" w14:textId="77777777" w:rsidR="00723F18" w:rsidRDefault="00000000">
      <w:pPr>
        <w:pStyle w:val="Heading1"/>
      </w:pPr>
      <w:bookmarkStart w:id="450" w:name="__RefHeading___Toc6576_2939721771"/>
      <w:bookmarkEnd w:id="450"/>
      <w:r>
        <w:t>Annex D: The Verification Schedule</w:t>
      </w:r>
    </w:p>
    <w:p w14:paraId="0F0A793D" w14:textId="77777777" w:rsidR="00723F18" w:rsidRDefault="00000000">
      <w:pPr>
        <w:pStyle w:val="Heading2"/>
      </w:pPr>
      <w:bookmarkStart w:id="451" w:name="__RefHeading___Toc6578_2939721771"/>
      <w:bookmarkEnd w:id="451"/>
      <w:r>
        <w:t>D.1 Evidence streams</w:t>
      </w:r>
    </w:p>
    <w:tbl>
      <w:tblPr>
        <w:tblStyle w:val="Table"/>
        <w:tblW w:w="5000" w:type="pct"/>
        <w:tblInd w:w="0" w:type="dxa"/>
        <w:tblLayout w:type="fixed"/>
        <w:tblLook w:val="0020" w:firstRow="1" w:lastRow="0" w:firstColumn="0" w:lastColumn="0" w:noHBand="0" w:noVBand="0"/>
      </w:tblPr>
      <w:tblGrid>
        <w:gridCol w:w="2394"/>
        <w:gridCol w:w="2394"/>
        <w:gridCol w:w="2394"/>
        <w:gridCol w:w="2394"/>
      </w:tblGrid>
      <w:tr w:rsidR="00723F18" w14:paraId="4393553E"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1FD9C658" w14:textId="77777777" w:rsidR="00723F18" w:rsidRDefault="00000000">
            <w:pPr>
              <w:pStyle w:val="Compact"/>
              <w:widowControl w:val="0"/>
              <w:rPr>
                <w:rFonts w:ascii="Cambria" w:eastAsia="Cambria" w:hAnsi="Cambria"/>
              </w:rPr>
            </w:pPr>
            <w:r>
              <w:rPr>
                <w:rFonts w:eastAsia="Cambria"/>
                <w:b/>
                <w:bCs/>
              </w:rPr>
              <w:t>Stream</w:t>
            </w:r>
          </w:p>
        </w:tc>
        <w:tc>
          <w:tcPr>
            <w:tcW w:w="2340" w:type="dxa"/>
            <w:tcBorders>
              <w:bottom w:val="single" w:sz="6" w:space="0" w:color="000000"/>
            </w:tcBorders>
          </w:tcPr>
          <w:p w14:paraId="009AE5C1" w14:textId="77777777" w:rsidR="00723F18" w:rsidRDefault="00000000">
            <w:pPr>
              <w:pStyle w:val="Compact"/>
              <w:widowControl w:val="0"/>
              <w:rPr>
                <w:rFonts w:ascii="Cambria" w:eastAsia="Cambria" w:hAnsi="Cambria"/>
              </w:rPr>
            </w:pPr>
            <w:r>
              <w:rPr>
                <w:rFonts w:eastAsia="Cambria"/>
                <w:b/>
                <w:bCs/>
              </w:rPr>
              <w:t>Source</w:t>
            </w:r>
          </w:p>
        </w:tc>
        <w:tc>
          <w:tcPr>
            <w:tcW w:w="2340" w:type="dxa"/>
            <w:tcBorders>
              <w:bottom w:val="single" w:sz="6" w:space="0" w:color="000000"/>
            </w:tcBorders>
          </w:tcPr>
          <w:p w14:paraId="516CD10A" w14:textId="77777777" w:rsidR="00723F18" w:rsidRDefault="00000000">
            <w:pPr>
              <w:pStyle w:val="Compact"/>
              <w:widowControl w:val="0"/>
              <w:rPr>
                <w:rFonts w:ascii="Cambria" w:eastAsia="Cambria" w:hAnsi="Cambria"/>
              </w:rPr>
            </w:pPr>
            <w:r>
              <w:rPr>
                <w:rFonts w:eastAsia="Cambria"/>
                <w:b/>
                <w:bCs/>
              </w:rPr>
              <w:t>Latency</w:t>
            </w:r>
          </w:p>
        </w:tc>
        <w:tc>
          <w:tcPr>
            <w:tcW w:w="2340" w:type="dxa"/>
            <w:tcBorders>
              <w:bottom w:val="single" w:sz="6" w:space="0" w:color="000000"/>
            </w:tcBorders>
          </w:tcPr>
          <w:p w14:paraId="569C41C0" w14:textId="77777777" w:rsidR="00723F18" w:rsidRDefault="00000000">
            <w:pPr>
              <w:pStyle w:val="Compact"/>
              <w:widowControl w:val="0"/>
              <w:rPr>
                <w:rFonts w:ascii="Cambria" w:eastAsia="Cambria" w:hAnsi="Cambria"/>
              </w:rPr>
            </w:pPr>
            <w:r>
              <w:rPr>
                <w:rFonts w:eastAsia="Cambria"/>
                <w:b/>
                <w:bCs/>
              </w:rPr>
              <w:t>Custody</w:t>
            </w:r>
          </w:p>
        </w:tc>
      </w:tr>
      <w:tr w:rsidR="00723F18" w14:paraId="1E3ACCF7" w14:textId="77777777" w:rsidTr="00723F18">
        <w:tc>
          <w:tcPr>
            <w:tcW w:w="2339" w:type="dxa"/>
          </w:tcPr>
          <w:p w14:paraId="0639F3FC" w14:textId="77777777" w:rsidR="00723F18" w:rsidRDefault="00000000">
            <w:pPr>
              <w:pStyle w:val="Compact"/>
              <w:widowControl w:val="0"/>
              <w:rPr>
                <w:rFonts w:ascii="Cambria" w:eastAsia="Cambria" w:hAnsi="Cambria"/>
              </w:rPr>
            </w:pPr>
            <w:r>
              <w:rPr>
                <w:rFonts w:eastAsia="Cambria"/>
              </w:rPr>
              <w:t>Vessel identification signals</w:t>
            </w:r>
          </w:p>
        </w:tc>
        <w:tc>
          <w:tcPr>
            <w:tcW w:w="2340" w:type="dxa"/>
          </w:tcPr>
          <w:p w14:paraId="7851B075" w14:textId="77777777" w:rsidR="00723F18" w:rsidRDefault="00000000">
            <w:pPr>
              <w:pStyle w:val="Compact"/>
              <w:widowControl w:val="0"/>
              <w:rPr>
                <w:rFonts w:ascii="Cambria" w:eastAsia="Cambria" w:hAnsi="Cambria"/>
              </w:rPr>
            </w:pPr>
            <w:r>
              <w:rPr>
                <w:rFonts w:eastAsia="Cambria"/>
              </w:rPr>
              <w:t>Transiting vessels</w:t>
            </w:r>
          </w:p>
        </w:tc>
        <w:tc>
          <w:tcPr>
            <w:tcW w:w="2340" w:type="dxa"/>
          </w:tcPr>
          <w:p w14:paraId="70EB7542" w14:textId="77777777" w:rsidR="00723F18" w:rsidRDefault="00000000">
            <w:pPr>
              <w:pStyle w:val="Compact"/>
              <w:widowControl w:val="0"/>
              <w:rPr>
                <w:rFonts w:ascii="Cambria" w:eastAsia="Cambria" w:hAnsi="Cambria"/>
              </w:rPr>
            </w:pPr>
            <w:r>
              <w:rPr>
                <w:rFonts w:eastAsia="Cambria"/>
              </w:rPr>
              <w:t>Real time</w:t>
            </w:r>
          </w:p>
        </w:tc>
        <w:tc>
          <w:tcPr>
            <w:tcW w:w="2340" w:type="dxa"/>
          </w:tcPr>
          <w:p w14:paraId="13FE4F74" w14:textId="77777777" w:rsidR="00723F18" w:rsidRDefault="00000000">
            <w:pPr>
              <w:pStyle w:val="Compact"/>
              <w:widowControl w:val="0"/>
              <w:rPr>
                <w:rFonts w:ascii="Cambria" w:eastAsia="Cambria" w:hAnsi="Cambria"/>
              </w:rPr>
            </w:pPr>
            <w:r>
              <w:rPr>
                <w:rFonts w:eastAsia="Cambria"/>
              </w:rPr>
              <w:t>Triple-copy vault</w:t>
            </w:r>
          </w:p>
        </w:tc>
      </w:tr>
      <w:tr w:rsidR="00723F18" w14:paraId="65AADFDA" w14:textId="77777777" w:rsidTr="00723F18">
        <w:tc>
          <w:tcPr>
            <w:tcW w:w="2339" w:type="dxa"/>
          </w:tcPr>
          <w:p w14:paraId="50D5DF92" w14:textId="77777777" w:rsidR="00723F18" w:rsidRDefault="00000000">
            <w:pPr>
              <w:pStyle w:val="Compact"/>
              <w:widowControl w:val="0"/>
              <w:rPr>
                <w:rFonts w:ascii="Cambria" w:eastAsia="Cambria" w:hAnsi="Cambria"/>
              </w:rPr>
            </w:pPr>
            <w:r>
              <w:rPr>
                <w:rFonts w:eastAsia="Cambria"/>
              </w:rPr>
              <w:t>Coastal radar picture</w:t>
            </w:r>
          </w:p>
        </w:tc>
        <w:tc>
          <w:tcPr>
            <w:tcW w:w="2340" w:type="dxa"/>
          </w:tcPr>
          <w:p w14:paraId="37EEB496" w14:textId="77777777" w:rsidR="00723F18" w:rsidRDefault="00000000">
            <w:pPr>
              <w:pStyle w:val="Compact"/>
              <w:widowControl w:val="0"/>
              <w:rPr>
                <w:rFonts w:ascii="Cambria" w:eastAsia="Cambria" w:hAnsi="Cambria"/>
              </w:rPr>
            </w:pPr>
            <w:r>
              <w:rPr>
                <w:rFonts w:eastAsia="Cambria"/>
              </w:rPr>
              <w:t>Steward radar networks</w:t>
            </w:r>
          </w:p>
        </w:tc>
        <w:tc>
          <w:tcPr>
            <w:tcW w:w="2340" w:type="dxa"/>
          </w:tcPr>
          <w:p w14:paraId="5B92C272" w14:textId="77777777" w:rsidR="00723F18" w:rsidRDefault="00000000">
            <w:pPr>
              <w:pStyle w:val="Compact"/>
              <w:widowControl w:val="0"/>
              <w:rPr>
                <w:rFonts w:ascii="Cambria" w:eastAsia="Cambria" w:hAnsi="Cambria"/>
              </w:rPr>
            </w:pPr>
            <w:r>
              <w:rPr>
                <w:rFonts w:eastAsia="Cambria"/>
              </w:rPr>
              <w:t>Real time</w:t>
            </w:r>
          </w:p>
        </w:tc>
        <w:tc>
          <w:tcPr>
            <w:tcW w:w="2340" w:type="dxa"/>
          </w:tcPr>
          <w:p w14:paraId="283A7518" w14:textId="77777777" w:rsidR="00723F18" w:rsidRDefault="00000000">
            <w:pPr>
              <w:pStyle w:val="Compact"/>
              <w:widowControl w:val="0"/>
              <w:rPr>
                <w:rFonts w:ascii="Cambria" w:eastAsia="Cambria" w:hAnsi="Cambria"/>
              </w:rPr>
            </w:pPr>
            <w:r>
              <w:rPr>
                <w:rFonts w:eastAsia="Cambria"/>
              </w:rPr>
              <w:t>Triple-copy vault</w:t>
            </w:r>
          </w:p>
        </w:tc>
      </w:tr>
      <w:tr w:rsidR="00723F18" w14:paraId="009FB800" w14:textId="77777777" w:rsidTr="00723F18">
        <w:tc>
          <w:tcPr>
            <w:tcW w:w="2339" w:type="dxa"/>
          </w:tcPr>
          <w:p w14:paraId="675A88A2" w14:textId="77777777" w:rsidR="00723F18" w:rsidRDefault="00000000">
            <w:pPr>
              <w:pStyle w:val="Compact"/>
              <w:widowControl w:val="0"/>
              <w:rPr>
                <w:rFonts w:ascii="Cambria" w:eastAsia="Cambria" w:hAnsi="Cambria"/>
              </w:rPr>
            </w:pPr>
            <w:r>
              <w:rPr>
                <w:rFonts w:eastAsia="Cambria"/>
              </w:rPr>
              <w:t>Satellite radar imagery</w:t>
            </w:r>
          </w:p>
        </w:tc>
        <w:tc>
          <w:tcPr>
            <w:tcW w:w="2340" w:type="dxa"/>
          </w:tcPr>
          <w:p w14:paraId="173891E9" w14:textId="77777777" w:rsidR="00723F18" w:rsidRDefault="00000000">
            <w:pPr>
              <w:pStyle w:val="Compact"/>
              <w:widowControl w:val="0"/>
              <w:rPr>
                <w:rFonts w:ascii="Cambria" w:eastAsia="Cambria" w:hAnsi="Cambria"/>
              </w:rPr>
            </w:pPr>
            <w:r>
              <w:rPr>
                <w:rFonts w:eastAsia="Cambria"/>
              </w:rPr>
              <w:t>Commercial constellation feed</w:t>
            </w:r>
          </w:p>
        </w:tc>
        <w:tc>
          <w:tcPr>
            <w:tcW w:w="2340" w:type="dxa"/>
          </w:tcPr>
          <w:p w14:paraId="70425010" w14:textId="77777777" w:rsidR="00723F18" w:rsidRDefault="00000000">
            <w:pPr>
              <w:pStyle w:val="Compact"/>
              <w:widowControl w:val="0"/>
              <w:rPr>
                <w:rFonts w:ascii="Cambria" w:eastAsia="Cambria" w:hAnsi="Cambria"/>
              </w:rPr>
            </w:pPr>
            <w:r>
              <w:rPr>
                <w:rFonts w:eastAsia="Cambria"/>
              </w:rPr>
              <w:t>Fifteen (15) minutes</w:t>
            </w:r>
          </w:p>
        </w:tc>
        <w:tc>
          <w:tcPr>
            <w:tcW w:w="2340" w:type="dxa"/>
          </w:tcPr>
          <w:p w14:paraId="3B066D66" w14:textId="77777777" w:rsidR="00723F18" w:rsidRDefault="00000000">
            <w:pPr>
              <w:pStyle w:val="Compact"/>
              <w:widowControl w:val="0"/>
              <w:rPr>
                <w:rFonts w:ascii="Cambria" w:eastAsia="Cambria" w:hAnsi="Cambria"/>
              </w:rPr>
            </w:pPr>
            <w:r>
              <w:rPr>
                <w:rFonts w:eastAsia="Cambria"/>
              </w:rPr>
              <w:t>Triple-copy vault</w:t>
            </w:r>
          </w:p>
        </w:tc>
      </w:tr>
      <w:tr w:rsidR="00723F18" w14:paraId="0451FB18" w14:textId="77777777" w:rsidTr="00723F18">
        <w:tc>
          <w:tcPr>
            <w:tcW w:w="2339" w:type="dxa"/>
          </w:tcPr>
          <w:p w14:paraId="0A629897" w14:textId="77777777" w:rsidR="00723F18" w:rsidRDefault="00000000">
            <w:pPr>
              <w:pStyle w:val="Compact"/>
              <w:widowControl w:val="0"/>
              <w:rPr>
                <w:rFonts w:ascii="Cambria" w:eastAsia="Cambria" w:hAnsi="Cambria"/>
              </w:rPr>
            </w:pPr>
            <w:r>
              <w:rPr>
                <w:rFonts w:eastAsia="Cambria"/>
              </w:rPr>
              <w:t>Seabed acoustic array</w:t>
            </w:r>
          </w:p>
        </w:tc>
        <w:tc>
          <w:tcPr>
            <w:tcW w:w="2340" w:type="dxa"/>
          </w:tcPr>
          <w:p w14:paraId="0384A25E" w14:textId="77777777" w:rsidR="00723F18" w:rsidRDefault="00000000">
            <w:pPr>
              <w:pStyle w:val="Compact"/>
              <w:widowControl w:val="0"/>
              <w:rPr>
                <w:rFonts w:ascii="Cambria" w:eastAsia="Cambria" w:hAnsi="Cambria"/>
              </w:rPr>
            </w:pPr>
            <w:r>
              <w:rPr>
                <w:rFonts w:eastAsia="Cambria"/>
              </w:rPr>
              <w:t>Corridor sensor grid</w:t>
            </w:r>
          </w:p>
        </w:tc>
        <w:tc>
          <w:tcPr>
            <w:tcW w:w="2340" w:type="dxa"/>
          </w:tcPr>
          <w:p w14:paraId="12559009" w14:textId="77777777" w:rsidR="00723F18" w:rsidRDefault="00000000">
            <w:pPr>
              <w:pStyle w:val="Compact"/>
              <w:widowControl w:val="0"/>
              <w:rPr>
                <w:rFonts w:ascii="Cambria" w:eastAsia="Cambria" w:hAnsi="Cambria"/>
              </w:rPr>
            </w:pPr>
            <w:r>
              <w:rPr>
                <w:rFonts w:eastAsia="Cambria"/>
              </w:rPr>
              <w:t>Real time</w:t>
            </w:r>
          </w:p>
        </w:tc>
        <w:tc>
          <w:tcPr>
            <w:tcW w:w="2340" w:type="dxa"/>
          </w:tcPr>
          <w:p w14:paraId="7783549D" w14:textId="77777777" w:rsidR="00723F18" w:rsidRDefault="00000000">
            <w:pPr>
              <w:pStyle w:val="Compact"/>
              <w:widowControl w:val="0"/>
              <w:rPr>
                <w:rFonts w:ascii="Cambria" w:eastAsia="Cambria" w:hAnsi="Cambria"/>
              </w:rPr>
            </w:pPr>
            <w:r>
              <w:rPr>
                <w:rFonts w:eastAsia="Cambria"/>
              </w:rPr>
              <w:t>Triple-copy vault</w:t>
            </w:r>
          </w:p>
        </w:tc>
      </w:tr>
      <w:tr w:rsidR="00723F18" w14:paraId="4F4241D3" w14:textId="77777777" w:rsidTr="00723F18">
        <w:tc>
          <w:tcPr>
            <w:tcW w:w="2339" w:type="dxa"/>
          </w:tcPr>
          <w:p w14:paraId="581A80BD" w14:textId="77777777" w:rsidR="00723F18" w:rsidRDefault="00000000">
            <w:pPr>
              <w:pStyle w:val="Compact"/>
              <w:widowControl w:val="0"/>
              <w:rPr>
                <w:rFonts w:ascii="Cambria" w:eastAsia="Cambria" w:hAnsi="Cambria"/>
              </w:rPr>
            </w:pPr>
            <w:r>
              <w:rPr>
                <w:rFonts w:eastAsia="Cambria"/>
              </w:rPr>
              <w:t>Joint Watch log</w:t>
            </w:r>
          </w:p>
        </w:tc>
        <w:tc>
          <w:tcPr>
            <w:tcW w:w="2340" w:type="dxa"/>
          </w:tcPr>
          <w:p w14:paraId="0BC9B545" w14:textId="77777777" w:rsidR="00723F18" w:rsidRDefault="00000000">
            <w:pPr>
              <w:pStyle w:val="Compact"/>
              <w:widowControl w:val="0"/>
              <w:rPr>
                <w:rFonts w:ascii="Cambria" w:eastAsia="Cambria" w:hAnsi="Cambria"/>
              </w:rPr>
            </w:pPr>
            <w:r>
              <w:rPr>
                <w:rFonts w:eastAsia="Cambria"/>
              </w:rPr>
              <w:t>Watch officers, both centers</w:t>
            </w:r>
          </w:p>
        </w:tc>
        <w:tc>
          <w:tcPr>
            <w:tcW w:w="2340" w:type="dxa"/>
          </w:tcPr>
          <w:p w14:paraId="543BCD0A" w14:textId="77777777" w:rsidR="00723F18" w:rsidRDefault="00000000">
            <w:pPr>
              <w:pStyle w:val="Compact"/>
              <w:widowControl w:val="0"/>
              <w:rPr>
                <w:rFonts w:ascii="Cambria" w:eastAsia="Cambria" w:hAnsi="Cambria"/>
              </w:rPr>
            </w:pPr>
            <w:r>
              <w:rPr>
                <w:rFonts w:eastAsia="Cambria"/>
              </w:rPr>
              <w:t>Immediate</w:t>
            </w:r>
          </w:p>
        </w:tc>
        <w:tc>
          <w:tcPr>
            <w:tcW w:w="2340" w:type="dxa"/>
          </w:tcPr>
          <w:p w14:paraId="1535E296" w14:textId="77777777" w:rsidR="00723F18" w:rsidRDefault="00000000">
            <w:pPr>
              <w:pStyle w:val="Compact"/>
              <w:widowControl w:val="0"/>
              <w:rPr>
                <w:rFonts w:ascii="Cambria" w:eastAsia="Cambria" w:hAnsi="Cambria"/>
              </w:rPr>
            </w:pPr>
            <w:r>
              <w:rPr>
                <w:rFonts w:eastAsia="Cambria"/>
              </w:rPr>
              <w:t>Triple-copy vault</w:t>
            </w:r>
          </w:p>
        </w:tc>
      </w:tr>
      <w:tr w:rsidR="00723F18" w14:paraId="1C614746" w14:textId="77777777" w:rsidTr="00723F18">
        <w:tc>
          <w:tcPr>
            <w:tcW w:w="2339" w:type="dxa"/>
          </w:tcPr>
          <w:p w14:paraId="3BE4115F" w14:textId="77777777" w:rsidR="00723F18" w:rsidRDefault="00000000">
            <w:pPr>
              <w:pStyle w:val="Compact"/>
              <w:widowControl w:val="0"/>
              <w:rPr>
                <w:rFonts w:ascii="Cambria" w:eastAsia="Cambria" w:hAnsi="Cambria"/>
              </w:rPr>
            </w:pPr>
            <w:r>
              <w:rPr>
                <w:rFonts w:eastAsia="Cambria"/>
              </w:rPr>
              <w:t>Observer reports</w:t>
            </w:r>
          </w:p>
        </w:tc>
        <w:tc>
          <w:tcPr>
            <w:tcW w:w="2340" w:type="dxa"/>
          </w:tcPr>
          <w:p w14:paraId="377B3B8F" w14:textId="77777777" w:rsidR="00723F18" w:rsidRDefault="00000000">
            <w:pPr>
              <w:pStyle w:val="Compact"/>
              <w:widowControl w:val="0"/>
              <w:rPr>
                <w:rFonts w:ascii="Cambria" w:eastAsia="Cambria" w:hAnsi="Cambria"/>
              </w:rPr>
            </w:pPr>
            <w:r>
              <w:rPr>
                <w:rFonts w:eastAsia="Cambria"/>
              </w:rPr>
              <w:t>Observer Mission</w:t>
            </w:r>
          </w:p>
        </w:tc>
        <w:tc>
          <w:tcPr>
            <w:tcW w:w="2340" w:type="dxa"/>
          </w:tcPr>
          <w:p w14:paraId="0DA8B2D2" w14:textId="77777777" w:rsidR="00723F18" w:rsidRDefault="00000000">
            <w:pPr>
              <w:pStyle w:val="Compact"/>
              <w:widowControl w:val="0"/>
              <w:rPr>
                <w:rFonts w:ascii="Cambria" w:eastAsia="Cambria" w:hAnsi="Cambria"/>
              </w:rPr>
            </w:pPr>
            <w:r>
              <w:rPr>
                <w:rFonts w:eastAsia="Cambria"/>
              </w:rPr>
              <w:t>Daily</w:t>
            </w:r>
          </w:p>
        </w:tc>
        <w:tc>
          <w:tcPr>
            <w:tcW w:w="2340" w:type="dxa"/>
          </w:tcPr>
          <w:p w14:paraId="1BE0DBE9" w14:textId="77777777" w:rsidR="00723F18" w:rsidRDefault="00000000">
            <w:pPr>
              <w:pStyle w:val="Compact"/>
              <w:widowControl w:val="0"/>
              <w:rPr>
                <w:rFonts w:ascii="Cambria" w:eastAsia="Cambria" w:hAnsi="Cambria"/>
              </w:rPr>
            </w:pPr>
            <w:r>
              <w:rPr>
                <w:rFonts w:eastAsia="Cambria"/>
              </w:rPr>
              <w:t>Triple-copy vault</w:t>
            </w:r>
          </w:p>
        </w:tc>
      </w:tr>
      <w:tr w:rsidR="00723F18" w14:paraId="3DF394FF" w14:textId="77777777" w:rsidTr="00723F18">
        <w:tc>
          <w:tcPr>
            <w:tcW w:w="2339" w:type="dxa"/>
          </w:tcPr>
          <w:p w14:paraId="5AF802CC" w14:textId="77777777" w:rsidR="00723F18" w:rsidRDefault="00000000">
            <w:pPr>
              <w:pStyle w:val="Compact"/>
              <w:widowControl w:val="0"/>
              <w:rPr>
                <w:rFonts w:ascii="Cambria" w:eastAsia="Cambria" w:hAnsi="Cambria"/>
              </w:rPr>
            </w:pPr>
            <w:r>
              <w:rPr>
                <w:rFonts w:eastAsia="Cambria"/>
              </w:rPr>
              <w:t>Ground-truth patrol records</w:t>
            </w:r>
          </w:p>
        </w:tc>
        <w:tc>
          <w:tcPr>
            <w:tcW w:w="2340" w:type="dxa"/>
          </w:tcPr>
          <w:p w14:paraId="7790390D" w14:textId="77777777" w:rsidR="00723F18" w:rsidRDefault="00000000">
            <w:pPr>
              <w:pStyle w:val="Compact"/>
              <w:widowControl w:val="0"/>
              <w:rPr>
                <w:rFonts w:ascii="Cambria" w:eastAsia="Cambria" w:hAnsi="Cambria"/>
              </w:rPr>
            </w:pPr>
            <w:r>
              <w:rPr>
                <w:rFonts w:eastAsia="Cambria"/>
              </w:rPr>
              <w:t>Weekly patrols</w:t>
            </w:r>
          </w:p>
        </w:tc>
        <w:tc>
          <w:tcPr>
            <w:tcW w:w="2340" w:type="dxa"/>
          </w:tcPr>
          <w:p w14:paraId="72E9ABF8" w14:textId="77777777" w:rsidR="00723F18" w:rsidRDefault="00000000">
            <w:pPr>
              <w:pStyle w:val="Compact"/>
              <w:widowControl w:val="0"/>
              <w:rPr>
                <w:rFonts w:ascii="Cambria" w:eastAsia="Cambria" w:hAnsi="Cambria"/>
              </w:rPr>
            </w:pPr>
            <w:r>
              <w:rPr>
                <w:rFonts w:eastAsia="Cambria"/>
              </w:rPr>
              <w:t>Twenty-four (24) hours</w:t>
            </w:r>
          </w:p>
        </w:tc>
        <w:tc>
          <w:tcPr>
            <w:tcW w:w="2340" w:type="dxa"/>
          </w:tcPr>
          <w:p w14:paraId="097739DD" w14:textId="77777777" w:rsidR="00723F18" w:rsidRDefault="00000000">
            <w:pPr>
              <w:pStyle w:val="Compact"/>
              <w:widowControl w:val="0"/>
              <w:rPr>
                <w:rFonts w:ascii="Cambria" w:eastAsia="Cambria" w:hAnsi="Cambria"/>
              </w:rPr>
            </w:pPr>
            <w:r>
              <w:rPr>
                <w:rFonts w:eastAsia="Cambria"/>
              </w:rPr>
              <w:t>Triple-copy vault</w:t>
            </w:r>
          </w:p>
        </w:tc>
      </w:tr>
      <w:tr w:rsidR="00723F18" w14:paraId="663C5392" w14:textId="77777777" w:rsidTr="00723F18">
        <w:tc>
          <w:tcPr>
            <w:tcW w:w="2339" w:type="dxa"/>
          </w:tcPr>
          <w:p w14:paraId="44A7DFF1" w14:textId="77777777" w:rsidR="00723F18" w:rsidRDefault="00000000">
            <w:pPr>
              <w:pStyle w:val="Compact"/>
              <w:widowControl w:val="0"/>
              <w:rPr>
                <w:rFonts w:ascii="Cambria" w:eastAsia="Cambria" w:hAnsi="Cambria"/>
              </w:rPr>
            </w:pPr>
            <w:r>
              <w:rPr>
                <w:rFonts w:eastAsia="Cambria"/>
              </w:rPr>
              <w:lastRenderedPageBreak/>
              <w:t>Fund telemetry</w:t>
            </w:r>
          </w:p>
        </w:tc>
        <w:tc>
          <w:tcPr>
            <w:tcW w:w="2340" w:type="dxa"/>
          </w:tcPr>
          <w:p w14:paraId="7746EA34" w14:textId="77777777" w:rsidR="00723F18" w:rsidRDefault="00000000">
            <w:pPr>
              <w:pStyle w:val="Compact"/>
              <w:widowControl w:val="0"/>
              <w:rPr>
                <w:rFonts w:ascii="Cambria" w:eastAsia="Cambria" w:hAnsi="Cambria"/>
              </w:rPr>
            </w:pPr>
            <w:r>
              <w:rPr>
                <w:rFonts w:eastAsia="Cambria"/>
              </w:rPr>
              <w:t>Doha Economic Desk</w:t>
            </w:r>
          </w:p>
        </w:tc>
        <w:tc>
          <w:tcPr>
            <w:tcW w:w="2340" w:type="dxa"/>
          </w:tcPr>
          <w:p w14:paraId="7693BBEE" w14:textId="77777777" w:rsidR="00723F18" w:rsidRDefault="00000000">
            <w:pPr>
              <w:pStyle w:val="Compact"/>
              <w:widowControl w:val="0"/>
              <w:rPr>
                <w:rFonts w:ascii="Cambria" w:eastAsia="Cambria" w:hAnsi="Cambria"/>
              </w:rPr>
            </w:pPr>
            <w:r>
              <w:rPr>
                <w:rFonts w:eastAsia="Cambria"/>
              </w:rPr>
              <w:t>Real time</w:t>
            </w:r>
          </w:p>
        </w:tc>
        <w:tc>
          <w:tcPr>
            <w:tcW w:w="2340" w:type="dxa"/>
          </w:tcPr>
          <w:p w14:paraId="1C9DA129" w14:textId="77777777" w:rsidR="00723F18" w:rsidRDefault="00000000">
            <w:pPr>
              <w:pStyle w:val="Compact"/>
              <w:widowControl w:val="0"/>
              <w:rPr>
                <w:rFonts w:ascii="Cambria" w:eastAsia="Cambria" w:hAnsi="Cambria"/>
              </w:rPr>
            </w:pPr>
            <w:r>
              <w:rPr>
                <w:rFonts w:eastAsia="Cambria"/>
              </w:rPr>
              <w:t>Triple-copy vault</w:t>
            </w:r>
          </w:p>
        </w:tc>
      </w:tr>
    </w:tbl>
    <w:p w14:paraId="335EF24A" w14:textId="77777777" w:rsidR="00723F18" w:rsidRDefault="00000000">
      <w:pPr>
        <w:pStyle w:val="BodyText"/>
      </w:pPr>
      <w:bookmarkStart w:id="452" w:name="d.1-evidence-streams"/>
      <w:r>
        <w:rPr>
          <w:i/>
          <w:iCs/>
        </w:rPr>
        <w:t>Table D.1: The eight evidence streams.</w:t>
      </w:r>
      <w:bookmarkEnd w:id="452"/>
    </w:p>
    <w:p w14:paraId="5C81CA16" w14:textId="77777777" w:rsidR="00723F18" w:rsidRDefault="00000000">
      <w:pPr>
        <w:pStyle w:val="Heading2"/>
      </w:pPr>
      <w:bookmarkStart w:id="453" w:name="__RefHeading___Toc6580_2939721771"/>
      <w:bookmarkEnd w:id="453"/>
      <w:r>
        <w:t>D.2 The Convergence Matrix</w:t>
      </w:r>
    </w:p>
    <w:p w14:paraId="7A329996" w14:textId="77777777" w:rsidR="00723F18" w:rsidRDefault="00000000">
      <w:pPr>
        <w:pStyle w:val="FirstParagraph"/>
      </w:pPr>
      <w:bookmarkStart w:id="454" w:name="d.2-the-convergence-matrix"/>
      <w:r>
        <w:t>A material finding requires convergence of two independent streams. Corridor count findings: identification signals plus radar picture, or satellite imagery plus signals. Interference findings: acoustic array plus Joint Watch log, or signal-integrity receivers plus observer report. Service delivery findings: delivery record plus recipient confirmation, or telemetry plus observer report. Incident classification findings: any pairing of the above with the forensic record of Article 41.</w:t>
      </w:r>
      <w:bookmarkEnd w:id="454"/>
    </w:p>
    <w:p w14:paraId="023B0968" w14:textId="77777777" w:rsidR="00723F18" w:rsidRDefault="00000000">
      <w:pPr>
        <w:pStyle w:val="Heading2"/>
      </w:pPr>
      <w:bookmarkStart w:id="455" w:name="__RefHeading___Toc6582_2939721771"/>
      <w:bookmarkEnd w:id="455"/>
      <w:r>
        <w:t>D.3 The Technical Arbitration Window roster</w:t>
      </w:r>
    </w:p>
    <w:p w14:paraId="2DE47C47" w14:textId="77777777" w:rsidR="00723F18" w:rsidRDefault="00000000">
      <w:pPr>
        <w:pStyle w:val="FirstParagraph"/>
      </w:pPr>
      <w:bookmarkStart w:id="456" w:name="Xb7bf55caed472df25a550704c56da0f6560e708"/>
      <w:r>
        <w:t>The roster seats nine independent maritime technical experts: three nominated by the IMO, three by the International Chamber of Shipping, and three by the Neutral Administrator. Each referral draws a panel of three by lot, one from each nominating group. A panelist with a conflict on the record steps aside, and the lot draws again.</w:t>
      </w:r>
      <w:bookmarkEnd w:id="456"/>
    </w:p>
    <w:p w14:paraId="31806AB1" w14:textId="77777777" w:rsidR="00723F18" w:rsidRDefault="00000000">
      <w:pPr>
        <w:pStyle w:val="Heading2"/>
      </w:pPr>
      <w:bookmarkStart w:id="457" w:name="__RefHeading___Toc6584_2939721771"/>
      <w:bookmarkEnd w:id="457"/>
      <w:r>
        <w:t>D.4 Ruling standards</w:t>
      </w:r>
    </w:p>
    <w:p w14:paraId="2689C9F1" w14:textId="77777777" w:rsidR="00723F18" w:rsidRDefault="00000000">
      <w:pPr>
        <w:pStyle w:val="FirstParagraph"/>
      </w:pPr>
      <w:bookmarkStart w:id="458" w:name="d.4-ruling-standards"/>
      <w:r>
        <w:t xml:space="preserve">A panel rules on the raw data alone: positions, times, identities, signal integrity, and physical facts. A </w:t>
      </w:r>
      <w:proofErr w:type="gramStart"/>
      <w:r>
        <w:t>ruling states</w:t>
      </w:r>
      <w:proofErr w:type="gramEnd"/>
      <w:r>
        <w:t xml:space="preserve"> the facts found, the streams relied on, and the confidence level. A </w:t>
      </w:r>
      <w:proofErr w:type="gramStart"/>
      <w:r>
        <w:t>ruling</w:t>
      </w:r>
      <w:proofErr w:type="gramEnd"/>
      <w:r>
        <w:t xml:space="preserve"> never states legal conclusions, never names a political actor, and never characterizes intent.</w:t>
      </w:r>
      <w:bookmarkEnd w:id="458"/>
    </w:p>
    <w:p w14:paraId="0F14DA87" w14:textId="77777777" w:rsidR="00723F18" w:rsidRDefault="00000000">
      <w:pPr>
        <w:pStyle w:val="Heading2"/>
      </w:pPr>
      <w:bookmarkStart w:id="459" w:name="__RefHeading___Toc6586_2939721771"/>
      <w:bookmarkEnd w:id="459"/>
      <w:r>
        <w:t>D.5 The degraded-mode protocol</w:t>
      </w:r>
    </w:p>
    <w:p w14:paraId="2E101475" w14:textId="77777777" w:rsidR="00723F18" w:rsidRDefault="00000000">
      <w:pPr>
        <w:pStyle w:val="FirstParagraph"/>
      </w:pPr>
      <w:bookmarkStart w:id="460" w:name="d.5-the-degraded-mode-protocol"/>
      <w:r>
        <w:t>A failed stream triggers the restoration clock of Article 26.3: forty-eight (48) hours to restore, human corroboration carrying the interim, and a technical consultation beyond seventy-two (72) hours. The protocol publishes every degradation event and every restoration on the platform.</w:t>
      </w:r>
      <w:bookmarkEnd w:id="460"/>
    </w:p>
    <w:p w14:paraId="39ED94CF" w14:textId="77777777" w:rsidR="00723F18" w:rsidRDefault="00000000">
      <w:pPr>
        <w:pStyle w:val="Heading2"/>
      </w:pPr>
      <w:bookmarkStart w:id="461" w:name="__RefHeading___Toc6588_2939721771"/>
      <w:bookmarkEnd w:id="461"/>
      <w:r>
        <w:t>D.6 The audit of verification</w:t>
      </w:r>
    </w:p>
    <w:p w14:paraId="6A72ADE7" w14:textId="77777777" w:rsidR="00723F18" w:rsidRDefault="00000000">
      <w:pPr>
        <w:pStyle w:val="FirstParagraph"/>
      </w:pPr>
      <w:bookmarkStart w:id="462" w:name="d.6-the-audit-of-verification"/>
      <w:bookmarkStart w:id="463" w:name="annex-d-the-verification-schedule"/>
      <w:r>
        <w:t xml:space="preserve">The Neutral Administrator audits the verification architecture annually: stream availability percentages, convergence rates, objection handling times, arbitration statistics, and vault integrity proofs. The audit </w:t>
      </w:r>
      <w:proofErr w:type="gramStart"/>
      <w:r>
        <w:t>publishes</w:t>
      </w:r>
      <w:proofErr w:type="gramEnd"/>
      <w:r>
        <w:t xml:space="preserve"> in full, and the Commission reviews it at the annual review conference.</w:t>
      </w:r>
      <w:bookmarkEnd w:id="462"/>
      <w:bookmarkEnd w:id="463"/>
    </w:p>
    <w:p w14:paraId="4C86558D" w14:textId="77777777" w:rsidR="00723F18" w:rsidRDefault="00000000">
      <w:pPr>
        <w:pStyle w:val="Heading1"/>
      </w:pPr>
      <w:bookmarkStart w:id="464" w:name="__RefHeading___Toc6590_2939721771"/>
      <w:bookmarkEnd w:id="464"/>
      <w:r>
        <w:lastRenderedPageBreak/>
        <w:t>Annex E: Implementation Timeline, Activation Checklists, and Staffing Table</w:t>
      </w:r>
    </w:p>
    <w:p w14:paraId="588CEBDF" w14:textId="77777777" w:rsidR="00723F18" w:rsidRDefault="00000000">
      <w:pPr>
        <w:pStyle w:val="Heading2"/>
      </w:pPr>
      <w:bookmarkStart w:id="465" w:name="__RefHeading___Toc6592_2939721771"/>
      <w:bookmarkEnd w:id="465"/>
      <w:r>
        <w:t>E.1 The activation sequence (signature to Hour 96)</w:t>
      </w:r>
    </w:p>
    <w:p w14:paraId="3141A833" w14:textId="77777777" w:rsidR="00723F18" w:rsidRDefault="00000000">
      <w:pPr>
        <w:pStyle w:val="FirstParagraph"/>
      </w:pPr>
      <w:bookmarkStart w:id="466" w:name="X95ef28830045f43178642e72ffc3cfb2b619974"/>
      <w:r>
        <w:t>Hour 0 to 24: signature; each Party transmits implementing orders to its forces under Article 48.2; the four Military Endorsement Confirmations post to the platform; entry into force completes upon the fourth confirmation. Hour 24 to 48: the Operations System activates at both centers; the Day One hazard declarations file under Article 13.2; the Notice to Mariners issues; the Neutral Coordinate Registry publishes Edition HTCSA-1. Hour 48 to 72: the Joint Watch stands up at full roster; the de-confliction network passes its first full test; the acknowledgment engine goes live for declarations. Hour 72 to 96: the survey surge begins under Article 13.3; the first Open Water Bulletin publishes; the stranded vessel schedule posts; the first daily status report issues at 18:00 GMT.</w:t>
      </w:r>
      <w:bookmarkEnd w:id="466"/>
    </w:p>
    <w:p w14:paraId="3EDE6C5E" w14:textId="77777777" w:rsidR="00723F18" w:rsidRDefault="00000000">
      <w:pPr>
        <w:pStyle w:val="Heading2"/>
      </w:pPr>
      <w:bookmarkStart w:id="467" w:name="__RefHeading___Toc6594_2939721771"/>
      <w:bookmarkEnd w:id="467"/>
      <w:r>
        <w:t>E.2 Days 1 to 10: clearance surge and first certifications</w:t>
      </w:r>
    </w:p>
    <w:p w14:paraId="75F022B2" w14:textId="77777777" w:rsidR="00723F18" w:rsidRDefault="00000000">
      <w:pPr>
        <w:pStyle w:val="FirstParagraph"/>
      </w:pPr>
      <w:bookmarkStart w:id="468" w:name="Xf072a5103438b984afe13c20b9afbc6a6c20cb6"/>
      <w:r>
        <w:t xml:space="preserve">The Joint Civil Clearance Unit and the steward clearance units run daily surge operations per the surge schedule of this Annex. Observers embark </w:t>
      </w:r>
      <w:proofErr w:type="gramStart"/>
      <w:r>
        <w:t>for</w:t>
      </w:r>
      <w:proofErr w:type="gramEnd"/>
      <w:r>
        <w:t xml:space="preserve"> every clearance operation. The first Corridor Two segment certifications issue as segments clear, with second-pass verification preceding every certificate. Scheduled daylight transits through certified segments begin at Day 3.</w:t>
      </w:r>
      <w:bookmarkEnd w:id="468"/>
    </w:p>
    <w:p w14:paraId="186FEA9F" w14:textId="77777777" w:rsidR="00723F18" w:rsidRDefault="00000000">
      <w:pPr>
        <w:pStyle w:val="Heading2"/>
      </w:pPr>
      <w:bookmarkStart w:id="469" w:name="__RefHeading___Toc6596_2939721771"/>
      <w:bookmarkEnd w:id="469"/>
      <w:r>
        <w:t>E.3 Days 11 to 20: Phase One close</w:t>
      </w:r>
    </w:p>
    <w:p w14:paraId="1888953B" w14:textId="77777777" w:rsidR="00723F18" w:rsidRDefault="00000000">
      <w:pPr>
        <w:pStyle w:val="FirstParagraph"/>
      </w:pPr>
      <w:bookmarkStart w:id="470" w:name="e.3-days-11-to-20-phase-one-close"/>
      <w:r>
        <w:t>Certification of the full Corridor Two completes; eastern segments of Corridors One and Three certify; the clean-day count accumulates; the Phase One certificate issues upon the conditions of Article 35.1; the first tranche executes automatically; the insurance dialogue of Annex K opens with the first joint safety statement.</w:t>
      </w:r>
      <w:bookmarkEnd w:id="470"/>
    </w:p>
    <w:p w14:paraId="4AD1A624" w14:textId="77777777" w:rsidR="00723F18" w:rsidRDefault="00000000">
      <w:pPr>
        <w:pStyle w:val="Heading2"/>
      </w:pPr>
      <w:bookmarkStart w:id="471" w:name="__RefHeading___Toc6598_2939721771"/>
      <w:bookmarkEnd w:id="471"/>
      <w:r>
        <w:t>E.4 Days 21 to 40: Phase Two</w:t>
      </w:r>
    </w:p>
    <w:p w14:paraId="67DF8546" w14:textId="77777777" w:rsidR="00723F18" w:rsidRDefault="00000000">
      <w:pPr>
        <w:pStyle w:val="FirstParagraph"/>
      </w:pPr>
      <w:bookmarkStart w:id="472" w:name="e.4-days-21-to-40-phase-two"/>
      <w:r>
        <w:t>Full segment certification of Corridors One and Three completes; all three corridors operate at full depth; the stranded vessel backlog clears to schedule; the Phase Two certificate issues; the energy logistics waivers execute; the first monthly stewardship performance report publishes; the Fund’s first monthly Ledger payment cycle closes.</w:t>
      </w:r>
      <w:bookmarkEnd w:id="472"/>
    </w:p>
    <w:p w14:paraId="0508B23D" w14:textId="77777777" w:rsidR="00723F18" w:rsidRDefault="00000000">
      <w:pPr>
        <w:pStyle w:val="Heading2"/>
      </w:pPr>
      <w:bookmarkStart w:id="473" w:name="__RefHeading___Toc6600_2939721771"/>
      <w:bookmarkEnd w:id="473"/>
      <w:r>
        <w:t>E.5 Days 41 to 60: Phase Three</w:t>
      </w:r>
    </w:p>
    <w:p w14:paraId="39AA7F8A" w14:textId="77777777" w:rsidR="00723F18" w:rsidRDefault="00000000">
      <w:pPr>
        <w:pStyle w:val="FirstParagraph"/>
      </w:pPr>
      <w:bookmarkStart w:id="474" w:name="e.5-days-41-to-60-phase-three"/>
      <w:r>
        <w:t>Transit density recovers toward baseline on the published ramp; the clean-day count reaches fifty (50); the Phase Three certificate issues; the second tranche executes; the quarterly transparency pack publishes; the review conference convenes at Muscat.</w:t>
      </w:r>
      <w:bookmarkEnd w:id="474"/>
    </w:p>
    <w:p w14:paraId="5CEB9F82" w14:textId="77777777" w:rsidR="00723F18" w:rsidRDefault="00000000">
      <w:pPr>
        <w:pStyle w:val="Heading2"/>
      </w:pPr>
      <w:bookmarkStart w:id="475" w:name="__RefHeading___Toc6602_2939721771"/>
      <w:bookmarkEnd w:id="475"/>
      <w:r>
        <w:t>E.6 The transit recovery ramp</w:t>
      </w:r>
    </w:p>
    <w:tbl>
      <w:tblPr>
        <w:tblStyle w:val="Table"/>
        <w:tblW w:w="5000" w:type="pct"/>
        <w:tblInd w:w="0" w:type="dxa"/>
        <w:tblLayout w:type="fixed"/>
        <w:tblLook w:val="0020" w:firstRow="1" w:lastRow="0" w:firstColumn="0" w:lastColumn="0" w:noHBand="0" w:noVBand="0"/>
      </w:tblPr>
      <w:tblGrid>
        <w:gridCol w:w="3192"/>
        <w:gridCol w:w="3192"/>
        <w:gridCol w:w="3192"/>
      </w:tblGrid>
      <w:tr w:rsidR="00723F18" w14:paraId="0C045B88"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565317EA" w14:textId="77777777" w:rsidR="00723F18" w:rsidRDefault="00000000">
            <w:pPr>
              <w:pStyle w:val="Compact"/>
              <w:widowControl w:val="0"/>
              <w:rPr>
                <w:rFonts w:ascii="Cambria" w:eastAsia="Cambria" w:hAnsi="Cambria"/>
              </w:rPr>
            </w:pPr>
            <w:r>
              <w:rPr>
                <w:rFonts w:eastAsia="Cambria"/>
                <w:b/>
                <w:bCs/>
              </w:rPr>
              <w:t>Window</w:t>
            </w:r>
          </w:p>
        </w:tc>
        <w:tc>
          <w:tcPr>
            <w:tcW w:w="3120" w:type="dxa"/>
            <w:tcBorders>
              <w:bottom w:val="single" w:sz="6" w:space="0" w:color="000000"/>
            </w:tcBorders>
          </w:tcPr>
          <w:p w14:paraId="4CC9561B" w14:textId="77777777" w:rsidR="00723F18" w:rsidRDefault="00000000">
            <w:pPr>
              <w:pStyle w:val="Compact"/>
              <w:widowControl w:val="0"/>
              <w:rPr>
                <w:rFonts w:ascii="Cambria" w:eastAsia="Cambria" w:hAnsi="Cambria"/>
              </w:rPr>
            </w:pPr>
            <w:r>
              <w:rPr>
                <w:rFonts w:eastAsia="Cambria"/>
                <w:b/>
                <w:bCs/>
              </w:rPr>
              <w:t>Target daily commercial transits</w:t>
            </w:r>
          </w:p>
        </w:tc>
        <w:tc>
          <w:tcPr>
            <w:tcW w:w="3120" w:type="dxa"/>
            <w:tcBorders>
              <w:bottom w:val="single" w:sz="6" w:space="0" w:color="000000"/>
            </w:tcBorders>
          </w:tcPr>
          <w:p w14:paraId="62F92B70" w14:textId="77777777" w:rsidR="00723F18" w:rsidRDefault="00000000">
            <w:pPr>
              <w:pStyle w:val="Compact"/>
              <w:widowControl w:val="0"/>
              <w:rPr>
                <w:rFonts w:ascii="Cambria" w:eastAsia="Cambria" w:hAnsi="Cambria"/>
              </w:rPr>
            </w:pPr>
            <w:r>
              <w:rPr>
                <w:rFonts w:eastAsia="Cambria"/>
                <w:b/>
                <w:bCs/>
              </w:rPr>
              <w:t>Basis</w:t>
            </w:r>
          </w:p>
        </w:tc>
      </w:tr>
      <w:tr w:rsidR="00723F18" w14:paraId="3E8F0BF4" w14:textId="77777777" w:rsidTr="00723F18">
        <w:tc>
          <w:tcPr>
            <w:tcW w:w="3120" w:type="dxa"/>
          </w:tcPr>
          <w:p w14:paraId="1E381CD7" w14:textId="77777777" w:rsidR="00723F18" w:rsidRDefault="00000000">
            <w:pPr>
              <w:pStyle w:val="Compact"/>
              <w:widowControl w:val="0"/>
              <w:rPr>
                <w:rFonts w:ascii="Cambria" w:eastAsia="Cambria" w:hAnsi="Cambria"/>
              </w:rPr>
            </w:pPr>
            <w:r>
              <w:rPr>
                <w:rFonts w:eastAsia="Cambria"/>
              </w:rPr>
              <w:lastRenderedPageBreak/>
              <w:t>Days 3 to 10</w:t>
            </w:r>
          </w:p>
        </w:tc>
        <w:tc>
          <w:tcPr>
            <w:tcW w:w="3120" w:type="dxa"/>
          </w:tcPr>
          <w:p w14:paraId="69B732EE" w14:textId="77777777" w:rsidR="00723F18" w:rsidRDefault="00000000">
            <w:pPr>
              <w:pStyle w:val="Compact"/>
              <w:widowControl w:val="0"/>
              <w:rPr>
                <w:rFonts w:ascii="Cambria" w:eastAsia="Cambria" w:hAnsi="Cambria"/>
              </w:rPr>
            </w:pPr>
            <w:r>
              <w:rPr>
                <w:rFonts w:eastAsia="Cambria"/>
              </w:rPr>
              <w:t>15 to 25</w:t>
            </w:r>
          </w:p>
        </w:tc>
        <w:tc>
          <w:tcPr>
            <w:tcW w:w="3120" w:type="dxa"/>
          </w:tcPr>
          <w:p w14:paraId="3429B199" w14:textId="77777777" w:rsidR="00723F18" w:rsidRDefault="00000000">
            <w:pPr>
              <w:pStyle w:val="Compact"/>
              <w:widowControl w:val="0"/>
              <w:rPr>
                <w:rFonts w:ascii="Cambria" w:eastAsia="Cambria" w:hAnsi="Cambria"/>
              </w:rPr>
            </w:pPr>
            <w:r>
              <w:rPr>
                <w:rFonts w:eastAsia="Cambria"/>
              </w:rPr>
              <w:t>Daylight, certified segments, escorted windows</w:t>
            </w:r>
          </w:p>
        </w:tc>
      </w:tr>
      <w:tr w:rsidR="00723F18" w14:paraId="3ADC5E2C" w14:textId="77777777" w:rsidTr="00723F18">
        <w:tc>
          <w:tcPr>
            <w:tcW w:w="3120" w:type="dxa"/>
          </w:tcPr>
          <w:p w14:paraId="10CA7386" w14:textId="77777777" w:rsidR="00723F18" w:rsidRDefault="00000000">
            <w:pPr>
              <w:pStyle w:val="Compact"/>
              <w:widowControl w:val="0"/>
              <w:rPr>
                <w:rFonts w:ascii="Cambria" w:eastAsia="Cambria" w:hAnsi="Cambria"/>
              </w:rPr>
            </w:pPr>
            <w:r>
              <w:rPr>
                <w:rFonts w:eastAsia="Cambria"/>
              </w:rPr>
              <w:t>Days 11 to 20</w:t>
            </w:r>
          </w:p>
        </w:tc>
        <w:tc>
          <w:tcPr>
            <w:tcW w:w="3120" w:type="dxa"/>
          </w:tcPr>
          <w:p w14:paraId="41BE9407" w14:textId="77777777" w:rsidR="00723F18" w:rsidRDefault="00000000">
            <w:pPr>
              <w:pStyle w:val="Compact"/>
              <w:widowControl w:val="0"/>
              <w:rPr>
                <w:rFonts w:ascii="Cambria" w:eastAsia="Cambria" w:hAnsi="Cambria"/>
              </w:rPr>
            </w:pPr>
            <w:r>
              <w:rPr>
                <w:rFonts w:eastAsia="Cambria"/>
              </w:rPr>
              <w:t>25 to 45</w:t>
            </w:r>
          </w:p>
        </w:tc>
        <w:tc>
          <w:tcPr>
            <w:tcW w:w="3120" w:type="dxa"/>
          </w:tcPr>
          <w:p w14:paraId="47419ACC" w14:textId="77777777" w:rsidR="00723F18" w:rsidRDefault="00000000">
            <w:pPr>
              <w:pStyle w:val="Compact"/>
              <w:widowControl w:val="0"/>
              <w:rPr>
                <w:rFonts w:ascii="Cambria" w:eastAsia="Cambria" w:hAnsi="Cambria"/>
              </w:rPr>
            </w:pPr>
            <w:r>
              <w:rPr>
                <w:rFonts w:eastAsia="Cambria"/>
              </w:rPr>
              <w:t>Corridor Two full certification; coastal segments opening</w:t>
            </w:r>
          </w:p>
        </w:tc>
      </w:tr>
      <w:tr w:rsidR="00723F18" w14:paraId="6BCC4D30" w14:textId="77777777" w:rsidTr="00723F18">
        <w:tc>
          <w:tcPr>
            <w:tcW w:w="3120" w:type="dxa"/>
          </w:tcPr>
          <w:p w14:paraId="3315A490" w14:textId="77777777" w:rsidR="00723F18" w:rsidRDefault="00000000">
            <w:pPr>
              <w:pStyle w:val="Compact"/>
              <w:widowControl w:val="0"/>
              <w:rPr>
                <w:rFonts w:ascii="Cambria" w:eastAsia="Cambria" w:hAnsi="Cambria"/>
              </w:rPr>
            </w:pPr>
            <w:r>
              <w:rPr>
                <w:rFonts w:eastAsia="Cambria"/>
              </w:rPr>
              <w:t>Days 21 to 40</w:t>
            </w:r>
          </w:p>
        </w:tc>
        <w:tc>
          <w:tcPr>
            <w:tcW w:w="3120" w:type="dxa"/>
          </w:tcPr>
          <w:p w14:paraId="6056F556" w14:textId="77777777" w:rsidR="00723F18" w:rsidRDefault="00000000">
            <w:pPr>
              <w:pStyle w:val="Compact"/>
              <w:widowControl w:val="0"/>
              <w:rPr>
                <w:rFonts w:ascii="Cambria" w:eastAsia="Cambria" w:hAnsi="Cambria"/>
              </w:rPr>
            </w:pPr>
            <w:r>
              <w:rPr>
                <w:rFonts w:eastAsia="Cambria"/>
              </w:rPr>
              <w:t>45 to 90</w:t>
            </w:r>
          </w:p>
        </w:tc>
        <w:tc>
          <w:tcPr>
            <w:tcW w:w="3120" w:type="dxa"/>
          </w:tcPr>
          <w:p w14:paraId="030ED9F5" w14:textId="77777777" w:rsidR="00723F18" w:rsidRDefault="00000000">
            <w:pPr>
              <w:pStyle w:val="Compact"/>
              <w:widowControl w:val="0"/>
              <w:rPr>
                <w:rFonts w:ascii="Cambria" w:eastAsia="Cambria" w:hAnsi="Cambria"/>
              </w:rPr>
            </w:pPr>
            <w:r>
              <w:rPr>
                <w:rFonts w:eastAsia="Cambria"/>
              </w:rPr>
              <w:t>Three-corridor operation; night transit in certified corridors</w:t>
            </w:r>
          </w:p>
        </w:tc>
      </w:tr>
      <w:tr w:rsidR="00723F18" w14:paraId="7FE99012" w14:textId="77777777" w:rsidTr="00723F18">
        <w:tc>
          <w:tcPr>
            <w:tcW w:w="3120" w:type="dxa"/>
          </w:tcPr>
          <w:p w14:paraId="17BA2BB2" w14:textId="77777777" w:rsidR="00723F18" w:rsidRDefault="00000000">
            <w:pPr>
              <w:pStyle w:val="Compact"/>
              <w:widowControl w:val="0"/>
              <w:rPr>
                <w:rFonts w:ascii="Cambria" w:eastAsia="Cambria" w:hAnsi="Cambria"/>
              </w:rPr>
            </w:pPr>
            <w:r>
              <w:rPr>
                <w:rFonts w:eastAsia="Cambria"/>
              </w:rPr>
              <w:t>Days 41 to 60</w:t>
            </w:r>
          </w:p>
        </w:tc>
        <w:tc>
          <w:tcPr>
            <w:tcW w:w="3120" w:type="dxa"/>
          </w:tcPr>
          <w:p w14:paraId="5C2AFC71" w14:textId="77777777" w:rsidR="00723F18" w:rsidRDefault="00000000">
            <w:pPr>
              <w:pStyle w:val="Compact"/>
              <w:widowControl w:val="0"/>
              <w:rPr>
                <w:rFonts w:ascii="Cambria" w:eastAsia="Cambria" w:hAnsi="Cambria"/>
              </w:rPr>
            </w:pPr>
            <w:r>
              <w:rPr>
                <w:rFonts w:eastAsia="Cambria"/>
              </w:rPr>
              <w:t>90 to 130</w:t>
            </w:r>
          </w:p>
        </w:tc>
        <w:tc>
          <w:tcPr>
            <w:tcW w:w="3120" w:type="dxa"/>
          </w:tcPr>
          <w:p w14:paraId="78235E67" w14:textId="77777777" w:rsidR="00723F18" w:rsidRDefault="00000000">
            <w:pPr>
              <w:pStyle w:val="Compact"/>
              <w:widowControl w:val="0"/>
              <w:rPr>
                <w:rFonts w:ascii="Cambria" w:eastAsia="Cambria" w:hAnsi="Cambria"/>
              </w:rPr>
            </w:pPr>
            <w:r>
              <w:rPr>
                <w:rFonts w:eastAsia="Cambria"/>
              </w:rPr>
              <w:t>Approach to pre-crisis baseline density</w:t>
            </w:r>
          </w:p>
        </w:tc>
      </w:tr>
    </w:tbl>
    <w:p w14:paraId="3E491014" w14:textId="77777777" w:rsidR="00723F18" w:rsidRDefault="00000000">
      <w:pPr>
        <w:pStyle w:val="BodyText"/>
      </w:pPr>
      <w:bookmarkStart w:id="476" w:name="e.6-the-transit-recovery-ramp"/>
      <w:r>
        <w:rPr>
          <w:i/>
          <w:iCs/>
        </w:rPr>
        <w:t>Table E.1: The recovery ramp. The ramp states targets, not conditions: no trigger keys on density, only on certification and clean days.</w:t>
      </w:r>
      <w:bookmarkEnd w:id="476"/>
    </w:p>
    <w:p w14:paraId="13FAADC1" w14:textId="77777777" w:rsidR="00723F18" w:rsidRDefault="00000000">
      <w:pPr>
        <w:pStyle w:val="Heading2"/>
      </w:pPr>
      <w:bookmarkStart w:id="477" w:name="__RefHeading___Toc6604_2939721771"/>
      <w:bookmarkEnd w:id="477"/>
      <w:r>
        <w:t>E.7 Staffing table</w:t>
      </w:r>
    </w:p>
    <w:tbl>
      <w:tblPr>
        <w:tblStyle w:val="Table"/>
        <w:tblW w:w="5000" w:type="pct"/>
        <w:tblInd w:w="0" w:type="dxa"/>
        <w:tblLayout w:type="fixed"/>
        <w:tblLook w:val="0020" w:firstRow="1" w:lastRow="0" w:firstColumn="0" w:lastColumn="0" w:noHBand="0" w:noVBand="0"/>
      </w:tblPr>
      <w:tblGrid>
        <w:gridCol w:w="1916"/>
        <w:gridCol w:w="1915"/>
        <w:gridCol w:w="1915"/>
        <w:gridCol w:w="1915"/>
        <w:gridCol w:w="1915"/>
      </w:tblGrid>
      <w:tr w:rsidR="00723F18" w14:paraId="5350B91C"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12E87A77" w14:textId="77777777" w:rsidR="00723F18" w:rsidRDefault="00000000">
            <w:pPr>
              <w:pStyle w:val="Compact"/>
              <w:widowControl w:val="0"/>
              <w:rPr>
                <w:rFonts w:ascii="Cambria" w:eastAsia="Cambria" w:hAnsi="Cambria"/>
              </w:rPr>
            </w:pPr>
            <w:r>
              <w:rPr>
                <w:rFonts w:eastAsia="Cambria"/>
                <w:b/>
                <w:bCs/>
              </w:rPr>
              <w:t>Post</w:t>
            </w:r>
          </w:p>
        </w:tc>
        <w:tc>
          <w:tcPr>
            <w:tcW w:w="1872" w:type="dxa"/>
            <w:tcBorders>
              <w:bottom w:val="single" w:sz="6" w:space="0" w:color="000000"/>
            </w:tcBorders>
          </w:tcPr>
          <w:p w14:paraId="7BAEE74A" w14:textId="77777777" w:rsidR="00723F18" w:rsidRDefault="00000000">
            <w:pPr>
              <w:pStyle w:val="Compact"/>
              <w:widowControl w:val="0"/>
              <w:rPr>
                <w:rFonts w:ascii="Cambria" w:eastAsia="Cambria" w:hAnsi="Cambria"/>
              </w:rPr>
            </w:pPr>
            <w:r>
              <w:rPr>
                <w:rFonts w:eastAsia="Cambria"/>
                <w:b/>
                <w:bCs/>
              </w:rPr>
              <w:t>Muscat</w:t>
            </w:r>
          </w:p>
        </w:tc>
        <w:tc>
          <w:tcPr>
            <w:tcW w:w="1872" w:type="dxa"/>
            <w:tcBorders>
              <w:bottom w:val="single" w:sz="6" w:space="0" w:color="000000"/>
            </w:tcBorders>
          </w:tcPr>
          <w:p w14:paraId="7FEC0DB2" w14:textId="77777777" w:rsidR="00723F18" w:rsidRDefault="00000000">
            <w:pPr>
              <w:pStyle w:val="Compact"/>
              <w:widowControl w:val="0"/>
              <w:rPr>
                <w:rFonts w:ascii="Cambria" w:eastAsia="Cambria" w:hAnsi="Cambria"/>
              </w:rPr>
            </w:pPr>
            <w:r>
              <w:rPr>
                <w:rFonts w:eastAsia="Cambria"/>
                <w:b/>
                <w:bCs/>
              </w:rPr>
              <w:t>Bandar Abbas</w:t>
            </w:r>
          </w:p>
        </w:tc>
        <w:tc>
          <w:tcPr>
            <w:tcW w:w="1872" w:type="dxa"/>
            <w:tcBorders>
              <w:bottom w:val="single" w:sz="6" w:space="0" w:color="000000"/>
            </w:tcBorders>
          </w:tcPr>
          <w:p w14:paraId="1DD663C5" w14:textId="77777777" w:rsidR="00723F18" w:rsidRDefault="00000000">
            <w:pPr>
              <w:pStyle w:val="Compact"/>
              <w:widowControl w:val="0"/>
              <w:rPr>
                <w:rFonts w:ascii="Cambria" w:eastAsia="Cambria" w:hAnsi="Cambria"/>
              </w:rPr>
            </w:pPr>
            <w:r>
              <w:rPr>
                <w:rFonts w:eastAsia="Cambria"/>
                <w:b/>
                <w:bCs/>
              </w:rPr>
              <w:t>Doha</w:t>
            </w:r>
          </w:p>
        </w:tc>
        <w:tc>
          <w:tcPr>
            <w:tcW w:w="1872" w:type="dxa"/>
            <w:tcBorders>
              <w:bottom w:val="single" w:sz="6" w:space="0" w:color="000000"/>
            </w:tcBorders>
          </w:tcPr>
          <w:p w14:paraId="44BE4B04" w14:textId="77777777" w:rsidR="00723F18" w:rsidRDefault="00000000">
            <w:pPr>
              <w:pStyle w:val="Compact"/>
              <w:widowControl w:val="0"/>
              <w:rPr>
                <w:rFonts w:ascii="Cambria" w:eastAsia="Cambria" w:hAnsi="Cambria"/>
              </w:rPr>
            </w:pPr>
            <w:r>
              <w:rPr>
                <w:rFonts w:eastAsia="Cambria"/>
                <w:b/>
                <w:bCs/>
              </w:rPr>
              <w:t>Nationality pairing</w:t>
            </w:r>
          </w:p>
        </w:tc>
      </w:tr>
      <w:tr w:rsidR="00723F18" w14:paraId="04E8AFB4" w14:textId="77777777" w:rsidTr="00723F18">
        <w:tc>
          <w:tcPr>
            <w:tcW w:w="1872" w:type="dxa"/>
          </w:tcPr>
          <w:p w14:paraId="5ADA4D26" w14:textId="77777777" w:rsidR="00723F18" w:rsidRDefault="00000000">
            <w:pPr>
              <w:pStyle w:val="Compact"/>
              <w:widowControl w:val="0"/>
              <w:rPr>
                <w:rFonts w:ascii="Cambria" w:eastAsia="Cambria" w:hAnsi="Cambria"/>
              </w:rPr>
            </w:pPr>
            <w:r>
              <w:rPr>
                <w:rFonts w:eastAsia="Cambria"/>
              </w:rPr>
              <w:t>Co-Directors</w:t>
            </w:r>
          </w:p>
        </w:tc>
        <w:tc>
          <w:tcPr>
            <w:tcW w:w="1872" w:type="dxa"/>
          </w:tcPr>
          <w:p w14:paraId="03CE8CD1" w14:textId="77777777" w:rsidR="00723F18" w:rsidRDefault="00000000">
            <w:pPr>
              <w:pStyle w:val="Compact"/>
              <w:widowControl w:val="0"/>
              <w:rPr>
                <w:rFonts w:ascii="Cambria" w:eastAsia="Cambria" w:hAnsi="Cambria"/>
              </w:rPr>
            </w:pPr>
            <w:r>
              <w:rPr>
                <w:rFonts w:eastAsia="Cambria"/>
              </w:rPr>
              <w:t>1</w:t>
            </w:r>
          </w:p>
        </w:tc>
        <w:tc>
          <w:tcPr>
            <w:tcW w:w="1872" w:type="dxa"/>
          </w:tcPr>
          <w:p w14:paraId="25FCD185" w14:textId="77777777" w:rsidR="00723F18" w:rsidRDefault="00000000">
            <w:pPr>
              <w:pStyle w:val="Compact"/>
              <w:widowControl w:val="0"/>
              <w:rPr>
                <w:rFonts w:ascii="Cambria" w:eastAsia="Cambria" w:hAnsi="Cambria"/>
              </w:rPr>
            </w:pPr>
            <w:r>
              <w:rPr>
                <w:rFonts w:eastAsia="Cambria"/>
              </w:rPr>
              <w:t>1</w:t>
            </w:r>
          </w:p>
        </w:tc>
        <w:tc>
          <w:tcPr>
            <w:tcW w:w="1872" w:type="dxa"/>
          </w:tcPr>
          <w:p w14:paraId="6EFE9981" w14:textId="77777777" w:rsidR="00723F18" w:rsidRDefault="00000000">
            <w:pPr>
              <w:pStyle w:val="Compact"/>
              <w:widowControl w:val="0"/>
              <w:rPr>
                <w:rFonts w:ascii="Cambria" w:eastAsia="Cambria" w:hAnsi="Cambria"/>
              </w:rPr>
            </w:pPr>
            <w:r>
              <w:rPr>
                <w:rFonts w:eastAsia="Cambria"/>
              </w:rPr>
              <w:t>1</w:t>
            </w:r>
          </w:p>
        </w:tc>
        <w:tc>
          <w:tcPr>
            <w:tcW w:w="1872" w:type="dxa"/>
          </w:tcPr>
          <w:p w14:paraId="3853E0ED" w14:textId="77777777" w:rsidR="00723F18" w:rsidRDefault="00000000">
            <w:pPr>
              <w:pStyle w:val="Compact"/>
              <w:widowControl w:val="0"/>
              <w:rPr>
                <w:rFonts w:ascii="Cambria" w:eastAsia="Cambria" w:hAnsi="Cambria"/>
              </w:rPr>
            </w:pPr>
            <w:r>
              <w:rPr>
                <w:rFonts w:eastAsia="Cambria"/>
              </w:rPr>
              <w:t>Iran and Oman in the operational pair; Qatar chairs the economic desk</w:t>
            </w:r>
          </w:p>
        </w:tc>
      </w:tr>
      <w:tr w:rsidR="00723F18" w14:paraId="5876478A" w14:textId="77777777" w:rsidTr="00723F18">
        <w:tc>
          <w:tcPr>
            <w:tcW w:w="1872" w:type="dxa"/>
          </w:tcPr>
          <w:p w14:paraId="6DA94A6E" w14:textId="77777777" w:rsidR="00723F18" w:rsidRDefault="00000000">
            <w:pPr>
              <w:pStyle w:val="Compact"/>
              <w:widowControl w:val="0"/>
              <w:rPr>
                <w:rFonts w:ascii="Cambria" w:eastAsia="Cambria" w:hAnsi="Cambria"/>
              </w:rPr>
            </w:pPr>
            <w:r>
              <w:rPr>
                <w:rFonts w:eastAsia="Cambria"/>
              </w:rPr>
              <w:t>Duty officers per watch</w:t>
            </w:r>
          </w:p>
        </w:tc>
        <w:tc>
          <w:tcPr>
            <w:tcW w:w="1872" w:type="dxa"/>
          </w:tcPr>
          <w:p w14:paraId="12994717" w14:textId="77777777" w:rsidR="00723F18" w:rsidRDefault="00000000">
            <w:pPr>
              <w:pStyle w:val="Compact"/>
              <w:widowControl w:val="0"/>
              <w:rPr>
                <w:rFonts w:ascii="Cambria" w:eastAsia="Cambria" w:hAnsi="Cambria"/>
              </w:rPr>
            </w:pPr>
            <w:r>
              <w:rPr>
                <w:rFonts w:eastAsia="Cambria"/>
              </w:rPr>
              <w:t>2</w:t>
            </w:r>
          </w:p>
        </w:tc>
        <w:tc>
          <w:tcPr>
            <w:tcW w:w="1872" w:type="dxa"/>
          </w:tcPr>
          <w:p w14:paraId="1D48EAD7" w14:textId="77777777" w:rsidR="00723F18" w:rsidRDefault="00000000">
            <w:pPr>
              <w:pStyle w:val="Compact"/>
              <w:widowControl w:val="0"/>
              <w:rPr>
                <w:rFonts w:ascii="Cambria" w:eastAsia="Cambria" w:hAnsi="Cambria"/>
              </w:rPr>
            </w:pPr>
            <w:r>
              <w:rPr>
                <w:rFonts w:eastAsia="Cambria"/>
              </w:rPr>
              <w:t>2</w:t>
            </w:r>
          </w:p>
        </w:tc>
        <w:tc>
          <w:tcPr>
            <w:tcW w:w="1872" w:type="dxa"/>
          </w:tcPr>
          <w:p w14:paraId="1165F766" w14:textId="77777777" w:rsidR="00723F18" w:rsidRDefault="00000000">
            <w:pPr>
              <w:pStyle w:val="Compact"/>
              <w:widowControl w:val="0"/>
              <w:rPr>
                <w:rFonts w:ascii="Cambria" w:eastAsia="Cambria" w:hAnsi="Cambria"/>
              </w:rPr>
            </w:pPr>
            <w:r>
              <w:rPr>
                <w:rFonts w:eastAsia="Cambria"/>
              </w:rPr>
              <w:t>1</w:t>
            </w:r>
          </w:p>
        </w:tc>
        <w:tc>
          <w:tcPr>
            <w:tcW w:w="1872" w:type="dxa"/>
          </w:tcPr>
          <w:p w14:paraId="0FD0CDDD" w14:textId="77777777" w:rsidR="00723F18" w:rsidRDefault="00000000">
            <w:pPr>
              <w:pStyle w:val="Compact"/>
              <w:widowControl w:val="0"/>
              <w:rPr>
                <w:rFonts w:ascii="Cambria" w:eastAsia="Cambria" w:hAnsi="Cambria"/>
              </w:rPr>
            </w:pPr>
            <w:r>
              <w:rPr>
                <w:rFonts w:eastAsia="Cambria"/>
              </w:rPr>
              <w:t>One Iranian, one Omani per operational pair</w:t>
            </w:r>
          </w:p>
        </w:tc>
      </w:tr>
      <w:tr w:rsidR="00723F18" w14:paraId="7AF17EA5" w14:textId="77777777" w:rsidTr="00723F18">
        <w:tc>
          <w:tcPr>
            <w:tcW w:w="1872" w:type="dxa"/>
          </w:tcPr>
          <w:p w14:paraId="4CA35212" w14:textId="77777777" w:rsidR="00723F18" w:rsidRDefault="00000000">
            <w:pPr>
              <w:pStyle w:val="Compact"/>
              <w:widowControl w:val="0"/>
              <w:rPr>
                <w:rFonts w:ascii="Cambria" w:eastAsia="Cambria" w:hAnsi="Cambria"/>
              </w:rPr>
            </w:pPr>
            <w:r>
              <w:rPr>
                <w:rFonts w:eastAsia="Cambria"/>
              </w:rPr>
              <w:t>Declaration desk per shift</w:t>
            </w:r>
          </w:p>
        </w:tc>
        <w:tc>
          <w:tcPr>
            <w:tcW w:w="1872" w:type="dxa"/>
          </w:tcPr>
          <w:p w14:paraId="30906DAF" w14:textId="77777777" w:rsidR="00723F18" w:rsidRDefault="00000000">
            <w:pPr>
              <w:pStyle w:val="Compact"/>
              <w:widowControl w:val="0"/>
              <w:rPr>
                <w:rFonts w:ascii="Cambria" w:eastAsia="Cambria" w:hAnsi="Cambria"/>
              </w:rPr>
            </w:pPr>
            <w:r>
              <w:rPr>
                <w:rFonts w:eastAsia="Cambria"/>
              </w:rPr>
              <w:t>2</w:t>
            </w:r>
          </w:p>
        </w:tc>
        <w:tc>
          <w:tcPr>
            <w:tcW w:w="1872" w:type="dxa"/>
          </w:tcPr>
          <w:p w14:paraId="2FCC90B1" w14:textId="77777777" w:rsidR="00723F18" w:rsidRDefault="00000000">
            <w:pPr>
              <w:pStyle w:val="Compact"/>
              <w:widowControl w:val="0"/>
              <w:rPr>
                <w:rFonts w:ascii="Cambria" w:eastAsia="Cambria" w:hAnsi="Cambria"/>
              </w:rPr>
            </w:pPr>
            <w:r>
              <w:rPr>
                <w:rFonts w:eastAsia="Cambria"/>
              </w:rPr>
              <w:t>2</w:t>
            </w:r>
          </w:p>
        </w:tc>
        <w:tc>
          <w:tcPr>
            <w:tcW w:w="1872" w:type="dxa"/>
          </w:tcPr>
          <w:p w14:paraId="55D7A007" w14:textId="77777777" w:rsidR="00723F18" w:rsidRDefault="00000000">
            <w:pPr>
              <w:pStyle w:val="Compact"/>
              <w:widowControl w:val="0"/>
              <w:rPr>
                <w:rFonts w:ascii="Cambria" w:eastAsia="Cambria" w:hAnsi="Cambria"/>
              </w:rPr>
            </w:pPr>
            <w:r>
              <w:rPr>
                <w:rFonts w:eastAsia="Cambria"/>
              </w:rPr>
              <w:t>1</w:t>
            </w:r>
          </w:p>
        </w:tc>
        <w:tc>
          <w:tcPr>
            <w:tcW w:w="1872" w:type="dxa"/>
          </w:tcPr>
          <w:p w14:paraId="4C23228E" w14:textId="77777777" w:rsidR="00723F18" w:rsidRDefault="00000000">
            <w:pPr>
              <w:pStyle w:val="Compact"/>
              <w:widowControl w:val="0"/>
              <w:rPr>
                <w:rFonts w:ascii="Cambria" w:eastAsia="Cambria" w:hAnsi="Cambria"/>
              </w:rPr>
            </w:pPr>
            <w:r>
              <w:rPr>
                <w:rFonts w:eastAsia="Cambria"/>
              </w:rPr>
              <w:t>Paired</w:t>
            </w:r>
          </w:p>
        </w:tc>
      </w:tr>
      <w:tr w:rsidR="00723F18" w14:paraId="106EC3E7" w14:textId="77777777" w:rsidTr="00723F18">
        <w:tc>
          <w:tcPr>
            <w:tcW w:w="1872" w:type="dxa"/>
          </w:tcPr>
          <w:p w14:paraId="1D9470B6" w14:textId="77777777" w:rsidR="00723F18" w:rsidRDefault="00000000">
            <w:pPr>
              <w:pStyle w:val="Compact"/>
              <w:widowControl w:val="0"/>
              <w:rPr>
                <w:rFonts w:ascii="Cambria" w:eastAsia="Cambria" w:hAnsi="Cambria"/>
              </w:rPr>
            </w:pPr>
            <w:r>
              <w:rPr>
                <w:rFonts w:eastAsia="Cambria"/>
              </w:rPr>
              <w:t>Joint Watch officers per watch</w:t>
            </w:r>
          </w:p>
        </w:tc>
        <w:tc>
          <w:tcPr>
            <w:tcW w:w="1872" w:type="dxa"/>
          </w:tcPr>
          <w:p w14:paraId="62B4B7D4" w14:textId="77777777" w:rsidR="00723F18" w:rsidRDefault="00000000">
            <w:pPr>
              <w:pStyle w:val="Compact"/>
              <w:widowControl w:val="0"/>
              <w:rPr>
                <w:rFonts w:ascii="Cambria" w:eastAsia="Cambria" w:hAnsi="Cambria"/>
              </w:rPr>
            </w:pPr>
            <w:r>
              <w:rPr>
                <w:rFonts w:eastAsia="Cambria"/>
              </w:rPr>
              <w:t>3</w:t>
            </w:r>
          </w:p>
        </w:tc>
        <w:tc>
          <w:tcPr>
            <w:tcW w:w="1872" w:type="dxa"/>
          </w:tcPr>
          <w:p w14:paraId="49FD2552" w14:textId="77777777" w:rsidR="00723F18" w:rsidRDefault="00000000">
            <w:pPr>
              <w:pStyle w:val="Compact"/>
              <w:widowControl w:val="0"/>
              <w:rPr>
                <w:rFonts w:ascii="Cambria" w:eastAsia="Cambria" w:hAnsi="Cambria"/>
              </w:rPr>
            </w:pPr>
            <w:r>
              <w:rPr>
                <w:rFonts w:eastAsia="Cambria"/>
              </w:rPr>
              <w:t>3</w:t>
            </w:r>
          </w:p>
        </w:tc>
        <w:tc>
          <w:tcPr>
            <w:tcW w:w="1872" w:type="dxa"/>
          </w:tcPr>
          <w:p w14:paraId="0F8D8472" w14:textId="77777777" w:rsidR="00723F18" w:rsidRDefault="00000000">
            <w:pPr>
              <w:pStyle w:val="Compact"/>
              <w:widowControl w:val="0"/>
              <w:rPr>
                <w:rFonts w:ascii="Cambria" w:eastAsia="Cambria" w:hAnsi="Cambria"/>
              </w:rPr>
            </w:pPr>
            <w:r>
              <w:rPr>
                <w:rFonts w:eastAsia="Cambria"/>
              </w:rPr>
              <w:t>1</w:t>
            </w:r>
          </w:p>
        </w:tc>
        <w:tc>
          <w:tcPr>
            <w:tcW w:w="1872" w:type="dxa"/>
          </w:tcPr>
          <w:p w14:paraId="431ED218" w14:textId="77777777" w:rsidR="00723F18" w:rsidRDefault="00000000">
            <w:pPr>
              <w:pStyle w:val="Compact"/>
              <w:widowControl w:val="0"/>
              <w:rPr>
                <w:rFonts w:ascii="Cambria" w:eastAsia="Cambria" w:hAnsi="Cambria"/>
              </w:rPr>
            </w:pPr>
            <w:r>
              <w:rPr>
                <w:rFonts w:eastAsia="Cambria"/>
              </w:rPr>
              <w:t>Two Iranian, two Omani, one Qatari, one neutral across both centers</w:t>
            </w:r>
          </w:p>
        </w:tc>
      </w:tr>
      <w:tr w:rsidR="00723F18" w14:paraId="48143159" w14:textId="77777777" w:rsidTr="00723F18">
        <w:tc>
          <w:tcPr>
            <w:tcW w:w="1872" w:type="dxa"/>
          </w:tcPr>
          <w:p w14:paraId="045E3EF3" w14:textId="77777777" w:rsidR="00723F18" w:rsidRDefault="00000000">
            <w:pPr>
              <w:pStyle w:val="Compact"/>
              <w:widowControl w:val="0"/>
              <w:rPr>
                <w:rFonts w:ascii="Cambria" w:eastAsia="Cambria" w:hAnsi="Cambria"/>
              </w:rPr>
            </w:pPr>
            <w:r>
              <w:rPr>
                <w:rFonts w:eastAsia="Cambria"/>
              </w:rPr>
              <w:t>Hydrographers</w:t>
            </w:r>
          </w:p>
        </w:tc>
        <w:tc>
          <w:tcPr>
            <w:tcW w:w="1872" w:type="dxa"/>
          </w:tcPr>
          <w:p w14:paraId="2EA1B570" w14:textId="77777777" w:rsidR="00723F18" w:rsidRDefault="00000000">
            <w:pPr>
              <w:pStyle w:val="Compact"/>
              <w:widowControl w:val="0"/>
              <w:rPr>
                <w:rFonts w:ascii="Cambria" w:eastAsia="Cambria" w:hAnsi="Cambria"/>
              </w:rPr>
            </w:pPr>
            <w:r>
              <w:rPr>
                <w:rFonts w:eastAsia="Cambria"/>
              </w:rPr>
              <w:t>2</w:t>
            </w:r>
          </w:p>
        </w:tc>
        <w:tc>
          <w:tcPr>
            <w:tcW w:w="1872" w:type="dxa"/>
          </w:tcPr>
          <w:p w14:paraId="0CBA5645" w14:textId="77777777" w:rsidR="00723F18" w:rsidRDefault="00000000">
            <w:pPr>
              <w:pStyle w:val="Compact"/>
              <w:widowControl w:val="0"/>
              <w:rPr>
                <w:rFonts w:ascii="Cambria" w:eastAsia="Cambria" w:hAnsi="Cambria"/>
              </w:rPr>
            </w:pPr>
            <w:r>
              <w:rPr>
                <w:rFonts w:eastAsia="Cambria"/>
              </w:rPr>
              <w:t>2</w:t>
            </w:r>
          </w:p>
        </w:tc>
        <w:tc>
          <w:tcPr>
            <w:tcW w:w="1872" w:type="dxa"/>
          </w:tcPr>
          <w:p w14:paraId="638C3A9B" w14:textId="77777777" w:rsidR="00723F18" w:rsidRDefault="00000000">
            <w:pPr>
              <w:pStyle w:val="Compact"/>
              <w:widowControl w:val="0"/>
              <w:rPr>
                <w:rFonts w:ascii="Cambria" w:eastAsia="Cambria" w:hAnsi="Cambria"/>
              </w:rPr>
            </w:pPr>
            <w:r>
              <w:rPr>
                <w:rFonts w:eastAsia="Cambria"/>
              </w:rPr>
              <w:t>0</w:t>
            </w:r>
          </w:p>
        </w:tc>
        <w:tc>
          <w:tcPr>
            <w:tcW w:w="1872" w:type="dxa"/>
          </w:tcPr>
          <w:p w14:paraId="15B1263A" w14:textId="77777777" w:rsidR="00723F18" w:rsidRDefault="00000000">
            <w:pPr>
              <w:pStyle w:val="Compact"/>
              <w:widowControl w:val="0"/>
              <w:rPr>
                <w:rFonts w:ascii="Cambria" w:eastAsia="Cambria" w:hAnsi="Cambria"/>
              </w:rPr>
            </w:pPr>
            <w:r>
              <w:rPr>
                <w:rFonts w:eastAsia="Cambria"/>
              </w:rPr>
              <w:t>Paired</w:t>
            </w:r>
          </w:p>
        </w:tc>
      </w:tr>
      <w:tr w:rsidR="00723F18" w14:paraId="404DB572" w14:textId="77777777" w:rsidTr="00723F18">
        <w:tc>
          <w:tcPr>
            <w:tcW w:w="1872" w:type="dxa"/>
          </w:tcPr>
          <w:p w14:paraId="49B5F89A" w14:textId="77777777" w:rsidR="00723F18" w:rsidRDefault="00000000">
            <w:pPr>
              <w:pStyle w:val="Compact"/>
              <w:widowControl w:val="0"/>
              <w:rPr>
                <w:rFonts w:ascii="Cambria" w:eastAsia="Cambria" w:hAnsi="Cambria"/>
              </w:rPr>
            </w:pPr>
            <w:r>
              <w:rPr>
                <w:rFonts w:eastAsia="Cambria"/>
              </w:rPr>
              <w:t>Legal desk</w:t>
            </w:r>
          </w:p>
        </w:tc>
        <w:tc>
          <w:tcPr>
            <w:tcW w:w="1872" w:type="dxa"/>
          </w:tcPr>
          <w:p w14:paraId="650EFA8B" w14:textId="77777777" w:rsidR="00723F18" w:rsidRDefault="00000000">
            <w:pPr>
              <w:pStyle w:val="Compact"/>
              <w:widowControl w:val="0"/>
              <w:rPr>
                <w:rFonts w:ascii="Cambria" w:eastAsia="Cambria" w:hAnsi="Cambria"/>
              </w:rPr>
            </w:pPr>
            <w:r>
              <w:rPr>
                <w:rFonts w:eastAsia="Cambria"/>
              </w:rPr>
              <w:t>2</w:t>
            </w:r>
          </w:p>
        </w:tc>
        <w:tc>
          <w:tcPr>
            <w:tcW w:w="1872" w:type="dxa"/>
          </w:tcPr>
          <w:p w14:paraId="0AAE9518" w14:textId="77777777" w:rsidR="00723F18" w:rsidRDefault="00000000">
            <w:pPr>
              <w:pStyle w:val="Compact"/>
              <w:widowControl w:val="0"/>
              <w:rPr>
                <w:rFonts w:ascii="Cambria" w:eastAsia="Cambria" w:hAnsi="Cambria"/>
              </w:rPr>
            </w:pPr>
            <w:r>
              <w:rPr>
                <w:rFonts w:eastAsia="Cambria"/>
              </w:rPr>
              <w:t>2</w:t>
            </w:r>
          </w:p>
        </w:tc>
        <w:tc>
          <w:tcPr>
            <w:tcW w:w="1872" w:type="dxa"/>
          </w:tcPr>
          <w:p w14:paraId="669A7117" w14:textId="77777777" w:rsidR="00723F18" w:rsidRDefault="00000000">
            <w:pPr>
              <w:pStyle w:val="Compact"/>
              <w:widowControl w:val="0"/>
              <w:rPr>
                <w:rFonts w:ascii="Cambria" w:eastAsia="Cambria" w:hAnsi="Cambria"/>
              </w:rPr>
            </w:pPr>
            <w:r>
              <w:rPr>
                <w:rFonts w:eastAsia="Cambria"/>
              </w:rPr>
              <w:t>1</w:t>
            </w:r>
          </w:p>
        </w:tc>
        <w:tc>
          <w:tcPr>
            <w:tcW w:w="1872" w:type="dxa"/>
          </w:tcPr>
          <w:p w14:paraId="4DF1621C" w14:textId="77777777" w:rsidR="00723F18" w:rsidRDefault="00000000">
            <w:pPr>
              <w:pStyle w:val="Compact"/>
              <w:widowControl w:val="0"/>
              <w:rPr>
                <w:rFonts w:ascii="Cambria" w:eastAsia="Cambria" w:hAnsi="Cambria"/>
              </w:rPr>
            </w:pPr>
            <w:r>
              <w:rPr>
                <w:rFonts w:eastAsia="Cambria"/>
              </w:rPr>
              <w:t>Paired</w:t>
            </w:r>
          </w:p>
        </w:tc>
      </w:tr>
      <w:tr w:rsidR="00723F18" w14:paraId="6D5BB95D" w14:textId="77777777" w:rsidTr="00723F18">
        <w:tc>
          <w:tcPr>
            <w:tcW w:w="1872" w:type="dxa"/>
          </w:tcPr>
          <w:p w14:paraId="0036B820" w14:textId="77777777" w:rsidR="00723F18" w:rsidRDefault="00000000">
            <w:pPr>
              <w:pStyle w:val="Compact"/>
              <w:widowControl w:val="0"/>
              <w:rPr>
                <w:rFonts w:ascii="Cambria" w:eastAsia="Cambria" w:hAnsi="Cambria"/>
              </w:rPr>
            </w:pPr>
            <w:r>
              <w:rPr>
                <w:rFonts w:eastAsia="Cambria"/>
              </w:rPr>
              <w:t>Fund administration</w:t>
            </w:r>
          </w:p>
        </w:tc>
        <w:tc>
          <w:tcPr>
            <w:tcW w:w="1872" w:type="dxa"/>
          </w:tcPr>
          <w:p w14:paraId="4E4251B5" w14:textId="77777777" w:rsidR="00723F18" w:rsidRDefault="00000000">
            <w:pPr>
              <w:pStyle w:val="Compact"/>
              <w:widowControl w:val="0"/>
              <w:rPr>
                <w:rFonts w:ascii="Cambria" w:eastAsia="Cambria" w:hAnsi="Cambria"/>
              </w:rPr>
            </w:pPr>
            <w:r>
              <w:rPr>
                <w:rFonts w:eastAsia="Cambria"/>
              </w:rPr>
              <w:t>0</w:t>
            </w:r>
          </w:p>
        </w:tc>
        <w:tc>
          <w:tcPr>
            <w:tcW w:w="1872" w:type="dxa"/>
          </w:tcPr>
          <w:p w14:paraId="61455B6E" w14:textId="77777777" w:rsidR="00723F18" w:rsidRDefault="00000000">
            <w:pPr>
              <w:pStyle w:val="Compact"/>
              <w:widowControl w:val="0"/>
              <w:rPr>
                <w:rFonts w:ascii="Cambria" w:eastAsia="Cambria" w:hAnsi="Cambria"/>
              </w:rPr>
            </w:pPr>
            <w:r>
              <w:rPr>
                <w:rFonts w:eastAsia="Cambria"/>
              </w:rPr>
              <w:t>0</w:t>
            </w:r>
          </w:p>
        </w:tc>
        <w:tc>
          <w:tcPr>
            <w:tcW w:w="1872" w:type="dxa"/>
          </w:tcPr>
          <w:p w14:paraId="3CD1688C" w14:textId="77777777" w:rsidR="00723F18" w:rsidRDefault="00000000">
            <w:pPr>
              <w:pStyle w:val="Compact"/>
              <w:widowControl w:val="0"/>
              <w:rPr>
                <w:rFonts w:ascii="Cambria" w:eastAsia="Cambria" w:hAnsi="Cambria"/>
              </w:rPr>
            </w:pPr>
            <w:r>
              <w:rPr>
                <w:rFonts w:eastAsia="Cambria"/>
              </w:rPr>
              <w:t>6</w:t>
            </w:r>
          </w:p>
        </w:tc>
        <w:tc>
          <w:tcPr>
            <w:tcW w:w="1872" w:type="dxa"/>
          </w:tcPr>
          <w:p w14:paraId="48A497AE" w14:textId="77777777" w:rsidR="00723F18" w:rsidRDefault="00000000">
            <w:pPr>
              <w:pStyle w:val="Compact"/>
              <w:widowControl w:val="0"/>
              <w:rPr>
                <w:rFonts w:ascii="Cambria" w:eastAsia="Cambria" w:hAnsi="Cambria"/>
              </w:rPr>
            </w:pPr>
            <w:r>
              <w:rPr>
                <w:rFonts w:eastAsia="Cambria"/>
              </w:rPr>
              <w:t>Neutral Administrator professional staff</w:t>
            </w:r>
          </w:p>
        </w:tc>
      </w:tr>
      <w:tr w:rsidR="00723F18" w14:paraId="0BC00230" w14:textId="77777777" w:rsidTr="00723F18">
        <w:tc>
          <w:tcPr>
            <w:tcW w:w="1872" w:type="dxa"/>
          </w:tcPr>
          <w:p w14:paraId="72E305BD" w14:textId="77777777" w:rsidR="00723F18" w:rsidRDefault="00000000">
            <w:pPr>
              <w:pStyle w:val="Compact"/>
              <w:widowControl w:val="0"/>
              <w:rPr>
                <w:rFonts w:ascii="Cambria" w:eastAsia="Cambria" w:hAnsi="Cambria"/>
              </w:rPr>
            </w:pPr>
            <w:r>
              <w:rPr>
                <w:rFonts w:eastAsia="Cambria"/>
              </w:rPr>
              <w:t xml:space="preserve">Observer </w:t>
            </w:r>
            <w:r>
              <w:rPr>
                <w:rFonts w:eastAsia="Cambria"/>
              </w:rPr>
              <w:lastRenderedPageBreak/>
              <w:t>Mission secretariat</w:t>
            </w:r>
          </w:p>
        </w:tc>
        <w:tc>
          <w:tcPr>
            <w:tcW w:w="1872" w:type="dxa"/>
          </w:tcPr>
          <w:p w14:paraId="0A6025AA" w14:textId="77777777" w:rsidR="00723F18" w:rsidRDefault="00000000">
            <w:pPr>
              <w:pStyle w:val="Compact"/>
              <w:widowControl w:val="0"/>
              <w:rPr>
                <w:rFonts w:ascii="Cambria" w:eastAsia="Cambria" w:hAnsi="Cambria"/>
              </w:rPr>
            </w:pPr>
            <w:r>
              <w:rPr>
                <w:rFonts w:eastAsia="Cambria"/>
              </w:rPr>
              <w:lastRenderedPageBreak/>
              <w:t>4</w:t>
            </w:r>
          </w:p>
        </w:tc>
        <w:tc>
          <w:tcPr>
            <w:tcW w:w="1872" w:type="dxa"/>
          </w:tcPr>
          <w:p w14:paraId="2591A3EE" w14:textId="77777777" w:rsidR="00723F18" w:rsidRDefault="00000000">
            <w:pPr>
              <w:pStyle w:val="Compact"/>
              <w:widowControl w:val="0"/>
              <w:rPr>
                <w:rFonts w:ascii="Cambria" w:eastAsia="Cambria" w:hAnsi="Cambria"/>
              </w:rPr>
            </w:pPr>
            <w:r>
              <w:rPr>
                <w:rFonts w:eastAsia="Cambria"/>
              </w:rPr>
              <w:t>4</w:t>
            </w:r>
          </w:p>
        </w:tc>
        <w:tc>
          <w:tcPr>
            <w:tcW w:w="1872" w:type="dxa"/>
          </w:tcPr>
          <w:p w14:paraId="5F4AABA3" w14:textId="77777777" w:rsidR="00723F18" w:rsidRDefault="00000000">
            <w:pPr>
              <w:pStyle w:val="Compact"/>
              <w:widowControl w:val="0"/>
              <w:rPr>
                <w:rFonts w:ascii="Cambria" w:eastAsia="Cambria" w:hAnsi="Cambria"/>
              </w:rPr>
            </w:pPr>
            <w:r>
              <w:rPr>
                <w:rFonts w:eastAsia="Cambria"/>
              </w:rPr>
              <w:t>2</w:t>
            </w:r>
          </w:p>
        </w:tc>
        <w:tc>
          <w:tcPr>
            <w:tcW w:w="1872" w:type="dxa"/>
          </w:tcPr>
          <w:p w14:paraId="4EA785AC" w14:textId="77777777" w:rsidR="00723F18" w:rsidRDefault="00000000">
            <w:pPr>
              <w:pStyle w:val="Compact"/>
              <w:widowControl w:val="0"/>
              <w:rPr>
                <w:rFonts w:ascii="Cambria" w:eastAsia="Cambria" w:hAnsi="Cambria"/>
              </w:rPr>
            </w:pPr>
            <w:r>
              <w:rPr>
                <w:rFonts w:eastAsia="Cambria"/>
              </w:rPr>
              <w:t>Mixed roster</w:t>
            </w:r>
          </w:p>
        </w:tc>
      </w:tr>
    </w:tbl>
    <w:p w14:paraId="602091B9" w14:textId="77777777" w:rsidR="00723F18" w:rsidRDefault="00000000">
      <w:pPr>
        <w:pStyle w:val="BodyText"/>
      </w:pPr>
      <w:bookmarkStart w:id="478" w:name="e.7-staffing-table"/>
      <w:r>
        <w:rPr>
          <w:i/>
          <w:iCs/>
        </w:rPr>
        <w:t>Table E.2: The staffing table. Every core post exists in pairs, and no operational decision rests with a single national viewpoint.</w:t>
      </w:r>
      <w:bookmarkEnd w:id="478"/>
    </w:p>
    <w:p w14:paraId="5C835F71" w14:textId="77777777" w:rsidR="00723F18" w:rsidRDefault="00000000">
      <w:pPr>
        <w:pStyle w:val="Heading2"/>
      </w:pPr>
      <w:bookmarkStart w:id="479" w:name="__RefHeading___Toc6606_2939721771"/>
      <w:bookmarkEnd w:id="479"/>
      <w:r>
        <w:t>E.8 The Day One checklist</w:t>
      </w:r>
    </w:p>
    <w:p w14:paraId="36F147D8" w14:textId="77777777" w:rsidR="00723F18" w:rsidRDefault="00000000">
      <w:pPr>
        <w:pStyle w:val="FirstParagraph"/>
      </w:pPr>
      <w:bookmarkStart w:id="480" w:name="e.8-the-day-one-checklist"/>
      <w:r>
        <w:t xml:space="preserve">Signature complete; four endorsements posted; centers activated; hazard declarations filed; Notice to Mariners issued; </w:t>
      </w:r>
      <w:proofErr w:type="spellStart"/>
      <w:r>
        <w:t>chartlet</w:t>
      </w:r>
      <w:proofErr w:type="spellEnd"/>
      <w:r>
        <w:t xml:space="preserve"> Edition HTCSA-1 published; Joint Watch at roster; de-confliction network tested; acknowledgment engine live; survey surge launched; Bulletin published; stranded vessel schedule posted; status report issued. Twelve items, ninety-six (96) hours, no </w:t>
      </w:r>
      <w:proofErr w:type="gramStart"/>
      <w:r>
        <w:t>exceptions</w:t>
      </w:r>
      <w:proofErr w:type="gramEnd"/>
      <w:r>
        <w:t>.</w:t>
      </w:r>
      <w:bookmarkEnd w:id="480"/>
    </w:p>
    <w:p w14:paraId="615E027B" w14:textId="77777777" w:rsidR="00723F18" w:rsidRDefault="00000000">
      <w:pPr>
        <w:pStyle w:val="Heading2"/>
      </w:pPr>
      <w:bookmarkStart w:id="481" w:name="__RefHeading___Toc6608_2939721771"/>
      <w:bookmarkEnd w:id="481"/>
      <w:r>
        <w:t>E.9 The early harvest</w:t>
      </w:r>
    </w:p>
    <w:p w14:paraId="6E9220CB" w14:textId="77777777" w:rsidR="00723F18" w:rsidRDefault="00000000">
      <w:pPr>
        <w:pStyle w:val="FirstParagraph"/>
      </w:pPr>
      <w:bookmarkStart w:id="482" w:name="e.9-the-early-harvest"/>
      <w:bookmarkStart w:id="483" w:name="X8f241c621497aee4eb2d4b2a9e067290c20c91f"/>
      <w:r>
        <w:t>The first ten (10) days deliver five visible results: the first certified segment; the first escorted daylight convoy; the first stranded vessels cleared under the schedule; the first daily status reports in sequence; and the first observer reports on file. Early harvest converts signature into proof before the politics of the window hardens.</w:t>
      </w:r>
      <w:bookmarkEnd w:id="482"/>
      <w:bookmarkEnd w:id="483"/>
    </w:p>
    <w:p w14:paraId="7700EC1A" w14:textId="77777777" w:rsidR="00723F18" w:rsidRDefault="00000000">
      <w:pPr>
        <w:pStyle w:val="Heading1"/>
      </w:pPr>
      <w:bookmarkStart w:id="484" w:name="__RefHeading___Toc6610_2939721771"/>
      <w:bookmarkEnd w:id="484"/>
      <w:r>
        <w:t>Annex F: The Red Lines Register (Full Operative Text)</w:t>
      </w:r>
    </w:p>
    <w:p w14:paraId="796E920F" w14:textId="77777777" w:rsidR="00723F18" w:rsidRDefault="00000000">
      <w:pPr>
        <w:pStyle w:val="Heading2"/>
      </w:pPr>
      <w:bookmarkStart w:id="485" w:name="__RefHeading___Toc6612_2939721771"/>
      <w:bookmarkEnd w:id="485"/>
      <w:r>
        <w:t>F.1 Method</w:t>
      </w:r>
    </w:p>
    <w:p w14:paraId="21E649F4" w14:textId="77777777" w:rsidR="00723F18" w:rsidRDefault="00000000">
      <w:pPr>
        <w:pStyle w:val="FirstParagraph"/>
      </w:pPr>
      <w:bookmarkStart w:id="486" w:name="f.1-method"/>
      <w:r>
        <w:t>Each entry states the line in neutral terms, names the interest it protects, and identifies the architectural safeguard that holds the line without daily political effort. The Register binds the framework, not the negotiators’ rhetoric: a public statement outside the Register carries no operative weight inside the Accord.</w:t>
      </w:r>
      <w:bookmarkEnd w:id="486"/>
    </w:p>
    <w:p w14:paraId="1AAFDCE6" w14:textId="77777777" w:rsidR="00723F18" w:rsidRDefault="00000000">
      <w:pPr>
        <w:pStyle w:val="Heading2"/>
      </w:pPr>
      <w:bookmarkStart w:id="487" w:name="__RefHeading___Toc6614_2939721771"/>
      <w:bookmarkStart w:id="488" w:name="f.2-the-register"/>
      <w:bookmarkEnd w:id="487"/>
      <w:r>
        <w:t>F.2 The Register</w:t>
      </w:r>
    </w:p>
    <w:p w14:paraId="67BA336D" w14:textId="77777777" w:rsidR="00723F18" w:rsidRDefault="00000000">
      <w:pPr>
        <w:pStyle w:val="FirstParagraph"/>
      </w:pPr>
      <w:r>
        <w:rPr>
          <w:b/>
          <w:bCs/>
        </w:rPr>
        <w:t>RL-1.</w:t>
      </w:r>
      <w:r>
        <w:t xml:space="preserve"> Transit carries no charge, in any corridor, for any vessel, ever. Protected interest: the user-state position that no sovereign meters an international waterway, and the Gulf-state position that exports move untaxed. Safeguard: </w:t>
      </w:r>
      <w:proofErr w:type="gramStart"/>
      <w:r>
        <w:t>the</w:t>
      </w:r>
      <w:proofErr w:type="gramEnd"/>
      <w:r>
        <w:t xml:space="preserve"> Zero-Toll Covenant of Article 19, the Perimeter Test on every invoice, and the shadow-toll audit of Article 19.4.</w:t>
      </w:r>
    </w:p>
    <w:p w14:paraId="6D53CE90" w14:textId="77777777" w:rsidR="00723F18" w:rsidRDefault="00000000">
      <w:pPr>
        <w:pStyle w:val="BodyText"/>
      </w:pPr>
      <w:r>
        <w:rPr>
          <w:b/>
          <w:bCs/>
        </w:rPr>
        <w:t>RL-2.</w:t>
      </w:r>
      <w:r>
        <w:t xml:space="preserve"> No authority halts, boards, seizes, detains, diverts, or harasses a compliant commercial vessel in transit. Protected interest: every flag state’s freedom of navigation, and every coastal state’s interest in a strait free of escalation incidents. Safeguard: the Non-Interdiction Protocol of Article 29 and the Anchor-and-Verify Protocol of Article 11.4, which concentrates all verification friction at anchor.</w:t>
      </w:r>
    </w:p>
    <w:p w14:paraId="43284EB7" w14:textId="77777777" w:rsidR="00723F18" w:rsidRDefault="00000000">
      <w:pPr>
        <w:pStyle w:val="BodyText"/>
      </w:pPr>
      <w:r>
        <w:rPr>
          <w:b/>
          <w:bCs/>
        </w:rPr>
        <w:lastRenderedPageBreak/>
        <w:t>RL-3.</w:t>
      </w:r>
      <w:r>
        <w:t xml:space="preserve"> The Accord settles no maritime boundary and recognizes no sovereignty claim, in either direction. Protected interest: every Party’s legal position on the status of the Strait. Safeguard: </w:t>
      </w:r>
      <w:proofErr w:type="gramStart"/>
      <w:r>
        <w:t>the</w:t>
      </w:r>
      <w:proofErr w:type="gramEnd"/>
      <w:r>
        <w:t xml:space="preserve"> Non-Prejudice Clause of Article 2.2 and the two silences of Article 2.3.</w:t>
      </w:r>
    </w:p>
    <w:p w14:paraId="7C60AB9A" w14:textId="77777777" w:rsidR="00723F18" w:rsidRDefault="00000000">
      <w:pPr>
        <w:pStyle w:val="BodyText"/>
      </w:pPr>
      <w:r>
        <w:rPr>
          <w:b/>
          <w:bCs/>
        </w:rPr>
        <w:t>RL-4.</w:t>
      </w:r>
      <w:r>
        <w:t xml:space="preserve"> Hazard clearance in each coastal sector executes under the operational control of that sector’s steward; no foreign military clearance force enters any sector. Protected interest: the Iranian position on exclusive control of clearance in its waters, mirrored for Oman. Safeguard: Article 13.3, with neutral assurance arriving through observer embarkation rather than through foreign forces.</w:t>
      </w:r>
    </w:p>
    <w:p w14:paraId="23A42D15" w14:textId="77777777" w:rsidR="00723F18" w:rsidRDefault="00000000">
      <w:pPr>
        <w:pStyle w:val="BodyText"/>
      </w:pPr>
      <w:r>
        <w:rPr>
          <w:b/>
          <w:bCs/>
        </w:rPr>
        <w:t>RL-5.</w:t>
      </w:r>
      <w:r>
        <w:t xml:space="preserve"> The corridors carry designations by coordinates alone; no corridor designation constitutes a legal adjudication of the water beneath it. Protected interest: every Party’s legal theory of the water. Safeguard: </w:t>
      </w:r>
      <w:proofErr w:type="gramStart"/>
      <w:r>
        <w:t>the</w:t>
      </w:r>
      <w:proofErr w:type="gramEnd"/>
      <w:r>
        <w:t xml:space="preserve"> Neutral Coordinate Registry of Article 7.3 and the designation rules of Article 7.4.</w:t>
      </w:r>
    </w:p>
    <w:p w14:paraId="6C623519" w14:textId="77777777" w:rsidR="00723F18" w:rsidRDefault="00000000">
      <w:pPr>
        <w:pStyle w:val="BodyText"/>
      </w:pPr>
      <w:r>
        <w:rPr>
          <w:b/>
          <w:bCs/>
        </w:rPr>
        <w:t>RL-6.</w:t>
      </w:r>
      <w:r>
        <w:t xml:space="preserve"> The Central Open Corridor operates without any permission step by any coastal state, for every flag, at every hour. Protected interest: the American and Gulf-state position that most traffic answers to no coastal checkpoint. Safeguard: the open rule of Article 9.3 and the fallback function of Article 9.5.</w:t>
      </w:r>
    </w:p>
    <w:p w14:paraId="0E9C0250" w14:textId="77777777" w:rsidR="00723F18" w:rsidRDefault="00000000">
      <w:pPr>
        <w:pStyle w:val="BodyText"/>
      </w:pPr>
      <w:r>
        <w:rPr>
          <w:b/>
          <w:bCs/>
        </w:rPr>
        <w:t>RL-7.</w:t>
      </w:r>
      <w:r>
        <w:t xml:space="preserve"> Contributions to the Cooperative Safety Fund are voluntary; no contribution constitutes a condition of passage. Protected interest: the Omani and Gulf-state funding model, and the user community’s resistance to coerced payment. Safeguard: Article 21.3 and the operational blindness rule: no operational document ever displays contribution status.</w:t>
      </w:r>
    </w:p>
    <w:p w14:paraId="12115EDA" w14:textId="77777777" w:rsidR="00723F18" w:rsidRDefault="00000000">
      <w:pPr>
        <w:pStyle w:val="BodyText"/>
      </w:pPr>
      <w:r>
        <w:rPr>
          <w:b/>
          <w:bCs/>
        </w:rPr>
        <w:t>RL-8.</w:t>
      </w:r>
      <w:r>
        <w:t xml:space="preserve"> The maritime file stands alone; no provision links this Accord to the nuclear file, the sanctions architecture beyond its own triggers, or any regional conflict file. Protected interest: every Party’s freedom of maneuver in every other file. Safeguard: </w:t>
      </w:r>
      <w:proofErr w:type="gramStart"/>
      <w:r>
        <w:t>the</w:t>
      </w:r>
      <w:proofErr w:type="gramEnd"/>
      <w:r>
        <w:t xml:space="preserve"> Silo Rule of Article 3.7 and Article 48.7.</w:t>
      </w:r>
    </w:p>
    <w:p w14:paraId="3F7095FB" w14:textId="77777777" w:rsidR="00723F18" w:rsidRDefault="00000000">
      <w:pPr>
        <w:pStyle w:val="BodyText"/>
      </w:pPr>
      <w:r>
        <w:rPr>
          <w:b/>
          <w:bCs/>
        </w:rPr>
        <w:t>RL-9.</w:t>
      </w:r>
      <w:r>
        <w:t xml:space="preserve"> Military forces of all Parties operate under the same buffers, the same notice regimes, and the same standoff geometry. Protected interest: symmetric restraint, which reads as architecture rather than as one side standing down. Safeguard: Article 30 in full.</w:t>
      </w:r>
    </w:p>
    <w:p w14:paraId="5D368E48" w14:textId="77777777" w:rsidR="00723F18" w:rsidRDefault="00000000">
      <w:pPr>
        <w:pStyle w:val="BodyText"/>
      </w:pPr>
      <w:r>
        <w:rPr>
          <w:b/>
          <w:bCs/>
        </w:rPr>
        <w:t>RL-10.</w:t>
      </w:r>
      <w:r>
        <w:t xml:space="preserve"> Every economic trigger moves against verified telemetry, never against a promise. Protected interest: the American position that relief follows performance, and the Iranian position that performance reliably produces relief. Safeguard: the phase certificates of Article 34.3 and the Shared Evidence Platform.</w:t>
      </w:r>
    </w:p>
    <w:p w14:paraId="10FD40AB" w14:textId="77777777" w:rsidR="00723F18" w:rsidRDefault="00000000">
      <w:pPr>
        <w:pStyle w:val="BodyText"/>
      </w:pPr>
      <w:r>
        <w:rPr>
          <w:b/>
          <w:bCs/>
        </w:rPr>
        <w:t>RL-11.</w:t>
      </w:r>
      <w:r>
        <w:t xml:space="preserve"> The emergency brake pauses the system; it never punishes the braker. Protected interest: every Party’s exit from crisis without penalty. Safeguard: Article 38, including the banked-position preservation of Article 38.2.</w:t>
      </w:r>
    </w:p>
    <w:p w14:paraId="5EA691CC" w14:textId="77777777" w:rsidR="00723F18" w:rsidRDefault="00000000">
      <w:pPr>
        <w:pStyle w:val="BodyText"/>
      </w:pPr>
      <w:r>
        <w:rPr>
          <w:b/>
          <w:bCs/>
        </w:rPr>
        <w:t>RL-12.</w:t>
      </w:r>
      <w:r>
        <w:t xml:space="preserve"> Humanitarian flows pass a one-way firewall and continue under every scenario, including suspension and exit. Protected interest: civilian life and every Party’s standing before its own public and the world. Safeguard: the humanitarian firewall of Article 40.4 and the Fund reserve of Article 21.5.</w:t>
      </w:r>
    </w:p>
    <w:p w14:paraId="3734295C" w14:textId="77777777" w:rsidR="00723F18" w:rsidRDefault="00000000">
      <w:pPr>
        <w:pStyle w:val="BodyText"/>
      </w:pPr>
      <w:r>
        <w:rPr>
          <w:b/>
          <w:bCs/>
        </w:rPr>
        <w:lastRenderedPageBreak/>
        <w:t>RL-13.</w:t>
      </w:r>
      <w:r>
        <w:t xml:space="preserve"> Observers serve in observer status only; an attack on an observer classifies at the highest tier. Protected interest: the neutral assurance layer on which the shipping world relies. Safeguard: Article 17.2 and the Tier Three classification of Article 39.1.</w:t>
      </w:r>
    </w:p>
    <w:p w14:paraId="672377A0" w14:textId="77777777" w:rsidR="00723F18" w:rsidRDefault="00000000">
      <w:pPr>
        <w:pStyle w:val="BodyText"/>
      </w:pPr>
      <w:r>
        <w:rPr>
          <w:b/>
          <w:bCs/>
        </w:rPr>
        <w:t>RL-14.</w:t>
      </w:r>
      <w:r>
        <w:t xml:space="preserve"> No Party gains a veto over the Accord’s daily operations; consensus governs architecture, automation governs traffic. Protected interest: every Party’s insurance against hostage-taking by procedure. Safeguard: the two-track decision rule of Article 18.1 and the default continuity rule of Article 18.4.</w:t>
      </w:r>
    </w:p>
    <w:p w14:paraId="56B120B9" w14:textId="77777777" w:rsidR="00723F18" w:rsidRDefault="00000000">
      <w:pPr>
        <w:pStyle w:val="BodyText"/>
      </w:pPr>
      <w:r>
        <w:rPr>
          <w:b/>
          <w:bCs/>
        </w:rPr>
        <w:t>RL-15.</w:t>
      </w:r>
      <w:r>
        <w:t xml:space="preserve"> Banked performance never </w:t>
      </w:r>
      <w:proofErr w:type="spellStart"/>
      <w:r>
        <w:t>unbanks</w:t>
      </w:r>
      <w:proofErr w:type="spellEnd"/>
      <w:r>
        <w:t>; released value never claws back. Protected interest: every Party’s certainty that progress, once verified, persists. Safeguard: the continuity rule of Article 4 and the step-back limits of Article 40.1.</w:t>
      </w:r>
    </w:p>
    <w:p w14:paraId="64412CC0" w14:textId="77777777" w:rsidR="00723F18" w:rsidRDefault="00000000">
      <w:pPr>
        <w:pStyle w:val="BodyText"/>
      </w:pPr>
      <w:r>
        <w:rPr>
          <w:b/>
          <w:bCs/>
        </w:rPr>
        <w:t>RL-16.</w:t>
      </w:r>
      <w:r>
        <w:t xml:space="preserve"> The operational bodies of the Accord remain civilian, always. Protected interest: the civilian character that keeps the scheme a maritime system rather than a military one. Safeguard: </w:t>
      </w:r>
      <w:proofErr w:type="gramStart"/>
      <w:r>
        <w:t>the</w:t>
      </w:r>
      <w:proofErr w:type="gramEnd"/>
      <w:r>
        <w:t xml:space="preserve"> Civilian Character Clause of Article 15.6 and annual staffing verification by the Neutral Administrator.</w:t>
      </w:r>
      <w:bookmarkEnd w:id="488"/>
    </w:p>
    <w:p w14:paraId="335EAFE5" w14:textId="77777777" w:rsidR="00723F18" w:rsidRDefault="00000000">
      <w:pPr>
        <w:pStyle w:val="Heading2"/>
      </w:pPr>
      <w:bookmarkStart w:id="489" w:name="__RefHeading___Toc6616_2939721771"/>
      <w:bookmarkEnd w:id="489"/>
      <w:r>
        <w:t>F.3 Consultation</w:t>
      </w:r>
    </w:p>
    <w:p w14:paraId="528EBE7B" w14:textId="77777777" w:rsidR="00723F18" w:rsidRDefault="00000000">
      <w:pPr>
        <w:pStyle w:val="FirstParagraph"/>
      </w:pPr>
      <w:bookmarkStart w:id="490" w:name="X017babde3ab90eabdbdbc88e20744fac35ee143"/>
      <w:bookmarkStart w:id="491" w:name="f.3-consultation"/>
      <w:r>
        <w:t>The Red Line Consultation of Article 6.4 governs any perceived pressure on any entry of this Register. The Register amends only under Article 48.3: consensus of all four Parties plus ratification by each.</w:t>
      </w:r>
      <w:bookmarkEnd w:id="490"/>
      <w:bookmarkEnd w:id="491"/>
    </w:p>
    <w:p w14:paraId="492E49CD" w14:textId="77777777" w:rsidR="00723F18" w:rsidRDefault="00000000">
      <w:pPr>
        <w:pStyle w:val="Heading1"/>
      </w:pPr>
      <w:bookmarkStart w:id="492" w:name="__RefHeading___Toc6618_2939721771"/>
      <w:bookmarkEnd w:id="492"/>
      <w:r>
        <w:t>Annex G: The Negotiation Map</w:t>
      </w:r>
    </w:p>
    <w:p w14:paraId="0FD22481" w14:textId="77777777" w:rsidR="00723F18" w:rsidRDefault="00000000">
      <w:pPr>
        <w:pStyle w:val="Heading2"/>
      </w:pPr>
      <w:bookmarkStart w:id="493" w:name="__RefHeading___Toc6620_2939721771"/>
      <w:bookmarkEnd w:id="493"/>
      <w:r>
        <w:t>G.1 Purpose and method</w:t>
      </w:r>
    </w:p>
    <w:p w14:paraId="0BCF12FA" w14:textId="77777777" w:rsidR="00723F18" w:rsidRDefault="00000000">
      <w:pPr>
        <w:pStyle w:val="FirstParagraph"/>
      </w:pPr>
      <w:bookmarkStart w:id="494" w:name="g.1-purpose-and-method"/>
      <w:r>
        <w:t>This Annex maps the stated positions of each Party, drawn from the public record of the crisis, and states how the Accord answers each one. The map exists so that every delegation verifies, clause by clause, that its red lines hold and its core needs arrive.</w:t>
      </w:r>
      <w:bookmarkEnd w:id="494"/>
    </w:p>
    <w:p w14:paraId="2217B772" w14:textId="77777777" w:rsidR="00723F18" w:rsidRDefault="00000000">
      <w:pPr>
        <w:pStyle w:val="Heading2"/>
      </w:pPr>
      <w:bookmarkStart w:id="495" w:name="__RefHeading___Toc6622_2939721771"/>
      <w:bookmarkStart w:id="496" w:name="g.2-the-iranian-positions"/>
      <w:bookmarkEnd w:id="495"/>
      <w:r>
        <w:t>G.2 The Iranian positions</w:t>
      </w:r>
    </w:p>
    <w:p w14:paraId="02E553DB" w14:textId="77777777" w:rsidR="00723F18" w:rsidRDefault="00000000">
      <w:pPr>
        <w:pStyle w:val="FirstParagraph"/>
      </w:pPr>
      <w:r>
        <w:rPr>
          <w:b/>
          <w:bCs/>
        </w:rPr>
        <w:t>Position I-1: recognized authority over transit through the Strait.</w:t>
      </w:r>
      <w:r>
        <w:t xml:space="preserve"> Tehran has asserted throughout the crisis that vessels transit only on routes it designates, through the Persian Gulf Strait Authority it established, and its negotiators demanded in late July that the inbound lane lie entirely within Iranian waters, with part of the outbound lane as well. The Accord answers: Corridor One runs adjacent to the Iranian coast under Iranian stewardship with a full notification regime giving Tehran a real-time picture of every hull in the northern corridor; Iran chairs functions across the scheme; and the August Layout’s inbound routing through Iranian-adjacent waters survives as Corridor One’s inbound stream. The recognition arrives as stewardship and information, never as a permission step, because a permission step crosses RL-2 and RL-6.</w:t>
      </w:r>
    </w:p>
    <w:p w14:paraId="32CE97F4" w14:textId="77777777" w:rsidR="00723F18" w:rsidRDefault="00000000">
      <w:pPr>
        <w:pStyle w:val="BodyText"/>
      </w:pPr>
      <w:r>
        <w:rPr>
          <w:b/>
          <w:bCs/>
        </w:rPr>
        <w:t>Position I-2: charges for services after the toll-free window.</w:t>
      </w:r>
      <w:r>
        <w:t xml:space="preserve"> Iranian officials, including the parliamentary speaker, state publicly that Iran holds the right to charge for services in </w:t>
      </w:r>
      <w:r>
        <w:lastRenderedPageBreak/>
        <w:t xml:space="preserve">the Strait once the sixty (60) day toll-free window closes, while conceding that a toll on passage itself faces legal difficulty. The Accord answers: the Verified Services Ledger pays for every documented service at benchmarked rates; the stewardship allocation pays for readiness; the data service and registry channels add revenue; and Article 23.4 gives Tehran an accurate domestic presentation of this architecture as its </w:t>
      </w:r>
      <w:proofErr w:type="gramStart"/>
      <w:r>
        <w:t>service-fee</w:t>
      </w:r>
      <w:proofErr w:type="gramEnd"/>
      <w:r>
        <w:t xml:space="preserve"> settlement. The Accord prices the services and frees the passage, which is precisely the distinction Iranian officials themselves have drawn.</w:t>
      </w:r>
    </w:p>
    <w:p w14:paraId="3AA8499B" w14:textId="77777777" w:rsidR="00723F18" w:rsidRDefault="00000000">
      <w:pPr>
        <w:pStyle w:val="BodyText"/>
      </w:pPr>
      <w:r>
        <w:rPr>
          <w:b/>
          <w:bCs/>
        </w:rPr>
        <w:t>Position I-3: exclusive clearance control in its waters, no foreign military demining.</w:t>
      </w:r>
      <w:r>
        <w:t xml:space="preserve"> The Accord answers: Article 13.3 gives each steward operational control of clearance in its corridor and excludes foreign military clearance forces absolutely, with neutral assurance arriving through embarked civilian observers.</w:t>
      </w:r>
    </w:p>
    <w:p w14:paraId="651C813E" w14:textId="77777777" w:rsidR="00723F18" w:rsidRDefault="00000000">
      <w:pPr>
        <w:pStyle w:val="BodyText"/>
      </w:pPr>
      <w:r>
        <w:rPr>
          <w:b/>
          <w:bCs/>
        </w:rPr>
        <w:t>Position I-4: economic relief, frozen assets, and reconstruction.</w:t>
      </w:r>
      <w:r>
        <w:t xml:space="preserve"> Tehran has demanded release of frozen assets, sanctions relief, and reparations, with war damage estimates in the hundreds of billions of dollars. The Accord answers: Channels One and Two of Article 22 convert verified clean transit into asset tranches and energy waivers automatically, on telemetry, with custody that pays vendors directly and never exposes the flows to diversion charges.</w:t>
      </w:r>
    </w:p>
    <w:p w14:paraId="119721BC" w14:textId="77777777" w:rsidR="00723F18" w:rsidRDefault="00000000">
      <w:pPr>
        <w:pStyle w:val="BodyText"/>
      </w:pPr>
      <w:r>
        <w:rPr>
          <w:b/>
          <w:bCs/>
        </w:rPr>
        <w:t>Position I-5: cessation of strikes and respect for sovereignty.</w:t>
      </w:r>
      <w:r>
        <w:t xml:space="preserve"> The Accord answers: the standoff geometry of Article 30 binds every Party’s forces symmetrically, the no-kinetic-enforcement rule of Article 30.8 decouples compliance from force, and the Silo Rule keeps the maritime file from becoming a lever in any other file.</w:t>
      </w:r>
      <w:bookmarkEnd w:id="496"/>
    </w:p>
    <w:p w14:paraId="6DF5E696" w14:textId="77777777" w:rsidR="00723F18" w:rsidRDefault="00000000">
      <w:pPr>
        <w:pStyle w:val="Heading2"/>
      </w:pPr>
      <w:bookmarkStart w:id="497" w:name="__RefHeading___Toc6624_2939721771"/>
      <w:bookmarkStart w:id="498" w:name="g.3-the-united-states-positions"/>
      <w:bookmarkEnd w:id="497"/>
      <w:r>
        <w:t>G.3 The United States positions</w:t>
      </w:r>
    </w:p>
    <w:p w14:paraId="0D9BF8AA" w14:textId="77777777" w:rsidR="00723F18" w:rsidRDefault="00000000">
      <w:pPr>
        <w:pStyle w:val="FirstParagraph"/>
      </w:pPr>
      <w:r>
        <w:rPr>
          <w:b/>
          <w:bCs/>
        </w:rPr>
        <w:t>Position U-1: immediate, complete, total opening of the Strait.</w:t>
      </w:r>
      <w:r>
        <w:t xml:space="preserve"> The President of the United States has named the full opening of the Strait as a core condition of any deal. The Accord answers: three corridors open on a published ramp, with the neutral artery certified first, the fallback function guaranteeing that no single closure closes the Strait, and the stranded vessel backlog clearing on a public schedule.</w:t>
      </w:r>
    </w:p>
    <w:p w14:paraId="339F4216" w14:textId="77777777" w:rsidR="00723F18" w:rsidRDefault="00000000">
      <w:pPr>
        <w:pStyle w:val="BodyText"/>
      </w:pPr>
      <w:r>
        <w:rPr>
          <w:b/>
          <w:bCs/>
        </w:rPr>
        <w:t>Position U-2: permanently toll-free transit.</w:t>
      </w:r>
      <w:r>
        <w:t xml:space="preserve"> The United States holds that no country charges for the use of an international waterway, and its Secretary of State has stated that fees for shipping form no part of any peace deal. The Accord answers: the Zero-Toll Covenant of Article 19, the named exclusions of Article 19.2, the shadow-toll audit, and the Perimeter Test on every invoice.</w:t>
      </w:r>
    </w:p>
    <w:p w14:paraId="7FB725E6" w14:textId="77777777" w:rsidR="00723F18" w:rsidRDefault="00000000">
      <w:pPr>
        <w:pStyle w:val="BodyText"/>
      </w:pPr>
      <w:r>
        <w:rPr>
          <w:b/>
          <w:bCs/>
        </w:rPr>
        <w:t>Position U-3: no recognition of a sovereign chokehold.</w:t>
      </w:r>
      <w:r>
        <w:t xml:space="preserve"> Washington rejects any architecture that legitimizes Iranian control of passage as a standing coercive instrument. The Accord answers: no permission step exists anywhere; the central corridor answers to a joint panel, not to one coast; notification is administrative and never permissive; and the whole scheme rests on the Non-Prejudice Clause, so nothing in it recognizes any claim.</w:t>
      </w:r>
    </w:p>
    <w:p w14:paraId="3035D594" w14:textId="77777777" w:rsidR="00723F18" w:rsidRDefault="00000000">
      <w:pPr>
        <w:pStyle w:val="BodyText"/>
      </w:pPr>
      <w:r>
        <w:rPr>
          <w:b/>
          <w:bCs/>
        </w:rPr>
        <w:t>Position U-4: verification before relief.</w:t>
      </w:r>
      <w:r>
        <w:t xml:space="preserve"> Washington insists that economic steps follow verified performance. The Accord answers: every trigger of Part VII fires on telemetry and </w:t>
      </w:r>
      <w:r>
        <w:lastRenderedPageBreak/>
        <w:t>certificates, never on declarations of intent, and the step-back ladder pauses forward motion on verified deviation while never clawing back banked value.</w:t>
      </w:r>
    </w:p>
    <w:p w14:paraId="1C4F4D55" w14:textId="77777777" w:rsidR="00723F18" w:rsidRDefault="00000000">
      <w:pPr>
        <w:pStyle w:val="BodyText"/>
      </w:pPr>
      <w:r>
        <w:rPr>
          <w:b/>
          <w:bCs/>
        </w:rPr>
        <w:t>Position U-5: forces protected, escalation contained.</w:t>
      </w:r>
      <w:r>
        <w:t xml:space="preserve"> The Accord answers: the de-confliction network, the buffers, the exercise notice regime, and the Military Endorsement Confirmation align the operational level before the ink dries.</w:t>
      </w:r>
      <w:bookmarkEnd w:id="498"/>
    </w:p>
    <w:p w14:paraId="2956830F" w14:textId="77777777" w:rsidR="00723F18" w:rsidRDefault="00000000">
      <w:pPr>
        <w:pStyle w:val="Heading2"/>
      </w:pPr>
      <w:bookmarkStart w:id="499" w:name="__RefHeading___Toc6626_2939721771"/>
      <w:bookmarkStart w:id="500" w:name="g.4-the-omani-positions"/>
      <w:bookmarkEnd w:id="499"/>
      <w:r>
        <w:t>G.4 The Omani positions</w:t>
      </w:r>
    </w:p>
    <w:p w14:paraId="76EE8D5E" w14:textId="77777777" w:rsidR="00723F18" w:rsidRDefault="00000000">
      <w:pPr>
        <w:pStyle w:val="FirstParagraph"/>
      </w:pPr>
      <w:r>
        <w:rPr>
          <w:b/>
          <w:bCs/>
        </w:rPr>
        <w:t>Position O-1: the cooperative funding model.</w:t>
      </w:r>
      <w:r>
        <w:t xml:space="preserve"> Muscat tabled a joint regional mechanism with voluntary contributions modeled on the Strait of Malacca, funding navigation, environmental protection, and rescue. The Accord answers: Article 21 adopts that model as the Cooperative Safety Fund, with the recommended scale, the voluntary declaration, and the transparency dashboard Oman proposed.</w:t>
      </w:r>
    </w:p>
    <w:p w14:paraId="38B254D2" w14:textId="77777777" w:rsidR="00723F18" w:rsidRDefault="00000000">
      <w:pPr>
        <w:pStyle w:val="BodyText"/>
      </w:pPr>
      <w:r>
        <w:rPr>
          <w:b/>
          <w:bCs/>
        </w:rPr>
        <w:t xml:space="preserve">Position O-2: a </w:t>
      </w:r>
      <w:proofErr w:type="gramStart"/>
      <w:r>
        <w:rPr>
          <w:b/>
          <w:bCs/>
        </w:rPr>
        <w:t>genuine shared</w:t>
      </w:r>
      <w:proofErr w:type="gramEnd"/>
      <w:r>
        <w:rPr>
          <w:b/>
          <w:bCs/>
        </w:rPr>
        <w:t xml:space="preserve"> role, not a ceremonial one.</w:t>
      </w:r>
      <w:r>
        <w:t xml:space="preserve"> The Accord answers: Oman chairs the Commission, seats the principal operations node in Muscat, stewards Corridor Three, and leads the southern watch; the Sultanate’s June role under the June Framework’s Oman clause matures into permanent operational standing.</w:t>
      </w:r>
    </w:p>
    <w:p w14:paraId="2C6CD7EE" w14:textId="77777777" w:rsidR="00723F18" w:rsidRDefault="00000000">
      <w:pPr>
        <w:pStyle w:val="BodyText"/>
      </w:pPr>
      <w:r>
        <w:rPr>
          <w:b/>
          <w:bCs/>
        </w:rPr>
        <w:t>Position O-3: no tolls in Omani waters.</w:t>
      </w:r>
      <w:r>
        <w:t xml:space="preserve"> Omani guidance has kept its waters fee-free throughout the crisis. The Accord answers: the Zero-Toll Covenant covers Corridor Three identically, so Omani practice becomes scheme law.</w:t>
      </w:r>
    </w:p>
    <w:p w14:paraId="66A47E8E" w14:textId="77777777" w:rsidR="00723F18" w:rsidRDefault="00000000">
      <w:pPr>
        <w:pStyle w:val="BodyText"/>
      </w:pPr>
      <w:r>
        <w:rPr>
          <w:b/>
          <w:bCs/>
        </w:rPr>
        <w:t>Position O-</w:t>
      </w:r>
      <w:proofErr w:type="gramStart"/>
      <w:r>
        <w:rPr>
          <w:b/>
          <w:bCs/>
        </w:rPr>
        <w:t>4:</w:t>
      </w:r>
      <w:proofErr w:type="gramEnd"/>
      <w:r>
        <w:rPr>
          <w:b/>
          <w:bCs/>
        </w:rPr>
        <w:t xml:space="preserve"> guarantees the arrangement holds against spoilers.</w:t>
      </w:r>
      <w:r>
        <w:t xml:space="preserve"> Muscat has sought assurance that every armed element of every Party honors the scheme. The Accord answers: the Military Endorsement Confirmation of Article 48.2 delivers operational-level alignment from every command before entry into force, and the Qatari channel verifies it.</w:t>
      </w:r>
      <w:bookmarkEnd w:id="500"/>
    </w:p>
    <w:p w14:paraId="4F97F729" w14:textId="77777777" w:rsidR="00723F18" w:rsidRDefault="00000000">
      <w:pPr>
        <w:pStyle w:val="Heading2"/>
      </w:pPr>
      <w:bookmarkStart w:id="501" w:name="__RefHeading___Toc6628_2939721771"/>
      <w:bookmarkStart w:id="502" w:name="g.5-the-qatari-positions"/>
      <w:bookmarkEnd w:id="501"/>
      <w:r>
        <w:t>G.5 The Qatari positions</w:t>
      </w:r>
    </w:p>
    <w:p w14:paraId="13F1B71D" w14:textId="77777777" w:rsidR="00723F18" w:rsidRDefault="00000000">
      <w:pPr>
        <w:pStyle w:val="FirstParagraph"/>
      </w:pPr>
      <w:r>
        <w:rPr>
          <w:b/>
          <w:bCs/>
        </w:rPr>
        <w:t>Position Q-1: a protected path for liquefied gas exports.</w:t>
      </w:r>
      <w:r>
        <w:t xml:space="preserve"> Qatari liquefied natural gas exports, damaged at Ras Laffan and delayed to buyers into the autumn, transit the Strait with no alternative route. The Accord answers: the gas-carrier priority windows of Article 12.5, the six-mile spacing rule, the Corridor Three outbound default, and the insurance track of Annex K.</w:t>
      </w:r>
    </w:p>
    <w:p w14:paraId="3B0A977F" w14:textId="77777777" w:rsidR="00723F18" w:rsidRDefault="00000000">
      <w:pPr>
        <w:pStyle w:val="BodyText"/>
      </w:pPr>
      <w:r>
        <w:rPr>
          <w:b/>
          <w:bCs/>
        </w:rPr>
        <w:t>Position Q-2: an open strait under international law.</w:t>
      </w:r>
      <w:r>
        <w:t xml:space="preserve"> The Accord answers: the open rule of Corridor Two, the free-navigation rule of Corridor Three, and the non-prejudice architecture that keeps every legal theory intact while the water runs.</w:t>
      </w:r>
    </w:p>
    <w:p w14:paraId="2062B350" w14:textId="77777777" w:rsidR="00723F18" w:rsidRDefault="00000000">
      <w:pPr>
        <w:pStyle w:val="BodyText"/>
      </w:pPr>
      <w:r>
        <w:rPr>
          <w:b/>
          <w:bCs/>
        </w:rPr>
        <w:t>Position Q-3: an institutionalized mediation role.</w:t>
      </w:r>
      <w:r>
        <w:t xml:space="preserve"> Doha has carried the </w:t>
      </w:r>
      <w:proofErr w:type="gramStart"/>
      <w:r>
        <w:t>principals</w:t>
      </w:r>
      <w:proofErr w:type="gramEnd"/>
      <w:r>
        <w:t xml:space="preserve"> channel to the military commands throughout the crisis. The Accord answers: the Doha Economic Desk, the Commission vice-chairmanship, the facilitation tier of Article 42.2, and the reconstitution channel institutionalize the role in the scheme’s permanent organs.</w:t>
      </w:r>
    </w:p>
    <w:p w14:paraId="0585C52E" w14:textId="77777777" w:rsidR="00723F18" w:rsidRDefault="00000000">
      <w:pPr>
        <w:pStyle w:val="BodyText"/>
      </w:pPr>
      <w:r>
        <w:rPr>
          <w:b/>
          <w:bCs/>
        </w:rPr>
        <w:t>Position Q-4: regional security architecture with economic cooperation.</w:t>
      </w:r>
      <w:r>
        <w:t xml:space="preserve"> The Qatari leadership has framed the endgame as a regional security framework with economic cooperation among all Gulf states. The Accord answers: the accession path of Article 47, the </w:t>
      </w:r>
      <w:r>
        <w:lastRenderedPageBreak/>
        <w:t>Stakeholder Panel, and the second-window infrastructure facility of Annex C give that frame a working maritime foundation.</w:t>
      </w:r>
      <w:bookmarkEnd w:id="502"/>
    </w:p>
    <w:p w14:paraId="77EA2344" w14:textId="77777777" w:rsidR="00723F18" w:rsidRDefault="00000000">
      <w:pPr>
        <w:pStyle w:val="Heading2"/>
      </w:pPr>
      <w:bookmarkStart w:id="503" w:name="__RefHeading___Toc6630_2939721771"/>
      <w:bookmarkEnd w:id="503"/>
      <w:r>
        <w:t>G.6 The intersection set</w:t>
      </w:r>
    </w:p>
    <w:p w14:paraId="6C57D253" w14:textId="77777777" w:rsidR="00723F18" w:rsidRDefault="00000000">
      <w:pPr>
        <w:pStyle w:val="FirstParagraph"/>
      </w:pPr>
      <w:bookmarkStart w:id="504" w:name="annex-g-the-negotiation-map"/>
      <w:bookmarkStart w:id="505" w:name="g.6-the-intersection-set"/>
      <w:r>
        <w:t xml:space="preserve">Every Party’s core </w:t>
      </w:r>
      <w:proofErr w:type="gramStart"/>
      <w:r>
        <w:t>need arrives</w:t>
      </w:r>
      <w:proofErr w:type="gramEnd"/>
      <w:r>
        <w:t>; every Party’s red line holds. Iran receives recognition, revenue, clearance control, and relief. The United States receives opening, zero tolls, no chokehold, and verified relief. Oman receives the cooperative model, the operational seat, and the standing. Qatar receives the protected artery, the institutional role, and the regional frame. The Accord denies each Party only what crosses another’s line: Iran receives no permission power over foreign hulls; the United States receives no role in corridor governance beyond its defined channels; Oman receives no exclusive broker status, because Qatar co-holds the file; Qatar receives no adjudicative power, because the scheme adjudicates nothing.</w:t>
      </w:r>
      <w:bookmarkEnd w:id="504"/>
      <w:bookmarkEnd w:id="505"/>
    </w:p>
    <w:p w14:paraId="002CA647" w14:textId="77777777" w:rsidR="00723F18" w:rsidRDefault="00000000">
      <w:pPr>
        <w:pStyle w:val="Heading1"/>
      </w:pPr>
      <w:bookmarkStart w:id="506" w:name="__RefHeading___Toc6632_2939721771"/>
      <w:bookmarkEnd w:id="506"/>
      <w:r>
        <w:t>Annex H: The Narrative Symmetry Note</w:t>
      </w:r>
    </w:p>
    <w:p w14:paraId="4BF3A977" w14:textId="77777777" w:rsidR="00723F18" w:rsidRDefault="00000000">
      <w:pPr>
        <w:pStyle w:val="Heading2"/>
      </w:pPr>
      <w:bookmarkStart w:id="507" w:name="__RefHeading___Toc6634_2939721771"/>
      <w:bookmarkEnd w:id="507"/>
      <w:r>
        <w:t>H.1 Purpose</w:t>
      </w:r>
    </w:p>
    <w:p w14:paraId="5DB9127F" w14:textId="77777777" w:rsidR="00723F18" w:rsidRDefault="00000000">
      <w:pPr>
        <w:pStyle w:val="FirstParagraph"/>
      </w:pPr>
      <w:bookmarkStart w:id="508" w:name="h.1-purpose"/>
      <w:r>
        <w:t>This note keeps four domestic narratives true at once. It exists because the Accord survives only where every capital defends it at home, and no capital defends a text its public reads as surrender.</w:t>
      </w:r>
      <w:bookmarkEnd w:id="508"/>
    </w:p>
    <w:p w14:paraId="20077951" w14:textId="77777777" w:rsidR="00723F18" w:rsidRDefault="00000000">
      <w:pPr>
        <w:pStyle w:val="Heading2"/>
      </w:pPr>
      <w:bookmarkStart w:id="509" w:name="__RefHeading___Toc6636_2939721771"/>
      <w:bookmarkEnd w:id="509"/>
      <w:r>
        <w:t>H.2 How Tehran frames the Accord</w:t>
      </w:r>
    </w:p>
    <w:p w14:paraId="59C5D079" w14:textId="77777777" w:rsidR="00723F18" w:rsidRDefault="00000000">
      <w:pPr>
        <w:pStyle w:val="FirstParagraph"/>
      </w:pPr>
      <w:bookmarkStart w:id="510" w:name="h.2-how-tehran-frames-the-accord"/>
      <w:r>
        <w:t>The northern corridor operates under Iranian stewardship, with every transiting vessel filing its declaration into a system Tehran reads in real time. Iranian pilots, Iranian clearance units, and Iranian watch officers perform the services, and a multilateral fund pays for them at published rates. No foreign soldier clears an Iranian-adjacent lane. Clean operation releases frozen assets and restores energy exports on an automatic schedule. The Strait’s new order carries an Iranian signature in its daily operation, and the toll-free label belongs to passage alone, never to the services Iran provides.</w:t>
      </w:r>
      <w:bookmarkEnd w:id="510"/>
    </w:p>
    <w:p w14:paraId="14DB86B4" w14:textId="77777777" w:rsidR="00723F18" w:rsidRDefault="00000000">
      <w:pPr>
        <w:pStyle w:val="Heading2"/>
      </w:pPr>
      <w:bookmarkStart w:id="511" w:name="__RefHeading___Toc6638_2939721771"/>
      <w:bookmarkEnd w:id="511"/>
      <w:r>
        <w:t>H.3 How Washington frames the Accord</w:t>
      </w:r>
    </w:p>
    <w:p w14:paraId="44CB6B93" w14:textId="77777777" w:rsidR="00723F18" w:rsidRDefault="00000000">
      <w:pPr>
        <w:pStyle w:val="FirstParagraph"/>
      </w:pPr>
      <w:bookmarkStart w:id="512" w:name="h.3-how-washington-frames-the-accord"/>
      <w:r>
        <w:t xml:space="preserve">The Strait stands open, completely, in three corridors, and no vessel pays anyone for the right to pass. The central artery answers </w:t>
      </w:r>
      <w:proofErr w:type="gramStart"/>
      <w:r>
        <w:t>to</w:t>
      </w:r>
      <w:proofErr w:type="gramEnd"/>
      <w:r>
        <w:t xml:space="preserve"> no single </w:t>
      </w:r>
      <w:proofErr w:type="gramStart"/>
      <w:r>
        <w:t>coast</w:t>
      </w:r>
      <w:proofErr w:type="gramEnd"/>
      <w:r>
        <w:t>. There is no permit, no checkpoint, no toll booth on the water, and the architecture names and bans every disguise a toll could wear. Every dollar of relief moves only after the record proves performance, and every released dollar pays a vendor, never a treasury. The United States commands nothing in the scheme and sacrifices nothing in it: it holds its forces under the same transparent rules as every other force.</w:t>
      </w:r>
      <w:bookmarkEnd w:id="512"/>
    </w:p>
    <w:p w14:paraId="4AEACB7B" w14:textId="77777777" w:rsidR="00723F18" w:rsidRDefault="00000000">
      <w:pPr>
        <w:pStyle w:val="Heading2"/>
      </w:pPr>
      <w:bookmarkStart w:id="513" w:name="__RefHeading___Toc6640_2939721771"/>
      <w:bookmarkEnd w:id="513"/>
      <w:r>
        <w:t>H.4 How Muscat frames the Accord</w:t>
      </w:r>
    </w:p>
    <w:p w14:paraId="2C8D08CC" w14:textId="77777777" w:rsidR="00723F18" w:rsidRDefault="00000000">
      <w:pPr>
        <w:pStyle w:val="FirstParagraph"/>
      </w:pPr>
      <w:bookmarkStart w:id="514" w:name="h.4-how-muscat-frames-the-accord"/>
      <w:r>
        <w:t xml:space="preserve">The Sultanate’s June mandate matures into the operative scheme: Muscat chairs the Commission, hosts the principal operations center, and stewards the southern corridor </w:t>
      </w:r>
      <w:r>
        <w:lastRenderedPageBreak/>
        <w:t>under the cooperative funding model Oman tabled when the file was stuck. Omani waters stay fee-free, as Omani guidance stated from the start, and the Strait’s safety now rests on institutions seated on Omani soil.</w:t>
      </w:r>
      <w:bookmarkEnd w:id="514"/>
    </w:p>
    <w:p w14:paraId="39974F27" w14:textId="77777777" w:rsidR="00723F18" w:rsidRDefault="00000000">
      <w:pPr>
        <w:pStyle w:val="Heading2"/>
      </w:pPr>
      <w:bookmarkStart w:id="515" w:name="__RefHeading___Toc6642_2939721771"/>
      <w:bookmarkEnd w:id="515"/>
      <w:r>
        <w:t>H.5 How Doha frames the Accord</w:t>
      </w:r>
    </w:p>
    <w:p w14:paraId="7CC46B39" w14:textId="77777777" w:rsidR="00723F18" w:rsidRDefault="00000000">
      <w:pPr>
        <w:pStyle w:val="FirstParagraph"/>
      </w:pPr>
      <w:bookmarkStart w:id="516" w:name="h.5-how-doha-frames-the-accord"/>
      <w:r>
        <w:t>Qatari mediation produced the channel, the layout, and the economic architecture, and the scheme seats that role permanently in the Doha Economic Desk and the Commission vice-chairmanship. Qatari gas moves under protected windows through a certified corridor, and the region gains the first working piece of the cooperative security frame Doha has advocated.</w:t>
      </w:r>
      <w:bookmarkEnd w:id="516"/>
    </w:p>
    <w:p w14:paraId="165264AB" w14:textId="77777777" w:rsidR="00723F18" w:rsidRDefault="00000000">
      <w:pPr>
        <w:pStyle w:val="Heading2"/>
      </w:pPr>
      <w:bookmarkStart w:id="517" w:name="__RefHeading___Toc6644_2939721771"/>
      <w:bookmarkEnd w:id="517"/>
      <w:r>
        <w:t>H.6 The non-contradiction principle</w:t>
      </w:r>
    </w:p>
    <w:p w14:paraId="71ECAA71" w14:textId="77777777" w:rsidR="00723F18" w:rsidRDefault="00000000">
      <w:pPr>
        <w:pStyle w:val="FirstParagraph"/>
      </w:pPr>
      <w:bookmarkStart w:id="518" w:name="annex-h-the-narrative-symmetry-note"/>
      <w:bookmarkStart w:id="519" w:name="h.6-the-non-contradiction-principle"/>
      <w:r>
        <w:t>Each frame states true facts. Where a frame asserts more than the architecture holds, the assertion travels outside the Accord’s protection and carries no operational effect. The four frames coexist because the architecture holds their claims simultaneously, and the Non-Prejudice Clause strips every excess claim of consequence.</w:t>
      </w:r>
      <w:bookmarkEnd w:id="518"/>
      <w:bookmarkEnd w:id="519"/>
    </w:p>
    <w:p w14:paraId="1F53A558" w14:textId="77777777" w:rsidR="00723F18" w:rsidRDefault="00000000">
      <w:pPr>
        <w:pStyle w:val="Heading1"/>
      </w:pPr>
      <w:bookmarkStart w:id="520" w:name="__RefHeading___Toc6646_2939721771"/>
      <w:bookmarkEnd w:id="520"/>
      <w:r>
        <w:t>Annex I: Communications, Notification Formats, and the Mariners’ Handbook</w:t>
      </w:r>
    </w:p>
    <w:p w14:paraId="66FAD0D9" w14:textId="77777777" w:rsidR="00723F18" w:rsidRDefault="00000000">
      <w:pPr>
        <w:pStyle w:val="Heading2"/>
      </w:pPr>
      <w:bookmarkStart w:id="521" w:name="__RefHeading___Toc6648_2939721771"/>
      <w:bookmarkEnd w:id="521"/>
      <w:r>
        <w:t>I.1 The twelve-field transit declaration</w:t>
      </w:r>
    </w:p>
    <w:p w14:paraId="3F2AF14B" w14:textId="77777777" w:rsidR="00723F18" w:rsidRDefault="00000000">
      <w:pPr>
        <w:pStyle w:val="FirstParagraph"/>
      </w:pPr>
      <w:bookmarkStart w:id="522" w:name="i.1-the-twelve-field-transit-declaration"/>
      <w:proofErr w:type="gramStart"/>
      <w:r>
        <w:t>Form</w:t>
      </w:r>
      <w:proofErr w:type="gramEnd"/>
      <w:r>
        <w:t xml:space="preserve"> HTCSA-1 carries twelve fields: vessel name; international maritime organization number; flag; class under Article 11; gross tonnage and deadweight; cargo category in general terms; last port; next port; elected corridor and lane; estimated entry time; master contact; and automatic identification system operational confirmation. No field requests cargo manifests, crew lists, or commercial terms.</w:t>
      </w:r>
      <w:bookmarkEnd w:id="522"/>
    </w:p>
    <w:p w14:paraId="6D77A9A1" w14:textId="77777777" w:rsidR="00723F18" w:rsidRDefault="00000000">
      <w:pPr>
        <w:pStyle w:val="Heading2"/>
      </w:pPr>
      <w:bookmarkStart w:id="523" w:name="__RefHeading___Toc6650_2939721771"/>
      <w:bookmarkEnd w:id="523"/>
      <w:r>
        <w:t>I.2 The voice discipline</w:t>
      </w:r>
    </w:p>
    <w:p w14:paraId="22B36819" w14:textId="77777777" w:rsidR="00723F18" w:rsidRDefault="00000000">
      <w:pPr>
        <w:pStyle w:val="FirstParagraph"/>
      </w:pPr>
      <w:bookmarkStart w:id="524" w:name="i.2-the-voice-discipline"/>
      <w:r>
        <w:t xml:space="preserve">Working channels use the Standard Marine Communication Phrases. Safety hails carry information and never instructions to stop, divert, or heave to. Every hail logs </w:t>
      </w:r>
      <w:proofErr w:type="gramStart"/>
      <w:r>
        <w:t>on</w:t>
      </w:r>
      <w:proofErr w:type="gramEnd"/>
      <w:r>
        <w:t xml:space="preserve"> both centers with time, channel, and content.</w:t>
      </w:r>
      <w:bookmarkEnd w:id="524"/>
    </w:p>
    <w:p w14:paraId="57AD3C0E" w14:textId="77777777" w:rsidR="00723F18" w:rsidRDefault="00000000">
      <w:pPr>
        <w:pStyle w:val="Heading2"/>
      </w:pPr>
      <w:bookmarkStart w:id="525" w:name="__RefHeading___Toc6652_2939721771"/>
      <w:bookmarkEnd w:id="525"/>
      <w:r>
        <w:t>I.3 The VHF plan</w:t>
      </w:r>
    </w:p>
    <w:p w14:paraId="2BE5CF09" w14:textId="77777777" w:rsidR="00723F18" w:rsidRDefault="00000000">
      <w:pPr>
        <w:pStyle w:val="FirstParagraph"/>
      </w:pPr>
      <w:bookmarkStart w:id="526" w:name="i.3-the-vhf-plan"/>
      <w:r>
        <w:t xml:space="preserve">Channel 16 stands for distress and calling. The corridor working channels </w:t>
      </w:r>
      <w:proofErr w:type="gramStart"/>
      <w:r>
        <w:t>publish</w:t>
      </w:r>
      <w:proofErr w:type="gramEnd"/>
      <w:r>
        <w:t xml:space="preserve"> in the </w:t>
      </w:r>
      <w:proofErr w:type="spellStart"/>
      <w:r>
        <w:t>chartlet</w:t>
      </w:r>
      <w:proofErr w:type="spellEnd"/>
      <w:r>
        <w:t xml:space="preserve"> series: one working channel per corridor, one common de-confliction channel, one rescue channel. The Operations System monitors all working channels continuously from both centers.</w:t>
      </w:r>
      <w:bookmarkEnd w:id="526"/>
    </w:p>
    <w:p w14:paraId="2A445FF7" w14:textId="77777777" w:rsidR="00723F18" w:rsidRDefault="00000000">
      <w:pPr>
        <w:pStyle w:val="Heading2"/>
      </w:pPr>
      <w:bookmarkStart w:id="527" w:name="__RefHeading___Toc6654_2939721771"/>
      <w:bookmarkEnd w:id="527"/>
      <w:r>
        <w:t>I.4 The hotline matrix</w:t>
      </w:r>
    </w:p>
    <w:tbl>
      <w:tblPr>
        <w:tblStyle w:val="Table"/>
        <w:tblW w:w="5000" w:type="pct"/>
        <w:tblInd w:w="0" w:type="dxa"/>
        <w:tblLayout w:type="fixed"/>
        <w:tblLook w:val="0020" w:firstRow="1" w:lastRow="0" w:firstColumn="0" w:lastColumn="0" w:noHBand="0" w:noVBand="0"/>
      </w:tblPr>
      <w:tblGrid>
        <w:gridCol w:w="3192"/>
        <w:gridCol w:w="3192"/>
        <w:gridCol w:w="3192"/>
      </w:tblGrid>
      <w:tr w:rsidR="00723F18" w14:paraId="793BF372"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1C225C73" w14:textId="77777777" w:rsidR="00723F18" w:rsidRDefault="00000000">
            <w:pPr>
              <w:pStyle w:val="Compact"/>
              <w:widowControl w:val="0"/>
              <w:rPr>
                <w:rFonts w:ascii="Cambria" w:eastAsia="Cambria" w:hAnsi="Cambria"/>
              </w:rPr>
            </w:pPr>
            <w:r>
              <w:rPr>
                <w:rFonts w:eastAsia="Cambria"/>
                <w:b/>
                <w:bCs/>
              </w:rPr>
              <w:t>Link</w:t>
            </w:r>
          </w:p>
        </w:tc>
        <w:tc>
          <w:tcPr>
            <w:tcW w:w="3120" w:type="dxa"/>
            <w:tcBorders>
              <w:bottom w:val="single" w:sz="6" w:space="0" w:color="000000"/>
            </w:tcBorders>
          </w:tcPr>
          <w:p w14:paraId="6D4179D2" w14:textId="77777777" w:rsidR="00723F18" w:rsidRDefault="00000000">
            <w:pPr>
              <w:pStyle w:val="Compact"/>
              <w:widowControl w:val="0"/>
              <w:rPr>
                <w:rFonts w:ascii="Cambria" w:eastAsia="Cambria" w:hAnsi="Cambria"/>
              </w:rPr>
            </w:pPr>
            <w:r>
              <w:rPr>
                <w:rFonts w:eastAsia="Cambria"/>
                <w:b/>
                <w:bCs/>
              </w:rPr>
              <w:t>Endpoints</w:t>
            </w:r>
          </w:p>
        </w:tc>
        <w:tc>
          <w:tcPr>
            <w:tcW w:w="3120" w:type="dxa"/>
            <w:tcBorders>
              <w:bottom w:val="single" w:sz="6" w:space="0" w:color="000000"/>
            </w:tcBorders>
          </w:tcPr>
          <w:p w14:paraId="03EB6986" w14:textId="77777777" w:rsidR="00723F18" w:rsidRDefault="00000000">
            <w:pPr>
              <w:pStyle w:val="Compact"/>
              <w:widowControl w:val="0"/>
              <w:rPr>
                <w:rFonts w:ascii="Cambria" w:eastAsia="Cambria" w:hAnsi="Cambria"/>
              </w:rPr>
            </w:pPr>
            <w:r>
              <w:rPr>
                <w:rFonts w:eastAsia="Cambria"/>
                <w:b/>
                <w:bCs/>
              </w:rPr>
              <w:t>Answer standard</w:t>
            </w:r>
          </w:p>
        </w:tc>
      </w:tr>
      <w:tr w:rsidR="00723F18" w14:paraId="38FF8322" w14:textId="77777777" w:rsidTr="00723F18">
        <w:tc>
          <w:tcPr>
            <w:tcW w:w="3120" w:type="dxa"/>
          </w:tcPr>
          <w:p w14:paraId="0BF75E58" w14:textId="77777777" w:rsidR="00723F18" w:rsidRDefault="00000000">
            <w:pPr>
              <w:pStyle w:val="Compact"/>
              <w:widowControl w:val="0"/>
              <w:rPr>
                <w:rFonts w:ascii="Cambria" w:eastAsia="Cambria" w:hAnsi="Cambria"/>
              </w:rPr>
            </w:pPr>
            <w:r>
              <w:rPr>
                <w:rFonts w:eastAsia="Cambria"/>
              </w:rPr>
              <w:t>De-confliction line</w:t>
            </w:r>
          </w:p>
        </w:tc>
        <w:tc>
          <w:tcPr>
            <w:tcW w:w="3120" w:type="dxa"/>
          </w:tcPr>
          <w:p w14:paraId="2BEB083F" w14:textId="77777777" w:rsidR="00723F18" w:rsidRDefault="00000000">
            <w:pPr>
              <w:pStyle w:val="Compact"/>
              <w:widowControl w:val="0"/>
              <w:rPr>
                <w:rFonts w:ascii="Cambria" w:eastAsia="Cambria" w:hAnsi="Cambria"/>
              </w:rPr>
            </w:pPr>
            <w:r>
              <w:rPr>
                <w:rFonts w:eastAsia="Cambria"/>
              </w:rPr>
              <w:t xml:space="preserve">The four military nodes of </w:t>
            </w:r>
            <w:r>
              <w:rPr>
                <w:rFonts w:eastAsia="Cambria"/>
              </w:rPr>
              <w:lastRenderedPageBreak/>
              <w:t>Article 30.4</w:t>
            </w:r>
          </w:p>
        </w:tc>
        <w:tc>
          <w:tcPr>
            <w:tcW w:w="3120" w:type="dxa"/>
          </w:tcPr>
          <w:p w14:paraId="72A82E27" w14:textId="77777777" w:rsidR="00723F18" w:rsidRDefault="00000000">
            <w:pPr>
              <w:pStyle w:val="Compact"/>
              <w:widowControl w:val="0"/>
              <w:rPr>
                <w:rFonts w:ascii="Cambria" w:eastAsia="Cambria" w:hAnsi="Cambria"/>
              </w:rPr>
            </w:pPr>
            <w:r>
              <w:rPr>
                <w:rFonts w:eastAsia="Cambria"/>
              </w:rPr>
              <w:lastRenderedPageBreak/>
              <w:t>Two (2) hours</w:t>
            </w:r>
          </w:p>
        </w:tc>
      </w:tr>
      <w:tr w:rsidR="00723F18" w14:paraId="7FADE21B" w14:textId="77777777" w:rsidTr="00723F18">
        <w:tc>
          <w:tcPr>
            <w:tcW w:w="3120" w:type="dxa"/>
          </w:tcPr>
          <w:p w14:paraId="3D5677A8" w14:textId="77777777" w:rsidR="00723F18" w:rsidRDefault="00000000">
            <w:pPr>
              <w:pStyle w:val="Compact"/>
              <w:widowControl w:val="0"/>
              <w:rPr>
                <w:rFonts w:ascii="Cambria" w:eastAsia="Cambria" w:hAnsi="Cambria"/>
              </w:rPr>
            </w:pPr>
            <w:r>
              <w:rPr>
                <w:rFonts w:eastAsia="Cambria"/>
              </w:rPr>
              <w:t>Operations line</w:t>
            </w:r>
          </w:p>
        </w:tc>
        <w:tc>
          <w:tcPr>
            <w:tcW w:w="3120" w:type="dxa"/>
          </w:tcPr>
          <w:p w14:paraId="39394CBC" w14:textId="77777777" w:rsidR="00723F18" w:rsidRDefault="00000000">
            <w:pPr>
              <w:pStyle w:val="Compact"/>
              <w:widowControl w:val="0"/>
              <w:rPr>
                <w:rFonts w:ascii="Cambria" w:eastAsia="Cambria" w:hAnsi="Cambria"/>
              </w:rPr>
            </w:pPr>
            <w:r>
              <w:rPr>
                <w:rFonts w:eastAsia="Cambria"/>
              </w:rPr>
              <w:t>Muscat center and Bandar Abbas center</w:t>
            </w:r>
          </w:p>
        </w:tc>
        <w:tc>
          <w:tcPr>
            <w:tcW w:w="3120" w:type="dxa"/>
          </w:tcPr>
          <w:p w14:paraId="6641A6EE" w14:textId="77777777" w:rsidR="00723F18" w:rsidRDefault="00000000">
            <w:pPr>
              <w:pStyle w:val="Compact"/>
              <w:widowControl w:val="0"/>
              <w:rPr>
                <w:rFonts w:ascii="Cambria" w:eastAsia="Cambria" w:hAnsi="Cambria"/>
              </w:rPr>
            </w:pPr>
            <w:r>
              <w:rPr>
                <w:rFonts w:eastAsia="Cambria"/>
              </w:rPr>
              <w:t>Immediate, watch to watch</w:t>
            </w:r>
          </w:p>
        </w:tc>
      </w:tr>
      <w:tr w:rsidR="00723F18" w14:paraId="59D1E74F" w14:textId="77777777" w:rsidTr="00723F18">
        <w:tc>
          <w:tcPr>
            <w:tcW w:w="3120" w:type="dxa"/>
          </w:tcPr>
          <w:p w14:paraId="4CC82A5B" w14:textId="77777777" w:rsidR="00723F18" w:rsidRDefault="00000000">
            <w:pPr>
              <w:pStyle w:val="Compact"/>
              <w:widowControl w:val="0"/>
              <w:rPr>
                <w:rFonts w:ascii="Cambria" w:eastAsia="Cambria" w:hAnsi="Cambria"/>
              </w:rPr>
            </w:pPr>
            <w:r>
              <w:rPr>
                <w:rFonts w:eastAsia="Cambria"/>
              </w:rPr>
              <w:t>Economic line</w:t>
            </w:r>
          </w:p>
        </w:tc>
        <w:tc>
          <w:tcPr>
            <w:tcW w:w="3120" w:type="dxa"/>
          </w:tcPr>
          <w:p w14:paraId="360DCB56" w14:textId="77777777" w:rsidR="00723F18" w:rsidRDefault="00000000">
            <w:pPr>
              <w:pStyle w:val="Compact"/>
              <w:widowControl w:val="0"/>
              <w:rPr>
                <w:rFonts w:ascii="Cambria" w:eastAsia="Cambria" w:hAnsi="Cambria"/>
              </w:rPr>
            </w:pPr>
            <w:r>
              <w:rPr>
                <w:rFonts w:eastAsia="Cambria"/>
              </w:rPr>
              <w:t>Doha desk and the Neutral Administrator</w:t>
            </w:r>
          </w:p>
        </w:tc>
        <w:tc>
          <w:tcPr>
            <w:tcW w:w="3120" w:type="dxa"/>
          </w:tcPr>
          <w:p w14:paraId="4A3E79C2" w14:textId="77777777" w:rsidR="00723F18" w:rsidRDefault="00000000">
            <w:pPr>
              <w:pStyle w:val="Compact"/>
              <w:widowControl w:val="0"/>
              <w:rPr>
                <w:rFonts w:ascii="Cambria" w:eastAsia="Cambria" w:hAnsi="Cambria"/>
              </w:rPr>
            </w:pPr>
            <w:r>
              <w:rPr>
                <w:rFonts w:eastAsia="Cambria"/>
              </w:rPr>
              <w:t>Same business day</w:t>
            </w:r>
          </w:p>
        </w:tc>
      </w:tr>
      <w:tr w:rsidR="00723F18" w14:paraId="63382658" w14:textId="77777777" w:rsidTr="00723F18">
        <w:tc>
          <w:tcPr>
            <w:tcW w:w="3120" w:type="dxa"/>
          </w:tcPr>
          <w:p w14:paraId="64A3A7C0" w14:textId="77777777" w:rsidR="00723F18" w:rsidRDefault="00000000">
            <w:pPr>
              <w:pStyle w:val="Compact"/>
              <w:widowControl w:val="0"/>
              <w:rPr>
                <w:rFonts w:ascii="Cambria" w:eastAsia="Cambria" w:hAnsi="Cambria"/>
              </w:rPr>
            </w:pPr>
            <w:r>
              <w:rPr>
                <w:rFonts w:eastAsia="Cambria"/>
              </w:rPr>
              <w:t>Facilitator channel</w:t>
            </w:r>
          </w:p>
        </w:tc>
        <w:tc>
          <w:tcPr>
            <w:tcW w:w="3120" w:type="dxa"/>
          </w:tcPr>
          <w:p w14:paraId="756759B9" w14:textId="77777777" w:rsidR="00723F18" w:rsidRDefault="00000000">
            <w:pPr>
              <w:pStyle w:val="Compact"/>
              <w:widowControl w:val="0"/>
              <w:rPr>
                <w:rFonts w:ascii="Cambria" w:eastAsia="Cambria" w:hAnsi="Cambria"/>
              </w:rPr>
            </w:pPr>
            <w:r>
              <w:rPr>
                <w:rFonts w:eastAsia="Cambria"/>
              </w:rPr>
              <w:t>The four capitals through Muscat and Doha</w:t>
            </w:r>
          </w:p>
        </w:tc>
        <w:tc>
          <w:tcPr>
            <w:tcW w:w="3120" w:type="dxa"/>
          </w:tcPr>
          <w:p w14:paraId="18E9FA68" w14:textId="77777777" w:rsidR="00723F18" w:rsidRDefault="00000000">
            <w:pPr>
              <w:pStyle w:val="Compact"/>
              <w:widowControl w:val="0"/>
              <w:rPr>
                <w:rFonts w:ascii="Cambria" w:eastAsia="Cambria" w:hAnsi="Cambria"/>
              </w:rPr>
            </w:pPr>
            <w:r>
              <w:rPr>
                <w:rFonts w:eastAsia="Cambria"/>
              </w:rPr>
              <w:t>Twenty-four (24) hours</w:t>
            </w:r>
          </w:p>
        </w:tc>
      </w:tr>
      <w:tr w:rsidR="00723F18" w14:paraId="42598010" w14:textId="77777777" w:rsidTr="00723F18">
        <w:tc>
          <w:tcPr>
            <w:tcW w:w="3120" w:type="dxa"/>
          </w:tcPr>
          <w:p w14:paraId="7C23F181" w14:textId="77777777" w:rsidR="00723F18" w:rsidRDefault="00000000">
            <w:pPr>
              <w:pStyle w:val="Compact"/>
              <w:widowControl w:val="0"/>
              <w:rPr>
                <w:rFonts w:ascii="Cambria" w:eastAsia="Cambria" w:hAnsi="Cambria"/>
              </w:rPr>
            </w:pPr>
            <w:r>
              <w:rPr>
                <w:rFonts w:eastAsia="Cambria"/>
              </w:rPr>
              <w:t>Insurance liaison</w:t>
            </w:r>
          </w:p>
        </w:tc>
        <w:tc>
          <w:tcPr>
            <w:tcW w:w="3120" w:type="dxa"/>
          </w:tcPr>
          <w:p w14:paraId="09F4E584" w14:textId="77777777" w:rsidR="00723F18" w:rsidRDefault="00000000">
            <w:pPr>
              <w:pStyle w:val="Compact"/>
              <w:widowControl w:val="0"/>
              <w:rPr>
                <w:rFonts w:ascii="Cambria" w:eastAsia="Cambria" w:hAnsi="Cambria"/>
              </w:rPr>
            </w:pPr>
            <w:r>
              <w:rPr>
                <w:rFonts w:eastAsia="Cambria"/>
              </w:rPr>
              <w:t>Operations System and the market contact group of Annex K</w:t>
            </w:r>
          </w:p>
        </w:tc>
        <w:tc>
          <w:tcPr>
            <w:tcW w:w="3120" w:type="dxa"/>
          </w:tcPr>
          <w:p w14:paraId="1315B1FA" w14:textId="77777777" w:rsidR="00723F18" w:rsidRDefault="00000000">
            <w:pPr>
              <w:pStyle w:val="Compact"/>
              <w:widowControl w:val="0"/>
              <w:rPr>
                <w:rFonts w:ascii="Cambria" w:eastAsia="Cambria" w:hAnsi="Cambria"/>
              </w:rPr>
            </w:pPr>
            <w:r>
              <w:rPr>
                <w:rFonts w:eastAsia="Cambria"/>
              </w:rPr>
              <w:t>Same business day</w:t>
            </w:r>
          </w:p>
        </w:tc>
      </w:tr>
    </w:tbl>
    <w:p w14:paraId="7E92C126" w14:textId="77777777" w:rsidR="00723F18" w:rsidRDefault="00000000">
      <w:pPr>
        <w:pStyle w:val="BodyText"/>
      </w:pPr>
      <w:bookmarkStart w:id="528" w:name="i.4-the-hotline-matrix"/>
      <w:r>
        <w:rPr>
          <w:i/>
          <w:iCs/>
        </w:rPr>
        <w:t>Table I.1: The hotline matrix.</w:t>
      </w:r>
      <w:bookmarkEnd w:id="528"/>
    </w:p>
    <w:p w14:paraId="5F08B8C0" w14:textId="77777777" w:rsidR="00723F18" w:rsidRDefault="00000000">
      <w:pPr>
        <w:pStyle w:val="Heading2"/>
      </w:pPr>
      <w:bookmarkStart w:id="529" w:name="__RefHeading___Toc6656_2939721771"/>
      <w:bookmarkEnd w:id="529"/>
      <w:r>
        <w:t>I.5 The standard message form</w:t>
      </w:r>
    </w:p>
    <w:p w14:paraId="6CA497F5" w14:textId="77777777" w:rsidR="00723F18" w:rsidRDefault="00000000">
      <w:pPr>
        <w:pStyle w:val="FirstParagraph"/>
      </w:pPr>
      <w:bookmarkStart w:id="530" w:name="i.5-the-standard-message-form"/>
      <w:r>
        <w:t>Every operational message on the de-confliction network carries six fields: event type, position, time, units involved, action taken, and response requested. The form discipline keeps crises factual.</w:t>
      </w:r>
      <w:bookmarkEnd w:id="530"/>
    </w:p>
    <w:p w14:paraId="016675AA" w14:textId="77777777" w:rsidR="00723F18" w:rsidRDefault="00000000">
      <w:pPr>
        <w:pStyle w:val="Heading2"/>
      </w:pPr>
      <w:bookmarkStart w:id="531" w:name="__RefHeading___Toc6658_2939721771"/>
      <w:bookmarkEnd w:id="531"/>
      <w:r>
        <w:t>I.6 The one-page cards</w:t>
      </w:r>
    </w:p>
    <w:p w14:paraId="52BC9E59" w14:textId="77777777" w:rsidR="00723F18" w:rsidRDefault="00000000">
      <w:pPr>
        <w:pStyle w:val="FirstParagraph"/>
      </w:pPr>
      <w:bookmarkStart w:id="532" w:name="i.6-the-one-page-cards"/>
      <w:r>
        <w:t xml:space="preserve">Every operational procedure of the Accord fits on one page in the working language of the watch floor: the declaration card, the flow-state card, the pause card, the rescue card, the crossing-gate card, the escort card, the interference-event card, and the anchor-and-verify card. The Operations System publishes each card in the Mariners’ Handbook in Persian, Arabic, and English, and a procedure that outgrows </w:t>
      </w:r>
      <w:proofErr w:type="gramStart"/>
      <w:r>
        <w:t>one page</w:t>
      </w:r>
      <w:proofErr w:type="gramEnd"/>
      <w:r>
        <w:t xml:space="preserve"> splits into two procedures.</w:t>
      </w:r>
      <w:bookmarkEnd w:id="532"/>
    </w:p>
    <w:p w14:paraId="2913A0E4" w14:textId="77777777" w:rsidR="00723F18" w:rsidRDefault="00000000">
      <w:pPr>
        <w:pStyle w:val="Heading2"/>
      </w:pPr>
      <w:bookmarkStart w:id="533" w:name="__RefHeading___Toc6660_2939721771"/>
      <w:bookmarkEnd w:id="533"/>
      <w:r>
        <w:t>I.7 The non-telemetry mode</w:t>
      </w:r>
    </w:p>
    <w:p w14:paraId="711000A0" w14:textId="77777777" w:rsidR="00723F18" w:rsidRDefault="00000000">
      <w:pPr>
        <w:pStyle w:val="FirstParagraph"/>
      </w:pPr>
      <w:bookmarkStart w:id="534" w:name="i.7-the-non-telemetry-mode"/>
      <w:r>
        <w:t>Where a vessel’s identification system fails inside the Scheme Area, the vessel proceeds on voice reporting at each reporting point, and the Operations System assigns it a manual track. A telemetry failure changes the reporting channel; it never changes the vessel’s protected status.</w:t>
      </w:r>
      <w:bookmarkEnd w:id="534"/>
    </w:p>
    <w:p w14:paraId="0DF4E401" w14:textId="77777777" w:rsidR="00723F18" w:rsidRDefault="00000000">
      <w:pPr>
        <w:pStyle w:val="Heading2"/>
      </w:pPr>
      <w:bookmarkStart w:id="535" w:name="__RefHeading___Toc6662_2939721771"/>
      <w:bookmarkEnd w:id="535"/>
      <w:r>
        <w:t>I.8 The standing pre-authorization for clearance</w:t>
      </w:r>
    </w:p>
    <w:p w14:paraId="06DBA0CE" w14:textId="77777777" w:rsidR="00723F18" w:rsidRDefault="00000000">
      <w:pPr>
        <w:pStyle w:val="FirstParagraph"/>
      </w:pPr>
      <w:bookmarkStart w:id="536" w:name="X4275c0816a53ca96fd5b48293ce5fe2ddd1d457"/>
      <w:bookmarkStart w:id="537" w:name="X38baf85d18db4fcd70cbe519fe9dc9d7f38e029"/>
      <w:r>
        <w:t xml:space="preserve">Clearance and survey craft of the stewards and the Joint Civil Clearance Unit cross separation belts and corridor boundaries on direct transits </w:t>
      </w:r>
      <w:proofErr w:type="spellStart"/>
      <w:r>
        <w:t>under standing</w:t>
      </w:r>
      <w:proofErr w:type="spellEnd"/>
      <w:r>
        <w:t xml:space="preserve"> pre-authorization, logged as service movements. Clearance never waits on politics.</w:t>
      </w:r>
      <w:bookmarkEnd w:id="536"/>
      <w:bookmarkEnd w:id="537"/>
    </w:p>
    <w:p w14:paraId="32B4B948" w14:textId="77777777" w:rsidR="00723F18" w:rsidRDefault="00000000">
      <w:pPr>
        <w:pStyle w:val="Heading1"/>
      </w:pPr>
      <w:bookmarkStart w:id="538" w:name="__RefHeading___Toc6664_2939721771"/>
      <w:bookmarkEnd w:id="538"/>
      <w:r>
        <w:lastRenderedPageBreak/>
        <w:t>Annex J: Risk Register and Spoiler Management</w:t>
      </w:r>
    </w:p>
    <w:p w14:paraId="5A34CCB5" w14:textId="77777777" w:rsidR="00723F18" w:rsidRDefault="00000000">
      <w:pPr>
        <w:pStyle w:val="Heading2"/>
      </w:pPr>
      <w:bookmarkStart w:id="539" w:name="__RefHeading___Toc6666_2939721771"/>
      <w:bookmarkEnd w:id="539"/>
      <w:r>
        <w:t>J.1 Design logic</w:t>
      </w:r>
    </w:p>
    <w:p w14:paraId="369E1585" w14:textId="77777777" w:rsidR="00723F18" w:rsidRDefault="00000000">
      <w:pPr>
        <w:pStyle w:val="FirstParagraph"/>
      </w:pPr>
      <w:bookmarkStart w:id="540" w:name="j.1-design-logic"/>
      <w:r>
        <w:t>Every entry in this register names a failure mode, its early warning, and the architectural answer. The register exists so that a crisis arrives as a scenario with a protocol, never as a surprise with a microphone.</w:t>
      </w:r>
      <w:bookmarkEnd w:id="540"/>
    </w:p>
    <w:p w14:paraId="69AC5A05" w14:textId="77777777" w:rsidR="00723F18" w:rsidRDefault="00000000">
      <w:pPr>
        <w:pStyle w:val="Heading2"/>
      </w:pPr>
      <w:bookmarkStart w:id="541" w:name="__RefHeading___Toc6668_2939721771"/>
      <w:bookmarkEnd w:id="541"/>
      <w:r>
        <w:t>J.2 The register</w:t>
      </w:r>
    </w:p>
    <w:tbl>
      <w:tblPr>
        <w:tblStyle w:val="Table"/>
        <w:tblW w:w="5000" w:type="pct"/>
        <w:tblInd w:w="0" w:type="dxa"/>
        <w:tblLayout w:type="fixed"/>
        <w:tblLook w:val="0020" w:firstRow="1" w:lastRow="0" w:firstColumn="0" w:lastColumn="0" w:noHBand="0" w:noVBand="0"/>
      </w:tblPr>
      <w:tblGrid>
        <w:gridCol w:w="3192"/>
        <w:gridCol w:w="3192"/>
        <w:gridCol w:w="3192"/>
      </w:tblGrid>
      <w:tr w:rsidR="00723F18" w14:paraId="027B4FD2"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14064F54" w14:textId="77777777" w:rsidR="00723F18" w:rsidRDefault="00000000">
            <w:pPr>
              <w:pStyle w:val="Compact"/>
              <w:widowControl w:val="0"/>
              <w:rPr>
                <w:rFonts w:ascii="Cambria" w:eastAsia="Cambria" w:hAnsi="Cambria"/>
              </w:rPr>
            </w:pPr>
            <w:r>
              <w:rPr>
                <w:rFonts w:eastAsia="Cambria"/>
                <w:b/>
                <w:bCs/>
              </w:rPr>
              <w:t>Risk</w:t>
            </w:r>
          </w:p>
        </w:tc>
        <w:tc>
          <w:tcPr>
            <w:tcW w:w="3120" w:type="dxa"/>
            <w:tcBorders>
              <w:bottom w:val="single" w:sz="6" w:space="0" w:color="000000"/>
            </w:tcBorders>
          </w:tcPr>
          <w:p w14:paraId="511E175E" w14:textId="77777777" w:rsidR="00723F18" w:rsidRDefault="00000000">
            <w:pPr>
              <w:pStyle w:val="Compact"/>
              <w:widowControl w:val="0"/>
              <w:rPr>
                <w:rFonts w:ascii="Cambria" w:eastAsia="Cambria" w:hAnsi="Cambria"/>
              </w:rPr>
            </w:pPr>
            <w:r>
              <w:rPr>
                <w:rFonts w:eastAsia="Cambria"/>
                <w:b/>
                <w:bCs/>
              </w:rPr>
              <w:t>Early warning</w:t>
            </w:r>
          </w:p>
        </w:tc>
        <w:tc>
          <w:tcPr>
            <w:tcW w:w="3120" w:type="dxa"/>
            <w:tcBorders>
              <w:bottom w:val="single" w:sz="6" w:space="0" w:color="000000"/>
            </w:tcBorders>
          </w:tcPr>
          <w:p w14:paraId="0A73406D" w14:textId="77777777" w:rsidR="00723F18" w:rsidRDefault="00000000">
            <w:pPr>
              <w:pStyle w:val="Compact"/>
              <w:widowControl w:val="0"/>
              <w:rPr>
                <w:rFonts w:ascii="Cambria" w:eastAsia="Cambria" w:hAnsi="Cambria"/>
              </w:rPr>
            </w:pPr>
            <w:r>
              <w:rPr>
                <w:rFonts w:eastAsia="Cambria"/>
                <w:b/>
                <w:bCs/>
              </w:rPr>
              <w:t>Architectural answer</w:t>
            </w:r>
          </w:p>
        </w:tc>
      </w:tr>
      <w:tr w:rsidR="00723F18" w14:paraId="0D3FCBCB" w14:textId="77777777" w:rsidTr="00723F18">
        <w:tc>
          <w:tcPr>
            <w:tcW w:w="3120" w:type="dxa"/>
          </w:tcPr>
          <w:p w14:paraId="4FB1E3EF" w14:textId="77777777" w:rsidR="00723F18" w:rsidRDefault="00000000">
            <w:pPr>
              <w:pStyle w:val="Compact"/>
              <w:widowControl w:val="0"/>
              <w:rPr>
                <w:rFonts w:ascii="Cambria" w:eastAsia="Cambria" w:hAnsi="Cambria"/>
              </w:rPr>
            </w:pPr>
            <w:r>
              <w:rPr>
                <w:rFonts w:eastAsia="Cambria"/>
              </w:rPr>
              <w:t>Mine clearance slips past schedule</w:t>
            </w:r>
          </w:p>
        </w:tc>
        <w:tc>
          <w:tcPr>
            <w:tcW w:w="3120" w:type="dxa"/>
          </w:tcPr>
          <w:p w14:paraId="76822DF3" w14:textId="77777777" w:rsidR="00723F18" w:rsidRDefault="00000000">
            <w:pPr>
              <w:pStyle w:val="Compact"/>
              <w:widowControl w:val="0"/>
              <w:rPr>
                <w:rFonts w:ascii="Cambria" w:eastAsia="Cambria" w:hAnsi="Cambria"/>
              </w:rPr>
            </w:pPr>
            <w:r>
              <w:rPr>
                <w:rFonts w:eastAsia="Cambria"/>
              </w:rPr>
              <w:t>Surge tempo below Annex E plan</w:t>
            </w:r>
          </w:p>
        </w:tc>
        <w:tc>
          <w:tcPr>
            <w:tcW w:w="3120" w:type="dxa"/>
          </w:tcPr>
          <w:p w14:paraId="7B29CA38" w14:textId="77777777" w:rsidR="00723F18" w:rsidRDefault="00000000">
            <w:pPr>
              <w:pStyle w:val="Compact"/>
              <w:widowControl w:val="0"/>
              <w:rPr>
                <w:rFonts w:ascii="Cambria" w:eastAsia="Cambria" w:hAnsi="Cambria"/>
              </w:rPr>
            </w:pPr>
            <w:r>
              <w:rPr>
                <w:rFonts w:eastAsia="Cambria"/>
              </w:rPr>
              <w:t>Segment-by-segment certification keeps certified water open; the fallback artery carries the stream</w:t>
            </w:r>
          </w:p>
        </w:tc>
      </w:tr>
      <w:tr w:rsidR="00723F18" w14:paraId="250EEF07" w14:textId="77777777" w:rsidTr="00723F18">
        <w:tc>
          <w:tcPr>
            <w:tcW w:w="3120" w:type="dxa"/>
          </w:tcPr>
          <w:p w14:paraId="6379F18D" w14:textId="77777777" w:rsidR="00723F18" w:rsidRDefault="00000000">
            <w:pPr>
              <w:pStyle w:val="Compact"/>
              <w:widowControl w:val="0"/>
              <w:rPr>
                <w:rFonts w:ascii="Cambria" w:eastAsia="Cambria" w:hAnsi="Cambria"/>
              </w:rPr>
            </w:pPr>
            <w:r>
              <w:rPr>
                <w:rFonts w:eastAsia="Cambria"/>
              </w:rPr>
              <w:t>Insurers stay out despite certification</w:t>
            </w:r>
          </w:p>
        </w:tc>
        <w:tc>
          <w:tcPr>
            <w:tcW w:w="3120" w:type="dxa"/>
          </w:tcPr>
          <w:p w14:paraId="5834A103" w14:textId="77777777" w:rsidR="00723F18" w:rsidRDefault="00000000">
            <w:pPr>
              <w:pStyle w:val="Compact"/>
              <w:widowControl w:val="0"/>
              <w:rPr>
                <w:rFonts w:ascii="Cambria" w:eastAsia="Cambria" w:hAnsi="Cambria"/>
              </w:rPr>
            </w:pPr>
            <w:r>
              <w:rPr>
                <w:rFonts w:eastAsia="Cambria"/>
              </w:rPr>
              <w:t>Premiums flat after first joint safety statement</w:t>
            </w:r>
          </w:p>
        </w:tc>
        <w:tc>
          <w:tcPr>
            <w:tcW w:w="3120" w:type="dxa"/>
          </w:tcPr>
          <w:p w14:paraId="7611D46A" w14:textId="77777777" w:rsidR="00723F18" w:rsidRDefault="00000000">
            <w:pPr>
              <w:pStyle w:val="Compact"/>
              <w:widowControl w:val="0"/>
              <w:rPr>
                <w:rFonts w:ascii="Cambria" w:eastAsia="Cambria" w:hAnsi="Cambria"/>
              </w:rPr>
            </w:pPr>
            <w:r>
              <w:rPr>
                <w:rFonts w:eastAsia="Cambria"/>
              </w:rPr>
              <w:t>The data product of Annex K gives underwriters verified performance; escorted windows bridge the gap</w:t>
            </w:r>
          </w:p>
        </w:tc>
      </w:tr>
      <w:tr w:rsidR="00723F18" w14:paraId="0867E5BA" w14:textId="77777777" w:rsidTr="00723F18">
        <w:tc>
          <w:tcPr>
            <w:tcW w:w="3120" w:type="dxa"/>
          </w:tcPr>
          <w:p w14:paraId="48F4B795" w14:textId="77777777" w:rsidR="00723F18" w:rsidRDefault="00000000">
            <w:pPr>
              <w:pStyle w:val="Compact"/>
              <w:widowControl w:val="0"/>
              <w:rPr>
                <w:rFonts w:ascii="Cambria" w:eastAsia="Cambria" w:hAnsi="Cambria"/>
              </w:rPr>
            </w:pPr>
            <w:r>
              <w:rPr>
                <w:rFonts w:eastAsia="Cambria"/>
              </w:rPr>
              <w:t>A tanker suffers an attack in a certified corridor</w:t>
            </w:r>
          </w:p>
        </w:tc>
        <w:tc>
          <w:tcPr>
            <w:tcW w:w="3120" w:type="dxa"/>
          </w:tcPr>
          <w:p w14:paraId="6F33B960" w14:textId="77777777" w:rsidR="00723F18" w:rsidRDefault="00000000">
            <w:pPr>
              <w:pStyle w:val="Compact"/>
              <w:widowControl w:val="0"/>
              <w:rPr>
                <w:rFonts w:ascii="Cambria" w:eastAsia="Cambria" w:hAnsi="Cambria"/>
              </w:rPr>
            </w:pPr>
            <w:r>
              <w:rPr>
                <w:rFonts w:eastAsia="Cambria"/>
              </w:rPr>
              <w:t>Joint Watch alert; acoustic array anomaly</w:t>
            </w:r>
          </w:p>
        </w:tc>
        <w:tc>
          <w:tcPr>
            <w:tcW w:w="3120" w:type="dxa"/>
          </w:tcPr>
          <w:p w14:paraId="2E5B8772" w14:textId="77777777" w:rsidR="00723F18" w:rsidRDefault="00000000">
            <w:pPr>
              <w:pStyle w:val="Compact"/>
              <w:widowControl w:val="0"/>
              <w:rPr>
                <w:rFonts w:ascii="Cambria" w:eastAsia="Cambria" w:hAnsi="Cambria"/>
              </w:rPr>
            </w:pPr>
            <w:r>
              <w:rPr>
                <w:rFonts w:eastAsia="Cambria"/>
              </w:rPr>
              <w:t>Article 33 incident procedure; forty-eight (48) hour attribution deferral; rogue-actor track protects the scheme</w:t>
            </w:r>
          </w:p>
        </w:tc>
      </w:tr>
      <w:tr w:rsidR="00723F18" w14:paraId="3B6141A9" w14:textId="77777777" w:rsidTr="00723F18">
        <w:tc>
          <w:tcPr>
            <w:tcW w:w="3120" w:type="dxa"/>
          </w:tcPr>
          <w:p w14:paraId="14E4C4B9" w14:textId="77777777" w:rsidR="00723F18" w:rsidRDefault="00000000">
            <w:pPr>
              <w:pStyle w:val="Compact"/>
              <w:widowControl w:val="0"/>
              <w:rPr>
                <w:rFonts w:ascii="Cambria" w:eastAsia="Cambria" w:hAnsi="Cambria"/>
              </w:rPr>
            </w:pPr>
            <w:r>
              <w:rPr>
                <w:rFonts w:eastAsia="Cambria"/>
              </w:rPr>
              <w:t>Tehran’s legislature advances a fee law</w:t>
            </w:r>
          </w:p>
        </w:tc>
        <w:tc>
          <w:tcPr>
            <w:tcW w:w="3120" w:type="dxa"/>
          </w:tcPr>
          <w:p w14:paraId="275BB0DE" w14:textId="77777777" w:rsidR="00723F18" w:rsidRDefault="00000000">
            <w:pPr>
              <w:pStyle w:val="Compact"/>
              <w:widowControl w:val="0"/>
              <w:rPr>
                <w:rFonts w:ascii="Cambria" w:eastAsia="Cambria" w:hAnsi="Cambria"/>
              </w:rPr>
            </w:pPr>
            <w:r>
              <w:rPr>
                <w:rFonts w:eastAsia="Cambria"/>
              </w:rPr>
              <w:t>Public legislative calendar</w:t>
            </w:r>
          </w:p>
        </w:tc>
        <w:tc>
          <w:tcPr>
            <w:tcW w:w="3120" w:type="dxa"/>
          </w:tcPr>
          <w:p w14:paraId="039D0F51" w14:textId="77777777" w:rsidR="00723F18" w:rsidRDefault="00000000">
            <w:pPr>
              <w:pStyle w:val="Compact"/>
              <w:widowControl w:val="0"/>
              <w:rPr>
                <w:rFonts w:ascii="Cambria" w:eastAsia="Cambria" w:hAnsi="Cambria"/>
              </w:rPr>
            </w:pPr>
            <w:r>
              <w:rPr>
                <w:rFonts w:eastAsia="Cambria"/>
              </w:rPr>
              <w:t xml:space="preserve">Article 23.3 domestic law reconciliation absorbs </w:t>
            </w:r>
            <w:proofErr w:type="gramStart"/>
            <w:r>
              <w:rPr>
                <w:rFonts w:eastAsia="Cambria"/>
              </w:rPr>
              <w:t>the friction</w:t>
            </w:r>
            <w:proofErr w:type="gramEnd"/>
            <w:r>
              <w:rPr>
                <w:rFonts w:eastAsia="Cambria"/>
              </w:rPr>
              <w:t>; the service settlement presents domestically as the fee architecture</w:t>
            </w:r>
          </w:p>
        </w:tc>
      </w:tr>
      <w:tr w:rsidR="00723F18" w14:paraId="3EC10AB3" w14:textId="77777777" w:rsidTr="00723F18">
        <w:tc>
          <w:tcPr>
            <w:tcW w:w="3120" w:type="dxa"/>
          </w:tcPr>
          <w:p w14:paraId="1D20C2D1" w14:textId="77777777" w:rsidR="00723F18" w:rsidRDefault="00000000">
            <w:pPr>
              <w:pStyle w:val="Compact"/>
              <w:widowControl w:val="0"/>
              <w:rPr>
                <w:rFonts w:ascii="Cambria" w:eastAsia="Cambria" w:hAnsi="Cambria"/>
              </w:rPr>
            </w:pPr>
            <w:r>
              <w:rPr>
                <w:rFonts w:eastAsia="Cambria"/>
              </w:rPr>
              <w:t>A corridor steward underperforms</w:t>
            </w:r>
          </w:p>
        </w:tc>
        <w:tc>
          <w:tcPr>
            <w:tcW w:w="3120" w:type="dxa"/>
          </w:tcPr>
          <w:p w14:paraId="0CDE9E47" w14:textId="77777777" w:rsidR="00723F18" w:rsidRDefault="00000000">
            <w:pPr>
              <w:pStyle w:val="Compact"/>
              <w:widowControl w:val="0"/>
              <w:rPr>
                <w:rFonts w:ascii="Cambria" w:eastAsia="Cambria" w:hAnsi="Cambria"/>
              </w:rPr>
            </w:pPr>
            <w:r>
              <w:rPr>
                <w:rFonts w:eastAsia="Cambria"/>
              </w:rPr>
              <w:t>Monthly performance report below standard</w:t>
            </w:r>
          </w:p>
        </w:tc>
        <w:tc>
          <w:tcPr>
            <w:tcW w:w="3120" w:type="dxa"/>
          </w:tcPr>
          <w:p w14:paraId="536AAECF" w14:textId="77777777" w:rsidR="00723F18" w:rsidRDefault="00000000">
            <w:pPr>
              <w:pStyle w:val="Compact"/>
              <w:widowControl w:val="0"/>
              <w:rPr>
                <w:rFonts w:ascii="Cambria" w:eastAsia="Cambria" w:hAnsi="Cambria"/>
              </w:rPr>
            </w:pPr>
            <w:r>
              <w:rPr>
                <w:rFonts w:eastAsia="Cambria"/>
              </w:rPr>
              <w:t>Remediation notice; earn-back ladder; Central Corridor Panel balancing</w:t>
            </w:r>
          </w:p>
        </w:tc>
      </w:tr>
      <w:tr w:rsidR="00723F18" w14:paraId="0EF968F2" w14:textId="77777777" w:rsidTr="00723F18">
        <w:tc>
          <w:tcPr>
            <w:tcW w:w="3120" w:type="dxa"/>
          </w:tcPr>
          <w:p w14:paraId="0EC44428" w14:textId="77777777" w:rsidR="00723F18" w:rsidRDefault="00000000">
            <w:pPr>
              <w:pStyle w:val="Compact"/>
              <w:widowControl w:val="0"/>
              <w:rPr>
                <w:rFonts w:ascii="Cambria" w:eastAsia="Cambria" w:hAnsi="Cambria"/>
              </w:rPr>
            </w:pPr>
            <w:r>
              <w:rPr>
                <w:rFonts w:eastAsia="Cambria"/>
              </w:rPr>
              <w:t>A Party pauses on a disputed incident</w:t>
            </w:r>
          </w:p>
        </w:tc>
        <w:tc>
          <w:tcPr>
            <w:tcW w:w="3120" w:type="dxa"/>
          </w:tcPr>
          <w:p w14:paraId="1A775ED1" w14:textId="77777777" w:rsidR="00723F18" w:rsidRDefault="00000000">
            <w:pPr>
              <w:pStyle w:val="Compact"/>
              <w:widowControl w:val="0"/>
              <w:rPr>
                <w:rFonts w:ascii="Cambria" w:eastAsia="Cambria" w:hAnsi="Cambria"/>
              </w:rPr>
            </w:pPr>
            <w:r>
              <w:rPr>
                <w:rFonts w:eastAsia="Cambria"/>
              </w:rPr>
              <w:t>Brake notice filed</w:t>
            </w:r>
          </w:p>
        </w:tc>
        <w:tc>
          <w:tcPr>
            <w:tcW w:w="3120" w:type="dxa"/>
          </w:tcPr>
          <w:p w14:paraId="707D38D0" w14:textId="77777777" w:rsidR="00723F18" w:rsidRDefault="00000000">
            <w:pPr>
              <w:pStyle w:val="Compact"/>
              <w:widowControl w:val="0"/>
              <w:rPr>
                <w:rFonts w:ascii="Cambria" w:eastAsia="Cambria" w:hAnsi="Cambria"/>
              </w:rPr>
            </w:pPr>
            <w:r>
              <w:rPr>
                <w:rFonts w:eastAsia="Cambria"/>
              </w:rPr>
              <w:t>Article 38 keeps corridors running, freezes only forward triggers, and reconstitutes from the checkpoint</w:t>
            </w:r>
          </w:p>
        </w:tc>
      </w:tr>
      <w:tr w:rsidR="00723F18" w14:paraId="36EBDFD1" w14:textId="77777777" w:rsidTr="00723F18">
        <w:tc>
          <w:tcPr>
            <w:tcW w:w="3120" w:type="dxa"/>
          </w:tcPr>
          <w:p w14:paraId="113BB640" w14:textId="77777777" w:rsidR="00723F18" w:rsidRDefault="00000000">
            <w:pPr>
              <w:pStyle w:val="Compact"/>
              <w:widowControl w:val="0"/>
              <w:rPr>
                <w:rFonts w:ascii="Cambria" w:eastAsia="Cambria" w:hAnsi="Cambria"/>
              </w:rPr>
            </w:pPr>
            <w:r>
              <w:rPr>
                <w:rFonts w:eastAsia="Cambria"/>
              </w:rPr>
              <w:t xml:space="preserve">A proxy </w:t>
            </w:r>
            <w:proofErr w:type="gramStart"/>
            <w:r>
              <w:rPr>
                <w:rFonts w:eastAsia="Cambria"/>
              </w:rPr>
              <w:t>attacks</w:t>
            </w:r>
            <w:proofErr w:type="gramEnd"/>
            <w:r>
              <w:rPr>
                <w:rFonts w:eastAsia="Cambria"/>
              </w:rPr>
              <w:t xml:space="preserve"> to break the scheme</w:t>
            </w:r>
          </w:p>
        </w:tc>
        <w:tc>
          <w:tcPr>
            <w:tcW w:w="3120" w:type="dxa"/>
          </w:tcPr>
          <w:p w14:paraId="3ACB80C7" w14:textId="77777777" w:rsidR="00723F18" w:rsidRDefault="00000000">
            <w:pPr>
              <w:pStyle w:val="Compact"/>
              <w:widowControl w:val="0"/>
              <w:rPr>
                <w:rFonts w:ascii="Cambria" w:eastAsia="Cambria" w:hAnsi="Cambria"/>
              </w:rPr>
            </w:pPr>
            <w:r>
              <w:rPr>
                <w:rFonts w:eastAsia="Cambria"/>
              </w:rPr>
              <w:t>Incident signature mismatches state practice</w:t>
            </w:r>
          </w:p>
        </w:tc>
        <w:tc>
          <w:tcPr>
            <w:tcW w:w="3120" w:type="dxa"/>
          </w:tcPr>
          <w:p w14:paraId="2C182FBB" w14:textId="77777777" w:rsidR="00723F18" w:rsidRDefault="00000000">
            <w:pPr>
              <w:pStyle w:val="Compact"/>
              <w:widowControl w:val="0"/>
              <w:rPr>
                <w:rFonts w:ascii="Cambria" w:eastAsia="Cambria" w:hAnsi="Cambria"/>
              </w:rPr>
            </w:pPr>
            <w:r>
              <w:rPr>
                <w:rFonts w:eastAsia="Cambria"/>
              </w:rPr>
              <w:t>Article 41.3 rogue-actor track: system measures, evidence publication, no bilateral penalty</w:t>
            </w:r>
          </w:p>
        </w:tc>
      </w:tr>
      <w:tr w:rsidR="00723F18" w14:paraId="246E53FE" w14:textId="77777777" w:rsidTr="00723F18">
        <w:tc>
          <w:tcPr>
            <w:tcW w:w="3120" w:type="dxa"/>
          </w:tcPr>
          <w:p w14:paraId="11F62853" w14:textId="77777777" w:rsidR="00723F18" w:rsidRDefault="00000000">
            <w:pPr>
              <w:pStyle w:val="Compact"/>
              <w:widowControl w:val="0"/>
              <w:rPr>
                <w:rFonts w:ascii="Cambria" w:eastAsia="Cambria" w:hAnsi="Cambria"/>
              </w:rPr>
            </w:pPr>
            <w:r>
              <w:rPr>
                <w:rFonts w:eastAsia="Cambria"/>
              </w:rPr>
              <w:t>Verification disputes over corridor counts</w:t>
            </w:r>
          </w:p>
        </w:tc>
        <w:tc>
          <w:tcPr>
            <w:tcW w:w="3120" w:type="dxa"/>
          </w:tcPr>
          <w:p w14:paraId="2B75B200" w14:textId="77777777" w:rsidR="00723F18" w:rsidRDefault="00000000">
            <w:pPr>
              <w:pStyle w:val="Compact"/>
              <w:widowControl w:val="0"/>
              <w:rPr>
                <w:rFonts w:ascii="Cambria" w:eastAsia="Cambria" w:hAnsi="Cambria"/>
              </w:rPr>
            </w:pPr>
            <w:r>
              <w:rPr>
                <w:rFonts w:eastAsia="Cambria"/>
              </w:rPr>
              <w:t>Divergent counts on the platform</w:t>
            </w:r>
          </w:p>
        </w:tc>
        <w:tc>
          <w:tcPr>
            <w:tcW w:w="3120" w:type="dxa"/>
          </w:tcPr>
          <w:p w14:paraId="5D3A662A" w14:textId="77777777" w:rsidR="00723F18" w:rsidRDefault="00000000">
            <w:pPr>
              <w:pStyle w:val="Compact"/>
              <w:widowControl w:val="0"/>
              <w:rPr>
                <w:rFonts w:ascii="Cambria" w:eastAsia="Cambria" w:hAnsi="Cambria"/>
              </w:rPr>
            </w:pPr>
            <w:r>
              <w:rPr>
                <w:rFonts w:eastAsia="Cambria"/>
              </w:rPr>
              <w:t>The Technical Arbitration Window rules in seventy-</w:t>
            </w:r>
            <w:r>
              <w:rPr>
                <w:rFonts w:eastAsia="Cambria"/>
              </w:rPr>
              <w:lastRenderedPageBreak/>
              <w:t>two (72) hours on raw data</w:t>
            </w:r>
          </w:p>
        </w:tc>
      </w:tr>
      <w:tr w:rsidR="00723F18" w14:paraId="5A4C6819" w14:textId="77777777" w:rsidTr="00723F18">
        <w:tc>
          <w:tcPr>
            <w:tcW w:w="3120" w:type="dxa"/>
          </w:tcPr>
          <w:p w14:paraId="3798FEFB" w14:textId="77777777" w:rsidR="00723F18" w:rsidRDefault="00000000">
            <w:pPr>
              <w:pStyle w:val="Compact"/>
              <w:widowControl w:val="0"/>
              <w:rPr>
                <w:rFonts w:ascii="Cambria" w:eastAsia="Cambria" w:hAnsi="Cambria"/>
              </w:rPr>
            </w:pPr>
            <w:r>
              <w:rPr>
                <w:rFonts w:eastAsia="Cambria"/>
              </w:rPr>
              <w:lastRenderedPageBreak/>
              <w:t>Congestion at reopening</w:t>
            </w:r>
          </w:p>
        </w:tc>
        <w:tc>
          <w:tcPr>
            <w:tcW w:w="3120" w:type="dxa"/>
          </w:tcPr>
          <w:p w14:paraId="037AB682" w14:textId="77777777" w:rsidR="00723F18" w:rsidRDefault="00000000">
            <w:pPr>
              <w:pStyle w:val="Compact"/>
              <w:widowControl w:val="0"/>
              <w:rPr>
                <w:rFonts w:ascii="Cambria" w:eastAsia="Cambria" w:hAnsi="Cambria"/>
              </w:rPr>
            </w:pPr>
            <w:r>
              <w:rPr>
                <w:rFonts w:eastAsia="Cambria"/>
              </w:rPr>
              <w:t>Backlog schedule slipping</w:t>
            </w:r>
          </w:p>
        </w:tc>
        <w:tc>
          <w:tcPr>
            <w:tcW w:w="3120" w:type="dxa"/>
          </w:tcPr>
          <w:p w14:paraId="15B84C1B" w14:textId="77777777" w:rsidR="00723F18" w:rsidRDefault="00000000">
            <w:pPr>
              <w:pStyle w:val="Compact"/>
              <w:widowControl w:val="0"/>
              <w:rPr>
                <w:rFonts w:ascii="Cambria" w:eastAsia="Cambria" w:hAnsi="Cambria"/>
              </w:rPr>
            </w:pPr>
            <w:r>
              <w:rPr>
                <w:rFonts w:eastAsia="Cambria"/>
              </w:rPr>
              <w:t>Prioritization schedule and staggered windows of Article 13.9</w:t>
            </w:r>
          </w:p>
        </w:tc>
      </w:tr>
      <w:tr w:rsidR="00723F18" w14:paraId="64751064" w14:textId="77777777" w:rsidTr="00723F18">
        <w:tc>
          <w:tcPr>
            <w:tcW w:w="3120" w:type="dxa"/>
          </w:tcPr>
          <w:p w14:paraId="40425B14" w14:textId="77777777" w:rsidR="00723F18" w:rsidRDefault="00000000">
            <w:pPr>
              <w:pStyle w:val="Compact"/>
              <w:widowControl w:val="0"/>
              <w:rPr>
                <w:rFonts w:ascii="Cambria" w:eastAsia="Cambria" w:hAnsi="Cambria"/>
              </w:rPr>
            </w:pPr>
            <w:r>
              <w:rPr>
                <w:rFonts w:eastAsia="Cambria"/>
              </w:rPr>
              <w:t>Domestic hardliners attack the text in any capital</w:t>
            </w:r>
          </w:p>
        </w:tc>
        <w:tc>
          <w:tcPr>
            <w:tcW w:w="3120" w:type="dxa"/>
          </w:tcPr>
          <w:p w14:paraId="4CACD97E" w14:textId="77777777" w:rsidR="00723F18" w:rsidRDefault="00000000">
            <w:pPr>
              <w:pStyle w:val="Compact"/>
              <w:widowControl w:val="0"/>
              <w:rPr>
                <w:rFonts w:ascii="Cambria" w:eastAsia="Cambria" w:hAnsi="Cambria"/>
              </w:rPr>
            </w:pPr>
            <w:r>
              <w:rPr>
                <w:rFonts w:eastAsia="Cambria"/>
              </w:rPr>
              <w:t>Narrative divergence beyond Annex H</w:t>
            </w:r>
          </w:p>
        </w:tc>
        <w:tc>
          <w:tcPr>
            <w:tcW w:w="3120" w:type="dxa"/>
          </w:tcPr>
          <w:p w14:paraId="1E209EB4" w14:textId="77777777" w:rsidR="00723F18" w:rsidRDefault="00000000">
            <w:pPr>
              <w:pStyle w:val="Compact"/>
              <w:widowControl w:val="0"/>
              <w:rPr>
                <w:rFonts w:ascii="Cambria" w:eastAsia="Cambria" w:hAnsi="Cambria"/>
              </w:rPr>
            </w:pPr>
            <w:r>
              <w:rPr>
                <w:rFonts w:eastAsia="Cambria"/>
              </w:rPr>
              <w:t>Synchronized announcements and the narrative symmetry note; quiet remediation keeps small failures small</w:t>
            </w:r>
          </w:p>
        </w:tc>
      </w:tr>
    </w:tbl>
    <w:p w14:paraId="7A02C496" w14:textId="77777777" w:rsidR="00723F18" w:rsidRDefault="00000000">
      <w:pPr>
        <w:pStyle w:val="BodyText"/>
      </w:pPr>
      <w:bookmarkStart w:id="542" w:name="j.2-the-register"/>
      <w:r>
        <w:rPr>
          <w:i/>
          <w:iCs/>
        </w:rPr>
        <w:t>Table J.1: The risk register.</w:t>
      </w:r>
      <w:bookmarkEnd w:id="542"/>
    </w:p>
    <w:p w14:paraId="573C9CC9" w14:textId="77777777" w:rsidR="00723F18" w:rsidRDefault="00000000">
      <w:pPr>
        <w:pStyle w:val="Heading2"/>
      </w:pPr>
      <w:bookmarkStart w:id="543" w:name="__RefHeading___Toc6670_2939721771"/>
      <w:bookmarkEnd w:id="543"/>
      <w:r>
        <w:t>J.3 Spoiler management protocol</w:t>
      </w:r>
    </w:p>
    <w:p w14:paraId="4B57B33F" w14:textId="77777777" w:rsidR="00723F18" w:rsidRDefault="00000000">
      <w:pPr>
        <w:pStyle w:val="FirstParagraph"/>
      </w:pPr>
      <w:bookmarkStart w:id="544" w:name="j.3-spoiler-management-protocol"/>
      <w:r>
        <w:t>A spoiler event activates three moves in sequence: the evidence record publishes fast, because speed beats spin; the affected module pauses locally while the rest of the scheme runs, because breadth defeats sabotage; and the facilitator channel convenes within twenty-four (24) hours, because conversation beats posture. The protocol assumes hostile actors exist and designs their failure in advance.</w:t>
      </w:r>
      <w:bookmarkEnd w:id="544"/>
    </w:p>
    <w:p w14:paraId="7E8444C2" w14:textId="77777777" w:rsidR="00723F18" w:rsidRDefault="00000000">
      <w:pPr>
        <w:pStyle w:val="Heading2"/>
      </w:pPr>
      <w:bookmarkStart w:id="545" w:name="__RefHeading___Toc6672_2939721771"/>
      <w:bookmarkEnd w:id="545"/>
      <w:r>
        <w:t>J.4 Domestic friction management</w:t>
      </w:r>
    </w:p>
    <w:p w14:paraId="334ED49E" w14:textId="77777777" w:rsidR="00723F18" w:rsidRDefault="00000000">
      <w:pPr>
        <w:pStyle w:val="FirstParagraph"/>
      </w:pPr>
      <w:bookmarkStart w:id="546" w:name="j.4-domestic-friction-management"/>
      <w:bookmarkStart w:id="547" w:name="X7f2031bcf940ce9aa3db18ec4f51febef0f1378"/>
      <w:r>
        <w:t xml:space="preserve">Each Party manages its own domestic friction with the tools the Accord provides: the narrative frames of Annex H, the synchronized announcements of Article 44.2, the quiet remediation of Article 44.3, and the conduct record’s equal-prominence rule of Article 43.2. The architecture never asks </w:t>
      </w:r>
      <w:proofErr w:type="gramStart"/>
      <w:r>
        <w:t>a capital</w:t>
      </w:r>
      <w:proofErr w:type="gramEnd"/>
      <w:r>
        <w:t xml:space="preserve"> to absorb </w:t>
      </w:r>
      <w:proofErr w:type="gramStart"/>
      <w:r>
        <w:t>a public</w:t>
      </w:r>
      <w:proofErr w:type="gramEnd"/>
      <w:r>
        <w:t xml:space="preserve"> humiliation as the price of a working strait.</w:t>
      </w:r>
      <w:bookmarkEnd w:id="546"/>
      <w:bookmarkEnd w:id="547"/>
    </w:p>
    <w:p w14:paraId="723F7AE6" w14:textId="77777777" w:rsidR="00723F18" w:rsidRDefault="00000000">
      <w:pPr>
        <w:pStyle w:val="Heading1"/>
      </w:pPr>
      <w:bookmarkStart w:id="548" w:name="__RefHeading___Toc6674_2939721771"/>
      <w:bookmarkEnd w:id="548"/>
      <w:r>
        <w:t>Annex K: Insurance Normalization and the Market Re-Entry Path</w:t>
      </w:r>
    </w:p>
    <w:p w14:paraId="085AD107" w14:textId="77777777" w:rsidR="00723F18" w:rsidRDefault="00000000">
      <w:pPr>
        <w:pStyle w:val="Heading2"/>
      </w:pPr>
      <w:bookmarkStart w:id="549" w:name="__RefHeading___Toc6676_2939721771"/>
      <w:bookmarkEnd w:id="549"/>
      <w:r>
        <w:t>K.1 The market problem</w:t>
      </w:r>
    </w:p>
    <w:p w14:paraId="1F11BC9B" w14:textId="77777777" w:rsidR="00723F18" w:rsidRDefault="00000000">
      <w:pPr>
        <w:pStyle w:val="FirstParagraph"/>
      </w:pPr>
      <w:bookmarkStart w:id="550" w:name="k.1-the-market-problem"/>
      <w:r>
        <w:t>War-risk premiums price uncertainty, not geography. Premiums fall when underwriters hold verified evidence of safe operation, and they hold that evidence only where a trusted, continuous data stream exists. The Accord builds the stream; this Annex builds the dialogue that prices it.</w:t>
      </w:r>
      <w:bookmarkEnd w:id="550"/>
    </w:p>
    <w:p w14:paraId="067D4F98" w14:textId="77777777" w:rsidR="00723F18" w:rsidRDefault="00000000">
      <w:pPr>
        <w:pStyle w:val="Heading2"/>
      </w:pPr>
      <w:bookmarkStart w:id="551" w:name="__RefHeading___Toc6678_2939721771"/>
      <w:bookmarkEnd w:id="551"/>
      <w:r>
        <w:t>K.2 The data product</w:t>
      </w:r>
    </w:p>
    <w:p w14:paraId="10632010" w14:textId="77777777" w:rsidR="00723F18" w:rsidRDefault="00000000">
      <w:pPr>
        <w:pStyle w:val="FirstParagraph"/>
      </w:pPr>
      <w:bookmarkStart w:id="552" w:name="k.2-the-data-product"/>
      <w:r>
        <w:t>The Operations System publishes a daily insurance feed: transit counts by corridor, flow states, incident entries by tier, certification status by segment, and response times. The feed reaches the protection and indemnity clubs, the war-risk underwriters, and the classification societies simultaneously with the Parties, under the identical-latency rule of Article 12.7.</w:t>
      </w:r>
      <w:bookmarkEnd w:id="552"/>
    </w:p>
    <w:p w14:paraId="45D1AEE0" w14:textId="77777777" w:rsidR="00723F18" w:rsidRDefault="00000000">
      <w:pPr>
        <w:pStyle w:val="Heading2"/>
      </w:pPr>
      <w:bookmarkStart w:id="553" w:name="__RefHeading___Toc6680_2939721771"/>
      <w:bookmarkEnd w:id="553"/>
      <w:r>
        <w:lastRenderedPageBreak/>
        <w:t>K.3 The normalization ladder</w:t>
      </w:r>
    </w:p>
    <w:tbl>
      <w:tblPr>
        <w:tblStyle w:val="Table"/>
        <w:tblW w:w="5000" w:type="pct"/>
        <w:tblInd w:w="0" w:type="dxa"/>
        <w:tblLayout w:type="fixed"/>
        <w:tblLook w:val="0020" w:firstRow="1" w:lastRow="0" w:firstColumn="0" w:lastColumn="0" w:noHBand="0" w:noVBand="0"/>
      </w:tblPr>
      <w:tblGrid>
        <w:gridCol w:w="3192"/>
        <w:gridCol w:w="3192"/>
        <w:gridCol w:w="3192"/>
      </w:tblGrid>
      <w:tr w:rsidR="00723F18" w14:paraId="270469D3" w14:textId="77777777" w:rsidTr="00723F18">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182E8F89" w14:textId="77777777" w:rsidR="00723F18" w:rsidRDefault="00000000">
            <w:pPr>
              <w:pStyle w:val="Compact"/>
              <w:widowControl w:val="0"/>
              <w:rPr>
                <w:rFonts w:ascii="Cambria" w:eastAsia="Cambria" w:hAnsi="Cambria"/>
              </w:rPr>
            </w:pPr>
            <w:r>
              <w:rPr>
                <w:rFonts w:eastAsia="Cambria"/>
                <w:b/>
                <w:bCs/>
              </w:rPr>
              <w:t>Stage</w:t>
            </w:r>
          </w:p>
        </w:tc>
        <w:tc>
          <w:tcPr>
            <w:tcW w:w="3120" w:type="dxa"/>
            <w:tcBorders>
              <w:bottom w:val="single" w:sz="6" w:space="0" w:color="000000"/>
            </w:tcBorders>
          </w:tcPr>
          <w:p w14:paraId="4D452B2C" w14:textId="77777777" w:rsidR="00723F18" w:rsidRDefault="00000000">
            <w:pPr>
              <w:pStyle w:val="Compact"/>
              <w:widowControl w:val="0"/>
              <w:rPr>
                <w:rFonts w:ascii="Cambria" w:eastAsia="Cambria" w:hAnsi="Cambria"/>
              </w:rPr>
            </w:pPr>
            <w:r>
              <w:rPr>
                <w:rFonts w:eastAsia="Cambria"/>
                <w:b/>
                <w:bCs/>
              </w:rPr>
              <w:t>Evidence threshold</w:t>
            </w:r>
          </w:p>
        </w:tc>
        <w:tc>
          <w:tcPr>
            <w:tcW w:w="3120" w:type="dxa"/>
            <w:tcBorders>
              <w:bottom w:val="single" w:sz="6" w:space="0" w:color="000000"/>
            </w:tcBorders>
          </w:tcPr>
          <w:p w14:paraId="71961DDC" w14:textId="77777777" w:rsidR="00723F18" w:rsidRDefault="00000000">
            <w:pPr>
              <w:pStyle w:val="Compact"/>
              <w:widowControl w:val="0"/>
              <w:rPr>
                <w:rFonts w:ascii="Cambria" w:eastAsia="Cambria" w:hAnsi="Cambria"/>
              </w:rPr>
            </w:pPr>
            <w:r>
              <w:rPr>
                <w:rFonts w:eastAsia="Cambria"/>
                <w:b/>
                <w:bCs/>
              </w:rPr>
              <w:t>Market target</w:t>
            </w:r>
          </w:p>
        </w:tc>
      </w:tr>
      <w:tr w:rsidR="00723F18" w14:paraId="7195B5CE" w14:textId="77777777" w:rsidTr="00723F18">
        <w:tc>
          <w:tcPr>
            <w:tcW w:w="3120" w:type="dxa"/>
          </w:tcPr>
          <w:p w14:paraId="6F5C8284" w14:textId="77777777" w:rsidR="00723F18" w:rsidRDefault="00000000">
            <w:pPr>
              <w:pStyle w:val="Compact"/>
              <w:widowControl w:val="0"/>
              <w:rPr>
                <w:rFonts w:ascii="Cambria" w:eastAsia="Cambria" w:hAnsi="Cambria"/>
              </w:rPr>
            </w:pPr>
            <w:r>
              <w:rPr>
                <w:rFonts w:eastAsia="Cambria"/>
              </w:rPr>
              <w:t>Stage One</w:t>
            </w:r>
          </w:p>
        </w:tc>
        <w:tc>
          <w:tcPr>
            <w:tcW w:w="3120" w:type="dxa"/>
          </w:tcPr>
          <w:p w14:paraId="4B07EB01" w14:textId="77777777" w:rsidR="00723F18" w:rsidRDefault="00000000">
            <w:pPr>
              <w:pStyle w:val="Compact"/>
              <w:widowControl w:val="0"/>
              <w:rPr>
                <w:rFonts w:ascii="Cambria" w:eastAsia="Cambria" w:hAnsi="Cambria"/>
              </w:rPr>
            </w:pPr>
            <w:r>
              <w:rPr>
                <w:rFonts w:eastAsia="Cambria"/>
              </w:rPr>
              <w:t>Corridor Two certified; ten (10) clean days</w:t>
            </w:r>
          </w:p>
        </w:tc>
        <w:tc>
          <w:tcPr>
            <w:tcW w:w="3120" w:type="dxa"/>
          </w:tcPr>
          <w:p w14:paraId="09CF5251" w14:textId="77777777" w:rsidR="00723F18" w:rsidRDefault="00000000">
            <w:pPr>
              <w:pStyle w:val="Compact"/>
              <w:widowControl w:val="0"/>
              <w:rPr>
                <w:rFonts w:ascii="Cambria" w:eastAsia="Cambria" w:hAnsi="Cambria"/>
              </w:rPr>
            </w:pPr>
            <w:r>
              <w:rPr>
                <w:rFonts w:eastAsia="Cambria"/>
              </w:rPr>
              <w:t>War-risk multiple begins descent from crisis peak</w:t>
            </w:r>
          </w:p>
        </w:tc>
      </w:tr>
      <w:tr w:rsidR="00723F18" w14:paraId="6F2ABE20" w14:textId="77777777" w:rsidTr="00723F18">
        <w:tc>
          <w:tcPr>
            <w:tcW w:w="3120" w:type="dxa"/>
          </w:tcPr>
          <w:p w14:paraId="176C8B83" w14:textId="77777777" w:rsidR="00723F18" w:rsidRDefault="00000000">
            <w:pPr>
              <w:pStyle w:val="Compact"/>
              <w:widowControl w:val="0"/>
              <w:rPr>
                <w:rFonts w:ascii="Cambria" w:eastAsia="Cambria" w:hAnsi="Cambria"/>
              </w:rPr>
            </w:pPr>
            <w:r>
              <w:rPr>
                <w:rFonts w:eastAsia="Cambria"/>
              </w:rPr>
              <w:t>Stage Two</w:t>
            </w:r>
          </w:p>
        </w:tc>
        <w:tc>
          <w:tcPr>
            <w:tcW w:w="3120" w:type="dxa"/>
          </w:tcPr>
          <w:p w14:paraId="3A30D4D1" w14:textId="77777777" w:rsidR="00723F18" w:rsidRDefault="00000000">
            <w:pPr>
              <w:pStyle w:val="Compact"/>
              <w:widowControl w:val="0"/>
              <w:rPr>
                <w:rFonts w:ascii="Cambria" w:eastAsia="Cambria" w:hAnsi="Cambria"/>
              </w:rPr>
            </w:pPr>
            <w:r>
              <w:rPr>
                <w:rFonts w:eastAsia="Cambria"/>
              </w:rPr>
              <w:t>Three corridors certified; thirty (30) clean days</w:t>
            </w:r>
          </w:p>
        </w:tc>
        <w:tc>
          <w:tcPr>
            <w:tcW w:w="3120" w:type="dxa"/>
          </w:tcPr>
          <w:p w14:paraId="7E61208D" w14:textId="77777777" w:rsidR="00723F18" w:rsidRDefault="00000000">
            <w:pPr>
              <w:pStyle w:val="Compact"/>
              <w:widowControl w:val="0"/>
              <w:rPr>
                <w:rFonts w:ascii="Cambria" w:eastAsia="Cambria" w:hAnsi="Cambria"/>
              </w:rPr>
            </w:pPr>
            <w:r>
              <w:rPr>
                <w:rFonts w:eastAsia="Cambria"/>
              </w:rPr>
              <w:t xml:space="preserve">War-risk multiple at or below one and a half </w:t>
            </w:r>
            <w:proofErr w:type="gramStart"/>
            <w:r>
              <w:rPr>
                <w:rFonts w:eastAsia="Cambria"/>
              </w:rPr>
              <w:t>(1.5) times</w:t>
            </w:r>
            <w:proofErr w:type="gramEnd"/>
            <w:r>
              <w:rPr>
                <w:rFonts w:eastAsia="Cambria"/>
              </w:rPr>
              <w:t xml:space="preserve"> pre-crisis level</w:t>
            </w:r>
          </w:p>
        </w:tc>
      </w:tr>
      <w:tr w:rsidR="00723F18" w14:paraId="001CC98C" w14:textId="77777777" w:rsidTr="00723F18">
        <w:tc>
          <w:tcPr>
            <w:tcW w:w="3120" w:type="dxa"/>
          </w:tcPr>
          <w:p w14:paraId="55CCCA09" w14:textId="77777777" w:rsidR="00723F18" w:rsidRDefault="00000000">
            <w:pPr>
              <w:pStyle w:val="Compact"/>
              <w:widowControl w:val="0"/>
              <w:rPr>
                <w:rFonts w:ascii="Cambria" w:eastAsia="Cambria" w:hAnsi="Cambria"/>
              </w:rPr>
            </w:pPr>
            <w:r>
              <w:rPr>
                <w:rFonts w:eastAsia="Cambria"/>
              </w:rPr>
              <w:t>Stage Three</w:t>
            </w:r>
          </w:p>
        </w:tc>
        <w:tc>
          <w:tcPr>
            <w:tcW w:w="3120" w:type="dxa"/>
          </w:tcPr>
          <w:p w14:paraId="2C6F9137" w14:textId="77777777" w:rsidR="00723F18" w:rsidRDefault="00000000">
            <w:pPr>
              <w:pStyle w:val="Compact"/>
              <w:widowControl w:val="0"/>
              <w:rPr>
                <w:rFonts w:ascii="Cambria" w:eastAsia="Cambria" w:hAnsi="Cambria"/>
              </w:rPr>
            </w:pPr>
            <w:r>
              <w:rPr>
                <w:rFonts w:eastAsia="Cambria"/>
              </w:rPr>
              <w:t>Sixty (60) clean days; first quarterly transparency pack</w:t>
            </w:r>
          </w:p>
        </w:tc>
        <w:tc>
          <w:tcPr>
            <w:tcW w:w="3120" w:type="dxa"/>
          </w:tcPr>
          <w:p w14:paraId="4F22AB91" w14:textId="77777777" w:rsidR="00723F18" w:rsidRDefault="00000000">
            <w:pPr>
              <w:pStyle w:val="Compact"/>
              <w:widowControl w:val="0"/>
              <w:rPr>
                <w:rFonts w:ascii="Cambria" w:eastAsia="Cambria" w:hAnsi="Cambria"/>
              </w:rPr>
            </w:pPr>
            <w:r>
              <w:rPr>
                <w:rFonts w:eastAsia="Cambria"/>
              </w:rPr>
              <w:t>Approach to pre-crisis premium levels</w:t>
            </w:r>
          </w:p>
        </w:tc>
      </w:tr>
      <w:tr w:rsidR="00723F18" w14:paraId="755F16FC" w14:textId="77777777" w:rsidTr="00723F18">
        <w:tc>
          <w:tcPr>
            <w:tcW w:w="3120" w:type="dxa"/>
          </w:tcPr>
          <w:p w14:paraId="6B6CBA9A" w14:textId="77777777" w:rsidR="00723F18" w:rsidRDefault="00000000">
            <w:pPr>
              <w:pStyle w:val="Compact"/>
              <w:widowControl w:val="0"/>
              <w:rPr>
                <w:rFonts w:ascii="Cambria" w:eastAsia="Cambria" w:hAnsi="Cambria"/>
              </w:rPr>
            </w:pPr>
            <w:r>
              <w:rPr>
                <w:rFonts w:eastAsia="Cambria"/>
              </w:rPr>
              <w:t>Stage Four</w:t>
            </w:r>
          </w:p>
        </w:tc>
        <w:tc>
          <w:tcPr>
            <w:tcW w:w="3120" w:type="dxa"/>
          </w:tcPr>
          <w:p w14:paraId="453F8F5F" w14:textId="77777777" w:rsidR="00723F18" w:rsidRDefault="00000000">
            <w:pPr>
              <w:pStyle w:val="Compact"/>
              <w:widowControl w:val="0"/>
              <w:rPr>
                <w:rFonts w:ascii="Cambria" w:eastAsia="Cambria" w:hAnsi="Cambria"/>
              </w:rPr>
            </w:pPr>
            <w:r>
              <w:rPr>
                <w:rFonts w:eastAsia="Cambria"/>
              </w:rPr>
              <w:t>Two consecutive clean windows</w:t>
            </w:r>
          </w:p>
        </w:tc>
        <w:tc>
          <w:tcPr>
            <w:tcW w:w="3120" w:type="dxa"/>
          </w:tcPr>
          <w:p w14:paraId="326C0741" w14:textId="77777777" w:rsidR="00723F18" w:rsidRDefault="00000000">
            <w:pPr>
              <w:pStyle w:val="Compact"/>
              <w:widowControl w:val="0"/>
              <w:rPr>
                <w:rFonts w:ascii="Cambria" w:eastAsia="Cambria" w:hAnsi="Cambria"/>
              </w:rPr>
            </w:pPr>
            <w:r>
              <w:rPr>
                <w:rFonts w:eastAsia="Cambria"/>
              </w:rPr>
              <w:t>Pre-crisis rating restored; Scheme Area delisted from additional-premium areas</w:t>
            </w:r>
          </w:p>
        </w:tc>
      </w:tr>
    </w:tbl>
    <w:p w14:paraId="5C01C199" w14:textId="77777777" w:rsidR="00723F18" w:rsidRDefault="00000000">
      <w:pPr>
        <w:pStyle w:val="BodyText"/>
      </w:pPr>
      <w:bookmarkStart w:id="554" w:name="k.3-the-normalization-ladder"/>
      <w:r>
        <w:rPr>
          <w:i/>
          <w:iCs/>
        </w:rPr>
        <w:t>Table K.1: The insurance normalization ladder. Stages describe market response targets; they impose no conditions on transit.</w:t>
      </w:r>
      <w:bookmarkEnd w:id="554"/>
    </w:p>
    <w:p w14:paraId="4A6CF4C1" w14:textId="77777777" w:rsidR="00723F18" w:rsidRDefault="00000000">
      <w:pPr>
        <w:pStyle w:val="Heading2"/>
      </w:pPr>
      <w:bookmarkStart w:id="555" w:name="__RefHeading___Toc6682_2939721771"/>
      <w:bookmarkEnd w:id="555"/>
      <w:r>
        <w:t>K.4 The war-risk dialogue</w:t>
      </w:r>
    </w:p>
    <w:p w14:paraId="50F678B6" w14:textId="77777777" w:rsidR="00723F18" w:rsidRDefault="00000000">
      <w:pPr>
        <w:pStyle w:val="FirstParagraph"/>
      </w:pPr>
      <w:bookmarkStart w:id="556" w:name="k.4-the-war-risk-dialogue"/>
      <w:r>
        <w:t>The Commission convenes a standing dialogue with the market contact group: the major protection and indemnity clubs, the leading war-risk underwriters, and the classification societies. The dialogue meets at each phase boundary, reads the record together, and publishes a joint market note. Underwriters price their own books; the Accord supplies the evidence and never the price.</w:t>
      </w:r>
      <w:bookmarkEnd w:id="556"/>
    </w:p>
    <w:p w14:paraId="1A81CDD6" w14:textId="77777777" w:rsidR="00723F18" w:rsidRDefault="00000000">
      <w:pPr>
        <w:pStyle w:val="Heading2"/>
      </w:pPr>
      <w:bookmarkStart w:id="557" w:name="__RefHeading___Toc6684_2939721771"/>
      <w:bookmarkEnd w:id="557"/>
      <w:r>
        <w:t>K.5 The re-entry ramp for owners</w:t>
      </w:r>
    </w:p>
    <w:p w14:paraId="00C25DEB" w14:textId="77777777" w:rsidR="00723F18" w:rsidRDefault="00000000">
      <w:pPr>
        <w:pStyle w:val="FirstParagraph"/>
      </w:pPr>
      <w:bookmarkStart w:id="558" w:name="k.5-the-re-entry-ramp-for-owners"/>
      <w:bookmarkStart w:id="559" w:name="X26e3478cc9bee0aaf062740aab2adf550af29c6"/>
      <w:r>
        <w:t>Shipowners re-enter on their own commercial judgment. The scheme supports re-entry with the escorted windows of Article 9.4 and Article 12.1, the fallback artery guarantee, the rescue posture of Article 31, and the certified-corridor map. The Open Water Bulletin carries the operational truth an owner prices, six (6) hours at a time.</w:t>
      </w:r>
      <w:bookmarkEnd w:id="558"/>
      <w:bookmarkEnd w:id="559"/>
    </w:p>
    <w:p w14:paraId="3B99A550" w14:textId="77777777" w:rsidR="00723F18" w:rsidRDefault="00000000">
      <w:pPr>
        <w:pStyle w:val="Heading1"/>
      </w:pPr>
      <w:bookmarkStart w:id="560" w:name="__RefHeading___Toc6686_2939721771"/>
      <w:bookmarkStart w:id="561" w:name="annex-l-operative-definitions"/>
      <w:bookmarkEnd w:id="560"/>
      <w:r>
        <w:t>Annex L: Operative Definitions</w:t>
      </w:r>
    </w:p>
    <w:p w14:paraId="1067B699" w14:textId="77777777" w:rsidR="00723F18" w:rsidRDefault="00000000">
      <w:pPr>
        <w:pStyle w:val="FirstParagraph"/>
      </w:pPr>
      <w:r>
        <w:rPr>
          <w:b/>
          <w:bCs/>
        </w:rPr>
        <w:t>Accord</w:t>
      </w:r>
      <w:r>
        <w:t xml:space="preserve"> means this Hormuz Three-Corridor Transit Scheme Accord, including its Annexes.</w:t>
      </w:r>
    </w:p>
    <w:p w14:paraId="75D4C3ED" w14:textId="77777777" w:rsidR="00723F18" w:rsidRDefault="00000000">
      <w:pPr>
        <w:pStyle w:val="BodyText"/>
      </w:pPr>
      <w:r>
        <w:rPr>
          <w:b/>
          <w:bCs/>
        </w:rPr>
        <w:t>Acknowledgment</w:t>
      </w:r>
      <w:r>
        <w:t xml:space="preserve"> means the automatic administrative receipt of a Transit Declaration under Article 8.3, which never constitutes permission.</w:t>
      </w:r>
    </w:p>
    <w:p w14:paraId="7E6D4BB6" w14:textId="77777777" w:rsidR="00723F18" w:rsidRDefault="00000000">
      <w:pPr>
        <w:pStyle w:val="BodyText"/>
      </w:pPr>
      <w:r>
        <w:rPr>
          <w:b/>
          <w:bCs/>
        </w:rPr>
        <w:t>Anchor-and-Verify Protocol</w:t>
      </w:r>
      <w:r>
        <w:t xml:space="preserve"> means the procedure of Article 11.4 resolving documented cargo or documentation questions at anchorage.</w:t>
      </w:r>
    </w:p>
    <w:p w14:paraId="41FE859F" w14:textId="77777777" w:rsidR="00723F18" w:rsidRDefault="00000000">
      <w:pPr>
        <w:pStyle w:val="BodyText"/>
      </w:pPr>
      <w:r>
        <w:rPr>
          <w:b/>
          <w:bCs/>
        </w:rPr>
        <w:t>August Layout</w:t>
      </w:r>
      <w:r>
        <w:t xml:space="preserve"> means the transit layout formulated by the United States and the State of Qatar over the weekend of 1 and 2 August 2026.</w:t>
      </w:r>
    </w:p>
    <w:p w14:paraId="5C58EC04" w14:textId="77777777" w:rsidR="00723F18" w:rsidRDefault="00000000">
      <w:pPr>
        <w:pStyle w:val="BodyText"/>
      </w:pPr>
      <w:r>
        <w:rPr>
          <w:b/>
          <w:bCs/>
        </w:rPr>
        <w:t>Central Corridor Panel</w:t>
      </w:r>
      <w:r>
        <w:t xml:space="preserve"> means the joint administration body of Corridor Two under Article 14.4.</w:t>
      </w:r>
    </w:p>
    <w:p w14:paraId="5A634BB0" w14:textId="77777777" w:rsidR="00723F18" w:rsidRDefault="00000000">
      <w:pPr>
        <w:pStyle w:val="BodyText"/>
      </w:pPr>
      <w:r>
        <w:rPr>
          <w:b/>
          <w:bCs/>
        </w:rPr>
        <w:lastRenderedPageBreak/>
        <w:t>Clean day</w:t>
      </w:r>
      <w:r>
        <w:t xml:space="preserve"> means a day recording zero Tier Charlie and zero Tier Delta incidents under Article 34.4.</w:t>
      </w:r>
    </w:p>
    <w:p w14:paraId="2E5B90E8" w14:textId="77777777" w:rsidR="00723F18" w:rsidRDefault="00000000">
      <w:pPr>
        <w:pStyle w:val="BodyText"/>
      </w:pPr>
      <w:r>
        <w:rPr>
          <w:b/>
          <w:bCs/>
        </w:rPr>
        <w:t>Compliant vessel</w:t>
      </w:r>
      <w:r>
        <w:t xml:space="preserve"> means a vessel within the meaning of Article 29.3.</w:t>
      </w:r>
    </w:p>
    <w:p w14:paraId="09D2D253" w14:textId="77777777" w:rsidR="00723F18" w:rsidRDefault="00000000">
      <w:pPr>
        <w:pStyle w:val="BodyText"/>
      </w:pPr>
      <w:r>
        <w:rPr>
          <w:b/>
          <w:bCs/>
        </w:rPr>
        <w:t>Cooperative Safety Fund</w:t>
      </w:r>
      <w:r>
        <w:t xml:space="preserve"> means the Hormuz Cooperative Safety Fund established under Article 21.</w:t>
      </w:r>
    </w:p>
    <w:p w14:paraId="77DB7CE9" w14:textId="77777777" w:rsidR="00723F18" w:rsidRDefault="00000000">
      <w:pPr>
        <w:pStyle w:val="BodyText"/>
      </w:pPr>
      <w:r>
        <w:rPr>
          <w:b/>
          <w:bCs/>
        </w:rPr>
        <w:t>Corridor One, Corridor Two, Corridor Three</w:t>
      </w:r>
      <w:r>
        <w:t xml:space="preserve"> mean, respectively, the Northern Stewardship Corridor, the Central Open Corridor, and the Southern Assurance Corridor, as designated in Annex A.</w:t>
      </w:r>
    </w:p>
    <w:p w14:paraId="3A53F0C7" w14:textId="77777777" w:rsidR="00723F18" w:rsidRDefault="00000000">
      <w:pPr>
        <w:pStyle w:val="BodyText"/>
      </w:pPr>
      <w:r>
        <w:rPr>
          <w:b/>
          <w:bCs/>
        </w:rPr>
        <w:t>Custody structure</w:t>
      </w:r>
      <w:r>
        <w:t xml:space="preserve"> means the facility of Article 22.3 and Annex B, Section B.7, holding title with the owner state and disbursing by direct vendor payment.</w:t>
      </w:r>
    </w:p>
    <w:p w14:paraId="4148DF21" w14:textId="77777777" w:rsidR="00723F18" w:rsidRDefault="00000000">
      <w:pPr>
        <w:pStyle w:val="BodyText"/>
      </w:pPr>
      <w:r>
        <w:rPr>
          <w:b/>
          <w:bCs/>
        </w:rPr>
        <w:t>Flow State</w:t>
      </w:r>
      <w:r>
        <w:t xml:space="preserve"> means one of the three operational states of Article 12.4.</w:t>
      </w:r>
    </w:p>
    <w:p w14:paraId="23A4D0DA" w14:textId="77777777" w:rsidR="00723F18" w:rsidRDefault="00000000">
      <w:pPr>
        <w:pStyle w:val="BodyText"/>
      </w:pPr>
      <w:r>
        <w:rPr>
          <w:b/>
          <w:bCs/>
        </w:rPr>
        <w:t>Joint Watch</w:t>
      </w:r>
      <w:r>
        <w:t xml:space="preserve"> means the co-located human observation function of Article 27.</w:t>
      </w:r>
    </w:p>
    <w:p w14:paraId="04ED0933" w14:textId="77777777" w:rsidR="00723F18" w:rsidRDefault="00000000">
      <w:pPr>
        <w:pStyle w:val="BodyText"/>
      </w:pPr>
      <w:r>
        <w:rPr>
          <w:b/>
          <w:bCs/>
        </w:rPr>
        <w:t>June Framework</w:t>
      </w:r>
      <w:r>
        <w:t xml:space="preserve"> means the memorandum of understanding signed at Islamabad on 17 June 2026.</w:t>
      </w:r>
    </w:p>
    <w:p w14:paraId="1486A061" w14:textId="77777777" w:rsidR="00723F18" w:rsidRDefault="00000000">
      <w:pPr>
        <w:pStyle w:val="BodyText"/>
      </w:pPr>
      <w:r>
        <w:rPr>
          <w:b/>
          <w:bCs/>
        </w:rPr>
        <w:t>Neutral Administrator</w:t>
      </w:r>
      <w:r>
        <w:t xml:space="preserve"> means the Swiss Confederation acting under Article 16.</w:t>
      </w:r>
    </w:p>
    <w:p w14:paraId="0BC35B38" w14:textId="77777777" w:rsidR="00723F18" w:rsidRDefault="00000000">
      <w:pPr>
        <w:pStyle w:val="BodyText"/>
      </w:pPr>
      <w:r>
        <w:rPr>
          <w:b/>
          <w:bCs/>
        </w:rPr>
        <w:t>Neutral Coordinate Registry</w:t>
      </w:r>
      <w:r>
        <w:t xml:space="preserve"> means the authoritative geometry registry of Article 7.3.</w:t>
      </w:r>
    </w:p>
    <w:p w14:paraId="608F2CBD" w14:textId="77777777" w:rsidR="00723F18" w:rsidRDefault="00000000">
      <w:pPr>
        <w:pStyle w:val="BodyText"/>
      </w:pPr>
      <w:r>
        <w:rPr>
          <w:b/>
          <w:bCs/>
        </w:rPr>
        <w:t>Non-Prejudice Clause</w:t>
      </w:r>
      <w:r>
        <w:t xml:space="preserve"> means Article 2.2.</w:t>
      </w:r>
    </w:p>
    <w:p w14:paraId="6FB42DBE" w14:textId="77777777" w:rsidR="00723F18" w:rsidRDefault="00000000">
      <w:pPr>
        <w:pStyle w:val="BodyText"/>
      </w:pPr>
      <w:r>
        <w:rPr>
          <w:b/>
          <w:bCs/>
        </w:rPr>
        <w:t>Northern Steward</w:t>
      </w:r>
      <w:r>
        <w:t xml:space="preserve"> means the Islamic Republic of Iran acting under Article 8.2.</w:t>
      </w:r>
    </w:p>
    <w:p w14:paraId="6E4BBF1E" w14:textId="77777777" w:rsidR="00723F18" w:rsidRDefault="00000000">
      <w:pPr>
        <w:pStyle w:val="BodyText"/>
      </w:pPr>
      <w:r>
        <w:rPr>
          <w:b/>
          <w:bCs/>
        </w:rPr>
        <w:t>Open Water Bulletin</w:t>
      </w:r>
      <w:r>
        <w:t xml:space="preserve"> means the publication of Article 12.7.</w:t>
      </w:r>
    </w:p>
    <w:p w14:paraId="6AEFCDB8" w14:textId="77777777" w:rsidR="00723F18" w:rsidRDefault="00000000">
      <w:pPr>
        <w:pStyle w:val="BodyText"/>
      </w:pPr>
      <w:r>
        <w:rPr>
          <w:b/>
          <w:bCs/>
        </w:rPr>
        <w:t>Operations System</w:t>
      </w:r>
      <w:r>
        <w:t xml:space="preserve"> means the Tripartite Operations System of Article 15.</w:t>
      </w:r>
    </w:p>
    <w:p w14:paraId="0CB3F45F" w14:textId="77777777" w:rsidR="00723F18" w:rsidRDefault="00000000">
      <w:pPr>
        <w:pStyle w:val="BodyText"/>
      </w:pPr>
      <w:r>
        <w:rPr>
          <w:b/>
          <w:bCs/>
        </w:rPr>
        <w:t>Party</w:t>
      </w:r>
      <w:r>
        <w:t xml:space="preserve"> means a state listed as a Party in the Document Control record.</w:t>
      </w:r>
    </w:p>
    <w:p w14:paraId="6EB2A2F8" w14:textId="77777777" w:rsidR="00723F18" w:rsidRDefault="00000000">
      <w:pPr>
        <w:pStyle w:val="BodyText"/>
      </w:pPr>
      <w:r>
        <w:rPr>
          <w:b/>
          <w:bCs/>
        </w:rPr>
        <w:t>Perimeter Test</w:t>
      </w:r>
      <w:r>
        <w:t xml:space="preserve"> means the screening procedure of Article 6.2.</w:t>
      </w:r>
    </w:p>
    <w:p w14:paraId="562308B7" w14:textId="77777777" w:rsidR="00723F18" w:rsidRDefault="00000000">
      <w:pPr>
        <w:pStyle w:val="BodyText"/>
      </w:pPr>
      <w:r>
        <w:rPr>
          <w:b/>
          <w:bCs/>
        </w:rPr>
        <w:t>Scheme Area</w:t>
      </w:r>
      <w:r>
        <w:t xml:space="preserve"> means the geographic frame of Article 1.3 and Annex A.</w:t>
      </w:r>
    </w:p>
    <w:p w14:paraId="191241CE" w14:textId="77777777" w:rsidR="00723F18" w:rsidRDefault="00000000">
      <w:pPr>
        <w:pStyle w:val="BodyText"/>
      </w:pPr>
      <w:r>
        <w:rPr>
          <w:b/>
          <w:bCs/>
        </w:rPr>
        <w:t>Services Catalog</w:t>
      </w:r>
      <w:r>
        <w:t xml:space="preserve"> means the catalog of services and rates of Annex B, Section B.5.</w:t>
      </w:r>
    </w:p>
    <w:p w14:paraId="6C732FD5" w14:textId="77777777" w:rsidR="00723F18" w:rsidRDefault="00000000">
      <w:pPr>
        <w:pStyle w:val="BodyText"/>
      </w:pPr>
      <w:r>
        <w:rPr>
          <w:b/>
          <w:bCs/>
        </w:rPr>
        <w:t>Shared Evidence Platform</w:t>
      </w:r>
      <w:r>
        <w:t xml:space="preserve"> means the common telemetry and record platform of Article 16.2.</w:t>
      </w:r>
    </w:p>
    <w:p w14:paraId="19FF00D5" w14:textId="77777777" w:rsidR="00723F18" w:rsidRDefault="00000000">
      <w:pPr>
        <w:pStyle w:val="BodyText"/>
      </w:pPr>
      <w:r>
        <w:rPr>
          <w:b/>
          <w:bCs/>
        </w:rPr>
        <w:t>Southern Steward</w:t>
      </w:r>
      <w:r>
        <w:t xml:space="preserve"> means the Sultanate of Oman acting under Article 10.2.</w:t>
      </w:r>
    </w:p>
    <w:p w14:paraId="66CFA7FE" w14:textId="77777777" w:rsidR="00723F18" w:rsidRDefault="00000000">
      <w:pPr>
        <w:pStyle w:val="BodyText"/>
      </w:pPr>
      <w:r>
        <w:rPr>
          <w:b/>
          <w:bCs/>
        </w:rPr>
        <w:t>Stewardship allocation</w:t>
      </w:r>
      <w:r>
        <w:t xml:space="preserve"> means the quarterly readiness payment of Article 21.6.</w:t>
      </w:r>
    </w:p>
    <w:p w14:paraId="476CB974" w14:textId="77777777" w:rsidR="00723F18" w:rsidRDefault="00000000">
      <w:pPr>
        <w:pStyle w:val="BodyText"/>
      </w:pPr>
      <w:r>
        <w:rPr>
          <w:b/>
          <w:bCs/>
        </w:rPr>
        <w:t>Technical Arbitration Window</w:t>
      </w:r>
      <w:r>
        <w:t xml:space="preserve"> means the rapid technical ruling procedure of Article 28.3.</w:t>
      </w:r>
    </w:p>
    <w:p w14:paraId="31136C7C" w14:textId="77777777" w:rsidR="00723F18" w:rsidRDefault="00000000">
      <w:pPr>
        <w:pStyle w:val="BodyText"/>
      </w:pPr>
      <w:r>
        <w:rPr>
          <w:b/>
          <w:bCs/>
        </w:rPr>
        <w:t>Tier One, Tier Two, Tier Three</w:t>
      </w:r>
      <w:r>
        <w:t xml:space="preserve"> mean the compliance classifications of Article 39.1.</w:t>
      </w:r>
    </w:p>
    <w:p w14:paraId="5135A69D" w14:textId="77777777" w:rsidR="00723F18" w:rsidRDefault="00000000">
      <w:pPr>
        <w:pStyle w:val="BodyText"/>
      </w:pPr>
      <w:r>
        <w:rPr>
          <w:b/>
          <w:bCs/>
        </w:rPr>
        <w:lastRenderedPageBreak/>
        <w:t>Transit Declaration</w:t>
      </w:r>
      <w:r>
        <w:t xml:space="preserve"> means the twelve-field notice of Annex I, Section I.1.</w:t>
      </w:r>
    </w:p>
    <w:p w14:paraId="1245BF83" w14:textId="77777777" w:rsidR="00723F18" w:rsidRDefault="00000000">
      <w:pPr>
        <w:pStyle w:val="BodyText"/>
      </w:pPr>
      <w:r>
        <w:rPr>
          <w:b/>
          <w:bCs/>
        </w:rPr>
        <w:t>Verified Services Ledger</w:t>
      </w:r>
      <w:r>
        <w:t xml:space="preserve"> means the service compensation record of Article 20.</w:t>
      </w:r>
    </w:p>
    <w:p w14:paraId="18D0BC57" w14:textId="77777777" w:rsidR="00723F18" w:rsidRDefault="00000000">
      <w:pPr>
        <w:pStyle w:val="BodyText"/>
      </w:pPr>
      <w:r>
        <w:rPr>
          <w:b/>
          <w:bCs/>
        </w:rPr>
        <w:t>Window</w:t>
      </w:r>
      <w:r>
        <w:t xml:space="preserve"> means a sixty (60) day operating period under Article 46.</w:t>
      </w:r>
    </w:p>
    <w:p w14:paraId="1AD60E7B" w14:textId="77777777" w:rsidR="00723F18" w:rsidRDefault="00000000">
      <w:pPr>
        <w:pStyle w:val="BodyText"/>
      </w:pPr>
      <w:r>
        <w:rPr>
          <w:b/>
          <w:bCs/>
        </w:rPr>
        <w:t>Zero-Toll Covenant</w:t>
      </w:r>
      <w:r>
        <w:t xml:space="preserve"> means Article 19.</w:t>
      </w:r>
      <w:bookmarkEnd w:id="561"/>
    </w:p>
    <w:p w14:paraId="20F632FE" w14:textId="77777777" w:rsidR="00723F18" w:rsidRDefault="00000000">
      <w:pPr>
        <w:pStyle w:val="Heading1"/>
      </w:pPr>
      <w:bookmarkStart w:id="562" w:name="__RefHeading___Toc6688_2939721771"/>
      <w:bookmarkEnd w:id="562"/>
      <w:r>
        <w:t>Annex M: Provenance and Context Note</w:t>
      </w:r>
    </w:p>
    <w:p w14:paraId="200EF77E" w14:textId="77777777" w:rsidR="00723F18" w:rsidRDefault="00000000">
      <w:pPr>
        <w:pStyle w:val="Heading2"/>
      </w:pPr>
      <w:bookmarkStart w:id="563" w:name="__RefHeading___Toc6690_2939721771"/>
      <w:bookmarkEnd w:id="563"/>
      <w:r>
        <w:t>M.1 What this note is</w:t>
      </w:r>
    </w:p>
    <w:p w14:paraId="79395F9B" w14:textId="77777777" w:rsidR="00723F18" w:rsidRDefault="00000000">
      <w:pPr>
        <w:pStyle w:val="FirstParagraph"/>
      </w:pPr>
      <w:bookmarkStart w:id="564" w:name="m.1-what-this-note-is"/>
      <w:r>
        <w:t>This note records the public context against which the Accord stands, for the use of negotiators and historians. It states facts of record; it characterizes no Party’s motives; and it forms no operative part of the Accord.</w:t>
      </w:r>
      <w:bookmarkEnd w:id="564"/>
    </w:p>
    <w:p w14:paraId="2915BE69" w14:textId="77777777" w:rsidR="00723F18" w:rsidRDefault="00000000">
      <w:pPr>
        <w:pStyle w:val="Heading2"/>
      </w:pPr>
      <w:bookmarkStart w:id="565" w:name="__RefHeading___Toc6692_2939721771"/>
      <w:bookmarkStart w:id="566" w:name="m.2-the-crisis-record"/>
      <w:bookmarkEnd w:id="565"/>
      <w:r>
        <w:t>M.2 The crisis record</w:t>
      </w:r>
    </w:p>
    <w:p w14:paraId="42369AC9" w14:textId="77777777" w:rsidR="00723F18" w:rsidRDefault="00000000">
      <w:pPr>
        <w:pStyle w:val="FirstParagraph"/>
      </w:pPr>
      <w:r>
        <w:t xml:space="preserve">The conflict opened on 28 February 2026 with strikes by the United States and Israel against Iran, and Iran closed the Strait of Hormuz to normal commercial traffic from the opening days of the war. </w:t>
      </w:r>
      <w:r>
        <w:rPr>
          <w:rStyle w:val="FootnoteReference"/>
        </w:rPr>
        <w:footnoteReference w:id="1"/>
      </w:r>
      <w:r>
        <w:t xml:space="preserve"> Pre-war traffic of roughly one hundred and thirty (130) to one hundred and fifty (150) vessels per day fell to a handful, with about twenty thousand (20,000) mariners and two thousand (2,000) ships stranded in the Gulf at the crisis’s height. </w:t>
      </w:r>
      <w:r>
        <w:rPr>
          <w:rStyle w:val="FootnoteReference"/>
        </w:rPr>
        <w:footnoteReference w:id="2"/>
      </w:r>
      <w:r>
        <w:t xml:space="preserve"> </w:t>
      </w:r>
      <w:r>
        <w:fldChar w:fldCharType="begin"/>
      </w:r>
      <w:r>
        <w:instrText>NOTEREF _Ref_Footnote_1 \h \f</w:instrText>
      </w:r>
      <w:r>
        <w:fldChar w:fldCharType="separate"/>
      </w:r>
      <w:r>
        <w:rPr>
          <w:vertAlign w:val="superscript"/>
        </w:rPr>
        <w:t>1</w:t>
      </w:r>
      <w:r>
        <w:fldChar w:fldCharType="end"/>
      </w:r>
      <w:r>
        <w:t xml:space="preserve"> Iran established a dedicated strait authority, designated its own channel north of Larak Island, and charged selected transiting vessels fees reported as high as two million (2,000,000) dollars per transit, with payments reported in yuan. </w:t>
      </w:r>
      <w:r>
        <w:rPr>
          <w:rStyle w:val="FootnoteReference"/>
        </w:rPr>
        <w:footnoteReference w:id="3"/>
      </w:r>
      <w:r>
        <w:t xml:space="preserve"> </w:t>
      </w:r>
      <w:r>
        <w:fldChar w:fldCharType="begin"/>
      </w:r>
      <w:r>
        <w:instrText>NOTEREF _Ref_Footnote_1 \h \f</w:instrText>
      </w:r>
      <w:r>
        <w:fldChar w:fldCharType="separate"/>
      </w:r>
      <w:r>
        <w:rPr>
          <w:vertAlign w:val="superscript"/>
        </w:rPr>
        <w:t>1</w:t>
      </w:r>
      <w:r>
        <w:fldChar w:fldCharType="end"/>
      </w:r>
      <w:r>
        <w:t xml:space="preserve"> The United States answered with a naval blockade of Iranian ports from 13 April 2026 and, intermittently, escort operations. </w:t>
      </w:r>
      <w:r>
        <w:fldChar w:fldCharType="begin"/>
      </w:r>
      <w:r>
        <w:instrText>NOTEREF _Ref_Footnote_1 \h \f</w:instrText>
      </w:r>
      <w:r>
        <w:fldChar w:fldCharType="separate"/>
      </w:r>
      <w:r>
        <w:rPr>
          <w:vertAlign w:val="superscript"/>
        </w:rPr>
        <w:t>1</w:t>
      </w:r>
      <w:bookmarkEnd w:id="566"/>
      <w:r>
        <w:fldChar w:fldCharType="end"/>
      </w:r>
    </w:p>
    <w:p w14:paraId="43DCE64A" w14:textId="77777777" w:rsidR="00723F18" w:rsidRDefault="00000000">
      <w:pPr>
        <w:pStyle w:val="Heading2"/>
      </w:pPr>
      <w:bookmarkStart w:id="568" w:name="__RefHeading___Toc6694_2939721771"/>
      <w:bookmarkStart w:id="569" w:name="m.3-the-june-framework-and-its-erosion"/>
      <w:bookmarkEnd w:id="568"/>
      <w:r>
        <w:t>M.3 The June Framework and its erosion</w:t>
      </w:r>
    </w:p>
    <w:p w14:paraId="0C7B737C" w14:textId="77777777" w:rsidR="00723F18" w:rsidRDefault="00000000">
      <w:pPr>
        <w:pStyle w:val="FirstParagraph"/>
      </w:pPr>
      <w:r>
        <w:t xml:space="preserve">On 17 June 2026 the Parties signed the memorandum of understanding at Islamabad: a fourteen (14) point framework providing for safe commercial passage without charge for sixty (60) days, demining during the first month, lifting of the maritime blockade, and phased economic steps. </w:t>
      </w:r>
      <w:r>
        <w:fldChar w:fldCharType="begin"/>
      </w:r>
      <w:r>
        <w:instrText>NOTEREF _Ref_Footnote_2 \h \f</w:instrText>
      </w:r>
      <w:r>
        <w:fldChar w:fldCharType="separate"/>
      </w:r>
      <w:r>
        <w:rPr>
          <w:vertAlign w:val="superscript"/>
        </w:rPr>
        <w:t>2</w:t>
      </w:r>
      <w:r>
        <w:fldChar w:fldCharType="end"/>
      </w:r>
      <w:r>
        <w:t xml:space="preserve"> </w:t>
      </w:r>
      <w:r>
        <w:rPr>
          <w:rStyle w:val="FootnoteReference"/>
        </w:rPr>
        <w:footnoteReference w:id="4"/>
      </w:r>
      <w:r>
        <w:t xml:space="preserve"> Iranian officials stated publicly, within days of signature, that Iran retains the right to charge service fees once the sixty (60) day window closes, and that the Strait does not return to prewar conditions. </w:t>
      </w:r>
      <w:r>
        <w:rPr>
          <w:rStyle w:val="FootnoteReference"/>
        </w:rPr>
        <w:footnoteReference w:id="5"/>
      </w:r>
      <w:r>
        <w:t xml:space="preserve"> The ceasefire eroded through early </w:t>
      </w:r>
      <w:proofErr w:type="gramStart"/>
      <w:r>
        <w:t>July:</w:t>
      </w:r>
      <w:proofErr w:type="gramEnd"/>
      <w:r>
        <w:t xml:space="preserve"> strikes on commercial vessels, the declaration that the memorandum stood over, </w:t>
      </w:r>
      <w:r>
        <w:lastRenderedPageBreak/>
        <w:t xml:space="preserve">reimposition of the blockade on 14 July 2026, and revocation of the temporary energy license. </w:t>
      </w:r>
      <w:r>
        <w:rPr>
          <w:rStyle w:val="FootnoteReference"/>
        </w:rPr>
        <w:footnoteReference w:id="6"/>
      </w:r>
      <w:bookmarkEnd w:id="569"/>
    </w:p>
    <w:p w14:paraId="770A2446" w14:textId="77777777" w:rsidR="00723F18" w:rsidRDefault="00000000">
      <w:pPr>
        <w:pStyle w:val="Heading2"/>
      </w:pPr>
      <w:bookmarkStart w:id="570" w:name="__RefHeading___Toc6696_2939721771"/>
      <w:bookmarkStart w:id="571" w:name="m.4-the-late-july-proposals"/>
      <w:bookmarkEnd w:id="570"/>
      <w:r>
        <w:t>M.4 The late July proposals</w:t>
      </w:r>
    </w:p>
    <w:p w14:paraId="5B1E9587" w14:textId="77777777" w:rsidR="00723F18" w:rsidRDefault="00000000">
      <w:pPr>
        <w:pStyle w:val="FirstParagraph"/>
      </w:pPr>
      <w:r>
        <w:t xml:space="preserve">The Sultanate of Oman delivered a proposal for joint regional management of the Strait with voluntary, Malacca-style contributions funding navigation, environmental protection, and rescue services, and the Gulf states backed the package. </w:t>
      </w:r>
      <w:r>
        <w:rPr>
          <w:rStyle w:val="FootnoteReference"/>
        </w:rPr>
        <w:footnoteReference w:id="7"/>
      </w:r>
      <w:r>
        <w:t xml:space="preserve"> </w:t>
      </w:r>
      <w:r>
        <w:rPr>
          <w:rStyle w:val="FootnoteReference"/>
        </w:rPr>
        <w:footnoteReference w:id="8"/>
      </w:r>
      <w:r>
        <w:t xml:space="preserve"> Iran rejected the equal split on 28 July 2026, holding that the inbound lane and part of the outbound lane lie within Iranian waters, with the Strait otherwise remaining closed. </w:t>
      </w:r>
      <w:r>
        <w:fldChar w:fldCharType="begin"/>
      </w:r>
      <w:r>
        <w:instrText>NOTEREF _Ref_Footnote_6 \h \f</w:instrText>
      </w:r>
      <w:r>
        <w:fldChar w:fldCharType="separate"/>
      </w:r>
      <w:r>
        <w:rPr>
          <w:vertAlign w:val="superscript"/>
        </w:rPr>
        <w:t>6</w:t>
      </w:r>
      <w:r>
        <w:fldChar w:fldCharType="end"/>
      </w:r>
      <w:r>
        <w:t xml:space="preserve"> Iranian officials simultaneously described their fee position as a charge for services rather than a toll on passage, a distinction the legal commentary of the period also draws. </w:t>
      </w:r>
      <w:r>
        <w:fldChar w:fldCharType="begin"/>
      </w:r>
      <w:r>
        <w:instrText>NOTEREF _Ref_Footnote_4 \h \f</w:instrText>
      </w:r>
      <w:r>
        <w:fldChar w:fldCharType="separate"/>
      </w:r>
      <w:r>
        <w:rPr>
          <w:vertAlign w:val="superscript"/>
        </w:rPr>
        <w:t>4</w:t>
      </w:r>
      <w:r>
        <w:fldChar w:fldCharType="end"/>
      </w:r>
      <w:r>
        <w:t xml:space="preserve"> </w:t>
      </w:r>
      <w:r>
        <w:fldChar w:fldCharType="begin"/>
      </w:r>
      <w:r>
        <w:instrText>NOTEREF _Ref_Footnote_2 \h \f</w:instrText>
      </w:r>
      <w:r>
        <w:fldChar w:fldCharType="separate"/>
      </w:r>
      <w:r>
        <w:rPr>
          <w:vertAlign w:val="superscript"/>
        </w:rPr>
        <w:t>2</w:t>
      </w:r>
      <w:r>
        <w:fldChar w:fldCharType="end"/>
      </w:r>
      <w:r>
        <w:t xml:space="preserve"> The United States rejected any charge on passage, with the Secretary of State stating that no country holds the right to charge for the use of international waterways, and the President demanding the immediate, complete, and total opening of the Strait. </w:t>
      </w:r>
      <w:r>
        <w:fldChar w:fldCharType="begin"/>
      </w:r>
      <w:r>
        <w:instrText>NOTEREF _Ref_Footnote_7 \h \f</w:instrText>
      </w:r>
      <w:r>
        <w:fldChar w:fldCharType="separate"/>
      </w:r>
      <w:r>
        <w:rPr>
          <w:vertAlign w:val="superscript"/>
        </w:rPr>
        <w:t>7</w:t>
      </w:r>
      <w:r>
        <w:fldChar w:fldCharType="end"/>
      </w:r>
      <w:r>
        <w:t xml:space="preserve"> </w:t>
      </w:r>
      <w:r>
        <w:fldChar w:fldCharType="begin"/>
      </w:r>
      <w:r>
        <w:instrText>NOTEREF _Ref_Footnote_6 \h \f</w:instrText>
      </w:r>
      <w:r>
        <w:fldChar w:fldCharType="separate"/>
      </w:r>
      <w:r>
        <w:rPr>
          <w:vertAlign w:val="superscript"/>
        </w:rPr>
        <w:t>6</w:t>
      </w:r>
      <w:r>
        <w:fldChar w:fldCharType="end"/>
      </w:r>
      <w:bookmarkEnd w:id="571"/>
    </w:p>
    <w:p w14:paraId="3F5B3EE0" w14:textId="77777777" w:rsidR="00723F18" w:rsidRDefault="00000000">
      <w:pPr>
        <w:pStyle w:val="Heading2"/>
      </w:pPr>
      <w:bookmarkStart w:id="572" w:name="__RefHeading___Toc6698_2939721771"/>
      <w:bookmarkStart w:id="573" w:name="m.5-the-august-opening"/>
      <w:bookmarkEnd w:id="572"/>
      <w:r>
        <w:t>M.5 The August opening</w:t>
      </w:r>
    </w:p>
    <w:p w14:paraId="2A87E142" w14:textId="77777777" w:rsidR="00723F18" w:rsidRDefault="00000000">
      <w:pPr>
        <w:pStyle w:val="FirstParagraph"/>
      </w:pPr>
      <w:r>
        <w:t xml:space="preserve">Over the weekend of 1 and 2 August 2026, United States and Qatari mediators formulated the split-lane layout: inbound traffic through Iranian-adjacent waters, outbound traffic through Omani-adjacent waters, hostilities paused, and the waterway reopened toll-free for an interim period. </w:t>
      </w:r>
      <w:r>
        <w:rPr>
          <w:rStyle w:val="FootnoteReference"/>
        </w:rPr>
        <w:footnoteReference w:id="9"/>
      </w:r>
      <w:r>
        <w:t xml:space="preserve"> </w:t>
      </w:r>
      <w:r>
        <w:fldChar w:fldCharType="begin"/>
      </w:r>
      <w:r>
        <w:instrText>NOTEREF _Ref_Footnote_6 \h \f</w:instrText>
      </w:r>
      <w:r>
        <w:fldChar w:fldCharType="separate"/>
      </w:r>
      <w:r>
        <w:rPr>
          <w:vertAlign w:val="superscript"/>
        </w:rPr>
        <w:t>6</w:t>
      </w:r>
      <w:r>
        <w:fldChar w:fldCharType="end"/>
      </w:r>
      <w:r>
        <w:t xml:space="preserve"> The President suspended planned strikes late on 1 August, stating that the perimeters of a deal existed, subject to rapidly concluding it. </w:t>
      </w:r>
      <w:r>
        <w:rPr>
          <w:rStyle w:val="FootnoteReference"/>
        </w:rPr>
        <w:footnoteReference w:id="10"/>
      </w:r>
      <w:r>
        <w:t xml:space="preserve"> On 2 August, Iranian and Omani officials described active exchanges toward a route acceptable to both coastal states, while Iranian military sources denied that any binding text existed. </w:t>
      </w:r>
      <w:r>
        <w:fldChar w:fldCharType="begin"/>
      </w:r>
      <w:r>
        <w:instrText>NOTEREF _Ref_Footnote_10 \h \f</w:instrText>
      </w:r>
      <w:r>
        <w:fldChar w:fldCharType="separate"/>
      </w:r>
      <w:r>
        <w:rPr>
          <w:vertAlign w:val="superscript"/>
        </w:rPr>
        <w:t>10</w:t>
      </w:r>
      <w:r>
        <w:fldChar w:fldCharType="end"/>
      </w:r>
      <w:r>
        <w:t xml:space="preserve"> </w:t>
      </w:r>
      <w:r>
        <w:fldChar w:fldCharType="begin"/>
      </w:r>
      <w:r>
        <w:instrText>NOTEREF _Ref_Footnote_9 \h \f</w:instrText>
      </w:r>
      <w:r>
        <w:fldChar w:fldCharType="separate"/>
      </w:r>
      <w:r>
        <w:rPr>
          <w:vertAlign w:val="superscript"/>
        </w:rPr>
        <w:t>9</w:t>
      </w:r>
      <w:r>
        <w:fldChar w:fldCharType="end"/>
      </w:r>
      <w:r>
        <w:t xml:space="preserve"> This Accord converts that opening into operative text, widens the geometry to three corridors so that a neutral artery always exists, and settles the tolls question on the service side of the line every capital’s lawyers already draw.</w:t>
      </w:r>
      <w:bookmarkEnd w:id="573"/>
    </w:p>
    <w:p w14:paraId="39D95833" w14:textId="77777777" w:rsidR="00723F18" w:rsidRDefault="00000000">
      <w:pPr>
        <w:pStyle w:val="Heading2"/>
      </w:pPr>
      <w:bookmarkStart w:id="574" w:name="__RefHeading___Toc6700_2939721771"/>
      <w:bookmarkEnd w:id="574"/>
      <w:r>
        <w:t>M.6 Sources of design</w:t>
      </w:r>
    </w:p>
    <w:p w14:paraId="62197158" w14:textId="77777777" w:rsidR="00723F18" w:rsidRDefault="00000000">
      <w:pPr>
        <w:pStyle w:val="FirstParagraph"/>
      </w:pPr>
      <w:bookmarkStart w:id="575" w:name="m.6-sources-of-design"/>
      <w:r>
        <w:t>The Accord draws its three-corridor geometry from the working frameworks developed in the negotiation track; its cooperative funding model from the Malacca practice Oman tabled; its stewardship concept from the service-delivery record of both coastal administrations; its verification architecture from satellite, acoustic, and human-anchored practice proven in other monitored waterways; and its drafting discipline from the Immutable Present-Tense Matrix, under which every clause executes in the active present tense and every constraint attaches to the shared architecture rather than to any Party’s restraint.</w:t>
      </w:r>
      <w:bookmarkEnd w:id="575"/>
    </w:p>
    <w:p w14:paraId="051E2E7D" w14:textId="77777777" w:rsidR="00723F18" w:rsidRDefault="00000000">
      <w:pPr>
        <w:pStyle w:val="Heading2"/>
      </w:pPr>
      <w:bookmarkStart w:id="576" w:name="__RefHeading___Toc6702_2939721771"/>
      <w:bookmarkEnd w:id="576"/>
      <w:r>
        <w:lastRenderedPageBreak/>
        <w:t>M.7 Closing note</w:t>
      </w:r>
    </w:p>
    <w:p w14:paraId="71EA2C00" w14:textId="77777777" w:rsidR="00723F18" w:rsidRDefault="00000000">
      <w:pPr>
        <w:pStyle w:val="FirstParagraph"/>
      </w:pPr>
      <w:r>
        <w:t xml:space="preserve">The record shows four capitals </w:t>
      </w:r>
      <w:proofErr w:type="gramStart"/>
      <w:r>
        <w:t>that each</w:t>
      </w:r>
      <w:proofErr w:type="gramEnd"/>
      <w:r>
        <w:t xml:space="preserve"> moved toward the </w:t>
      </w:r>
      <w:proofErr w:type="gramStart"/>
      <w:r>
        <w:t>water</w:t>
      </w:r>
      <w:proofErr w:type="gramEnd"/>
      <w:r>
        <w:t xml:space="preserve"> and each refused to drown in it. The Accord exists to give that restraint a machine: three corridors, one scheme, zero tolls, verified services, and a clock that pays for peace in the present tense.</w:t>
      </w:r>
    </w:p>
    <w:p w14:paraId="3FA6FDDA" w14:textId="77777777" w:rsidR="00723F18" w:rsidRDefault="00000000">
      <w:pPr>
        <w:pStyle w:val="BodyText"/>
      </w:pPr>
      <w:bookmarkStart w:id="577" w:name="annex-m-provenance-and-context-note"/>
      <w:bookmarkStart w:id="578" w:name="m.7-closing-note"/>
      <w:r>
        <w:rPr>
          <w:i/>
          <w:iCs/>
        </w:rPr>
        <w:t>End of the Hormuz Three-Corridor Transit Scheme Accord (HTCSA), Version 1.0.</w:t>
      </w:r>
      <w:bookmarkEnd w:id="577"/>
      <w:bookmarkEnd w:id="578"/>
    </w:p>
    <w:sectPr w:rsidR="00723F1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display="firstPage">
        <w:top w:val="double" w:sz="6" w:space="28" w:color="37474F"/>
        <w:left w:val="double" w:sz="6" w:space="28" w:color="37474F"/>
        <w:bottom w:val="double" w:sz="6" w:space="28" w:color="37474F"/>
        <w:right w:val="double" w:sz="6" w:space="28" w:color="37474F"/>
      </w:pgBorders>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80C45" w14:textId="77777777" w:rsidR="00501808" w:rsidRDefault="00501808">
      <w:pPr>
        <w:spacing w:after="0"/>
      </w:pPr>
      <w:r>
        <w:separator/>
      </w:r>
    </w:p>
  </w:endnote>
  <w:endnote w:type="continuationSeparator" w:id="0">
    <w:p w14:paraId="710CF9B6" w14:textId="77777777" w:rsidR="00501808" w:rsidRDefault="005018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CA37" w14:textId="77777777" w:rsidR="003337C4" w:rsidRDefault="003337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0529" w14:textId="77777777" w:rsidR="00723F18" w:rsidRDefault="00000000">
    <w:pPr>
      <w:pStyle w:val="Footer"/>
      <w:jc w:val="center"/>
    </w:pPr>
    <w:r>
      <w:fldChar w:fldCharType="begin"/>
    </w:r>
    <w:r>
      <w:instrText xml:space="preserve"> PAGE </w:instrText>
    </w:r>
    <w:r>
      <w:fldChar w:fldCharType="separate"/>
    </w:r>
    <w:r>
      <w:t>90</w:t>
    </w:r>
    <w:r>
      <w:fldChar w:fldCharType="end"/>
    </w:r>
    <w:r>
      <w:t xml:space="preserve"> of </w:t>
    </w:r>
    <w:fldSimple w:instr=" NUMPAGES ">
      <w:r>
        <w:t>90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7CDD" w14:textId="77777777" w:rsidR="003337C4" w:rsidRDefault="003337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43CCE" w14:textId="77777777" w:rsidR="00501808" w:rsidRDefault="00501808">
      <w:pPr>
        <w:rPr>
          <w:sz w:val="12"/>
        </w:rPr>
      </w:pPr>
      <w:r>
        <w:separator/>
      </w:r>
    </w:p>
  </w:footnote>
  <w:footnote w:type="continuationSeparator" w:id="0">
    <w:p w14:paraId="65CBD19D" w14:textId="77777777" w:rsidR="00501808" w:rsidRDefault="00501808">
      <w:pPr>
        <w:rPr>
          <w:sz w:val="12"/>
        </w:rPr>
      </w:pPr>
      <w:r>
        <w:continuationSeparator/>
      </w:r>
    </w:p>
  </w:footnote>
  <w:footnote w:id="1">
    <w:p w14:paraId="2C8DD9F9" w14:textId="77777777" w:rsidR="00723F18" w:rsidRDefault="00000000">
      <w:pPr>
        <w:pStyle w:val="FootnoteText"/>
      </w:pPr>
      <w:r>
        <w:rPr>
          <w:rStyle w:val="FootnoteCharacters"/>
        </w:rPr>
        <w:footnoteRef/>
      </w:r>
      <w:bookmarkStart w:id="567" w:name="_Ref_Footnote_1"/>
      <w:r>
        <w:t xml:space="preserve"> wikipedia.org. https://en.wikipedia.org/wiki/2026_Strait_of_Hormuz_crisis</w:t>
      </w:r>
      <w:bookmarkEnd w:id="567"/>
    </w:p>
  </w:footnote>
  <w:footnote w:id="2">
    <w:p w14:paraId="58EFE2E6" w14:textId="77777777" w:rsidR="00723F18" w:rsidRDefault="00000000">
      <w:pPr>
        <w:pStyle w:val="FootnoteText"/>
      </w:pPr>
      <w:r>
        <w:rPr>
          <w:rStyle w:val="FootnoteCharacters"/>
        </w:rPr>
        <w:footnoteRef/>
      </w:r>
      <w:r>
        <w:t xml:space="preserve"> Geneva Solutions. https://genevasolutions.news/peace-humanitarian/iran-wants-to-charge-fees-on-hormuz-passage-what-impacts-could-that-have</w:t>
      </w:r>
    </w:p>
  </w:footnote>
  <w:footnote w:id="3">
    <w:p w14:paraId="05E0694D" w14:textId="77777777" w:rsidR="00723F18" w:rsidRDefault="00000000">
      <w:pPr>
        <w:pStyle w:val="FootnoteText"/>
      </w:pPr>
      <w:r>
        <w:rPr>
          <w:rStyle w:val="FootnoteCharacters"/>
        </w:rPr>
        <w:footnoteRef/>
      </w:r>
      <w:r>
        <w:t xml:space="preserve"> Kennedys. https://www.kennedyslaw.com/en/thought-leadership/article/2026/possible-implications-of-iranian-tolls-to-transit-the-strait-of-hormuz-as-at-10-april-2026/</w:t>
      </w:r>
    </w:p>
  </w:footnote>
  <w:footnote w:id="4">
    <w:p w14:paraId="0D3456FD" w14:textId="77777777" w:rsidR="00723F18" w:rsidRDefault="00000000">
      <w:pPr>
        <w:pStyle w:val="FootnoteText"/>
      </w:pPr>
      <w:r>
        <w:rPr>
          <w:rStyle w:val="FootnoteCharacters"/>
        </w:rPr>
        <w:footnoteRef/>
      </w:r>
      <w:r>
        <w:t xml:space="preserve"> NBC News. https://www.nbcnews.com/world/iran/us-iran-deal-expected-reopen-strait-hormuz-signed-days-both-sides-say-rcna349916</w:t>
      </w:r>
    </w:p>
  </w:footnote>
  <w:footnote w:id="5">
    <w:p w14:paraId="2BF9DB3D" w14:textId="77777777" w:rsidR="00723F18" w:rsidRDefault="00000000">
      <w:pPr>
        <w:pStyle w:val="FootnoteText"/>
      </w:pPr>
      <w:r>
        <w:rPr>
          <w:rStyle w:val="FootnoteCharacters"/>
        </w:rPr>
        <w:footnoteRef/>
      </w:r>
      <w:r>
        <w:t xml:space="preserve"> KBS WORLD Radio. https://world.kbs.co.kr/service/news_view.htm?lang=e&amp;Seq_Code=202264</w:t>
      </w:r>
    </w:p>
  </w:footnote>
  <w:footnote w:id="6">
    <w:p w14:paraId="2B5C76E6" w14:textId="77777777" w:rsidR="00723F18" w:rsidRDefault="00000000">
      <w:pPr>
        <w:pStyle w:val="FootnoteText"/>
      </w:pPr>
      <w:r>
        <w:rPr>
          <w:rStyle w:val="FootnoteCharacters"/>
        </w:rPr>
        <w:footnoteRef/>
      </w:r>
      <w:r>
        <w:t xml:space="preserve"> Mappr. https://www.mappr.co/strait-of-hormuz-crisis-2026/</w:t>
      </w:r>
    </w:p>
  </w:footnote>
  <w:footnote w:id="7">
    <w:p w14:paraId="154A10D3" w14:textId="77777777" w:rsidR="00723F18" w:rsidRDefault="00000000">
      <w:pPr>
        <w:pStyle w:val="FootnoteText"/>
      </w:pPr>
      <w:r>
        <w:rPr>
          <w:rStyle w:val="FootnoteCharacters"/>
        </w:rPr>
        <w:footnoteRef/>
      </w:r>
      <w:r>
        <w:t xml:space="preserve"> Global Banking &amp; Finance Review. https://www.globalbankingandfinance.com/explainer-why-oman-proposing-new-plan-manage-strait-hormuz/</w:t>
      </w:r>
    </w:p>
  </w:footnote>
  <w:footnote w:id="8">
    <w:p w14:paraId="55743C21" w14:textId="77777777" w:rsidR="00723F18" w:rsidRDefault="00000000">
      <w:pPr>
        <w:pStyle w:val="FootnoteText"/>
      </w:pPr>
      <w:r>
        <w:rPr>
          <w:rStyle w:val="FootnoteCharacters"/>
        </w:rPr>
        <w:footnoteRef/>
      </w:r>
      <w:r>
        <w:t xml:space="preserve"> youtube.com. https://www.youtube.com/watch?v=OqAiwSdXe1k</w:t>
      </w:r>
    </w:p>
  </w:footnote>
  <w:footnote w:id="9">
    <w:p w14:paraId="673390C8" w14:textId="77777777" w:rsidR="00723F18" w:rsidRDefault="00000000">
      <w:pPr>
        <w:pStyle w:val="FootnoteText"/>
      </w:pPr>
      <w:r>
        <w:rPr>
          <w:rStyle w:val="FootnoteCharacters"/>
        </w:rPr>
        <w:footnoteRef/>
      </w:r>
      <w:r>
        <w:t xml:space="preserve"> jfeed.com. https://www.jfeed.com/news-world/strait-of-hormuz-navigation-dispute</w:t>
      </w:r>
    </w:p>
  </w:footnote>
  <w:footnote w:id="10">
    <w:p w14:paraId="40463DD8" w14:textId="77777777" w:rsidR="00723F18" w:rsidRDefault="00000000">
      <w:pPr>
        <w:pStyle w:val="FootnoteText"/>
      </w:pPr>
      <w:r>
        <w:rPr>
          <w:rStyle w:val="FootnoteCharacters"/>
        </w:rPr>
        <w:footnoteRef/>
      </w:r>
      <w:r>
        <w:t xml:space="preserve"> Channels Television. https://www.channelstv.com/2026/08/02/iran-oman-near-strait-of-hormuz-deal-after-us-suspends-planned-attack/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1731" w14:textId="77777777" w:rsidR="003337C4" w:rsidRDefault="003337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14A84" w14:textId="77777777" w:rsidR="00723F18" w:rsidRDefault="00000000">
    <w:pPr>
      <w:pStyle w:val="Header"/>
      <w:jc w:val="right"/>
    </w:pPr>
    <w:r>
      <w:rPr>
        <w:color w:val="6B777A"/>
        <w:sz w:val="16"/>
      </w:rPr>
      <w:t xml:space="preserve">HTCSA </w:t>
    </w:r>
    <w:proofErr w:type="gramStart"/>
    <w:r>
      <w:rPr>
        <w:color w:val="6B777A"/>
        <w:sz w:val="16"/>
      </w:rPr>
      <w:t>v1.0 .</w:t>
    </w:r>
    <w:proofErr w:type="gramEnd"/>
    <w:r>
      <w:rPr>
        <w:color w:val="6B777A"/>
        <w:sz w:val="16"/>
      </w:rPr>
      <w:t xml:space="preserve"> Negotiation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F343" w14:textId="77777777" w:rsidR="003337C4" w:rsidRDefault="003337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B644D"/>
    <w:multiLevelType w:val="multilevel"/>
    <w:tmpl w:val="4D80A3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9882320"/>
    <w:multiLevelType w:val="multilevel"/>
    <w:tmpl w:val="70B65B1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15:restartNumberingAfterBreak="0">
    <w:nsid w:val="1B536867"/>
    <w:multiLevelType w:val="multilevel"/>
    <w:tmpl w:val="F46EE29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 w15:restartNumberingAfterBreak="0">
    <w:nsid w:val="264F5114"/>
    <w:multiLevelType w:val="multilevel"/>
    <w:tmpl w:val="BAEC68C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 w15:restartNumberingAfterBreak="0">
    <w:nsid w:val="35A12425"/>
    <w:multiLevelType w:val="multilevel"/>
    <w:tmpl w:val="D6807CF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5" w15:restartNumberingAfterBreak="0">
    <w:nsid w:val="4D2F4996"/>
    <w:multiLevelType w:val="multilevel"/>
    <w:tmpl w:val="9C946D1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6" w15:restartNumberingAfterBreak="0">
    <w:nsid w:val="56041724"/>
    <w:multiLevelType w:val="multilevel"/>
    <w:tmpl w:val="DBC0F6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1313364844">
    <w:abstractNumId w:val="3"/>
  </w:num>
  <w:num w:numId="2" w16cid:durableId="887184360">
    <w:abstractNumId w:val="2"/>
  </w:num>
  <w:num w:numId="3" w16cid:durableId="191693677">
    <w:abstractNumId w:val="5"/>
  </w:num>
  <w:num w:numId="4" w16cid:durableId="1755398167">
    <w:abstractNumId w:val="6"/>
  </w:num>
  <w:num w:numId="5" w16cid:durableId="1325860476">
    <w:abstractNumId w:val="4"/>
  </w:num>
  <w:num w:numId="6" w16cid:durableId="1171094489">
    <w:abstractNumId w:val="1"/>
  </w:num>
  <w:num w:numId="7" w16cid:durableId="656034977">
    <w:abstractNumId w:val="0"/>
  </w:num>
  <w:num w:numId="8" w16cid:durableId="577594855">
    <w:abstractNumId w:val="3"/>
    <w:lvlOverride w:ilvl="0">
      <w:startOverride w:val="1"/>
    </w:lvlOverride>
  </w:num>
  <w:num w:numId="9" w16cid:durableId="457722675">
    <w:abstractNumId w:val="3"/>
  </w:num>
  <w:num w:numId="10" w16cid:durableId="329453671">
    <w:abstractNumId w:val="3"/>
  </w:num>
  <w:num w:numId="11" w16cid:durableId="1203710440">
    <w:abstractNumId w:val="3"/>
  </w:num>
  <w:num w:numId="12" w16cid:durableId="1704301">
    <w:abstractNumId w:val="3"/>
  </w:num>
  <w:num w:numId="13" w16cid:durableId="886184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3F18"/>
    <w:rsid w:val="003337C4"/>
    <w:rsid w:val="00362D70"/>
    <w:rsid w:val="00501808"/>
    <w:rsid w:val="00723F18"/>
    <w:rsid w:val="00F04C90"/>
    <w:rsid w:val="00F1350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A7A16"/>
  <w15:docId w15:val="{78E42CB8-6288-4231-AD1B-8C5BB5949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qFormat/>
    <w:pPr>
      <w:spacing w:before="180" w:after="180"/>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0" w:line="200" w:lineRule="exact"/>
    </w:pPr>
    <w:rPr>
      <w:sz w:val="18"/>
      <w:szCs w:val="18"/>
    </w:r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HeaderandFooter"/>
  </w:style>
  <w:style w:type="paragraph" w:styleId="TOC1">
    <w:name w:val="toc 1"/>
    <w:basedOn w:val="Index"/>
    <w:pPr>
      <w:tabs>
        <w:tab w:val="right" w:leader="dot" w:pos="9360"/>
      </w:tabs>
    </w:pPr>
  </w:style>
  <w:style w:type="paragraph" w:styleId="TOC2">
    <w:name w:val="toc 2"/>
    <w:basedOn w:val="Index"/>
    <w:pPr>
      <w:tabs>
        <w:tab w:val="right" w:leader="dot" w:pos="9077"/>
      </w:tabs>
      <w:ind w:left="283"/>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BookTitle">
    <w:name w:val="Book Title"/>
    <w:basedOn w:val="DefaultParagraphFont"/>
    <w:rsid w:val="003337C4"/>
    <w:rPr>
      <w:b/>
      <w:bCs/>
      <w:i/>
      <w:iCs/>
      <w:spacing w:val="5"/>
    </w:rPr>
  </w:style>
  <w:style w:type="character" w:styleId="Emphasis">
    <w:name w:val="Emphasis"/>
    <w:basedOn w:val="DefaultParagraphFont"/>
    <w:rsid w:val="003337C4"/>
    <w:rPr>
      <w:i/>
      <w:iCs/>
    </w:rPr>
  </w:style>
  <w:style w:type="character" w:styleId="IntenseEmphasis">
    <w:name w:val="Intense Emphasis"/>
    <w:basedOn w:val="DefaultParagraphFont"/>
    <w:rsid w:val="003337C4"/>
    <w:rPr>
      <w:i/>
      <w:iCs/>
      <w:color w:val="4F81BD" w:themeColor="accent1"/>
    </w:rPr>
  </w:style>
  <w:style w:type="paragraph" w:styleId="IntenseQuote">
    <w:name w:val="Intense Quote"/>
    <w:basedOn w:val="Normal"/>
    <w:next w:val="Normal"/>
    <w:link w:val="IntenseQuoteChar"/>
    <w:rsid w:val="003337C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3337C4"/>
    <w:rPr>
      <w:i/>
      <w:iCs/>
      <w:color w:val="4F81BD" w:themeColor="accent1"/>
    </w:rPr>
  </w:style>
  <w:style w:type="character" w:styleId="IntenseReference">
    <w:name w:val="Intense Reference"/>
    <w:basedOn w:val="DefaultParagraphFont"/>
    <w:rsid w:val="003337C4"/>
    <w:rPr>
      <w:b/>
      <w:bCs/>
      <w:smallCaps/>
      <w:color w:val="4F81BD" w:themeColor="accent1"/>
      <w:spacing w:val="5"/>
    </w:rPr>
  </w:style>
  <w:style w:type="paragraph" w:styleId="ListParagraph">
    <w:name w:val="List Paragraph"/>
    <w:basedOn w:val="Normal"/>
    <w:rsid w:val="003337C4"/>
    <w:pPr>
      <w:ind w:left="720"/>
      <w:contextualSpacing/>
    </w:pPr>
  </w:style>
  <w:style w:type="paragraph" w:styleId="NoSpacing">
    <w:name w:val="No Spacing"/>
    <w:rsid w:val="003337C4"/>
  </w:style>
  <w:style w:type="paragraph" w:styleId="Quote">
    <w:name w:val="Quote"/>
    <w:basedOn w:val="Normal"/>
    <w:next w:val="Normal"/>
    <w:link w:val="QuoteChar"/>
    <w:rsid w:val="003337C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3337C4"/>
    <w:rPr>
      <w:i/>
      <w:iCs/>
      <w:color w:val="404040" w:themeColor="text1" w:themeTint="BF"/>
    </w:rPr>
  </w:style>
  <w:style w:type="character" w:styleId="Strong">
    <w:name w:val="Strong"/>
    <w:basedOn w:val="DefaultParagraphFont"/>
    <w:rsid w:val="003337C4"/>
    <w:rPr>
      <w:b/>
      <w:bCs/>
    </w:rPr>
  </w:style>
  <w:style w:type="character" w:styleId="SubtleEmphasis">
    <w:name w:val="Subtle Emphasis"/>
    <w:basedOn w:val="DefaultParagraphFont"/>
    <w:rsid w:val="003337C4"/>
    <w:rPr>
      <w:i/>
      <w:iCs/>
      <w:color w:val="404040" w:themeColor="text1" w:themeTint="BF"/>
    </w:rPr>
  </w:style>
  <w:style w:type="character" w:styleId="SubtleReference">
    <w:name w:val="Subtle Reference"/>
    <w:basedOn w:val="DefaultParagraphFont"/>
    <w:rsid w:val="003337C4"/>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93</Pages>
  <Words>33921</Words>
  <Characters>194032</Characters>
  <Application>Microsoft Office Word</Application>
  <DocSecurity>0</DocSecurity>
  <Lines>4042</Lines>
  <Paragraphs>1931</Paragraphs>
  <ScaleCrop>false</ScaleCrop>
  <Company/>
  <LinksUpToDate>false</LinksUpToDate>
  <CharactersWithSpaces>226022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Heather Leblanc</cp:lastModifiedBy>
  <cp:revision>12</cp:revision>
  <dcterms:created xsi:type="dcterms:W3CDTF">2026-08-03T09:19:00Z</dcterms:created>
  <dcterms:modified xsi:type="dcterms:W3CDTF">2026-08-03T11:30:00Z</dcterms:modified>
  <dc:language>en-US</dc:language>
</cp:coreProperties>
</file>