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5c275eff91b4f3b" /></Relationships>
</file>

<file path=word/document.xml><?xml version="1.0" encoding="utf-8"?>
<w:document xmlns:r="http://schemas.openxmlformats.org/officeDocument/2006/relationships" xmlns:w="http://schemas.openxmlformats.org/wordprocessingml/2006/main">
  <w:body>
    <w:p>
      <w:pPr>
        <w:spacing w:before="3400" w:after="0" w:line="300" w:lineRule="auto"/>
        <w:jc w:val="center"/>
      </w:pPr>
      <w:r>
        <w:rPr>
          <w:rFonts w:ascii="Calibri" w:hAnsi="Calibri"/>
          <w:b/>
          <w:color w:val="5A7480"/>
          <w:spacing w:val="30"/>
          <w:sz w:val="19"/>
        </w:rPr>
        <w:t xml:space="preserve">D I P L O M A T I C   W O R K I N G   D O C U M E N T</w:t>
      </w:r>
    </w:p>
    <w:p>
      <w:pPr>
        <w:spacing w:before="1300" w:after="0" w:line="300" w:lineRule="auto"/>
        <w:jc w:val="center"/>
      </w:pPr>
      <w:r>
        <w:rPr>
          <w:rFonts w:ascii="Calibri" w:hAnsi="Calibri"/>
          <w:b/>
          <w:color w:val="16404E"/>
          <w:sz w:val="58"/>
        </w:rPr>
        <w:t xml:space="preserve">The Hormuz Operations &amp;</w:t>
      </w:r>
    </w:p>
    <w:p>
      <w:pPr>
        <w:spacing w:before="60" w:after="0" w:line="300" w:lineRule="auto"/>
        <w:jc w:val="center"/>
      </w:pPr>
      <w:r>
        <w:rPr>
          <w:rFonts w:ascii="Calibri" w:hAnsi="Calibri"/>
          <w:b/>
          <w:color w:val="16404E"/>
          <w:sz w:val="58"/>
        </w:rPr>
        <w:t xml:space="preserve">Navigation Agreement</w:t>
      </w:r>
    </w:p>
    <w:p>
      <w:pPr>
        <w:spacing w:before="420" w:after="0" w:line="300" w:lineRule="auto"/>
        <w:jc w:val="center"/>
      </w:pPr>
      <w:r>
        <w:rPr>
          <w:rFonts w:ascii="Calibri" w:hAnsi="Calibri"/>
          <w:color w:val="1F4E5F"/>
          <w:sz w:val="28"/>
        </w:rPr>
        <w:t xml:space="preserve">Version 1.0</w:t>
      </w:r>
    </w:p>
    <w:p>
      <w:pPr>
        <w:spacing w:before="900" w:after="0" w:line="300" w:lineRule="auto"/>
        <w:jc w:val="center"/>
      </w:pPr>
      <w:r>
        <w:rPr>
          <w:rFonts w:ascii="Calibri" w:hAnsi="Calibri"/>
          <w:i/>
          <w:color w:val="3D5A66"/>
          <w:sz w:val="22"/>
        </w:rPr>
        <w:t xml:space="preserve">An Operative Framework for Three-Corridor Transit, Toll-Free Navigation,</w:t>
      </w:r>
    </w:p>
    <w:p>
      <w:pPr>
        <w:spacing w:before="40" w:after="0" w:line="300" w:lineRule="auto"/>
        <w:jc w:val="center"/>
      </w:pPr>
      <w:r>
        <w:rPr>
          <w:rFonts w:ascii="Calibri" w:hAnsi="Calibri"/>
          <w:i/>
          <w:color w:val="3D5A66"/>
          <w:sz w:val="22"/>
        </w:rPr>
        <w:t xml:space="preserve">Compensated Services, and Shared Verification in the Strait of Hormuz</w:t>
      </w:r>
    </w:p>
    <w:p>
      <w:pPr>
        <w:spacing w:before="1050" w:after="0" w:line="300" w:lineRule="auto"/>
        <w:jc w:val="center"/>
      </w:pPr>
      <w:r>
        <w:rPr>
          <w:rFonts w:ascii="Calibri" w:hAnsi="Calibri"/>
          <w:color w:val="5A7480"/>
          <w:sz w:val="20"/>
        </w:rPr>
        <w:t xml:space="preserve">among</w:t>
      </w:r>
    </w:p>
    <w:p>
      <w:pPr>
        <w:spacing w:before="220" w:after="0" w:line="300" w:lineRule="auto"/>
        <w:jc w:val="center"/>
      </w:pPr>
      <w:r>
        <w:rPr>
          <w:rFonts w:ascii="Calibri" w:hAnsi="Calibri"/>
          <w:color w:val="262626"/>
          <w:sz w:val="23"/>
        </w:rPr>
        <w:t xml:space="preserve">the Islamic Republic of Iran  ·  the Sultanate of Oman</w:t>
      </w:r>
    </w:p>
    <w:p>
      <w:pPr>
        <w:spacing w:before="140" w:after="0" w:line="300" w:lineRule="auto"/>
        <w:jc w:val="center"/>
      </w:pPr>
      <w:r>
        <w:rPr>
          <w:rFonts w:ascii="Calibri" w:hAnsi="Calibri"/>
          <w:color w:val="262626"/>
          <w:sz w:val="23"/>
        </w:rPr>
        <w:t xml:space="preserve">the United States of America  ·  the State of Qatar</w:t>
      </w:r>
    </w:p>
    <w:p>
      <w:pPr>
        <w:spacing w:before="620" w:after="0" w:line="300" w:lineRule="auto"/>
        <w:jc w:val="center"/>
      </w:pPr>
      <w:r>
        <w:rPr>
          <w:rFonts w:ascii="Calibri" w:hAnsi="Calibri"/>
          <w:color w:val="5A7480"/>
          <w:sz w:val="18"/>
        </w:rPr>
        <w:t xml:space="preserve">Facilitation: Sultanate of Oman · State of Qatar · Swiss Confederation · Islamic Republic of Pakistan</w:t>
      </w:r>
    </w:p>
    <w:p>
      <w:pPr>
        <w:spacing w:before="160" w:after="0" w:line="300" w:lineRule="auto"/>
        <w:jc w:val="center"/>
      </w:pPr>
      <w:r>
        <w:rPr>
          <w:rFonts w:ascii="Calibri" w:hAnsi="Calibri"/>
          <w:color w:val="5A7480"/>
          <w:sz w:val="18"/>
        </w:rPr>
        <w:t xml:space="preserve">Technical Liaison: International Maritime Organization (observer capacity)</w:t>
      </w:r>
    </w:p>
    <w:p>
      <w:pPr>
        <w:spacing w:before="720" w:after="0" w:line="300" w:lineRule="auto"/>
        <w:jc w:val="center"/>
      </w:pPr>
      <w:r>
        <w:rPr>
          <w:rFonts w:ascii="Calibri" w:hAnsi="Calibri"/>
          <w:b/>
          <w:color w:val="1F4E5F"/>
          <w:sz w:val="21"/>
        </w:rPr>
        <w:t xml:space="preserve">3 August 2026</w:t>
      </w:r>
    </w:p>
    <w:p>
      <w:pPr>
        <w:spacing w:before="200" w:after="0" w:line="300" w:lineRule="auto"/>
        <w:jc w:val="center"/>
      </w:pPr>
      <w:r>
        <w:rPr>
          <w:rFonts w:ascii="Calibri" w:hAnsi="Calibri"/>
          <w:color w:val="5A7480"/>
          <w:sz w:val="18"/>
        </w:rPr>
        <w:t xml:space="preserve">Negotiation Draft for Authorized Participants  ·  Reference HONA-2026-v1.0</w:t>
      </w:r>
    </w:p>
    <w:p>
      <w:pPr>
        <w:sectPr>
          <w:type w:val="nextPage"/>
          <w:pgSz w:w="11906" w:h="16838"/>
          <w:pgMar w:top="720" w:right="1080" w:bottom="720" w:left="1080" w:header="360" w:footer="360"/>
          <w:pgBorders w:offsetFrom="page">
            <w:top w:val="double" w:color="1F4E5F" w:sz="14" w:space="30"/>
            <w:left w:val="double" w:color="1F4E5F" w:sz="14" w:space="30"/>
            <w:bottom w:val="double" w:color="1F4E5F" w:sz="14" w:space="30"/>
            <w:right w:val="double" w:color="1F4E5F" w:sz="14" w:space="30"/>
          </w:pgBorders>
          <w:titlePg/>
        </w:sectPr>
      </w:pPr>
    </w:p>
    <w:p>
      <w:pPr>
        <w:spacing w:before="200" w:after="0" w:line="300" w:lineRule="auto"/>
        <w:jc w:val="left"/>
      </w:pPr>
      <w:r>
        <w:rPr>
          <w:rFonts w:ascii="Calibri" w:hAnsi="Calibri"/>
          <w:b/>
          <w:color w:val="16404E"/>
          <w:sz w:val="32"/>
        </w:rPr>
        <w:t xml:space="preserve">Table of Contents</w:t>
      </w:r>
    </w:p>
    <w:p>
      <w:pPr>
        <w:spacing w:after="240"/>
      </w:pPr>
    </w:p>
    <w:p>
      <w:r>
        <w:fldChar w:fldCharType="begin"/>
      </w:r>
      <w:r>
        <w:instrText xml:space="preserve"> TOC \o "1-2" \h \z \u </w:instrText>
      </w:r>
      <w:r>
        <w:fldChar w:fldCharType="separate"/>
      </w:r>
    </w:p>
    <w:p>
      <w:pPr>
        <w:pStyle w:val="TOC1"/>
      </w:pPr>
      <w:hyperlink w:anchor="_Toc26010001" w:history="1">
        <w:r>
          <w:rPr>
            <w:rStyle w:val="Hyperlink"/>
            <w:noProof/>
          </w:rPr>
          <w:t xml:space="preserve">Document Control and Instrument Record</w:t>
        </w:r>
        <w:r>
          <w:rPr>
            <w:noProof/>
            <w:webHidden/>
          </w:rPr>
          <w:tab/>
        </w:r>
        <w:r>
          <w:rPr>
            <w:noProof/>
            <w:webHidden/>
          </w:rPr>
          <w:fldChar w:fldCharType="begin"/>
        </w:r>
        <w:r>
          <w:rPr>
            <w:noProof/>
            <w:webHidden/>
          </w:rPr>
          <w:instrText xml:space="preserve"> PAGEREF _Toc26010001 \h </w:instrText>
        </w:r>
        <w:r>
          <w:rPr>
            <w:noProof/>
            <w:webHidden/>
          </w:rPr>
          <w:fldChar w:fldCharType="separate"/>
        </w:r>
        <w:r>
          <w:rPr>
            <w:noProof/>
            <w:webHidden/>
          </w:rPr>
          <w:t>5</w:t>
        </w:r>
        <w:r>
          <w:rPr>
            <w:noProof/>
            <w:webHidden/>
          </w:rPr>
          <w:fldChar w:fldCharType="end"/>
        </w:r>
      </w:hyperlink>
    </w:p>
    <w:p>
      <w:pPr>
        <w:pStyle w:val="TOC1"/>
      </w:pPr>
      <w:hyperlink w:anchor="_Toc26010002" w:history="1">
        <w:r>
          <w:rPr>
            <w:rStyle w:val="Hyperlink"/>
            <w:noProof/>
          </w:rPr>
          <w:t xml:space="preserve">The Facilitator's Note (Non-Operative)</w:t>
        </w:r>
        <w:r>
          <w:rPr>
            <w:noProof/>
            <w:webHidden/>
          </w:rPr>
          <w:tab/>
        </w:r>
        <w:r>
          <w:rPr>
            <w:noProof/>
            <w:webHidden/>
          </w:rPr>
          <w:fldChar w:fldCharType="begin"/>
        </w:r>
        <w:r>
          <w:rPr>
            <w:noProof/>
            <w:webHidden/>
          </w:rPr>
          <w:instrText xml:space="preserve"> PAGEREF _Toc26010002 \h </w:instrText>
        </w:r>
        <w:r>
          <w:rPr>
            <w:noProof/>
            <w:webHidden/>
          </w:rPr>
          <w:fldChar w:fldCharType="separate"/>
        </w:r>
        <w:r>
          <w:rPr>
            <w:noProof/>
            <w:webHidden/>
          </w:rPr>
          <w:t>6</w:t>
        </w:r>
        <w:r>
          <w:rPr>
            <w:noProof/>
            <w:webHidden/>
          </w:rPr>
          <w:fldChar w:fldCharType="end"/>
        </w:r>
      </w:hyperlink>
    </w:p>
    <w:p>
      <w:pPr>
        <w:pStyle w:val="TOC1"/>
      </w:pPr>
      <w:hyperlink w:anchor="_Toc26010003" w:history="1">
        <w:r>
          <w:rPr>
            <w:rStyle w:val="Hyperlink"/>
            <w:noProof/>
          </w:rPr>
          <w:t xml:space="preserve">Drafting Convention and Method</w:t>
        </w:r>
        <w:r>
          <w:rPr>
            <w:noProof/>
            <w:webHidden/>
          </w:rPr>
          <w:tab/>
        </w:r>
        <w:r>
          <w:rPr>
            <w:noProof/>
            <w:webHidden/>
          </w:rPr>
          <w:fldChar w:fldCharType="begin"/>
        </w:r>
        <w:r>
          <w:rPr>
            <w:noProof/>
            <w:webHidden/>
          </w:rPr>
          <w:instrText xml:space="preserve"> PAGEREF _Toc26010003 \h </w:instrText>
        </w:r>
        <w:r>
          <w:rPr>
            <w:noProof/>
            <w:webHidden/>
          </w:rPr>
          <w:fldChar w:fldCharType="separate"/>
        </w:r>
        <w:r>
          <w:rPr>
            <w:noProof/>
            <w:webHidden/>
          </w:rPr>
          <w:t>8</w:t>
        </w:r>
        <w:r>
          <w:rPr>
            <w:noProof/>
            <w:webHidden/>
          </w:rPr>
          <w:fldChar w:fldCharType="end"/>
        </w:r>
      </w:hyperlink>
    </w:p>
    <w:p>
      <w:pPr>
        <w:pStyle w:val="TOC1"/>
      </w:pPr>
      <w:hyperlink w:anchor="_Toc26010004" w:history="1">
        <w:r>
          <w:rPr>
            <w:rStyle w:val="Hyperlink"/>
            <w:noProof/>
          </w:rPr>
          <w:t xml:space="preserve">Preamble: The Moment of August 2026</w:t>
        </w:r>
        <w:r>
          <w:rPr>
            <w:noProof/>
            <w:webHidden/>
          </w:rPr>
          <w:tab/>
        </w:r>
        <w:r>
          <w:rPr>
            <w:noProof/>
            <w:webHidden/>
          </w:rPr>
          <w:fldChar w:fldCharType="begin"/>
        </w:r>
        <w:r>
          <w:rPr>
            <w:noProof/>
            <w:webHidden/>
          </w:rPr>
          <w:instrText xml:space="preserve"> PAGEREF _Toc26010004 \h </w:instrText>
        </w:r>
        <w:r>
          <w:rPr>
            <w:noProof/>
            <w:webHidden/>
          </w:rPr>
          <w:fldChar w:fldCharType="separate"/>
        </w:r>
        <w:r>
          <w:rPr>
            <w:noProof/>
            <w:webHidden/>
          </w:rPr>
          <w:t>9</w:t>
        </w:r>
        <w:r>
          <w:rPr>
            <w:noProof/>
            <w:webHidden/>
          </w:rPr>
          <w:fldChar w:fldCharType="end"/>
        </w:r>
      </w:hyperlink>
    </w:p>
    <w:p>
      <w:pPr>
        <w:pStyle w:val="TOC1"/>
      </w:pPr>
      <w:hyperlink w:anchor="_Toc26010005" w:history="1">
        <w:r>
          <w:rPr>
            <w:rStyle w:val="Hyperlink"/>
            <w:noProof/>
          </w:rPr>
          <w:t xml:space="preserve">Part I: Foundations</w:t>
        </w:r>
        <w:r>
          <w:rPr>
            <w:noProof/>
            <w:webHidden/>
          </w:rPr>
          <w:tab/>
        </w:r>
        <w:r>
          <w:rPr>
            <w:noProof/>
            <w:webHidden/>
          </w:rPr>
          <w:fldChar w:fldCharType="begin"/>
        </w:r>
        <w:r>
          <w:rPr>
            <w:noProof/>
            <w:webHidden/>
          </w:rPr>
          <w:instrText xml:space="preserve"> PAGEREF _Toc26010005 \h </w:instrText>
        </w:r>
        <w:r>
          <w:rPr>
            <w:noProof/>
            <w:webHidden/>
          </w:rPr>
          <w:fldChar w:fldCharType="separate"/>
        </w:r>
        <w:r>
          <w:rPr>
            <w:noProof/>
            <w:webHidden/>
          </w:rPr>
          <w:t>10</w:t>
        </w:r>
        <w:r>
          <w:rPr>
            <w:noProof/>
            <w:webHidden/>
          </w:rPr>
          <w:fldChar w:fldCharType="end"/>
        </w:r>
      </w:hyperlink>
    </w:p>
    <w:p>
      <w:pPr>
        <w:pStyle w:val="TOC2"/>
      </w:pPr>
      <w:hyperlink w:anchor="_Toc26010006" w:history="1">
        <w:r>
          <w:rPr>
            <w:rStyle w:val="Hyperlink"/>
            <w:noProof/>
          </w:rPr>
          <w:t xml:space="preserve">Article 1: Establishment, Purpose, and Scope</w:t>
        </w:r>
        <w:r>
          <w:rPr>
            <w:noProof/>
            <w:webHidden/>
          </w:rPr>
          <w:tab/>
        </w:r>
        <w:r>
          <w:rPr>
            <w:noProof/>
            <w:webHidden/>
          </w:rPr>
          <w:fldChar w:fldCharType="begin"/>
        </w:r>
        <w:r>
          <w:rPr>
            <w:noProof/>
            <w:webHidden/>
          </w:rPr>
          <w:instrText xml:space="preserve"> PAGEREF _Toc26010006 \h </w:instrText>
        </w:r>
        <w:r>
          <w:rPr>
            <w:noProof/>
            <w:webHidden/>
          </w:rPr>
          <w:fldChar w:fldCharType="separate"/>
        </w:r>
        <w:r>
          <w:rPr>
            <w:noProof/>
            <w:webHidden/>
          </w:rPr>
          <w:t>10</w:t>
        </w:r>
        <w:r>
          <w:rPr>
            <w:noProof/>
            <w:webHidden/>
          </w:rPr>
          <w:fldChar w:fldCharType="end"/>
        </w:r>
      </w:hyperlink>
    </w:p>
    <w:p>
      <w:pPr>
        <w:pStyle w:val="TOC2"/>
      </w:pPr>
      <w:hyperlink w:anchor="_Toc26010007" w:history="1">
        <w:r>
          <w:rPr>
            <w:rStyle w:val="Hyperlink"/>
            <w:noProof/>
          </w:rPr>
          <w:t xml:space="preserve">Article 2: Legal Character and the No-Prejudice Rule</w:t>
        </w:r>
        <w:r>
          <w:rPr>
            <w:noProof/>
            <w:webHidden/>
          </w:rPr>
          <w:tab/>
        </w:r>
        <w:r>
          <w:rPr>
            <w:noProof/>
            <w:webHidden/>
          </w:rPr>
          <w:fldChar w:fldCharType="begin"/>
        </w:r>
        <w:r>
          <w:rPr>
            <w:noProof/>
            <w:webHidden/>
          </w:rPr>
          <w:instrText xml:space="preserve"> PAGEREF _Toc26010007 \h </w:instrText>
        </w:r>
        <w:r>
          <w:rPr>
            <w:noProof/>
            <w:webHidden/>
          </w:rPr>
          <w:fldChar w:fldCharType="separate"/>
        </w:r>
        <w:r>
          <w:rPr>
            <w:noProof/>
            <w:webHidden/>
          </w:rPr>
          <w:t>11</w:t>
        </w:r>
        <w:r>
          <w:rPr>
            <w:noProof/>
            <w:webHidden/>
          </w:rPr>
          <w:fldChar w:fldCharType="end"/>
        </w:r>
      </w:hyperlink>
    </w:p>
    <w:p>
      <w:pPr>
        <w:pStyle w:val="TOC2"/>
      </w:pPr>
      <w:hyperlink w:anchor="_Toc26010008" w:history="1">
        <w:r>
          <w:rPr>
            <w:rStyle w:val="Hyperlink"/>
            <w:noProof/>
          </w:rPr>
          <w:t xml:space="preserve">Article 3: Guiding Principles</w:t>
        </w:r>
        <w:r>
          <w:rPr>
            <w:noProof/>
            <w:webHidden/>
          </w:rPr>
          <w:tab/>
        </w:r>
        <w:r>
          <w:rPr>
            <w:noProof/>
            <w:webHidden/>
          </w:rPr>
          <w:fldChar w:fldCharType="begin"/>
        </w:r>
        <w:r>
          <w:rPr>
            <w:noProof/>
            <w:webHidden/>
          </w:rPr>
          <w:instrText xml:space="preserve"> PAGEREF _Toc26010008 \h </w:instrText>
        </w:r>
        <w:r>
          <w:rPr>
            <w:noProof/>
            <w:webHidden/>
          </w:rPr>
          <w:fldChar w:fldCharType="separate"/>
        </w:r>
        <w:r>
          <w:rPr>
            <w:noProof/>
            <w:webHidden/>
          </w:rPr>
          <w:t>12</w:t>
        </w:r>
        <w:r>
          <w:rPr>
            <w:noProof/>
            <w:webHidden/>
          </w:rPr>
          <w:fldChar w:fldCharType="end"/>
        </w:r>
      </w:hyperlink>
    </w:p>
    <w:p>
      <w:pPr>
        <w:pStyle w:val="TOC2"/>
      </w:pPr>
      <w:hyperlink w:anchor="_Toc26010009" w:history="1">
        <w:r>
          <w:rPr>
            <w:rStyle w:val="Hyperlink"/>
            <w:noProof/>
          </w:rPr>
          <w:t xml:space="preserve">Article 4: Definitions and Interpretation</w:t>
        </w:r>
        <w:r>
          <w:rPr>
            <w:noProof/>
            <w:webHidden/>
          </w:rPr>
          <w:tab/>
        </w:r>
        <w:r>
          <w:rPr>
            <w:noProof/>
            <w:webHidden/>
          </w:rPr>
          <w:fldChar w:fldCharType="begin"/>
        </w:r>
        <w:r>
          <w:rPr>
            <w:noProof/>
            <w:webHidden/>
          </w:rPr>
          <w:instrText xml:space="preserve"> PAGEREF _Toc26010009 \h </w:instrText>
        </w:r>
        <w:r>
          <w:rPr>
            <w:noProof/>
            <w:webHidden/>
          </w:rPr>
          <w:fldChar w:fldCharType="separate"/>
        </w:r>
        <w:r>
          <w:rPr>
            <w:noProof/>
            <w:webHidden/>
          </w:rPr>
          <w:t>13</w:t>
        </w:r>
        <w:r>
          <w:rPr>
            <w:noProof/>
            <w:webHidden/>
          </w:rPr>
          <w:fldChar w:fldCharType="end"/>
        </w:r>
      </w:hyperlink>
    </w:p>
    <w:p>
      <w:pPr>
        <w:pStyle w:val="TOC2"/>
      </w:pPr>
      <w:hyperlink w:anchor="_Toc26010010" w:history="1">
        <w:r>
          <w:rPr>
            <w:rStyle w:val="Hyperlink"/>
            <w:noProof/>
          </w:rPr>
          <w:t xml:space="preserve">Article 5: The Red Lines Register and the Perimeter Test</w:t>
        </w:r>
        <w:r>
          <w:rPr>
            <w:noProof/>
            <w:webHidden/>
          </w:rPr>
          <w:tab/>
        </w:r>
        <w:r>
          <w:rPr>
            <w:noProof/>
            <w:webHidden/>
          </w:rPr>
          <w:fldChar w:fldCharType="begin"/>
        </w:r>
        <w:r>
          <w:rPr>
            <w:noProof/>
            <w:webHidden/>
          </w:rPr>
          <w:instrText xml:space="preserve"> PAGEREF _Toc26010010 \h </w:instrText>
        </w:r>
        <w:r>
          <w:rPr>
            <w:noProof/>
            <w:webHidden/>
          </w:rPr>
          <w:fldChar w:fldCharType="separate"/>
        </w:r>
        <w:r>
          <w:rPr>
            <w:noProof/>
            <w:webHidden/>
          </w:rPr>
          <w:t>14</w:t>
        </w:r>
        <w:r>
          <w:rPr>
            <w:noProof/>
            <w:webHidden/>
          </w:rPr>
          <w:fldChar w:fldCharType="end"/>
        </w:r>
      </w:hyperlink>
    </w:p>
    <w:p>
      <w:pPr>
        <w:pStyle w:val="TOC1"/>
      </w:pPr>
      <w:hyperlink w:anchor="_Toc26010011" w:history="1">
        <w:r>
          <w:rPr>
            <w:rStyle w:val="Hyperlink"/>
            <w:noProof/>
          </w:rPr>
          <w:t xml:space="preserve">Part II: The Three-Corridor Transit System</w:t>
        </w:r>
        <w:r>
          <w:rPr>
            <w:noProof/>
            <w:webHidden/>
          </w:rPr>
          <w:tab/>
        </w:r>
        <w:r>
          <w:rPr>
            <w:noProof/>
            <w:webHidden/>
          </w:rPr>
          <w:fldChar w:fldCharType="begin"/>
        </w:r>
        <w:r>
          <w:rPr>
            <w:noProof/>
            <w:webHidden/>
          </w:rPr>
          <w:instrText xml:space="preserve"> PAGEREF _Toc26010011 \h </w:instrText>
        </w:r>
        <w:r>
          <w:rPr>
            <w:noProof/>
            <w:webHidden/>
          </w:rPr>
          <w:fldChar w:fldCharType="separate"/>
        </w:r>
        <w:r>
          <w:rPr>
            <w:noProof/>
            <w:webHidden/>
          </w:rPr>
          <w:t>16</w:t>
        </w:r>
        <w:r>
          <w:rPr>
            <w:noProof/>
            <w:webHidden/>
          </w:rPr>
          <w:fldChar w:fldCharType="end"/>
        </w:r>
      </w:hyperlink>
    </w:p>
    <w:p>
      <w:pPr>
        <w:pStyle w:val="TOC2"/>
      </w:pPr>
      <w:hyperlink w:anchor="_Toc26010012" w:history="1">
        <w:r>
          <w:rPr>
            <w:rStyle w:val="Hyperlink"/>
            <w:noProof/>
          </w:rPr>
          <w:t xml:space="preserve">Article 6: The Governance Area and Boundary Coordinates</w:t>
        </w:r>
        <w:r>
          <w:rPr>
            <w:noProof/>
            <w:webHidden/>
          </w:rPr>
          <w:tab/>
        </w:r>
        <w:r>
          <w:rPr>
            <w:noProof/>
            <w:webHidden/>
          </w:rPr>
          <w:fldChar w:fldCharType="begin"/>
        </w:r>
        <w:r>
          <w:rPr>
            <w:noProof/>
            <w:webHidden/>
          </w:rPr>
          <w:instrText xml:space="preserve"> PAGEREF _Toc26010012 \h </w:instrText>
        </w:r>
        <w:r>
          <w:rPr>
            <w:noProof/>
            <w:webHidden/>
          </w:rPr>
          <w:fldChar w:fldCharType="separate"/>
        </w:r>
        <w:r>
          <w:rPr>
            <w:noProof/>
            <w:webHidden/>
          </w:rPr>
          <w:t>16</w:t>
        </w:r>
        <w:r>
          <w:rPr>
            <w:noProof/>
            <w:webHidden/>
          </w:rPr>
          <w:fldChar w:fldCharType="end"/>
        </w:r>
      </w:hyperlink>
    </w:p>
    <w:p>
      <w:pPr>
        <w:pStyle w:val="TOC2"/>
      </w:pPr>
      <w:hyperlink w:anchor="_Toc26010013" w:history="1">
        <w:r>
          <w:rPr>
            <w:rStyle w:val="Hyperlink"/>
            <w:noProof/>
          </w:rPr>
          <w:t xml:space="preserve">Article 7: The Three Corridors</w:t>
        </w:r>
        <w:r>
          <w:rPr>
            <w:noProof/>
            <w:webHidden/>
          </w:rPr>
          <w:tab/>
        </w:r>
        <w:r>
          <w:rPr>
            <w:noProof/>
            <w:webHidden/>
          </w:rPr>
          <w:fldChar w:fldCharType="begin"/>
        </w:r>
        <w:r>
          <w:rPr>
            <w:noProof/>
            <w:webHidden/>
          </w:rPr>
          <w:instrText xml:space="preserve"> PAGEREF _Toc26010013 \h </w:instrText>
        </w:r>
        <w:r>
          <w:rPr>
            <w:noProof/>
            <w:webHidden/>
          </w:rPr>
          <w:fldChar w:fldCharType="separate"/>
        </w:r>
        <w:r>
          <w:rPr>
            <w:noProof/>
            <w:webHidden/>
          </w:rPr>
          <w:t>16</w:t>
        </w:r>
        <w:r>
          <w:rPr>
            <w:noProof/>
            <w:webHidden/>
          </w:rPr>
          <w:fldChar w:fldCharType="end"/>
        </w:r>
      </w:hyperlink>
    </w:p>
    <w:p>
      <w:pPr>
        <w:pStyle w:val="TOC2"/>
      </w:pPr>
      <w:hyperlink w:anchor="_Toc26010014" w:history="1">
        <w:r>
          <w:rPr>
            <w:rStyle w:val="Hyperlink"/>
            <w:noProof/>
          </w:rPr>
          <w:t xml:space="preserve">Article 8: The Transit Declaration and the Notification-Only Rule</w:t>
        </w:r>
        <w:r>
          <w:rPr>
            <w:noProof/>
            <w:webHidden/>
          </w:rPr>
          <w:tab/>
        </w:r>
        <w:r>
          <w:rPr>
            <w:noProof/>
            <w:webHidden/>
          </w:rPr>
          <w:fldChar w:fldCharType="begin"/>
        </w:r>
        <w:r>
          <w:rPr>
            <w:noProof/>
            <w:webHidden/>
          </w:rPr>
          <w:instrText xml:space="preserve"> PAGEREF _Toc26010014 \h </w:instrText>
        </w:r>
        <w:r>
          <w:rPr>
            <w:noProof/>
            <w:webHidden/>
          </w:rPr>
          <w:fldChar w:fldCharType="separate"/>
        </w:r>
        <w:r>
          <w:rPr>
            <w:noProof/>
            <w:webHidden/>
          </w:rPr>
          <w:t>18</w:t>
        </w:r>
        <w:r>
          <w:rPr>
            <w:noProof/>
            <w:webHidden/>
          </w:rPr>
          <w:fldChar w:fldCharType="end"/>
        </w:r>
      </w:hyperlink>
    </w:p>
    <w:p>
      <w:pPr>
        <w:pStyle w:val="TOC2"/>
      </w:pPr>
      <w:hyperlink w:anchor="_Toc26010015" w:history="1">
        <w:r>
          <w:rPr>
            <w:rStyle w:val="Hyperlink"/>
            <w:noProof/>
          </w:rPr>
          <w:t xml:space="preserve">Article 9: Traffic Management and the Strait Conditions Bulletin</w:t>
        </w:r>
        <w:r>
          <w:rPr>
            <w:noProof/>
            <w:webHidden/>
          </w:rPr>
          <w:tab/>
        </w:r>
        <w:r>
          <w:rPr>
            <w:noProof/>
            <w:webHidden/>
          </w:rPr>
          <w:fldChar w:fldCharType="begin"/>
        </w:r>
        <w:r>
          <w:rPr>
            <w:noProof/>
            <w:webHidden/>
          </w:rPr>
          <w:instrText xml:space="preserve"> PAGEREF _Toc26010015 \h </w:instrText>
        </w:r>
        <w:r>
          <w:rPr>
            <w:noProof/>
            <w:webHidden/>
          </w:rPr>
          <w:fldChar w:fldCharType="separate"/>
        </w:r>
        <w:r>
          <w:rPr>
            <w:noProof/>
            <w:webHidden/>
          </w:rPr>
          <w:t>18</w:t>
        </w:r>
        <w:r>
          <w:rPr>
            <w:noProof/>
            <w:webHidden/>
          </w:rPr>
          <w:fldChar w:fldCharType="end"/>
        </w:r>
      </w:hyperlink>
    </w:p>
    <w:p>
      <w:pPr>
        <w:pStyle w:val="TOC2"/>
      </w:pPr>
      <w:hyperlink w:anchor="_Toc26010016" w:history="1">
        <w:r>
          <w:rPr>
            <w:rStyle w:val="Hyperlink"/>
            <w:noProof/>
          </w:rPr>
          <w:t xml:space="preserve">Article 10: The Non-Interdiction Protocol</w:t>
        </w:r>
        <w:r>
          <w:rPr>
            <w:noProof/>
            <w:webHidden/>
          </w:rPr>
          <w:tab/>
        </w:r>
        <w:r>
          <w:rPr>
            <w:noProof/>
            <w:webHidden/>
          </w:rPr>
          <w:fldChar w:fldCharType="begin"/>
        </w:r>
        <w:r>
          <w:rPr>
            <w:noProof/>
            <w:webHidden/>
          </w:rPr>
          <w:instrText xml:space="preserve"> PAGEREF _Toc26010016 \h </w:instrText>
        </w:r>
        <w:r>
          <w:rPr>
            <w:noProof/>
            <w:webHidden/>
          </w:rPr>
          <w:fldChar w:fldCharType="separate"/>
        </w:r>
        <w:r>
          <w:rPr>
            <w:noProof/>
            <w:webHidden/>
          </w:rPr>
          <w:t>19</w:t>
        </w:r>
        <w:r>
          <w:rPr>
            <w:noProof/>
            <w:webHidden/>
          </w:rPr>
          <w:fldChar w:fldCharType="end"/>
        </w:r>
      </w:hyperlink>
    </w:p>
    <w:p>
      <w:pPr>
        <w:pStyle w:val="TOC2"/>
      </w:pPr>
      <w:hyperlink w:anchor="_Toc26010017" w:history="1">
        <w:r>
          <w:rPr>
            <w:rStyle w:val="Hyperlink"/>
            <w:noProof/>
          </w:rPr>
          <w:t xml:space="preserve">Article 11: Hazard Survey and Clearance</w:t>
        </w:r>
        <w:r>
          <w:rPr>
            <w:noProof/>
            <w:webHidden/>
          </w:rPr>
          <w:tab/>
        </w:r>
        <w:r>
          <w:rPr>
            <w:noProof/>
            <w:webHidden/>
          </w:rPr>
          <w:fldChar w:fldCharType="begin"/>
        </w:r>
        <w:r>
          <w:rPr>
            <w:noProof/>
            <w:webHidden/>
          </w:rPr>
          <w:instrText xml:space="preserve"> PAGEREF _Toc26010017 \h </w:instrText>
        </w:r>
        <w:r>
          <w:rPr>
            <w:noProof/>
            <w:webHidden/>
          </w:rPr>
          <w:fldChar w:fldCharType="separate"/>
        </w:r>
        <w:r>
          <w:rPr>
            <w:noProof/>
            <w:webHidden/>
          </w:rPr>
          <w:t>20</w:t>
        </w:r>
        <w:r>
          <w:rPr>
            <w:noProof/>
            <w:webHidden/>
          </w:rPr>
          <w:fldChar w:fldCharType="end"/>
        </w:r>
      </w:hyperlink>
    </w:p>
    <w:p>
      <w:pPr>
        <w:pStyle w:val="TOC2"/>
      </w:pPr>
      <w:hyperlink w:anchor="_Toc26010018" w:history="1">
        <w:r>
          <w:rPr>
            <w:rStyle w:val="Hyperlink"/>
            <w:noProof/>
          </w:rPr>
          <w:t xml:space="preserve">Article 12: Vessel Classification and Differentiated Treatment</w:t>
        </w:r>
        <w:r>
          <w:rPr>
            <w:noProof/>
            <w:webHidden/>
          </w:rPr>
          <w:tab/>
        </w:r>
        <w:r>
          <w:rPr>
            <w:noProof/>
            <w:webHidden/>
          </w:rPr>
          <w:fldChar w:fldCharType="begin"/>
        </w:r>
        <w:r>
          <w:rPr>
            <w:noProof/>
            <w:webHidden/>
          </w:rPr>
          <w:instrText xml:space="preserve"> PAGEREF _Toc26010018 \h </w:instrText>
        </w:r>
        <w:r>
          <w:rPr>
            <w:noProof/>
            <w:webHidden/>
          </w:rPr>
          <w:fldChar w:fldCharType="separate"/>
        </w:r>
        <w:r>
          <w:rPr>
            <w:noProof/>
            <w:webHidden/>
          </w:rPr>
          <w:t>21</w:t>
        </w:r>
        <w:r>
          <w:rPr>
            <w:noProof/>
            <w:webHidden/>
          </w:rPr>
          <w:fldChar w:fldCharType="end"/>
        </w:r>
      </w:hyperlink>
    </w:p>
    <w:p>
      <w:pPr>
        <w:pStyle w:val="TOC1"/>
      </w:pPr>
      <w:hyperlink w:anchor="_Toc26010019" w:history="1">
        <w:r>
          <w:rPr>
            <w:rStyle w:val="Hyperlink"/>
            <w:noProof/>
          </w:rPr>
          <w:t xml:space="preserve">Part III: Institutional Architecture</w:t>
        </w:r>
        <w:r>
          <w:rPr>
            <w:noProof/>
            <w:webHidden/>
          </w:rPr>
          <w:tab/>
        </w:r>
        <w:r>
          <w:rPr>
            <w:noProof/>
            <w:webHidden/>
          </w:rPr>
          <w:fldChar w:fldCharType="begin"/>
        </w:r>
        <w:r>
          <w:rPr>
            <w:noProof/>
            <w:webHidden/>
          </w:rPr>
          <w:instrText xml:space="preserve"> PAGEREF _Toc26010019 \h </w:instrText>
        </w:r>
        <w:r>
          <w:rPr>
            <w:noProof/>
            <w:webHidden/>
          </w:rPr>
          <w:fldChar w:fldCharType="separate"/>
        </w:r>
        <w:r>
          <w:rPr>
            <w:noProof/>
            <w:webHidden/>
          </w:rPr>
          <w:t>22</w:t>
        </w:r>
        <w:r>
          <w:rPr>
            <w:noProof/>
            <w:webHidden/>
          </w:rPr>
          <w:fldChar w:fldCharType="end"/>
        </w:r>
      </w:hyperlink>
    </w:p>
    <w:p>
      <w:pPr>
        <w:pStyle w:val="TOC2"/>
      </w:pPr>
      <w:hyperlink w:anchor="_Toc26010020" w:history="1">
        <w:r>
          <w:rPr>
            <w:rStyle w:val="Hyperlink"/>
            <w:noProof/>
          </w:rPr>
          <w:t xml:space="preserve">Article 13: The Joint Hormuz Transit Desk</w:t>
        </w:r>
        <w:r>
          <w:rPr>
            <w:noProof/>
            <w:webHidden/>
          </w:rPr>
          <w:tab/>
        </w:r>
        <w:r>
          <w:rPr>
            <w:noProof/>
            <w:webHidden/>
          </w:rPr>
          <w:fldChar w:fldCharType="begin"/>
        </w:r>
        <w:r>
          <w:rPr>
            <w:noProof/>
            <w:webHidden/>
          </w:rPr>
          <w:instrText xml:space="preserve"> PAGEREF _Toc26010020 \h </w:instrText>
        </w:r>
        <w:r>
          <w:rPr>
            <w:noProof/>
            <w:webHidden/>
          </w:rPr>
          <w:fldChar w:fldCharType="separate"/>
        </w:r>
        <w:r>
          <w:rPr>
            <w:noProof/>
            <w:webHidden/>
          </w:rPr>
          <w:t>22</w:t>
        </w:r>
        <w:r>
          <w:rPr>
            <w:noProof/>
            <w:webHidden/>
          </w:rPr>
          <w:fldChar w:fldCharType="end"/>
        </w:r>
      </w:hyperlink>
    </w:p>
    <w:p>
      <w:pPr>
        <w:pStyle w:val="TOC2"/>
      </w:pPr>
      <w:hyperlink w:anchor="_Toc26010021" w:history="1">
        <w:r>
          <w:rPr>
            <w:rStyle w:val="Hyperlink"/>
            <w:noProof/>
          </w:rPr>
          <w:t xml:space="preserve">Article 14: The Joint Transit Monitoring Cell</w:t>
        </w:r>
        <w:r>
          <w:rPr>
            <w:noProof/>
            <w:webHidden/>
          </w:rPr>
          <w:tab/>
        </w:r>
        <w:r>
          <w:rPr>
            <w:noProof/>
            <w:webHidden/>
          </w:rPr>
          <w:fldChar w:fldCharType="begin"/>
        </w:r>
        <w:r>
          <w:rPr>
            <w:noProof/>
            <w:webHidden/>
          </w:rPr>
          <w:instrText xml:space="preserve"> PAGEREF _Toc26010021 \h </w:instrText>
        </w:r>
        <w:r>
          <w:rPr>
            <w:noProof/>
            <w:webHidden/>
          </w:rPr>
          <w:fldChar w:fldCharType="separate"/>
        </w:r>
        <w:r>
          <w:rPr>
            <w:noProof/>
            <w:webHidden/>
          </w:rPr>
          <w:t>23</w:t>
        </w:r>
        <w:r>
          <w:rPr>
            <w:noProof/>
            <w:webHidden/>
          </w:rPr>
          <w:fldChar w:fldCharType="end"/>
        </w:r>
      </w:hyperlink>
    </w:p>
    <w:p>
      <w:pPr>
        <w:pStyle w:val="TOC2"/>
      </w:pPr>
      <w:hyperlink w:anchor="_Toc26010022" w:history="1">
        <w:r>
          <w:rPr>
            <w:rStyle w:val="Hyperlink"/>
            <w:noProof/>
          </w:rPr>
          <w:t xml:space="preserve">Article 15: The Neutral Technical Secretariat</w:t>
        </w:r>
        <w:r>
          <w:rPr>
            <w:noProof/>
            <w:webHidden/>
          </w:rPr>
          <w:tab/>
        </w:r>
        <w:r>
          <w:rPr>
            <w:noProof/>
            <w:webHidden/>
          </w:rPr>
          <w:fldChar w:fldCharType="begin"/>
        </w:r>
        <w:r>
          <w:rPr>
            <w:noProof/>
            <w:webHidden/>
          </w:rPr>
          <w:instrText xml:space="preserve"> PAGEREF _Toc26010022 \h </w:instrText>
        </w:r>
        <w:r>
          <w:rPr>
            <w:noProof/>
            <w:webHidden/>
          </w:rPr>
          <w:fldChar w:fldCharType="separate"/>
        </w:r>
        <w:r>
          <w:rPr>
            <w:noProof/>
            <w:webHidden/>
          </w:rPr>
          <w:t>23</w:t>
        </w:r>
        <w:r>
          <w:rPr>
            <w:noProof/>
            <w:webHidden/>
          </w:rPr>
          <w:fldChar w:fldCharType="end"/>
        </w:r>
      </w:hyperlink>
    </w:p>
    <w:p>
      <w:pPr>
        <w:pStyle w:val="TOC2"/>
      </w:pPr>
      <w:hyperlink w:anchor="_Toc26010023" w:history="1">
        <w:r>
          <w:rPr>
            <w:rStyle w:val="Hyperlink"/>
            <w:noProof/>
          </w:rPr>
          <w:t xml:space="preserve">Article 16: The Corridor Sub-Desks</w:t>
        </w:r>
        <w:r>
          <w:rPr>
            <w:noProof/>
            <w:webHidden/>
          </w:rPr>
          <w:tab/>
        </w:r>
        <w:r>
          <w:rPr>
            <w:noProof/>
            <w:webHidden/>
          </w:rPr>
          <w:fldChar w:fldCharType="begin"/>
        </w:r>
        <w:r>
          <w:rPr>
            <w:noProof/>
            <w:webHidden/>
          </w:rPr>
          <w:instrText xml:space="preserve"> PAGEREF _Toc26010023 \h </w:instrText>
        </w:r>
        <w:r>
          <w:rPr>
            <w:noProof/>
            <w:webHidden/>
          </w:rPr>
          <w:fldChar w:fldCharType="separate"/>
        </w:r>
        <w:r>
          <w:rPr>
            <w:noProof/>
            <w:webHidden/>
          </w:rPr>
          <w:t>24</w:t>
        </w:r>
        <w:r>
          <w:rPr>
            <w:noProof/>
            <w:webHidden/>
          </w:rPr>
          <w:fldChar w:fldCharType="end"/>
        </w:r>
      </w:hyperlink>
    </w:p>
    <w:p>
      <w:pPr>
        <w:pStyle w:val="TOC2"/>
      </w:pPr>
      <w:hyperlink w:anchor="_Toc26010024" w:history="1">
        <w:r>
          <w:rPr>
            <w:rStyle w:val="Hyperlink"/>
            <w:noProof/>
          </w:rPr>
          <w:t xml:space="preserve">Article 17: The Observer and Stakeholder Layer</w:t>
        </w:r>
        <w:r>
          <w:rPr>
            <w:noProof/>
            <w:webHidden/>
          </w:rPr>
          <w:tab/>
        </w:r>
        <w:r>
          <w:rPr>
            <w:noProof/>
            <w:webHidden/>
          </w:rPr>
          <w:fldChar w:fldCharType="begin"/>
        </w:r>
        <w:r>
          <w:rPr>
            <w:noProof/>
            <w:webHidden/>
          </w:rPr>
          <w:instrText xml:space="preserve"> PAGEREF _Toc26010024 \h </w:instrText>
        </w:r>
        <w:r>
          <w:rPr>
            <w:noProof/>
            <w:webHidden/>
          </w:rPr>
          <w:fldChar w:fldCharType="separate"/>
        </w:r>
        <w:r>
          <w:rPr>
            <w:noProof/>
            <w:webHidden/>
          </w:rPr>
          <w:t>25</w:t>
        </w:r>
        <w:r>
          <w:rPr>
            <w:noProof/>
            <w:webHidden/>
          </w:rPr>
          <w:fldChar w:fldCharType="end"/>
        </w:r>
      </w:hyperlink>
    </w:p>
    <w:p>
      <w:pPr>
        <w:pStyle w:val="TOC2"/>
      </w:pPr>
      <w:hyperlink w:anchor="_Toc26010025" w:history="1">
        <w:r>
          <w:rPr>
            <w:rStyle w:val="Hyperlink"/>
            <w:noProof/>
          </w:rPr>
          <w:t xml:space="preserve">Article 18: Decision Rules and Default Continuity</w:t>
        </w:r>
        <w:r>
          <w:rPr>
            <w:noProof/>
            <w:webHidden/>
          </w:rPr>
          <w:tab/>
        </w:r>
        <w:r>
          <w:rPr>
            <w:noProof/>
            <w:webHidden/>
          </w:rPr>
          <w:fldChar w:fldCharType="begin"/>
        </w:r>
        <w:r>
          <w:rPr>
            <w:noProof/>
            <w:webHidden/>
          </w:rPr>
          <w:instrText xml:space="preserve"> PAGEREF _Toc26010025 \h </w:instrText>
        </w:r>
        <w:r>
          <w:rPr>
            <w:noProof/>
            <w:webHidden/>
          </w:rPr>
          <w:fldChar w:fldCharType="separate"/>
        </w:r>
        <w:r>
          <w:rPr>
            <w:noProof/>
            <w:webHidden/>
          </w:rPr>
          <w:t>25</w:t>
        </w:r>
        <w:r>
          <w:rPr>
            <w:noProof/>
            <w:webHidden/>
          </w:rPr>
          <w:fldChar w:fldCharType="end"/>
        </w:r>
      </w:hyperlink>
    </w:p>
    <w:p>
      <w:pPr>
        <w:pStyle w:val="TOC2"/>
      </w:pPr>
      <w:hyperlink w:anchor="_Toc26010026" w:history="1">
        <w:r>
          <w:rPr>
            <w:rStyle w:val="Hyperlink"/>
            <w:noProof/>
          </w:rPr>
          <w:t xml:space="preserve">Article 19: Watch Standards, Training, and Certification</w:t>
        </w:r>
        <w:r>
          <w:rPr>
            <w:noProof/>
            <w:webHidden/>
          </w:rPr>
          <w:tab/>
        </w:r>
        <w:r>
          <w:rPr>
            <w:noProof/>
            <w:webHidden/>
          </w:rPr>
          <w:fldChar w:fldCharType="begin"/>
        </w:r>
        <w:r>
          <w:rPr>
            <w:noProof/>
            <w:webHidden/>
          </w:rPr>
          <w:instrText xml:space="preserve"> PAGEREF _Toc26010026 \h </w:instrText>
        </w:r>
        <w:r>
          <w:rPr>
            <w:noProof/>
            <w:webHidden/>
          </w:rPr>
          <w:fldChar w:fldCharType="separate"/>
        </w:r>
        <w:r>
          <w:rPr>
            <w:noProof/>
            <w:webHidden/>
          </w:rPr>
          <w:t>26</w:t>
        </w:r>
        <w:r>
          <w:rPr>
            <w:noProof/>
            <w:webHidden/>
          </w:rPr>
          <w:fldChar w:fldCharType="end"/>
        </w:r>
      </w:hyperlink>
    </w:p>
    <w:p>
      <w:pPr>
        <w:pStyle w:val="TOC1"/>
      </w:pPr>
      <w:hyperlink w:anchor="_Toc26010027" w:history="1">
        <w:r>
          <w:rPr>
            <w:rStyle w:val="Hyperlink"/>
            <w:noProof/>
          </w:rPr>
          <w:t xml:space="preserve">Part IV: The Settlement of the Tolls Question</w:t>
        </w:r>
        <w:r>
          <w:rPr>
            <w:noProof/>
            <w:webHidden/>
          </w:rPr>
          <w:tab/>
        </w:r>
        <w:r>
          <w:rPr>
            <w:noProof/>
            <w:webHidden/>
          </w:rPr>
          <w:fldChar w:fldCharType="begin"/>
        </w:r>
        <w:r>
          <w:rPr>
            <w:noProof/>
            <w:webHidden/>
          </w:rPr>
          <w:instrText xml:space="preserve"> PAGEREF _Toc26010027 \h </w:instrText>
        </w:r>
        <w:r>
          <w:rPr>
            <w:noProof/>
            <w:webHidden/>
          </w:rPr>
          <w:fldChar w:fldCharType="separate"/>
        </w:r>
        <w:r>
          <w:rPr>
            <w:noProof/>
            <w:webHidden/>
          </w:rPr>
          <w:t>28</w:t>
        </w:r>
        <w:r>
          <w:rPr>
            <w:noProof/>
            <w:webHidden/>
          </w:rPr>
          <w:fldChar w:fldCharType="end"/>
        </w:r>
      </w:hyperlink>
    </w:p>
    <w:p>
      <w:pPr>
        <w:pStyle w:val="TOC2"/>
      </w:pPr>
      <w:hyperlink w:anchor="_Toc26010028" w:history="1">
        <w:r>
          <w:rPr>
            <w:rStyle w:val="Hyperlink"/>
            <w:noProof/>
          </w:rPr>
          <w:t xml:space="preserve">Article 20: The Zero-Toll Covenant</w:t>
        </w:r>
        <w:r>
          <w:rPr>
            <w:noProof/>
            <w:webHidden/>
          </w:rPr>
          <w:tab/>
        </w:r>
        <w:r>
          <w:rPr>
            <w:noProof/>
            <w:webHidden/>
          </w:rPr>
          <w:fldChar w:fldCharType="begin"/>
        </w:r>
        <w:r>
          <w:rPr>
            <w:noProof/>
            <w:webHidden/>
          </w:rPr>
          <w:instrText xml:space="preserve"> PAGEREF _Toc26010028 \h </w:instrText>
        </w:r>
        <w:r>
          <w:rPr>
            <w:noProof/>
            <w:webHidden/>
          </w:rPr>
          <w:fldChar w:fldCharType="separate"/>
        </w:r>
        <w:r>
          <w:rPr>
            <w:noProof/>
            <w:webHidden/>
          </w:rPr>
          <w:t>28</w:t>
        </w:r>
        <w:r>
          <w:rPr>
            <w:noProof/>
            <w:webHidden/>
          </w:rPr>
          <w:fldChar w:fldCharType="end"/>
        </w:r>
      </w:hyperlink>
    </w:p>
    <w:p>
      <w:pPr>
        <w:pStyle w:val="TOC2"/>
      </w:pPr>
      <w:hyperlink w:anchor="_Toc26010029" w:history="1">
        <w:r>
          <w:rPr>
            <w:rStyle w:val="Hyperlink"/>
            <w:noProof/>
          </w:rPr>
          <w:t xml:space="preserve">Article 21: The Legislative Reconciliation Channel</w:t>
        </w:r>
        <w:r>
          <w:rPr>
            <w:noProof/>
            <w:webHidden/>
          </w:rPr>
          <w:tab/>
        </w:r>
        <w:r>
          <w:rPr>
            <w:noProof/>
            <w:webHidden/>
          </w:rPr>
          <w:fldChar w:fldCharType="begin"/>
        </w:r>
        <w:r>
          <w:rPr>
            <w:noProof/>
            <w:webHidden/>
          </w:rPr>
          <w:instrText xml:space="preserve"> PAGEREF _Toc26010029 \h </w:instrText>
        </w:r>
        <w:r>
          <w:rPr>
            <w:noProof/>
            <w:webHidden/>
          </w:rPr>
          <w:fldChar w:fldCharType="separate"/>
        </w:r>
        <w:r>
          <w:rPr>
            <w:noProof/>
            <w:webHidden/>
          </w:rPr>
          <w:t>29</w:t>
        </w:r>
        <w:r>
          <w:rPr>
            <w:noProof/>
            <w:webHidden/>
          </w:rPr>
          <w:fldChar w:fldCharType="end"/>
        </w:r>
      </w:hyperlink>
    </w:p>
    <w:p>
      <w:pPr>
        <w:pStyle w:val="TOC2"/>
      </w:pPr>
      <w:hyperlink w:anchor="_Toc26010030" w:history="1">
        <w:r>
          <w:rPr>
            <w:rStyle w:val="Hyperlink"/>
            <w:noProof/>
          </w:rPr>
          <w:t xml:space="preserve">Article 22: The Hormuz Safety Cooperative Fund</w:t>
        </w:r>
        <w:r>
          <w:rPr>
            <w:noProof/>
            <w:webHidden/>
          </w:rPr>
          <w:tab/>
        </w:r>
        <w:r>
          <w:rPr>
            <w:noProof/>
            <w:webHidden/>
          </w:rPr>
          <w:fldChar w:fldCharType="begin"/>
        </w:r>
        <w:r>
          <w:rPr>
            <w:noProof/>
            <w:webHidden/>
          </w:rPr>
          <w:instrText xml:space="preserve"> PAGEREF _Toc26010030 \h </w:instrText>
        </w:r>
        <w:r>
          <w:rPr>
            <w:noProof/>
            <w:webHidden/>
          </w:rPr>
          <w:fldChar w:fldCharType="separate"/>
        </w:r>
        <w:r>
          <w:rPr>
            <w:noProof/>
            <w:webHidden/>
          </w:rPr>
          <w:t>29</w:t>
        </w:r>
        <w:r>
          <w:rPr>
            <w:noProof/>
            <w:webHidden/>
          </w:rPr>
          <w:fldChar w:fldCharType="end"/>
        </w:r>
      </w:hyperlink>
    </w:p>
    <w:p>
      <w:pPr>
        <w:pStyle w:val="TOC2"/>
      </w:pPr>
      <w:hyperlink w:anchor="_Toc26010031" w:history="1">
        <w:r>
          <w:rPr>
            <w:rStyle w:val="Hyperlink"/>
            <w:noProof/>
          </w:rPr>
          <w:t xml:space="preserve">Article 23: The Verified Services Catalog and Service Reimbursement</w:t>
        </w:r>
        <w:r>
          <w:rPr>
            <w:noProof/>
            <w:webHidden/>
          </w:rPr>
          <w:tab/>
        </w:r>
        <w:r>
          <w:rPr>
            <w:noProof/>
            <w:webHidden/>
          </w:rPr>
          <w:fldChar w:fldCharType="begin"/>
        </w:r>
        <w:r>
          <w:rPr>
            <w:noProof/>
            <w:webHidden/>
          </w:rPr>
          <w:instrText xml:space="preserve"> PAGEREF _Toc26010031 \h </w:instrText>
        </w:r>
        <w:r>
          <w:rPr>
            <w:noProof/>
            <w:webHidden/>
          </w:rPr>
          <w:fldChar w:fldCharType="separate"/>
        </w:r>
        <w:r>
          <w:rPr>
            <w:noProof/>
            <w:webHidden/>
          </w:rPr>
          <w:t>31</w:t>
        </w:r>
        <w:r>
          <w:rPr>
            <w:noProof/>
            <w:webHidden/>
          </w:rPr>
          <w:fldChar w:fldCharType="end"/>
        </w:r>
      </w:hyperlink>
    </w:p>
    <w:p>
      <w:pPr>
        <w:pStyle w:val="TOC2"/>
      </w:pPr>
      <w:hyperlink w:anchor="_Toc26010032" w:history="1">
        <w:r>
          <w:rPr>
            <w:rStyle w:val="Hyperlink"/>
            <w:noProof/>
          </w:rPr>
          <w:t xml:space="preserve">Article 24: The Voluntary Transit Contribution</w:t>
        </w:r>
        <w:r>
          <w:rPr>
            <w:noProof/>
            <w:webHidden/>
          </w:rPr>
          <w:tab/>
        </w:r>
        <w:r>
          <w:rPr>
            <w:noProof/>
            <w:webHidden/>
          </w:rPr>
          <w:fldChar w:fldCharType="begin"/>
        </w:r>
        <w:r>
          <w:rPr>
            <w:noProof/>
            <w:webHidden/>
          </w:rPr>
          <w:instrText xml:space="preserve"> PAGEREF _Toc26010032 \h </w:instrText>
        </w:r>
        <w:r>
          <w:rPr>
            <w:noProof/>
            <w:webHidden/>
          </w:rPr>
          <w:fldChar w:fldCharType="separate"/>
        </w:r>
        <w:r>
          <w:rPr>
            <w:noProof/>
            <w:webHidden/>
          </w:rPr>
          <w:t>32</w:t>
        </w:r>
        <w:r>
          <w:rPr>
            <w:noProof/>
            <w:webHidden/>
          </w:rPr>
          <w:fldChar w:fldCharType="end"/>
        </w:r>
      </w:hyperlink>
    </w:p>
    <w:p>
      <w:pPr>
        <w:pStyle w:val="TOC2"/>
      </w:pPr>
      <w:hyperlink w:anchor="_Toc26010033" w:history="1">
        <w:r>
          <w:rPr>
            <w:rStyle w:val="Hyperlink"/>
            <w:noProof/>
          </w:rPr>
          <w:t xml:space="preserve">Article 25: The Annual Navigation Pass</w:t>
        </w:r>
        <w:r>
          <w:rPr>
            <w:noProof/>
            <w:webHidden/>
          </w:rPr>
          <w:tab/>
        </w:r>
        <w:r>
          <w:rPr>
            <w:noProof/>
            <w:webHidden/>
          </w:rPr>
          <w:fldChar w:fldCharType="begin"/>
        </w:r>
        <w:r>
          <w:rPr>
            <w:noProof/>
            <w:webHidden/>
          </w:rPr>
          <w:instrText xml:space="preserve"> PAGEREF _Toc26010033 \h </w:instrText>
        </w:r>
        <w:r>
          <w:rPr>
            <w:noProof/>
            <w:webHidden/>
          </w:rPr>
          <w:fldChar w:fldCharType="separate"/>
        </w:r>
        <w:r>
          <w:rPr>
            <w:noProof/>
            <w:webHidden/>
          </w:rPr>
          <w:t>33</w:t>
        </w:r>
        <w:r>
          <w:rPr>
            <w:noProof/>
            <w:webHidden/>
          </w:rPr>
          <w:fldChar w:fldCharType="end"/>
        </w:r>
      </w:hyperlink>
    </w:p>
    <w:p>
      <w:pPr>
        <w:pStyle w:val="TOC2"/>
      </w:pPr>
      <w:hyperlink w:anchor="_Toc26010034" w:history="1">
        <w:r>
          <w:rPr>
            <w:rStyle w:val="Hyperlink"/>
            <w:noProof/>
          </w:rPr>
          <w:t xml:space="preserve">Article 26: The Environmental Assurance Registry</w:t>
        </w:r>
        <w:r>
          <w:rPr>
            <w:noProof/>
            <w:webHidden/>
          </w:rPr>
          <w:tab/>
        </w:r>
        <w:r>
          <w:rPr>
            <w:noProof/>
            <w:webHidden/>
          </w:rPr>
          <w:fldChar w:fldCharType="begin"/>
        </w:r>
        <w:r>
          <w:rPr>
            <w:noProof/>
            <w:webHidden/>
          </w:rPr>
          <w:instrText xml:space="preserve"> PAGEREF _Toc26010034 \h </w:instrText>
        </w:r>
        <w:r>
          <w:rPr>
            <w:noProof/>
            <w:webHidden/>
          </w:rPr>
          <w:fldChar w:fldCharType="separate"/>
        </w:r>
        <w:r>
          <w:rPr>
            <w:noProof/>
            <w:webHidden/>
          </w:rPr>
          <w:t>33</w:t>
        </w:r>
        <w:r>
          <w:rPr>
            <w:noProof/>
            <w:webHidden/>
          </w:rPr>
          <w:fldChar w:fldCharType="end"/>
        </w:r>
      </w:hyperlink>
    </w:p>
    <w:p>
      <w:pPr>
        <w:pStyle w:val="TOC2"/>
      </w:pPr>
      <w:hyperlink w:anchor="_Toc26010035" w:history="1">
        <w:r>
          <w:rPr>
            <w:rStyle w:val="Hyperlink"/>
            <w:noProof/>
          </w:rPr>
          <w:t xml:space="preserve">Article 27: The Economic Bridge and the Asset Release Channel</w:t>
        </w:r>
        <w:r>
          <w:rPr>
            <w:noProof/>
            <w:webHidden/>
          </w:rPr>
          <w:tab/>
        </w:r>
        <w:r>
          <w:rPr>
            <w:noProof/>
            <w:webHidden/>
          </w:rPr>
          <w:fldChar w:fldCharType="begin"/>
        </w:r>
        <w:r>
          <w:rPr>
            <w:noProof/>
            <w:webHidden/>
          </w:rPr>
          <w:instrText xml:space="preserve"> PAGEREF _Toc26010035 \h </w:instrText>
        </w:r>
        <w:r>
          <w:rPr>
            <w:noProof/>
            <w:webHidden/>
          </w:rPr>
          <w:fldChar w:fldCharType="separate"/>
        </w:r>
        <w:r>
          <w:rPr>
            <w:noProof/>
            <w:webHidden/>
          </w:rPr>
          <w:t>34</w:t>
        </w:r>
        <w:r>
          <w:rPr>
            <w:noProof/>
            <w:webHidden/>
          </w:rPr>
          <w:fldChar w:fldCharType="end"/>
        </w:r>
      </w:hyperlink>
    </w:p>
    <w:p>
      <w:pPr>
        <w:pStyle w:val="TOC2"/>
      </w:pPr>
      <w:hyperlink w:anchor="_Toc26010036" w:history="1">
        <w:r>
          <w:rPr>
            <w:rStyle w:val="Hyperlink"/>
            <w:noProof/>
          </w:rPr>
          <w:t xml:space="preserve">Article 28: The Transit Information Service</w:t>
        </w:r>
        <w:r>
          <w:rPr>
            <w:noProof/>
            <w:webHidden/>
          </w:rPr>
          <w:tab/>
        </w:r>
        <w:r>
          <w:rPr>
            <w:noProof/>
            <w:webHidden/>
          </w:rPr>
          <w:fldChar w:fldCharType="begin"/>
        </w:r>
        <w:r>
          <w:rPr>
            <w:noProof/>
            <w:webHidden/>
          </w:rPr>
          <w:instrText xml:space="preserve"> PAGEREF _Toc26010036 \h </w:instrText>
        </w:r>
        <w:r>
          <w:rPr>
            <w:noProof/>
            <w:webHidden/>
          </w:rPr>
          <w:fldChar w:fldCharType="separate"/>
        </w:r>
        <w:r>
          <w:rPr>
            <w:noProof/>
            <w:webHidden/>
          </w:rPr>
          <w:t>35</w:t>
        </w:r>
        <w:r>
          <w:rPr>
            <w:noProof/>
            <w:webHidden/>
          </w:rPr>
          <w:fldChar w:fldCharType="end"/>
        </w:r>
      </w:hyperlink>
    </w:p>
    <w:p>
      <w:pPr>
        <w:pStyle w:val="TOC2"/>
      </w:pPr>
      <w:hyperlink w:anchor="_Toc26010037" w:history="1">
        <w:r>
          <w:rPr>
            <w:rStyle w:val="Hyperlink"/>
            <w:noProof/>
          </w:rPr>
          <w:t xml:space="preserve">Article 29: The Infrastructure Finance Window</w:t>
        </w:r>
        <w:r>
          <w:rPr>
            <w:noProof/>
            <w:webHidden/>
          </w:rPr>
          <w:tab/>
        </w:r>
        <w:r>
          <w:rPr>
            <w:noProof/>
            <w:webHidden/>
          </w:rPr>
          <w:fldChar w:fldCharType="begin"/>
        </w:r>
        <w:r>
          <w:rPr>
            <w:noProof/>
            <w:webHidden/>
          </w:rPr>
          <w:instrText xml:space="preserve"> PAGEREF _Toc26010037 \h </w:instrText>
        </w:r>
        <w:r>
          <w:rPr>
            <w:noProof/>
            <w:webHidden/>
          </w:rPr>
          <w:fldChar w:fldCharType="separate"/>
        </w:r>
        <w:r>
          <w:rPr>
            <w:noProof/>
            <w:webHidden/>
          </w:rPr>
          <w:t>35</w:t>
        </w:r>
        <w:r>
          <w:rPr>
            <w:noProof/>
            <w:webHidden/>
          </w:rPr>
          <w:fldChar w:fldCharType="end"/>
        </w:r>
      </w:hyperlink>
    </w:p>
    <w:p>
      <w:pPr>
        <w:pStyle w:val="TOC2"/>
      </w:pPr>
      <w:hyperlink w:anchor="_Toc26010038" w:history="1">
        <w:r>
          <w:rPr>
            <w:rStyle w:val="Hyperlink"/>
            <w:noProof/>
          </w:rPr>
          <w:t xml:space="preserve">Article 30: The Service Revenue Floor</w:t>
        </w:r>
        <w:r>
          <w:rPr>
            <w:noProof/>
            <w:webHidden/>
          </w:rPr>
          <w:tab/>
        </w:r>
        <w:r>
          <w:rPr>
            <w:noProof/>
            <w:webHidden/>
          </w:rPr>
          <w:fldChar w:fldCharType="begin"/>
        </w:r>
        <w:r>
          <w:rPr>
            <w:noProof/>
            <w:webHidden/>
          </w:rPr>
          <w:instrText xml:space="preserve"> PAGEREF _Toc26010038 \h </w:instrText>
        </w:r>
        <w:r>
          <w:rPr>
            <w:noProof/>
            <w:webHidden/>
          </w:rPr>
          <w:fldChar w:fldCharType="separate"/>
        </w:r>
        <w:r>
          <w:rPr>
            <w:noProof/>
            <w:webHidden/>
          </w:rPr>
          <w:t>36</w:t>
        </w:r>
        <w:r>
          <w:rPr>
            <w:noProof/>
            <w:webHidden/>
          </w:rPr>
          <w:fldChar w:fldCharType="end"/>
        </w:r>
      </w:hyperlink>
    </w:p>
    <w:p>
      <w:pPr>
        <w:pStyle w:val="TOC2"/>
      </w:pPr>
      <w:hyperlink w:anchor="_Toc26010039" w:history="1">
        <w:r>
          <w:rPr>
            <w:rStyle w:val="Hyperlink"/>
            <w:noProof/>
          </w:rPr>
          <w:t xml:space="preserve">Article 31: The Payments Firewall and Financial Integrity</w:t>
        </w:r>
        <w:r>
          <w:rPr>
            <w:noProof/>
            <w:webHidden/>
          </w:rPr>
          <w:tab/>
        </w:r>
        <w:r>
          <w:rPr>
            <w:noProof/>
            <w:webHidden/>
          </w:rPr>
          <w:fldChar w:fldCharType="begin"/>
        </w:r>
        <w:r>
          <w:rPr>
            <w:noProof/>
            <w:webHidden/>
          </w:rPr>
          <w:instrText xml:space="preserve"> PAGEREF _Toc26010039 \h </w:instrText>
        </w:r>
        <w:r>
          <w:rPr>
            <w:noProof/>
            <w:webHidden/>
          </w:rPr>
          <w:fldChar w:fldCharType="separate"/>
        </w:r>
        <w:r>
          <w:rPr>
            <w:noProof/>
            <w:webHidden/>
          </w:rPr>
          <w:t>36</w:t>
        </w:r>
        <w:r>
          <w:rPr>
            <w:noProof/>
            <w:webHidden/>
          </w:rPr>
          <w:fldChar w:fldCharType="end"/>
        </w:r>
      </w:hyperlink>
    </w:p>
    <w:p>
      <w:pPr>
        <w:pStyle w:val="TOC2"/>
      </w:pPr>
      <w:hyperlink w:anchor="_Toc26010040" w:history="1">
        <w:r>
          <w:rPr>
            <w:rStyle w:val="Hyperlink"/>
            <w:noProof/>
          </w:rPr>
          <w:t xml:space="preserve">Article 32: The Settlement Matrix</w:t>
        </w:r>
        <w:r>
          <w:rPr>
            <w:noProof/>
            <w:webHidden/>
          </w:rPr>
          <w:tab/>
        </w:r>
        <w:r>
          <w:rPr>
            <w:noProof/>
            <w:webHidden/>
          </w:rPr>
          <w:fldChar w:fldCharType="begin"/>
        </w:r>
        <w:r>
          <w:rPr>
            <w:noProof/>
            <w:webHidden/>
          </w:rPr>
          <w:instrText xml:space="preserve"> PAGEREF _Toc26010040 \h </w:instrText>
        </w:r>
        <w:r>
          <w:rPr>
            <w:noProof/>
            <w:webHidden/>
          </w:rPr>
          <w:fldChar w:fldCharType="separate"/>
        </w:r>
        <w:r>
          <w:rPr>
            <w:noProof/>
            <w:webHidden/>
          </w:rPr>
          <w:t>37</w:t>
        </w:r>
        <w:r>
          <w:rPr>
            <w:noProof/>
            <w:webHidden/>
          </w:rPr>
          <w:fldChar w:fldCharType="end"/>
        </w:r>
      </w:hyperlink>
    </w:p>
    <w:p>
      <w:pPr>
        <w:pStyle w:val="TOC1"/>
      </w:pPr>
      <w:hyperlink w:anchor="_Toc26010041" w:history="1">
        <w:r>
          <w:rPr>
            <w:rStyle w:val="Hyperlink"/>
            <w:noProof/>
          </w:rPr>
          <w:t xml:space="preserve">Part V: The Verification Architecture</w:t>
        </w:r>
        <w:r>
          <w:rPr>
            <w:noProof/>
            <w:webHidden/>
          </w:rPr>
          <w:tab/>
        </w:r>
        <w:r>
          <w:rPr>
            <w:noProof/>
            <w:webHidden/>
          </w:rPr>
          <w:fldChar w:fldCharType="begin"/>
        </w:r>
        <w:r>
          <w:rPr>
            <w:noProof/>
            <w:webHidden/>
          </w:rPr>
          <w:instrText xml:space="preserve"> PAGEREF _Toc26010041 \h </w:instrText>
        </w:r>
        <w:r>
          <w:rPr>
            <w:noProof/>
            <w:webHidden/>
          </w:rPr>
          <w:fldChar w:fldCharType="separate"/>
        </w:r>
        <w:r>
          <w:rPr>
            <w:noProof/>
            <w:webHidden/>
          </w:rPr>
          <w:t>39</w:t>
        </w:r>
        <w:r>
          <w:rPr>
            <w:noProof/>
            <w:webHidden/>
          </w:rPr>
          <w:fldChar w:fldCharType="end"/>
        </w:r>
      </w:hyperlink>
    </w:p>
    <w:p>
      <w:pPr>
        <w:pStyle w:val="TOC2"/>
      </w:pPr>
      <w:hyperlink w:anchor="_Toc26010042" w:history="1">
        <w:r>
          <w:rPr>
            <w:rStyle w:val="Hyperlink"/>
            <w:noProof/>
          </w:rPr>
          <w:t xml:space="preserve">Article 33: Layer One: Automated Technical Tracking</w:t>
        </w:r>
        <w:r>
          <w:rPr>
            <w:noProof/>
            <w:webHidden/>
          </w:rPr>
          <w:tab/>
        </w:r>
        <w:r>
          <w:rPr>
            <w:noProof/>
            <w:webHidden/>
          </w:rPr>
          <w:fldChar w:fldCharType="begin"/>
        </w:r>
        <w:r>
          <w:rPr>
            <w:noProof/>
            <w:webHidden/>
          </w:rPr>
          <w:instrText xml:space="preserve"> PAGEREF _Toc26010042 \h </w:instrText>
        </w:r>
        <w:r>
          <w:rPr>
            <w:noProof/>
            <w:webHidden/>
          </w:rPr>
          <w:fldChar w:fldCharType="separate"/>
        </w:r>
        <w:r>
          <w:rPr>
            <w:noProof/>
            <w:webHidden/>
          </w:rPr>
          <w:t>39</w:t>
        </w:r>
        <w:r>
          <w:rPr>
            <w:noProof/>
            <w:webHidden/>
          </w:rPr>
          <w:fldChar w:fldCharType="end"/>
        </w:r>
      </w:hyperlink>
    </w:p>
    <w:p>
      <w:pPr>
        <w:pStyle w:val="TOC2"/>
      </w:pPr>
      <w:hyperlink w:anchor="_Toc26010043" w:history="1">
        <w:r>
          <w:rPr>
            <w:rStyle w:val="Hyperlink"/>
            <w:noProof/>
          </w:rPr>
          <w:t xml:space="preserve">Article 34: Layer Two: Multilateral Human Observation</w:t>
        </w:r>
        <w:r>
          <w:rPr>
            <w:noProof/>
            <w:webHidden/>
          </w:rPr>
          <w:tab/>
        </w:r>
        <w:r>
          <w:rPr>
            <w:noProof/>
            <w:webHidden/>
          </w:rPr>
          <w:fldChar w:fldCharType="begin"/>
        </w:r>
        <w:r>
          <w:rPr>
            <w:noProof/>
            <w:webHidden/>
          </w:rPr>
          <w:instrText xml:space="preserve"> PAGEREF _Toc26010043 \h </w:instrText>
        </w:r>
        <w:r>
          <w:rPr>
            <w:noProof/>
            <w:webHidden/>
          </w:rPr>
          <w:fldChar w:fldCharType="separate"/>
        </w:r>
        <w:r>
          <w:rPr>
            <w:noProof/>
            <w:webHidden/>
          </w:rPr>
          <w:t>39</w:t>
        </w:r>
        <w:r>
          <w:rPr>
            <w:noProof/>
            <w:webHidden/>
          </w:rPr>
          <w:fldChar w:fldCharType="end"/>
        </w:r>
      </w:hyperlink>
    </w:p>
    <w:p>
      <w:pPr>
        <w:pStyle w:val="TOC2"/>
      </w:pPr>
      <w:hyperlink w:anchor="_Toc26010044" w:history="1">
        <w:r>
          <w:rPr>
            <w:rStyle w:val="Hyperlink"/>
            <w:noProof/>
          </w:rPr>
          <w:t xml:space="preserve">Article 35: Layer Three: Independent Data Custody and Technical Arbitration</w:t>
        </w:r>
        <w:r>
          <w:rPr>
            <w:noProof/>
            <w:webHidden/>
          </w:rPr>
          <w:tab/>
        </w:r>
        <w:r>
          <w:rPr>
            <w:noProof/>
            <w:webHidden/>
          </w:rPr>
          <w:fldChar w:fldCharType="begin"/>
        </w:r>
        <w:r>
          <w:rPr>
            <w:noProof/>
            <w:webHidden/>
          </w:rPr>
          <w:instrText xml:space="preserve"> PAGEREF _Toc26010044 \h </w:instrText>
        </w:r>
        <w:r>
          <w:rPr>
            <w:noProof/>
            <w:webHidden/>
          </w:rPr>
          <w:fldChar w:fldCharType="separate"/>
        </w:r>
        <w:r>
          <w:rPr>
            <w:noProof/>
            <w:webHidden/>
          </w:rPr>
          <w:t>40</w:t>
        </w:r>
        <w:r>
          <w:rPr>
            <w:noProof/>
            <w:webHidden/>
          </w:rPr>
          <w:fldChar w:fldCharType="end"/>
        </w:r>
      </w:hyperlink>
    </w:p>
    <w:p>
      <w:pPr>
        <w:pStyle w:val="TOC2"/>
      </w:pPr>
      <w:hyperlink w:anchor="_Toc26010045" w:history="1">
        <w:r>
          <w:rPr>
            <w:rStyle w:val="Hyperlink"/>
            <w:noProof/>
          </w:rPr>
          <w:t xml:space="preserve">Article 36: Data Integrity, Cybersecurity, and Authentication</w:t>
        </w:r>
        <w:r>
          <w:rPr>
            <w:noProof/>
            <w:webHidden/>
          </w:rPr>
          <w:tab/>
        </w:r>
        <w:r>
          <w:rPr>
            <w:noProof/>
            <w:webHidden/>
          </w:rPr>
          <w:fldChar w:fldCharType="begin"/>
        </w:r>
        <w:r>
          <w:rPr>
            <w:noProof/>
            <w:webHidden/>
          </w:rPr>
          <w:instrText xml:space="preserve"> PAGEREF _Toc26010045 \h </w:instrText>
        </w:r>
        <w:r>
          <w:rPr>
            <w:noProof/>
            <w:webHidden/>
          </w:rPr>
          <w:fldChar w:fldCharType="separate"/>
        </w:r>
        <w:r>
          <w:rPr>
            <w:noProof/>
            <w:webHidden/>
          </w:rPr>
          <w:t>41</w:t>
        </w:r>
        <w:r>
          <w:rPr>
            <w:noProof/>
            <w:webHidden/>
          </w:rPr>
          <w:fldChar w:fldCharType="end"/>
        </w:r>
      </w:hyperlink>
    </w:p>
    <w:p>
      <w:pPr>
        <w:pStyle w:val="TOC2"/>
      </w:pPr>
      <w:hyperlink w:anchor="_Toc26010046" w:history="1">
        <w:r>
          <w:rPr>
            <w:rStyle w:val="Hyperlink"/>
            <w:noProof/>
          </w:rPr>
          <w:t xml:space="preserve">Article 37: Public Confidence Reporting</w:t>
        </w:r>
        <w:r>
          <w:rPr>
            <w:noProof/>
            <w:webHidden/>
          </w:rPr>
          <w:tab/>
        </w:r>
        <w:r>
          <w:rPr>
            <w:noProof/>
            <w:webHidden/>
          </w:rPr>
          <w:fldChar w:fldCharType="begin"/>
        </w:r>
        <w:r>
          <w:rPr>
            <w:noProof/>
            <w:webHidden/>
          </w:rPr>
          <w:instrText xml:space="preserve"> PAGEREF _Toc26010046 \h </w:instrText>
        </w:r>
        <w:r>
          <w:rPr>
            <w:noProof/>
            <w:webHidden/>
          </w:rPr>
          <w:fldChar w:fldCharType="separate"/>
        </w:r>
        <w:r>
          <w:rPr>
            <w:noProof/>
            <w:webHidden/>
          </w:rPr>
          <w:t>42</w:t>
        </w:r>
        <w:r>
          <w:rPr>
            <w:noProof/>
            <w:webHidden/>
          </w:rPr>
          <w:fldChar w:fldCharType="end"/>
        </w:r>
      </w:hyperlink>
    </w:p>
    <w:p>
      <w:pPr>
        <w:pStyle w:val="TOC1"/>
      </w:pPr>
      <w:hyperlink w:anchor="_Toc26010047" w:history="1">
        <w:r>
          <w:rPr>
            <w:rStyle w:val="Hyperlink"/>
            <w:noProof/>
          </w:rPr>
          <w:t xml:space="preserve">Part VI: Safety, Security, and Environmental Protection</w:t>
        </w:r>
        <w:r>
          <w:rPr>
            <w:noProof/>
            <w:webHidden/>
          </w:rPr>
          <w:tab/>
        </w:r>
        <w:r>
          <w:rPr>
            <w:noProof/>
            <w:webHidden/>
          </w:rPr>
          <w:fldChar w:fldCharType="begin"/>
        </w:r>
        <w:r>
          <w:rPr>
            <w:noProof/>
            <w:webHidden/>
          </w:rPr>
          <w:instrText xml:space="preserve"> PAGEREF _Toc26010047 \h </w:instrText>
        </w:r>
        <w:r>
          <w:rPr>
            <w:noProof/>
            <w:webHidden/>
          </w:rPr>
          <w:fldChar w:fldCharType="separate"/>
        </w:r>
        <w:r>
          <w:rPr>
            <w:noProof/>
            <w:webHidden/>
          </w:rPr>
          <w:t>43</w:t>
        </w:r>
        <w:r>
          <w:rPr>
            <w:noProof/>
            <w:webHidden/>
          </w:rPr>
          <w:fldChar w:fldCharType="end"/>
        </w:r>
      </w:hyperlink>
    </w:p>
    <w:p>
      <w:pPr>
        <w:pStyle w:val="TOC2"/>
      </w:pPr>
      <w:hyperlink w:anchor="_Toc26010048" w:history="1">
        <w:r>
          <w:rPr>
            <w:rStyle w:val="Hyperlink"/>
            <w:noProof/>
          </w:rPr>
          <w:t xml:space="preserve">Article 38: Naval De-Confliction and the Standoff Protocol</w:t>
        </w:r>
        <w:r>
          <w:rPr>
            <w:noProof/>
            <w:webHidden/>
          </w:rPr>
          <w:tab/>
        </w:r>
        <w:r>
          <w:rPr>
            <w:noProof/>
            <w:webHidden/>
          </w:rPr>
          <w:fldChar w:fldCharType="begin"/>
        </w:r>
        <w:r>
          <w:rPr>
            <w:noProof/>
            <w:webHidden/>
          </w:rPr>
          <w:instrText xml:space="preserve"> PAGEREF _Toc26010048 \h </w:instrText>
        </w:r>
        <w:r>
          <w:rPr>
            <w:noProof/>
            <w:webHidden/>
          </w:rPr>
          <w:fldChar w:fldCharType="separate"/>
        </w:r>
        <w:r>
          <w:rPr>
            <w:noProof/>
            <w:webHidden/>
          </w:rPr>
          <w:t>43</w:t>
        </w:r>
        <w:r>
          <w:rPr>
            <w:noProof/>
            <w:webHidden/>
          </w:rPr>
          <w:fldChar w:fldCharType="end"/>
        </w:r>
      </w:hyperlink>
    </w:p>
    <w:p>
      <w:pPr>
        <w:pStyle w:val="TOC2"/>
      </w:pPr>
      <w:hyperlink w:anchor="_Toc26010049" w:history="1">
        <w:r>
          <w:rPr>
            <w:rStyle w:val="Hyperlink"/>
            <w:noProof/>
          </w:rPr>
          <w:t xml:space="preserve">Article 39: Search and Rescue</w:t>
        </w:r>
        <w:r>
          <w:rPr>
            <w:noProof/>
            <w:webHidden/>
          </w:rPr>
          <w:tab/>
        </w:r>
        <w:r>
          <w:rPr>
            <w:noProof/>
            <w:webHidden/>
          </w:rPr>
          <w:fldChar w:fldCharType="begin"/>
        </w:r>
        <w:r>
          <w:rPr>
            <w:noProof/>
            <w:webHidden/>
          </w:rPr>
          <w:instrText xml:space="preserve"> PAGEREF _Toc26010049 \h </w:instrText>
        </w:r>
        <w:r>
          <w:rPr>
            <w:noProof/>
            <w:webHidden/>
          </w:rPr>
          <w:fldChar w:fldCharType="separate"/>
        </w:r>
        <w:r>
          <w:rPr>
            <w:noProof/>
            <w:webHidden/>
          </w:rPr>
          <w:t>43</w:t>
        </w:r>
        <w:r>
          <w:rPr>
            <w:noProof/>
            <w:webHidden/>
          </w:rPr>
          <w:fldChar w:fldCharType="end"/>
        </w:r>
      </w:hyperlink>
    </w:p>
    <w:p>
      <w:pPr>
        <w:pStyle w:val="TOC2"/>
      </w:pPr>
      <w:hyperlink w:anchor="_Toc26010050" w:history="1">
        <w:r>
          <w:rPr>
            <w:rStyle w:val="Hyperlink"/>
            <w:noProof/>
          </w:rPr>
          <w:t xml:space="preserve">Article 40: Environmental Protection</w:t>
        </w:r>
        <w:r>
          <w:rPr>
            <w:noProof/>
            <w:webHidden/>
          </w:rPr>
          <w:tab/>
        </w:r>
        <w:r>
          <w:rPr>
            <w:noProof/>
            <w:webHidden/>
          </w:rPr>
          <w:fldChar w:fldCharType="begin"/>
        </w:r>
        <w:r>
          <w:rPr>
            <w:noProof/>
            <w:webHidden/>
          </w:rPr>
          <w:instrText xml:space="preserve"> PAGEREF _Toc26010050 \h </w:instrText>
        </w:r>
        <w:r>
          <w:rPr>
            <w:noProof/>
            <w:webHidden/>
          </w:rPr>
          <w:fldChar w:fldCharType="separate"/>
        </w:r>
        <w:r>
          <w:rPr>
            <w:noProof/>
            <w:webHidden/>
          </w:rPr>
          <w:t>44</w:t>
        </w:r>
        <w:r>
          <w:rPr>
            <w:noProof/>
            <w:webHidden/>
          </w:rPr>
          <w:fldChar w:fldCharType="end"/>
        </w:r>
      </w:hyperlink>
    </w:p>
    <w:p>
      <w:pPr>
        <w:pStyle w:val="TOC2"/>
      </w:pPr>
      <w:hyperlink w:anchor="_Toc26010051" w:history="1">
        <w:r>
          <w:rPr>
            <w:rStyle w:val="Hyperlink"/>
            <w:noProof/>
          </w:rPr>
          <w:t xml:space="preserve">Article 41: Incident Management and the Mishap Protocol</w:t>
        </w:r>
        <w:r>
          <w:rPr>
            <w:noProof/>
            <w:webHidden/>
          </w:rPr>
          <w:tab/>
        </w:r>
        <w:r>
          <w:rPr>
            <w:noProof/>
            <w:webHidden/>
          </w:rPr>
          <w:fldChar w:fldCharType="begin"/>
        </w:r>
        <w:r>
          <w:rPr>
            <w:noProof/>
            <w:webHidden/>
          </w:rPr>
          <w:instrText xml:space="preserve"> PAGEREF _Toc26010051 \h </w:instrText>
        </w:r>
        <w:r>
          <w:rPr>
            <w:noProof/>
            <w:webHidden/>
          </w:rPr>
          <w:fldChar w:fldCharType="separate"/>
        </w:r>
        <w:r>
          <w:rPr>
            <w:noProof/>
            <w:webHidden/>
          </w:rPr>
          <w:t>45</w:t>
        </w:r>
        <w:r>
          <w:rPr>
            <w:noProof/>
            <w:webHidden/>
          </w:rPr>
          <w:fldChar w:fldCharType="end"/>
        </w:r>
      </w:hyperlink>
    </w:p>
    <w:p>
      <w:pPr>
        <w:pStyle w:val="TOC2"/>
      </w:pPr>
      <w:hyperlink w:anchor="_Toc26010052" w:history="1">
        <w:r>
          <w:rPr>
            <w:rStyle w:val="Hyperlink"/>
            <w:noProof/>
          </w:rPr>
          <w:t xml:space="preserve">Article 42: The Insurance Stabilization Interface</w:t>
        </w:r>
        <w:r>
          <w:rPr>
            <w:noProof/>
            <w:webHidden/>
          </w:rPr>
          <w:tab/>
        </w:r>
        <w:r>
          <w:rPr>
            <w:noProof/>
            <w:webHidden/>
          </w:rPr>
          <w:fldChar w:fldCharType="begin"/>
        </w:r>
        <w:r>
          <w:rPr>
            <w:noProof/>
            <w:webHidden/>
          </w:rPr>
          <w:instrText xml:space="preserve"> PAGEREF _Toc26010052 \h </w:instrText>
        </w:r>
        <w:r>
          <w:rPr>
            <w:noProof/>
            <w:webHidden/>
          </w:rPr>
          <w:fldChar w:fldCharType="separate"/>
        </w:r>
        <w:r>
          <w:rPr>
            <w:noProof/>
            <w:webHidden/>
          </w:rPr>
          <w:t>45</w:t>
        </w:r>
        <w:r>
          <w:rPr>
            <w:noProof/>
            <w:webHidden/>
          </w:rPr>
          <w:fldChar w:fldCharType="end"/>
        </w:r>
      </w:hyperlink>
    </w:p>
    <w:p>
      <w:pPr>
        <w:pStyle w:val="TOC1"/>
      </w:pPr>
      <w:hyperlink w:anchor="_Toc26010053" w:history="1">
        <w:r>
          <w:rPr>
            <w:rStyle w:val="Hyperlink"/>
            <w:noProof/>
          </w:rPr>
          <w:t xml:space="preserve">Part VII: Compliance, Pause, and Dispute Resolution</w:t>
        </w:r>
        <w:r>
          <w:rPr>
            <w:noProof/>
            <w:webHidden/>
          </w:rPr>
          <w:tab/>
        </w:r>
        <w:r>
          <w:rPr>
            <w:noProof/>
            <w:webHidden/>
          </w:rPr>
          <w:fldChar w:fldCharType="begin"/>
        </w:r>
        <w:r>
          <w:rPr>
            <w:noProof/>
            <w:webHidden/>
          </w:rPr>
          <w:instrText xml:space="preserve"> PAGEREF _Toc26010053 \h </w:instrText>
        </w:r>
        <w:r>
          <w:rPr>
            <w:noProof/>
            <w:webHidden/>
          </w:rPr>
          <w:fldChar w:fldCharType="separate"/>
        </w:r>
        <w:r>
          <w:rPr>
            <w:noProof/>
            <w:webHidden/>
          </w:rPr>
          <w:t>46</w:t>
        </w:r>
        <w:r>
          <w:rPr>
            <w:noProof/>
            <w:webHidden/>
          </w:rPr>
          <w:fldChar w:fldCharType="end"/>
        </w:r>
      </w:hyperlink>
    </w:p>
    <w:p>
      <w:pPr>
        <w:pStyle w:val="TOC2"/>
      </w:pPr>
      <w:hyperlink w:anchor="_Toc26010054" w:history="1">
        <w:r>
          <w:rPr>
            <w:rStyle w:val="Hyperlink"/>
            <w:noProof/>
          </w:rPr>
          <w:t xml:space="preserve">Article 43: The Compliance Classification</w:t>
        </w:r>
        <w:r>
          <w:rPr>
            <w:noProof/>
            <w:webHidden/>
          </w:rPr>
          <w:tab/>
        </w:r>
        <w:r>
          <w:rPr>
            <w:noProof/>
            <w:webHidden/>
          </w:rPr>
          <w:fldChar w:fldCharType="begin"/>
        </w:r>
        <w:r>
          <w:rPr>
            <w:noProof/>
            <w:webHidden/>
          </w:rPr>
          <w:instrText xml:space="preserve"> PAGEREF _Toc26010054 \h </w:instrText>
        </w:r>
        <w:r>
          <w:rPr>
            <w:noProof/>
            <w:webHidden/>
          </w:rPr>
          <w:fldChar w:fldCharType="separate"/>
        </w:r>
        <w:r>
          <w:rPr>
            <w:noProof/>
            <w:webHidden/>
          </w:rPr>
          <w:t>46</w:t>
        </w:r>
        <w:r>
          <w:rPr>
            <w:noProof/>
            <w:webHidden/>
          </w:rPr>
          <w:fldChar w:fldCharType="end"/>
        </w:r>
      </w:hyperlink>
    </w:p>
    <w:p>
      <w:pPr>
        <w:pStyle w:val="TOC2"/>
      </w:pPr>
      <w:hyperlink w:anchor="_Toc26010055" w:history="1">
        <w:r>
          <w:rPr>
            <w:rStyle w:val="Hyperlink"/>
            <w:noProof/>
          </w:rPr>
          <w:t xml:space="preserve">Article 44: The Graduated Ladder and Earn-Back</w:t>
        </w:r>
        <w:r>
          <w:rPr>
            <w:noProof/>
            <w:webHidden/>
          </w:rPr>
          <w:tab/>
        </w:r>
        <w:r>
          <w:rPr>
            <w:noProof/>
            <w:webHidden/>
          </w:rPr>
          <w:fldChar w:fldCharType="begin"/>
        </w:r>
        <w:r>
          <w:rPr>
            <w:noProof/>
            <w:webHidden/>
          </w:rPr>
          <w:instrText xml:space="preserve"> PAGEREF _Toc26010055 \h </w:instrText>
        </w:r>
        <w:r>
          <w:rPr>
            <w:noProof/>
            <w:webHidden/>
          </w:rPr>
          <w:fldChar w:fldCharType="separate"/>
        </w:r>
        <w:r>
          <w:rPr>
            <w:noProof/>
            <w:webHidden/>
          </w:rPr>
          <w:t>46</w:t>
        </w:r>
        <w:r>
          <w:rPr>
            <w:noProof/>
            <w:webHidden/>
          </w:rPr>
          <w:fldChar w:fldCharType="end"/>
        </w:r>
      </w:hyperlink>
    </w:p>
    <w:p>
      <w:pPr>
        <w:pStyle w:val="TOC2"/>
      </w:pPr>
      <w:hyperlink w:anchor="_Toc26010056" w:history="1">
        <w:r>
          <w:rPr>
            <w:rStyle w:val="Hyperlink"/>
            <w:noProof/>
          </w:rPr>
          <w:t xml:space="preserve">Article 45: The Emergency Brake</w:t>
        </w:r>
        <w:r>
          <w:rPr>
            <w:noProof/>
            <w:webHidden/>
          </w:rPr>
          <w:tab/>
        </w:r>
        <w:r>
          <w:rPr>
            <w:noProof/>
            <w:webHidden/>
          </w:rPr>
          <w:fldChar w:fldCharType="begin"/>
        </w:r>
        <w:r>
          <w:rPr>
            <w:noProof/>
            <w:webHidden/>
          </w:rPr>
          <w:instrText xml:space="preserve"> PAGEREF _Toc26010056 \h </w:instrText>
        </w:r>
        <w:r>
          <w:rPr>
            <w:noProof/>
            <w:webHidden/>
          </w:rPr>
          <w:fldChar w:fldCharType="separate"/>
        </w:r>
        <w:r>
          <w:rPr>
            <w:noProof/>
            <w:webHidden/>
          </w:rPr>
          <w:t>47</w:t>
        </w:r>
        <w:r>
          <w:rPr>
            <w:noProof/>
            <w:webHidden/>
          </w:rPr>
          <w:fldChar w:fldCharType="end"/>
        </w:r>
      </w:hyperlink>
    </w:p>
    <w:p>
      <w:pPr>
        <w:pStyle w:val="TOC2"/>
      </w:pPr>
      <w:hyperlink w:anchor="_Toc26010057" w:history="1">
        <w:r>
          <w:rPr>
            <w:rStyle w:val="Hyperlink"/>
            <w:noProof/>
          </w:rPr>
          <w:t xml:space="preserve">Article 46: The Reciprocity Record</w:t>
        </w:r>
        <w:r>
          <w:rPr>
            <w:noProof/>
            <w:webHidden/>
          </w:rPr>
          <w:tab/>
        </w:r>
        <w:r>
          <w:rPr>
            <w:noProof/>
            <w:webHidden/>
          </w:rPr>
          <w:fldChar w:fldCharType="begin"/>
        </w:r>
        <w:r>
          <w:rPr>
            <w:noProof/>
            <w:webHidden/>
          </w:rPr>
          <w:instrText xml:space="preserve"> PAGEREF _Toc26010057 \h </w:instrText>
        </w:r>
        <w:r>
          <w:rPr>
            <w:noProof/>
            <w:webHidden/>
          </w:rPr>
          <w:fldChar w:fldCharType="separate"/>
        </w:r>
        <w:r>
          <w:rPr>
            <w:noProof/>
            <w:webHidden/>
          </w:rPr>
          <w:t>48</w:t>
        </w:r>
        <w:r>
          <w:rPr>
            <w:noProof/>
            <w:webHidden/>
          </w:rPr>
          <w:fldChar w:fldCharType="end"/>
        </w:r>
      </w:hyperlink>
    </w:p>
    <w:p>
      <w:pPr>
        <w:pStyle w:val="TOC2"/>
      </w:pPr>
      <w:hyperlink w:anchor="_Toc26010058" w:history="1">
        <w:r>
          <w:rPr>
            <w:rStyle w:val="Hyperlink"/>
            <w:noProof/>
          </w:rPr>
          <w:t xml:space="preserve">Article 47: The Dispute Resolution Ladder</w:t>
        </w:r>
        <w:r>
          <w:rPr>
            <w:noProof/>
            <w:webHidden/>
          </w:rPr>
          <w:tab/>
        </w:r>
        <w:r>
          <w:rPr>
            <w:noProof/>
            <w:webHidden/>
          </w:rPr>
          <w:fldChar w:fldCharType="begin"/>
        </w:r>
        <w:r>
          <w:rPr>
            <w:noProof/>
            <w:webHidden/>
          </w:rPr>
          <w:instrText xml:space="preserve"> PAGEREF _Toc26010058 \h </w:instrText>
        </w:r>
        <w:r>
          <w:rPr>
            <w:noProof/>
            <w:webHidden/>
          </w:rPr>
          <w:fldChar w:fldCharType="separate"/>
        </w:r>
        <w:r>
          <w:rPr>
            <w:noProof/>
            <w:webHidden/>
          </w:rPr>
          <w:t>48</w:t>
        </w:r>
        <w:r>
          <w:rPr>
            <w:noProof/>
            <w:webHidden/>
          </w:rPr>
          <w:fldChar w:fldCharType="end"/>
        </w:r>
      </w:hyperlink>
    </w:p>
    <w:p>
      <w:pPr>
        <w:pStyle w:val="TOC2"/>
      </w:pPr>
      <w:hyperlink w:anchor="_Toc26010059" w:history="1">
        <w:r>
          <w:rPr>
            <w:rStyle w:val="Hyperlink"/>
            <w:noProof/>
          </w:rPr>
          <w:t xml:space="preserve">Article 48: The Protection Covenant</w:t>
        </w:r>
        <w:r>
          <w:rPr>
            <w:noProof/>
            <w:webHidden/>
          </w:rPr>
          <w:tab/>
        </w:r>
        <w:r>
          <w:rPr>
            <w:noProof/>
            <w:webHidden/>
          </w:rPr>
          <w:fldChar w:fldCharType="begin"/>
        </w:r>
        <w:r>
          <w:rPr>
            <w:noProof/>
            <w:webHidden/>
          </w:rPr>
          <w:instrText xml:space="preserve"> PAGEREF _Toc26010059 \h </w:instrText>
        </w:r>
        <w:r>
          <w:rPr>
            <w:noProof/>
            <w:webHidden/>
          </w:rPr>
          <w:fldChar w:fldCharType="separate"/>
        </w:r>
        <w:r>
          <w:rPr>
            <w:noProof/>
            <w:webHidden/>
          </w:rPr>
          <w:t>49</w:t>
        </w:r>
        <w:r>
          <w:rPr>
            <w:noProof/>
            <w:webHidden/>
          </w:rPr>
          <w:fldChar w:fldCharType="end"/>
        </w:r>
      </w:hyperlink>
    </w:p>
    <w:p>
      <w:pPr>
        <w:pStyle w:val="TOC2"/>
      </w:pPr>
      <w:hyperlink w:anchor="_Toc26010060" w:history="1">
        <w:r>
          <w:rPr>
            <w:rStyle w:val="Hyperlink"/>
            <w:noProof/>
          </w:rPr>
          <w:t xml:space="preserve">Article 49: The Narrative Symmetry Protocol</w:t>
        </w:r>
        <w:r>
          <w:rPr>
            <w:noProof/>
            <w:webHidden/>
          </w:rPr>
          <w:tab/>
        </w:r>
        <w:r>
          <w:rPr>
            <w:noProof/>
            <w:webHidden/>
          </w:rPr>
          <w:fldChar w:fldCharType="begin"/>
        </w:r>
        <w:r>
          <w:rPr>
            <w:noProof/>
            <w:webHidden/>
          </w:rPr>
          <w:instrText xml:space="preserve"> PAGEREF _Toc26010060 \h </w:instrText>
        </w:r>
        <w:r>
          <w:rPr>
            <w:noProof/>
            <w:webHidden/>
          </w:rPr>
          <w:fldChar w:fldCharType="separate"/>
        </w:r>
        <w:r>
          <w:rPr>
            <w:noProof/>
            <w:webHidden/>
          </w:rPr>
          <w:t>50</w:t>
        </w:r>
        <w:r>
          <w:rPr>
            <w:noProof/>
            <w:webHidden/>
          </w:rPr>
          <w:fldChar w:fldCharType="end"/>
        </w:r>
      </w:hyperlink>
    </w:p>
    <w:p>
      <w:pPr>
        <w:pStyle w:val="TOC1"/>
      </w:pPr>
      <w:hyperlink w:anchor="_Toc26010061" w:history="1">
        <w:r>
          <w:rPr>
            <w:rStyle w:val="Hyperlink"/>
            <w:noProof/>
          </w:rPr>
          <w:t xml:space="preserve">Part VIII: Activation, Continuity, Review, and Final Provisions</w:t>
        </w:r>
        <w:r>
          <w:rPr>
            <w:noProof/>
            <w:webHidden/>
          </w:rPr>
          <w:tab/>
        </w:r>
        <w:r>
          <w:rPr>
            <w:noProof/>
            <w:webHidden/>
          </w:rPr>
          <w:fldChar w:fldCharType="begin"/>
        </w:r>
        <w:r>
          <w:rPr>
            <w:noProof/>
            <w:webHidden/>
          </w:rPr>
          <w:instrText xml:space="preserve"> PAGEREF _Toc26010061 \h </w:instrText>
        </w:r>
        <w:r>
          <w:rPr>
            <w:noProof/>
            <w:webHidden/>
          </w:rPr>
          <w:fldChar w:fldCharType="separate"/>
        </w:r>
        <w:r>
          <w:rPr>
            <w:noProof/>
            <w:webHidden/>
          </w:rPr>
          <w:t>51</w:t>
        </w:r>
        <w:r>
          <w:rPr>
            <w:noProof/>
            <w:webHidden/>
          </w:rPr>
          <w:fldChar w:fldCharType="end"/>
        </w:r>
      </w:hyperlink>
    </w:p>
    <w:p>
      <w:pPr>
        <w:pStyle w:val="TOC2"/>
      </w:pPr>
      <w:hyperlink w:anchor="_Toc26010062" w:history="1">
        <w:r>
          <w:rPr>
            <w:rStyle w:val="Hyperlink"/>
            <w:noProof/>
          </w:rPr>
          <w:t xml:space="preserve">Article 50: Phased Activation</w:t>
        </w:r>
        <w:r>
          <w:rPr>
            <w:noProof/>
            <w:webHidden/>
          </w:rPr>
          <w:tab/>
        </w:r>
        <w:r>
          <w:rPr>
            <w:noProof/>
            <w:webHidden/>
          </w:rPr>
          <w:fldChar w:fldCharType="begin"/>
        </w:r>
        <w:r>
          <w:rPr>
            <w:noProof/>
            <w:webHidden/>
          </w:rPr>
          <w:instrText xml:space="preserve"> PAGEREF _Toc26010062 \h </w:instrText>
        </w:r>
        <w:r>
          <w:rPr>
            <w:noProof/>
            <w:webHidden/>
          </w:rPr>
          <w:fldChar w:fldCharType="separate"/>
        </w:r>
        <w:r>
          <w:rPr>
            <w:noProof/>
            <w:webHidden/>
          </w:rPr>
          <w:t>51</w:t>
        </w:r>
        <w:r>
          <w:rPr>
            <w:noProof/>
            <w:webHidden/>
          </w:rPr>
          <w:fldChar w:fldCharType="end"/>
        </w:r>
      </w:hyperlink>
    </w:p>
    <w:p>
      <w:pPr>
        <w:pStyle w:val="TOC2"/>
      </w:pPr>
      <w:hyperlink w:anchor="_Toc26010063" w:history="1">
        <w:r>
          <w:rPr>
            <w:rStyle w:val="Hyperlink"/>
            <w:noProof/>
          </w:rPr>
          <w:t xml:space="preserve">Article 51: Self-Executing Milestones</w:t>
        </w:r>
        <w:r>
          <w:rPr>
            <w:noProof/>
            <w:webHidden/>
          </w:rPr>
          <w:tab/>
        </w:r>
        <w:r>
          <w:rPr>
            <w:noProof/>
            <w:webHidden/>
          </w:rPr>
          <w:fldChar w:fldCharType="begin"/>
        </w:r>
        <w:r>
          <w:rPr>
            <w:noProof/>
            <w:webHidden/>
          </w:rPr>
          <w:instrText xml:space="preserve"> PAGEREF _Toc26010063 \h </w:instrText>
        </w:r>
        <w:r>
          <w:rPr>
            <w:noProof/>
            <w:webHidden/>
          </w:rPr>
          <w:fldChar w:fldCharType="separate"/>
        </w:r>
        <w:r>
          <w:rPr>
            <w:noProof/>
            <w:webHidden/>
          </w:rPr>
          <w:t>52</w:t>
        </w:r>
        <w:r>
          <w:rPr>
            <w:noProof/>
            <w:webHidden/>
          </w:rPr>
          <w:fldChar w:fldCharType="end"/>
        </w:r>
      </w:hyperlink>
    </w:p>
    <w:p>
      <w:pPr>
        <w:pStyle w:val="TOC2"/>
      </w:pPr>
      <w:hyperlink w:anchor="_Toc26010064" w:history="1">
        <w:r>
          <w:rPr>
            <w:rStyle w:val="Hyperlink"/>
            <w:noProof/>
          </w:rPr>
          <w:t xml:space="preserve">Article 52: The Standing Continuity Rule</w:t>
        </w:r>
        <w:r>
          <w:rPr>
            <w:noProof/>
            <w:webHidden/>
          </w:rPr>
          <w:tab/>
        </w:r>
        <w:r>
          <w:rPr>
            <w:noProof/>
            <w:webHidden/>
          </w:rPr>
          <w:fldChar w:fldCharType="begin"/>
        </w:r>
        <w:r>
          <w:rPr>
            <w:noProof/>
            <w:webHidden/>
          </w:rPr>
          <w:instrText xml:space="preserve"> PAGEREF _Toc26010064 \h </w:instrText>
        </w:r>
        <w:r>
          <w:rPr>
            <w:noProof/>
            <w:webHidden/>
          </w:rPr>
          <w:fldChar w:fldCharType="separate"/>
        </w:r>
        <w:r>
          <w:rPr>
            <w:noProof/>
            <w:webHidden/>
          </w:rPr>
          <w:t>53</w:t>
        </w:r>
        <w:r>
          <w:rPr>
            <w:noProof/>
            <w:webHidden/>
          </w:rPr>
          <w:fldChar w:fldCharType="end"/>
        </w:r>
      </w:hyperlink>
    </w:p>
    <w:p>
      <w:pPr>
        <w:pStyle w:val="TOC2"/>
      </w:pPr>
      <w:hyperlink w:anchor="_Toc26010065" w:history="1">
        <w:r>
          <w:rPr>
            <w:rStyle w:val="Hyperlink"/>
            <w:noProof/>
          </w:rPr>
          <w:t xml:space="preserve">Article 53: Review and Renewal</w:t>
        </w:r>
        <w:r>
          <w:rPr>
            <w:noProof/>
            <w:webHidden/>
          </w:rPr>
          <w:tab/>
        </w:r>
        <w:r>
          <w:rPr>
            <w:noProof/>
            <w:webHidden/>
          </w:rPr>
          <w:fldChar w:fldCharType="begin"/>
        </w:r>
        <w:r>
          <w:rPr>
            <w:noProof/>
            <w:webHidden/>
          </w:rPr>
          <w:instrText xml:space="preserve"> PAGEREF _Toc26010065 \h </w:instrText>
        </w:r>
        <w:r>
          <w:rPr>
            <w:noProof/>
            <w:webHidden/>
          </w:rPr>
          <w:fldChar w:fldCharType="separate"/>
        </w:r>
        <w:r>
          <w:rPr>
            <w:noProof/>
            <w:webHidden/>
          </w:rPr>
          <w:t>54</w:t>
        </w:r>
        <w:r>
          <w:rPr>
            <w:noProof/>
            <w:webHidden/>
          </w:rPr>
          <w:fldChar w:fldCharType="end"/>
        </w:r>
      </w:hyperlink>
    </w:p>
    <w:p>
      <w:pPr>
        <w:pStyle w:val="TOC2"/>
      </w:pPr>
      <w:hyperlink w:anchor="_Toc26010066" w:history="1">
        <w:r>
          <w:rPr>
            <w:rStyle w:val="Hyperlink"/>
            <w:noProof/>
          </w:rPr>
          <w:t xml:space="preserve">Article 54: Accession and Participation</w:t>
        </w:r>
        <w:r>
          <w:rPr>
            <w:noProof/>
            <w:webHidden/>
          </w:rPr>
          <w:tab/>
        </w:r>
        <w:r>
          <w:rPr>
            <w:noProof/>
            <w:webHidden/>
          </w:rPr>
          <w:fldChar w:fldCharType="begin"/>
        </w:r>
        <w:r>
          <w:rPr>
            <w:noProof/>
            <w:webHidden/>
          </w:rPr>
          <w:instrText xml:space="preserve"> PAGEREF _Toc26010066 \h </w:instrText>
        </w:r>
        <w:r>
          <w:rPr>
            <w:noProof/>
            <w:webHidden/>
          </w:rPr>
          <w:fldChar w:fldCharType="separate"/>
        </w:r>
        <w:r>
          <w:rPr>
            <w:noProof/>
            <w:webHidden/>
          </w:rPr>
          <w:t>54</w:t>
        </w:r>
        <w:r>
          <w:rPr>
            <w:noProof/>
            <w:webHidden/>
          </w:rPr>
          <w:fldChar w:fldCharType="end"/>
        </w:r>
      </w:hyperlink>
    </w:p>
    <w:p>
      <w:pPr>
        <w:pStyle w:val="TOC2"/>
      </w:pPr>
      <w:hyperlink w:anchor="_Toc26010067" w:history="1">
        <w:r>
          <w:rPr>
            <w:rStyle w:val="Hyperlink"/>
            <w:noProof/>
          </w:rPr>
          <w:t xml:space="preserve">Article 55: Amendment</w:t>
        </w:r>
        <w:r>
          <w:rPr>
            <w:noProof/>
            <w:webHidden/>
          </w:rPr>
          <w:tab/>
        </w:r>
        <w:r>
          <w:rPr>
            <w:noProof/>
            <w:webHidden/>
          </w:rPr>
          <w:fldChar w:fldCharType="begin"/>
        </w:r>
        <w:r>
          <w:rPr>
            <w:noProof/>
            <w:webHidden/>
          </w:rPr>
          <w:instrText xml:space="preserve"> PAGEREF _Toc26010067 \h </w:instrText>
        </w:r>
        <w:r>
          <w:rPr>
            <w:noProof/>
            <w:webHidden/>
          </w:rPr>
          <w:fldChar w:fldCharType="separate"/>
        </w:r>
        <w:r>
          <w:rPr>
            <w:noProof/>
            <w:webHidden/>
          </w:rPr>
          <w:t>55</w:t>
        </w:r>
        <w:r>
          <w:rPr>
            <w:noProof/>
            <w:webHidden/>
          </w:rPr>
          <w:fldChar w:fldCharType="end"/>
        </w:r>
      </w:hyperlink>
    </w:p>
    <w:p>
      <w:pPr>
        <w:pStyle w:val="TOC2"/>
      </w:pPr>
      <w:hyperlink w:anchor="_Toc26010068" w:history="1">
        <w:r>
          <w:rPr>
            <w:rStyle w:val="Hyperlink"/>
            <w:noProof/>
          </w:rPr>
          <w:t xml:space="preserve">Article 56: Withdrawal, Suspension, Succession, and Reconstitution</w:t>
        </w:r>
        <w:r>
          <w:rPr>
            <w:noProof/>
            <w:webHidden/>
          </w:rPr>
          <w:tab/>
        </w:r>
        <w:r>
          <w:rPr>
            <w:noProof/>
            <w:webHidden/>
          </w:rPr>
          <w:fldChar w:fldCharType="begin"/>
        </w:r>
        <w:r>
          <w:rPr>
            <w:noProof/>
            <w:webHidden/>
          </w:rPr>
          <w:instrText xml:space="preserve"> PAGEREF _Toc26010068 \h </w:instrText>
        </w:r>
        <w:r>
          <w:rPr>
            <w:noProof/>
            <w:webHidden/>
          </w:rPr>
          <w:fldChar w:fldCharType="separate"/>
        </w:r>
        <w:r>
          <w:rPr>
            <w:noProof/>
            <w:webHidden/>
          </w:rPr>
          <w:t>55</w:t>
        </w:r>
        <w:r>
          <w:rPr>
            <w:noProof/>
            <w:webHidden/>
          </w:rPr>
          <w:fldChar w:fldCharType="end"/>
        </w:r>
      </w:hyperlink>
    </w:p>
    <w:p>
      <w:pPr>
        <w:pStyle w:val="TOC2"/>
      </w:pPr>
      <w:hyperlink w:anchor="_Toc26010069" w:history="1">
        <w:r>
          <w:rPr>
            <w:rStyle w:val="Hyperlink"/>
            <w:noProof/>
          </w:rPr>
          <w:t xml:space="preserve">Article 57: Final Provisions</w:t>
        </w:r>
        <w:r>
          <w:rPr>
            <w:noProof/>
            <w:webHidden/>
          </w:rPr>
          <w:tab/>
        </w:r>
        <w:r>
          <w:rPr>
            <w:noProof/>
            <w:webHidden/>
          </w:rPr>
          <w:fldChar w:fldCharType="begin"/>
        </w:r>
        <w:r>
          <w:rPr>
            <w:noProof/>
            <w:webHidden/>
          </w:rPr>
          <w:instrText xml:space="preserve"> PAGEREF _Toc26010069 \h </w:instrText>
        </w:r>
        <w:r>
          <w:rPr>
            <w:noProof/>
            <w:webHidden/>
          </w:rPr>
          <w:fldChar w:fldCharType="separate"/>
        </w:r>
        <w:r>
          <w:rPr>
            <w:noProof/>
            <w:webHidden/>
          </w:rPr>
          <w:t>56</w:t>
        </w:r>
        <w:r>
          <w:rPr>
            <w:noProof/>
            <w:webHidden/>
          </w:rPr>
          <w:fldChar w:fldCharType="end"/>
        </w:r>
      </w:hyperlink>
    </w:p>
    <w:p>
      <w:pPr>
        <w:pStyle w:val="TOC1"/>
      </w:pPr>
      <w:hyperlink w:anchor="_Toc26010070" w:history="1">
        <w:r>
          <w:rPr>
            <w:rStyle w:val="Hyperlink"/>
            <w:noProof/>
          </w:rPr>
          <w:t xml:space="preserve">Annexes</w:t>
        </w:r>
        <w:r>
          <w:rPr>
            <w:noProof/>
            <w:webHidden/>
          </w:rPr>
          <w:tab/>
        </w:r>
        <w:r>
          <w:rPr>
            <w:noProof/>
            <w:webHidden/>
          </w:rPr>
          <w:fldChar w:fldCharType="begin"/>
        </w:r>
        <w:r>
          <w:rPr>
            <w:noProof/>
            <w:webHidden/>
          </w:rPr>
          <w:instrText xml:space="preserve"> PAGEREF _Toc26010070 \h </w:instrText>
        </w:r>
        <w:r>
          <w:rPr>
            <w:noProof/>
            <w:webHidden/>
          </w:rPr>
          <w:fldChar w:fldCharType="separate"/>
        </w:r>
        <w:r>
          <w:rPr>
            <w:noProof/>
            <w:webHidden/>
          </w:rPr>
          <w:t>58</w:t>
        </w:r>
        <w:r>
          <w:rPr>
            <w:noProof/>
            <w:webHidden/>
          </w:rPr>
          <w:fldChar w:fldCharType="end"/>
        </w:r>
      </w:hyperlink>
    </w:p>
    <w:p>
      <w:pPr>
        <w:pStyle w:val="TOC2"/>
      </w:pPr>
      <w:hyperlink w:anchor="_Toc26010071" w:history="1">
        <w:r>
          <w:rPr>
            <w:rStyle w:val="Hyperlink"/>
            <w:noProof/>
          </w:rPr>
          <w:t xml:space="preserve">Annex A: Corridor Coordinates and Geometry Registry</w:t>
        </w:r>
        <w:r>
          <w:rPr>
            <w:noProof/>
            <w:webHidden/>
          </w:rPr>
          <w:tab/>
        </w:r>
        <w:r>
          <w:rPr>
            <w:noProof/>
            <w:webHidden/>
          </w:rPr>
          <w:fldChar w:fldCharType="begin"/>
        </w:r>
        <w:r>
          <w:rPr>
            <w:noProof/>
            <w:webHidden/>
          </w:rPr>
          <w:instrText xml:space="preserve"> PAGEREF _Toc26010071 \h </w:instrText>
        </w:r>
        <w:r>
          <w:rPr>
            <w:noProof/>
            <w:webHidden/>
          </w:rPr>
          <w:fldChar w:fldCharType="separate"/>
        </w:r>
        <w:r>
          <w:rPr>
            <w:noProof/>
            <w:webHidden/>
          </w:rPr>
          <w:t>58</w:t>
        </w:r>
        <w:r>
          <w:rPr>
            <w:noProof/>
            <w:webHidden/>
          </w:rPr>
          <w:fldChar w:fldCharType="end"/>
        </w:r>
      </w:hyperlink>
    </w:p>
    <w:p>
      <w:pPr>
        <w:pStyle w:val="TOC2"/>
      </w:pPr>
      <w:hyperlink w:anchor="_Toc26010072" w:history="1">
        <w:r>
          <w:rPr>
            <w:rStyle w:val="Hyperlink"/>
            <w:noProof/>
          </w:rPr>
          <w:t xml:space="preserve">Annex B: Vessel Classification and Treatment Matrix</w:t>
        </w:r>
        <w:r>
          <w:rPr>
            <w:noProof/>
            <w:webHidden/>
          </w:rPr>
          <w:tab/>
        </w:r>
        <w:r>
          <w:rPr>
            <w:noProof/>
            <w:webHidden/>
          </w:rPr>
          <w:fldChar w:fldCharType="begin"/>
        </w:r>
        <w:r>
          <w:rPr>
            <w:noProof/>
            <w:webHidden/>
          </w:rPr>
          <w:instrText xml:space="preserve"> PAGEREF _Toc26010072 \h </w:instrText>
        </w:r>
        <w:r>
          <w:rPr>
            <w:noProof/>
            <w:webHidden/>
          </w:rPr>
          <w:fldChar w:fldCharType="separate"/>
        </w:r>
        <w:r>
          <w:rPr>
            <w:noProof/>
            <w:webHidden/>
          </w:rPr>
          <w:t>59</w:t>
        </w:r>
        <w:r>
          <w:rPr>
            <w:noProof/>
            <w:webHidden/>
          </w:rPr>
          <w:fldChar w:fldCharType="end"/>
        </w:r>
      </w:hyperlink>
    </w:p>
    <w:p>
      <w:pPr>
        <w:pStyle w:val="TOC2"/>
      </w:pPr>
      <w:hyperlink w:anchor="_Toc26010073" w:history="1">
        <w:r>
          <w:rPr>
            <w:rStyle w:val="Hyperlink"/>
            <w:noProof/>
          </w:rPr>
          <w:t xml:space="preserve">Annex C: The Cooperative Fund Charter</w:t>
        </w:r>
        <w:r>
          <w:rPr>
            <w:noProof/>
            <w:webHidden/>
          </w:rPr>
          <w:tab/>
        </w:r>
        <w:r>
          <w:rPr>
            <w:noProof/>
            <w:webHidden/>
          </w:rPr>
          <w:fldChar w:fldCharType="begin"/>
        </w:r>
        <w:r>
          <w:rPr>
            <w:noProof/>
            <w:webHidden/>
          </w:rPr>
          <w:instrText xml:space="preserve"> PAGEREF _Toc26010073 \h </w:instrText>
        </w:r>
        <w:r>
          <w:rPr>
            <w:noProof/>
            <w:webHidden/>
          </w:rPr>
          <w:fldChar w:fldCharType="separate"/>
        </w:r>
        <w:r>
          <w:rPr>
            <w:noProof/>
            <w:webHidden/>
          </w:rPr>
          <w:t>60</w:t>
        </w:r>
        <w:r>
          <w:rPr>
            <w:noProof/>
            <w:webHidden/>
          </w:rPr>
          <w:fldChar w:fldCharType="end"/>
        </w:r>
      </w:hyperlink>
    </w:p>
    <w:p>
      <w:pPr>
        <w:pStyle w:val="TOC2"/>
      </w:pPr>
      <w:hyperlink w:anchor="_Toc26010074" w:history="1">
        <w:r>
          <w:rPr>
            <w:rStyle w:val="Hyperlink"/>
            <w:noProof/>
          </w:rPr>
          <w:t xml:space="preserve">Annex D: The Verified Services Catalog and Rate Card</w:t>
        </w:r>
        <w:r>
          <w:rPr>
            <w:noProof/>
            <w:webHidden/>
          </w:rPr>
          <w:tab/>
        </w:r>
        <w:r>
          <w:rPr>
            <w:noProof/>
            <w:webHidden/>
          </w:rPr>
          <w:fldChar w:fldCharType="begin"/>
        </w:r>
        <w:r>
          <w:rPr>
            <w:noProof/>
            <w:webHidden/>
          </w:rPr>
          <w:instrText xml:space="preserve"> PAGEREF _Toc26010074 \h </w:instrText>
        </w:r>
        <w:r>
          <w:rPr>
            <w:noProof/>
            <w:webHidden/>
          </w:rPr>
          <w:fldChar w:fldCharType="separate"/>
        </w:r>
        <w:r>
          <w:rPr>
            <w:noProof/>
            <w:webHidden/>
          </w:rPr>
          <w:t>61</w:t>
        </w:r>
        <w:r>
          <w:rPr>
            <w:noProof/>
            <w:webHidden/>
          </w:rPr>
          <w:fldChar w:fldCharType="end"/>
        </w:r>
      </w:hyperlink>
    </w:p>
    <w:p>
      <w:pPr>
        <w:pStyle w:val="TOC2"/>
      </w:pPr>
      <w:hyperlink w:anchor="_Toc26010075" w:history="1">
        <w:r>
          <w:rPr>
            <w:rStyle w:val="Hyperlink"/>
            <w:noProof/>
          </w:rPr>
          <w:t xml:space="preserve">Annex E: The Deviation Classification and Graduated Response Schedule</w:t>
        </w:r>
        <w:r>
          <w:rPr>
            <w:noProof/>
            <w:webHidden/>
          </w:rPr>
          <w:tab/>
        </w:r>
        <w:r>
          <w:rPr>
            <w:noProof/>
            <w:webHidden/>
          </w:rPr>
          <w:fldChar w:fldCharType="begin"/>
        </w:r>
        <w:r>
          <w:rPr>
            <w:noProof/>
            <w:webHidden/>
          </w:rPr>
          <w:instrText xml:space="preserve"> PAGEREF _Toc26010075 \h </w:instrText>
        </w:r>
        <w:r>
          <w:rPr>
            <w:noProof/>
            <w:webHidden/>
          </w:rPr>
          <w:fldChar w:fldCharType="separate"/>
        </w:r>
        <w:r>
          <w:rPr>
            <w:noProof/>
            <w:webHidden/>
          </w:rPr>
          <w:t>62</w:t>
        </w:r>
        <w:r>
          <w:rPr>
            <w:noProof/>
            <w:webHidden/>
          </w:rPr>
          <w:fldChar w:fldCharType="end"/>
        </w:r>
      </w:hyperlink>
    </w:p>
    <w:p>
      <w:pPr>
        <w:pStyle w:val="TOC2"/>
      </w:pPr>
      <w:hyperlink w:anchor="_Toc26010076" w:history="1">
        <w:r>
          <w:rPr>
            <w:rStyle w:val="Hyperlink"/>
            <w:noProof/>
          </w:rPr>
          <w:t xml:space="preserve">Annex F: Communications, Voice Plan, and Hotline Matrix</w:t>
        </w:r>
        <w:r>
          <w:rPr>
            <w:noProof/>
            <w:webHidden/>
          </w:rPr>
          <w:tab/>
        </w:r>
        <w:r>
          <w:rPr>
            <w:noProof/>
            <w:webHidden/>
          </w:rPr>
          <w:fldChar w:fldCharType="begin"/>
        </w:r>
        <w:r>
          <w:rPr>
            <w:noProof/>
            <w:webHidden/>
          </w:rPr>
          <w:instrText xml:space="preserve"> PAGEREF _Toc26010076 \h </w:instrText>
        </w:r>
        <w:r>
          <w:rPr>
            <w:noProof/>
            <w:webHidden/>
          </w:rPr>
          <w:fldChar w:fldCharType="separate"/>
        </w:r>
        <w:r>
          <w:rPr>
            <w:noProof/>
            <w:webHidden/>
          </w:rPr>
          <w:t>63</w:t>
        </w:r>
        <w:r>
          <w:rPr>
            <w:noProof/>
            <w:webHidden/>
          </w:rPr>
          <w:fldChar w:fldCharType="end"/>
        </w:r>
      </w:hyperlink>
    </w:p>
    <w:p>
      <w:pPr>
        <w:pStyle w:val="TOC2"/>
      </w:pPr>
      <w:hyperlink w:anchor="_Toc26010077" w:history="1">
        <w:r>
          <w:rPr>
            <w:rStyle w:val="Hyperlink"/>
            <w:noProof/>
          </w:rPr>
          <w:t xml:space="preserve">Annex G: Verification Methods Manual</w:t>
        </w:r>
        <w:r>
          <w:rPr>
            <w:noProof/>
            <w:webHidden/>
          </w:rPr>
          <w:tab/>
        </w:r>
        <w:r>
          <w:rPr>
            <w:noProof/>
            <w:webHidden/>
          </w:rPr>
          <w:fldChar w:fldCharType="begin"/>
        </w:r>
        <w:r>
          <w:rPr>
            <w:noProof/>
            <w:webHidden/>
          </w:rPr>
          <w:instrText xml:space="preserve"> PAGEREF _Toc26010077 \h </w:instrText>
        </w:r>
        <w:r>
          <w:rPr>
            <w:noProof/>
            <w:webHidden/>
          </w:rPr>
          <w:fldChar w:fldCharType="separate"/>
        </w:r>
        <w:r>
          <w:rPr>
            <w:noProof/>
            <w:webHidden/>
          </w:rPr>
          <w:t>64</w:t>
        </w:r>
        <w:r>
          <w:rPr>
            <w:noProof/>
            <w:webHidden/>
          </w:rPr>
          <w:fldChar w:fldCharType="end"/>
        </w:r>
      </w:hyperlink>
    </w:p>
    <w:p>
      <w:pPr>
        <w:pStyle w:val="TOC2"/>
      </w:pPr>
      <w:hyperlink w:anchor="_Toc26010078" w:history="1">
        <w:r>
          <w:rPr>
            <w:rStyle w:val="Hyperlink"/>
            <w:noProof/>
          </w:rPr>
          <w:t xml:space="preserve">Annex H: Model Forms and Certificates</w:t>
        </w:r>
        <w:r>
          <w:rPr>
            <w:noProof/>
            <w:webHidden/>
          </w:rPr>
          <w:tab/>
        </w:r>
        <w:r>
          <w:rPr>
            <w:noProof/>
            <w:webHidden/>
          </w:rPr>
          <w:fldChar w:fldCharType="begin"/>
        </w:r>
        <w:r>
          <w:rPr>
            <w:noProof/>
            <w:webHidden/>
          </w:rPr>
          <w:instrText xml:space="preserve"> PAGEREF _Toc26010078 \h </w:instrText>
        </w:r>
        <w:r>
          <w:rPr>
            <w:noProof/>
            <w:webHidden/>
          </w:rPr>
          <w:fldChar w:fldCharType="separate"/>
        </w:r>
        <w:r>
          <w:rPr>
            <w:noProof/>
            <w:webHidden/>
          </w:rPr>
          <w:t>64</w:t>
        </w:r>
        <w:r>
          <w:rPr>
            <w:noProof/>
            <w:webHidden/>
          </w:rPr>
          <w:fldChar w:fldCharType="end"/>
        </w:r>
      </w:hyperlink>
    </w:p>
    <w:p>
      <w:pPr>
        <w:pStyle w:val="TOC2"/>
      </w:pPr>
      <w:hyperlink w:anchor="_Toc26010079" w:history="1">
        <w:r>
          <w:rPr>
            <w:rStyle w:val="Hyperlink"/>
            <w:noProof/>
          </w:rPr>
          <w:t xml:space="preserve">Annex I: The Red Lines Register (Full Operative Text)</w:t>
        </w:r>
        <w:r>
          <w:rPr>
            <w:noProof/>
            <w:webHidden/>
          </w:rPr>
          <w:tab/>
        </w:r>
        <w:r>
          <w:rPr>
            <w:noProof/>
            <w:webHidden/>
          </w:rPr>
          <w:fldChar w:fldCharType="begin"/>
        </w:r>
        <w:r>
          <w:rPr>
            <w:noProof/>
            <w:webHidden/>
          </w:rPr>
          <w:instrText xml:space="preserve"> PAGEREF _Toc26010079 \h </w:instrText>
        </w:r>
        <w:r>
          <w:rPr>
            <w:noProof/>
            <w:webHidden/>
          </w:rPr>
          <w:fldChar w:fldCharType="separate"/>
        </w:r>
        <w:r>
          <w:rPr>
            <w:noProof/>
            <w:webHidden/>
          </w:rPr>
          <w:t>65</w:t>
        </w:r>
        <w:r>
          <w:rPr>
            <w:noProof/>
            <w:webHidden/>
          </w:rPr>
          <w:fldChar w:fldCharType="end"/>
        </w:r>
      </w:hyperlink>
    </w:p>
    <w:p>
      <w:pPr>
        <w:pStyle w:val="TOC2"/>
      </w:pPr>
      <w:hyperlink w:anchor="_Toc26010080" w:history="1">
        <w:r>
          <w:rPr>
            <w:rStyle w:val="Hyperlink"/>
            <w:noProof/>
          </w:rPr>
          <w:t xml:space="preserve">Annex J: Environmental Standards and Pollution Response Plan</w:t>
        </w:r>
        <w:r>
          <w:rPr>
            <w:noProof/>
            <w:webHidden/>
          </w:rPr>
          <w:tab/>
        </w:r>
        <w:r>
          <w:rPr>
            <w:noProof/>
            <w:webHidden/>
          </w:rPr>
          <w:fldChar w:fldCharType="begin"/>
        </w:r>
        <w:r>
          <w:rPr>
            <w:noProof/>
            <w:webHidden/>
          </w:rPr>
          <w:instrText xml:space="preserve"> PAGEREF _Toc26010080 \h </w:instrText>
        </w:r>
        <w:r>
          <w:rPr>
            <w:noProof/>
            <w:webHidden/>
          </w:rPr>
          <w:fldChar w:fldCharType="separate"/>
        </w:r>
        <w:r>
          <w:rPr>
            <w:noProof/>
            <w:webHidden/>
          </w:rPr>
          <w:t>66</w:t>
        </w:r>
        <w:r>
          <w:rPr>
            <w:noProof/>
            <w:webHidden/>
          </w:rPr>
          <w:fldChar w:fldCharType="end"/>
        </w:r>
      </w:hyperlink>
    </w:p>
    <w:p>
      <w:pPr>
        <w:pStyle w:val="TOC2"/>
      </w:pPr>
      <w:hyperlink w:anchor="_Toc26010081" w:history="1">
        <w:r>
          <w:rPr>
            <w:rStyle w:val="Hyperlink"/>
            <w:noProof/>
          </w:rPr>
          <w:t xml:space="preserve">Annex K: Search and Rescue Operations Plan</w:t>
        </w:r>
        <w:r>
          <w:rPr>
            <w:noProof/>
            <w:webHidden/>
          </w:rPr>
          <w:tab/>
        </w:r>
        <w:r>
          <w:rPr>
            <w:noProof/>
            <w:webHidden/>
          </w:rPr>
          <w:fldChar w:fldCharType="begin"/>
        </w:r>
        <w:r>
          <w:rPr>
            <w:noProof/>
            <w:webHidden/>
          </w:rPr>
          <w:instrText xml:space="preserve"> PAGEREF _Toc26010081 \h </w:instrText>
        </w:r>
        <w:r>
          <w:rPr>
            <w:noProof/>
            <w:webHidden/>
          </w:rPr>
          <w:fldChar w:fldCharType="separate"/>
        </w:r>
        <w:r>
          <w:rPr>
            <w:noProof/>
            <w:webHidden/>
          </w:rPr>
          <w:t>67</w:t>
        </w:r>
        <w:r>
          <w:rPr>
            <w:noProof/>
            <w:webHidden/>
          </w:rPr>
          <w:fldChar w:fldCharType="end"/>
        </w:r>
      </w:hyperlink>
    </w:p>
    <w:p>
      <w:pPr>
        <w:pStyle w:val="TOC2"/>
      </w:pPr>
      <w:hyperlink w:anchor="_Toc26010082" w:history="1">
        <w:r>
          <w:rPr>
            <w:rStyle w:val="Hyperlink"/>
            <w:noProof/>
          </w:rPr>
          <w:t xml:space="preserve">Annex L: Activation Timeline and Checklists</w:t>
        </w:r>
        <w:r>
          <w:rPr>
            <w:noProof/>
            <w:webHidden/>
          </w:rPr>
          <w:tab/>
        </w:r>
        <w:r>
          <w:rPr>
            <w:noProof/>
            <w:webHidden/>
          </w:rPr>
          <w:fldChar w:fldCharType="begin"/>
        </w:r>
        <w:r>
          <w:rPr>
            <w:noProof/>
            <w:webHidden/>
          </w:rPr>
          <w:instrText xml:space="preserve"> PAGEREF _Toc26010082 \h </w:instrText>
        </w:r>
        <w:r>
          <w:rPr>
            <w:noProof/>
            <w:webHidden/>
          </w:rPr>
          <w:fldChar w:fldCharType="separate"/>
        </w:r>
        <w:r>
          <w:rPr>
            <w:noProof/>
            <w:webHidden/>
          </w:rPr>
          <w:t>68</w:t>
        </w:r>
        <w:r>
          <w:rPr>
            <w:noProof/>
            <w:webHidden/>
          </w:rPr>
          <w:fldChar w:fldCharType="end"/>
        </w:r>
      </w:hyperlink>
    </w:p>
    <w:p>
      <w:pPr>
        <w:pStyle w:val="TOC2"/>
      </w:pPr>
      <w:hyperlink w:anchor="_Toc26010083" w:history="1">
        <w:r>
          <w:rPr>
            <w:rStyle w:val="Hyperlink"/>
            <w:noProof/>
          </w:rPr>
          <w:t xml:space="preserve">Annex M: Accession, Adherence, and Participation Registers</w:t>
        </w:r>
        <w:r>
          <w:rPr>
            <w:noProof/>
            <w:webHidden/>
          </w:rPr>
          <w:tab/>
        </w:r>
        <w:r>
          <w:rPr>
            <w:noProof/>
            <w:webHidden/>
          </w:rPr>
          <w:fldChar w:fldCharType="begin"/>
        </w:r>
        <w:r>
          <w:rPr>
            <w:noProof/>
            <w:webHidden/>
          </w:rPr>
          <w:instrText xml:space="preserve"> PAGEREF _Toc26010083 \h </w:instrText>
        </w:r>
        <w:r>
          <w:rPr>
            <w:noProof/>
            <w:webHidden/>
          </w:rPr>
          <w:fldChar w:fldCharType="separate"/>
        </w:r>
        <w:r>
          <w:rPr>
            <w:noProof/>
            <w:webHidden/>
          </w:rPr>
          <w:t>69</w:t>
        </w:r>
        <w:r>
          <w:rPr>
            <w:noProof/>
            <w:webHidden/>
          </w:rPr>
          <w:fldChar w:fldCharType="end"/>
        </w:r>
      </w:hyperlink>
    </w:p>
    <w:p>
      <w:pPr>
        <w:pStyle w:val="TOC2"/>
      </w:pPr>
      <w:hyperlink w:anchor="_Toc26010084" w:history="1">
        <w:r>
          <w:rPr>
            <w:rStyle w:val="Hyperlink"/>
            <w:noProof/>
          </w:rPr>
          <w:t xml:space="preserve">Annex N: The Neutral Terminology Register</w:t>
        </w:r>
        <w:r>
          <w:rPr>
            <w:noProof/>
            <w:webHidden/>
          </w:rPr>
          <w:tab/>
        </w:r>
        <w:r>
          <w:rPr>
            <w:noProof/>
            <w:webHidden/>
          </w:rPr>
          <w:fldChar w:fldCharType="begin"/>
        </w:r>
        <w:r>
          <w:rPr>
            <w:noProof/>
            <w:webHidden/>
          </w:rPr>
          <w:instrText xml:space="preserve"> PAGEREF _Toc26010084 \h </w:instrText>
        </w:r>
        <w:r>
          <w:rPr>
            <w:noProof/>
            <w:webHidden/>
          </w:rPr>
          <w:fldChar w:fldCharType="separate"/>
        </w:r>
        <w:r>
          <w:rPr>
            <w:noProof/>
            <w:webHidden/>
          </w:rPr>
          <w:t>69</w:t>
        </w:r>
        <w:r>
          <w:rPr>
            <w:noProof/>
            <w:webHidden/>
          </w:rPr>
          <w:fldChar w:fldCharType="end"/>
        </w:r>
      </w:hyperlink>
    </w:p>
    <w:p>
      <w:pPr>
        <w:pStyle w:val="TOC2"/>
      </w:pPr>
      <w:hyperlink w:anchor="_Toc26010085" w:history="1">
        <w:r>
          <w:rPr>
            <w:rStyle w:val="Hyperlink"/>
            <w:noProof/>
          </w:rPr>
          <w:t xml:space="preserve">Annex O: The Tolls Settlement Reference Matrix and Proposal History Map</w:t>
        </w:r>
        <w:r>
          <w:rPr>
            <w:noProof/>
            <w:webHidden/>
          </w:rPr>
          <w:tab/>
        </w:r>
        <w:r>
          <w:rPr>
            <w:noProof/>
            <w:webHidden/>
          </w:rPr>
          <w:fldChar w:fldCharType="begin"/>
        </w:r>
        <w:r>
          <w:rPr>
            <w:noProof/>
            <w:webHidden/>
          </w:rPr>
          <w:instrText xml:space="preserve"> PAGEREF _Toc26010085 \h </w:instrText>
        </w:r>
        <w:r>
          <w:rPr>
            <w:noProof/>
            <w:webHidden/>
          </w:rPr>
          <w:fldChar w:fldCharType="separate"/>
        </w:r>
        <w:r>
          <w:rPr>
            <w:noProof/>
            <w:webHidden/>
          </w:rPr>
          <w:t>70</w:t>
        </w:r>
        <w:r>
          <w:rPr>
            <w:noProof/>
            <w:webHidden/>
          </w:rPr>
          <w:fldChar w:fldCharType="end"/>
        </w:r>
      </w:hyperlink>
    </w:p>
    <w:p>
      <w:pPr>
        <w:pStyle w:val="TOC2"/>
      </w:pPr>
      <w:hyperlink w:anchor="_Toc26010086" w:history="1">
        <w:r>
          <w:rPr>
            <w:rStyle w:val="Hyperlink"/>
            <w:noProof/>
          </w:rPr>
          <w:t xml:space="preserve">Annex P: The Risk Register and Spoiler Management</w:t>
        </w:r>
        <w:r>
          <w:rPr>
            <w:noProof/>
            <w:webHidden/>
          </w:rPr>
          <w:tab/>
        </w:r>
        <w:r>
          <w:rPr>
            <w:noProof/>
            <w:webHidden/>
          </w:rPr>
          <w:fldChar w:fldCharType="begin"/>
        </w:r>
        <w:r>
          <w:rPr>
            <w:noProof/>
            <w:webHidden/>
          </w:rPr>
          <w:instrText xml:space="preserve"> PAGEREF _Toc26010086 \h </w:instrText>
        </w:r>
        <w:r>
          <w:rPr>
            <w:noProof/>
            <w:webHidden/>
          </w:rPr>
          <w:fldChar w:fldCharType="separate"/>
        </w:r>
        <w:r>
          <w:rPr>
            <w:noProof/>
            <w:webHidden/>
          </w:rPr>
          <w:t>71</w:t>
        </w:r>
        <w:r>
          <w:rPr>
            <w:noProof/>
            <w:webHidden/>
          </w:rPr>
          <w:fldChar w:fldCharType="end"/>
        </w:r>
      </w:hyperlink>
    </w:p>
    <w:p>
      <w:pPr>
        <w:pStyle w:val="TOC2"/>
      </w:pPr>
      <w:hyperlink w:anchor="_Toc26010087" w:history="1">
        <w:r>
          <w:rPr>
            <w:rStyle w:val="Hyperlink"/>
            <w:noProof/>
          </w:rPr>
          <w:t xml:space="preserve">Annex Q: Stress-Test Scenarios</w:t>
        </w:r>
        <w:r>
          <w:rPr>
            <w:noProof/>
            <w:webHidden/>
          </w:rPr>
          <w:tab/>
        </w:r>
        <w:r>
          <w:rPr>
            <w:noProof/>
            <w:webHidden/>
          </w:rPr>
          <w:fldChar w:fldCharType="begin"/>
        </w:r>
        <w:r>
          <w:rPr>
            <w:noProof/>
            <w:webHidden/>
          </w:rPr>
          <w:instrText xml:space="preserve"> PAGEREF _Toc26010087 \h </w:instrText>
        </w:r>
        <w:r>
          <w:rPr>
            <w:noProof/>
            <w:webHidden/>
          </w:rPr>
          <w:fldChar w:fldCharType="separate"/>
        </w:r>
        <w:r>
          <w:rPr>
            <w:noProof/>
            <w:webHidden/>
          </w:rPr>
          <w:t>72</w:t>
        </w:r>
        <w:r>
          <w:rPr>
            <w:noProof/>
            <w:webHidden/>
          </w:rPr>
          <w:fldChar w:fldCharType="end"/>
        </w:r>
      </w:hyperlink>
    </w:p>
    <w:p>
      <w:pPr>
        <w:pStyle w:val="TOC2"/>
      </w:pPr>
      <w:hyperlink w:anchor="_Toc26010088" w:history="1">
        <w:r>
          <w:rPr>
            <w:rStyle w:val="Hyperlink"/>
            <w:noProof/>
          </w:rPr>
          <w:t xml:space="preserve">Annex R: Performance Metrics and Publication Schedule</w:t>
        </w:r>
        <w:r>
          <w:rPr>
            <w:noProof/>
            <w:webHidden/>
          </w:rPr>
          <w:tab/>
        </w:r>
        <w:r>
          <w:rPr>
            <w:noProof/>
            <w:webHidden/>
          </w:rPr>
          <w:fldChar w:fldCharType="begin"/>
        </w:r>
        <w:r>
          <w:rPr>
            <w:noProof/>
            <w:webHidden/>
          </w:rPr>
          <w:instrText xml:space="preserve"> PAGEREF _Toc26010088 \h </w:instrText>
        </w:r>
        <w:r>
          <w:rPr>
            <w:noProof/>
            <w:webHidden/>
          </w:rPr>
          <w:fldChar w:fldCharType="separate"/>
        </w:r>
        <w:r>
          <w:rPr>
            <w:noProof/>
            <w:webHidden/>
          </w:rPr>
          <w:t>73</w:t>
        </w:r>
        <w:r>
          <w:rPr>
            <w:noProof/>
            <w:webHidden/>
          </w:rPr>
          <w:fldChar w:fldCharType="end"/>
        </w:r>
      </w:hyperlink>
    </w:p>
    <w:p>
      <w:pPr>
        <w:pStyle w:val="TOC2"/>
      </w:pPr>
      <w:hyperlink w:anchor="_Toc26010089" w:history="1">
        <w:r>
          <w:rPr>
            <w:rStyle w:val="Hyperlink"/>
            <w:noProof/>
          </w:rPr>
          <w:t xml:space="preserve">Annex S: Provenance and Design Sources</w:t>
        </w:r>
        <w:r>
          <w:rPr>
            <w:noProof/>
            <w:webHidden/>
          </w:rPr>
          <w:tab/>
        </w:r>
        <w:r>
          <w:rPr>
            <w:noProof/>
            <w:webHidden/>
          </w:rPr>
          <w:fldChar w:fldCharType="begin"/>
        </w:r>
        <w:r>
          <w:rPr>
            <w:noProof/>
            <w:webHidden/>
          </w:rPr>
          <w:instrText xml:space="preserve"> PAGEREF _Toc26010089 \h </w:instrText>
        </w:r>
        <w:r>
          <w:rPr>
            <w:noProof/>
            <w:webHidden/>
          </w:rPr>
          <w:fldChar w:fldCharType="separate"/>
        </w:r>
        <w:r>
          <w:rPr>
            <w:noProof/>
            <w:webHidden/>
          </w:rPr>
          <w:t>74</w:t>
        </w:r>
        <w:r>
          <w:rPr>
            <w:noProof/>
            <w:webHidden/>
          </w:rPr>
          <w:fldChar w:fldCharType="end"/>
        </w:r>
      </w:hyperlink>
    </w:p>
    <w:p>
      <w:r>
        <w:fldChar w:fldCharType="end"/>
      </w:r>
    </w:p>
    <w:p>
      <w:pPr>
        <w:sectPr>
          <w:type w:val="nextPage"/>
          <w:pgSz w:w="11906" w:h="16838"/>
          <w:pgMar w:top="1440" w:right="1440" w:bottom="1440" w:left="1440" w:header="720" w:footer="720"/>
        </w:sectPr>
      </w:pPr>
    </w:p>
    <w:p>
      <w:pPr>
        <w:pStyle w:val="Heading1"/>
      </w:pPr>
      <w:r>
        <w:rPr>
          <w:rFonts w:ascii="Cambria" w:hAnsi="Cambria"/>
          <w:color w:val="262626"/>
          <w:sz w:val="21"/>
        </w:rPr>
        <w:t xml:space="preserve">Document Control and Instrument Record</w:t>
      </w:r>
      <w:bookmarkStart w:id="500" w:name="_Toc26010001"/>
      <w:bookmarkEnd w:id="500"/>
    </w:p>
    <w:p>
      <w:pPr>
        <w:pStyle w:val="Heading3"/>
      </w:pPr>
      <w:r>
        <w:rPr>
          <w:rFonts w:ascii="Cambria" w:hAnsi="Cambria"/>
          <w:color w:val="262626"/>
          <w:sz w:val="21"/>
        </w:rPr>
        <w:t xml:space="preserve">Instrument Identity</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700"/>
        <w:gridCol w:w="6326"/>
      </w:tblGrid>
      <w:tr>
        <w:trPr>
          <w:tblHeader/>
        </w:trPr>
        <w:tc>
          <w:tcPr>
            <w:tcW w:w="2700" w:type="dxa"/>
            <w:shd w:val="clear" w:fill="E9F1F3"/>
            <w:vAlign w:val="top"/>
          </w:tcPr>
          <w:p>
            <w:pPr>
              <w:spacing w:before="20" w:after="20" w:line="276" w:lineRule="auto"/>
              <w:jc w:val="left"/>
            </w:pPr>
            <w:r>
              <w:rPr>
                <w:rFonts w:ascii="Calibri" w:hAnsi="Calibri"/>
                <w:b/>
                <w:color w:val="16404E"/>
                <w:sz w:val="19"/>
              </w:rPr>
              <w:t xml:space="preserve">Field</w:t>
            </w:r>
          </w:p>
        </w:tc>
        <w:tc>
          <w:tcPr>
            <w:tcW w:w="6326" w:type="dxa"/>
            <w:shd w:val="clear" w:fill="E9F1F3"/>
            <w:vAlign w:val="top"/>
          </w:tcPr>
          <w:p>
            <w:pPr>
              <w:spacing w:before="20" w:after="20" w:line="276" w:lineRule="auto"/>
              <w:jc w:val="left"/>
            </w:pPr>
            <w:r>
              <w:rPr>
                <w:rFonts w:ascii="Calibri" w:hAnsi="Calibri"/>
                <w:b/>
                <w:color w:val="16404E"/>
                <w:sz w:val="19"/>
              </w:rPr>
              <w:t xml:space="preserve">Entry</w:t>
            </w:r>
          </w:p>
        </w:tc>
      </w:tr>
      <w:tr>
        <w:tc>
          <w:tcPr>
            <w:tcW w:w="2700" w:type="dxa"/>
            <w:vAlign w:val="top"/>
          </w:tcPr>
          <w:p>
            <w:pPr>
              <w:spacing w:before="20" w:after="20" w:line="276" w:lineRule="auto"/>
              <w:jc w:val="left"/>
            </w:pPr>
            <w:r>
              <w:rPr>
                <w:rFonts w:ascii="Calibri" w:hAnsi="Calibri"/>
                <w:color w:val="262626"/>
                <w:sz w:val="18"/>
              </w:rPr>
              <w:t xml:space="preserve">Instrument name</w:t>
            </w:r>
          </w:p>
        </w:tc>
        <w:tc>
          <w:tcPr>
            <w:tcW w:w="6326" w:type="dxa"/>
            <w:vAlign w:val="top"/>
          </w:tcPr>
          <w:p>
            <w:pPr>
              <w:spacing w:before="20" w:after="20" w:line="276" w:lineRule="auto"/>
              <w:jc w:val="left"/>
            </w:pPr>
            <w:r>
              <w:rPr>
                <w:rFonts w:ascii="Calibri" w:hAnsi="Calibri"/>
                <w:color w:val="262626"/>
                <w:sz w:val="18"/>
              </w:rPr>
              <w:t xml:space="preserve">The Hormuz Operations &amp; Navigation Agreement v1.0</w:t>
            </w:r>
          </w:p>
        </w:tc>
      </w:tr>
      <w:tr>
        <w:tc>
          <w:tcPr>
            <w:tcW w:w="2700" w:type="dxa"/>
            <w:vAlign w:val="top"/>
          </w:tcPr>
          <w:p>
            <w:pPr>
              <w:spacing w:before="20" w:after="20" w:line="276" w:lineRule="auto"/>
              <w:jc w:val="left"/>
            </w:pPr>
            <w:r>
              <w:rPr>
                <w:rFonts w:ascii="Calibri" w:hAnsi="Calibri"/>
                <w:color w:val="262626"/>
                <w:sz w:val="18"/>
              </w:rPr>
              <w:t xml:space="preserve">Short form</w:t>
            </w:r>
          </w:p>
        </w:tc>
        <w:tc>
          <w:tcPr>
            <w:tcW w:w="6326" w:type="dxa"/>
            <w:vAlign w:val="top"/>
          </w:tcPr>
          <w:p>
            <w:pPr>
              <w:spacing w:before="20" w:after="20" w:line="276" w:lineRule="auto"/>
              <w:jc w:val="left"/>
            </w:pPr>
            <w:r>
              <w:rPr>
                <w:rFonts w:ascii="Calibri" w:hAnsi="Calibri"/>
                <w:color w:val="262626"/>
                <w:sz w:val="18"/>
              </w:rPr>
              <w:t xml:space="preserve">HONA v1.0</w:t>
            </w:r>
          </w:p>
        </w:tc>
      </w:tr>
      <w:tr>
        <w:tc>
          <w:tcPr>
            <w:tcW w:w="2700" w:type="dxa"/>
            <w:vAlign w:val="top"/>
          </w:tcPr>
          <w:p>
            <w:pPr>
              <w:spacing w:before="20" w:after="20" w:line="276" w:lineRule="auto"/>
              <w:jc w:val="left"/>
            </w:pPr>
            <w:r>
              <w:rPr>
                <w:rFonts w:ascii="Calibri" w:hAnsi="Calibri"/>
                <w:color w:val="262626"/>
                <w:sz w:val="18"/>
              </w:rPr>
              <w:t xml:space="preserve">Negotiation reference</w:t>
            </w:r>
          </w:p>
        </w:tc>
        <w:tc>
          <w:tcPr>
            <w:tcW w:w="6326" w:type="dxa"/>
            <w:vAlign w:val="top"/>
          </w:tcPr>
          <w:p>
            <w:pPr>
              <w:spacing w:before="20" w:after="20" w:line="276" w:lineRule="auto"/>
              <w:jc w:val="left"/>
            </w:pPr>
            <w:r>
              <w:rPr>
                <w:rFonts w:ascii="Calibri" w:hAnsi="Calibri"/>
                <w:color w:val="262626"/>
                <w:sz w:val="18"/>
              </w:rPr>
              <w:t xml:space="preserve">HONA-2026-v1.0</w:t>
            </w:r>
          </w:p>
        </w:tc>
      </w:tr>
      <w:tr>
        <w:tc>
          <w:tcPr>
            <w:tcW w:w="2700" w:type="dxa"/>
            <w:vAlign w:val="top"/>
          </w:tcPr>
          <w:p>
            <w:pPr>
              <w:spacing w:before="20" w:after="20" w:line="276" w:lineRule="auto"/>
              <w:jc w:val="left"/>
            </w:pPr>
            <w:r>
              <w:rPr>
                <w:rFonts w:ascii="Calibri" w:hAnsi="Calibri"/>
                <w:color w:val="262626"/>
                <w:sz w:val="18"/>
              </w:rPr>
              <w:t xml:space="preserve">Status</w:t>
            </w:r>
          </w:p>
        </w:tc>
        <w:tc>
          <w:tcPr>
            <w:tcW w:w="6326" w:type="dxa"/>
            <w:vAlign w:val="top"/>
          </w:tcPr>
          <w:p>
            <w:pPr>
              <w:spacing w:before="20" w:after="20" w:line="276" w:lineRule="auto"/>
              <w:jc w:val="left"/>
            </w:pPr>
            <w:r>
              <w:rPr>
                <w:rFonts w:ascii="Calibri" w:hAnsi="Calibri"/>
                <w:color w:val="262626"/>
                <w:sz w:val="18"/>
              </w:rPr>
              <w:t xml:space="preserve">Negotiation draft for authorized participants; subject to revision through the facilitation channel</w:t>
            </w:r>
          </w:p>
        </w:tc>
      </w:tr>
      <w:tr>
        <w:tc>
          <w:tcPr>
            <w:tcW w:w="2700" w:type="dxa"/>
            <w:vAlign w:val="top"/>
          </w:tcPr>
          <w:p>
            <w:pPr>
              <w:spacing w:before="20" w:after="20" w:line="276" w:lineRule="auto"/>
              <w:jc w:val="left"/>
            </w:pPr>
            <w:r>
              <w:rPr>
                <w:rFonts w:ascii="Calibri" w:hAnsi="Calibri"/>
                <w:color w:val="262626"/>
                <w:sz w:val="18"/>
              </w:rPr>
              <w:t xml:space="preserve">Date of issue</w:t>
            </w:r>
          </w:p>
        </w:tc>
        <w:tc>
          <w:tcPr>
            <w:tcW w:w="6326" w:type="dxa"/>
            <w:vAlign w:val="top"/>
          </w:tcPr>
          <w:p>
            <w:pPr>
              <w:spacing w:before="20" w:after="20" w:line="276" w:lineRule="auto"/>
              <w:jc w:val="left"/>
            </w:pPr>
            <w:r>
              <w:rPr>
                <w:rFonts w:ascii="Calibri" w:hAnsi="Calibri"/>
                <w:color w:val="262626"/>
                <w:sz w:val="18"/>
              </w:rPr>
              <w:t xml:space="preserve">3 August 2026</w:t>
            </w:r>
          </w:p>
        </w:tc>
      </w:tr>
      <w:tr>
        <w:tc>
          <w:tcPr>
            <w:tcW w:w="2700" w:type="dxa"/>
            <w:vAlign w:val="top"/>
          </w:tcPr>
          <w:p>
            <w:pPr>
              <w:spacing w:before="20" w:after="20" w:line="276" w:lineRule="auto"/>
              <w:jc w:val="left"/>
            </w:pPr>
            <w:r>
              <w:rPr>
                <w:rFonts w:ascii="Calibri" w:hAnsi="Calibri"/>
                <w:color w:val="262626"/>
                <w:sz w:val="18"/>
              </w:rPr>
              <w:t xml:space="preserve">Facilitation</w:t>
            </w:r>
          </w:p>
        </w:tc>
        <w:tc>
          <w:tcPr>
            <w:tcW w:w="6326" w:type="dxa"/>
            <w:vAlign w:val="top"/>
          </w:tcPr>
          <w:p>
            <w:pPr>
              <w:spacing w:before="20" w:after="20" w:line="276" w:lineRule="auto"/>
              <w:jc w:val="left"/>
            </w:pPr>
            <w:r>
              <w:rPr>
                <w:rFonts w:ascii="Calibri" w:hAnsi="Calibri"/>
                <w:color w:val="262626"/>
                <w:sz w:val="18"/>
              </w:rPr>
              <w:t xml:space="preserve">Sultanate of Oman, State of Qatar, Swiss Confederation, Islamic Republic of Pakistan</w:t>
            </w:r>
          </w:p>
        </w:tc>
      </w:tr>
      <w:tr>
        <w:tc>
          <w:tcPr>
            <w:tcW w:w="2700" w:type="dxa"/>
            <w:vAlign w:val="top"/>
          </w:tcPr>
          <w:p>
            <w:pPr>
              <w:spacing w:before="20" w:after="20" w:line="276" w:lineRule="auto"/>
              <w:jc w:val="left"/>
            </w:pPr>
            <w:r>
              <w:rPr>
                <w:rFonts w:ascii="Calibri" w:hAnsi="Calibri"/>
                <w:color w:val="262626"/>
                <w:sz w:val="18"/>
              </w:rPr>
              <w:t xml:space="preserve">Diplomatic depositary</w:t>
            </w:r>
          </w:p>
        </w:tc>
        <w:tc>
          <w:tcPr>
            <w:tcW w:w="6326" w:type="dxa"/>
            <w:vAlign w:val="top"/>
          </w:tcPr>
          <w:p>
            <w:pPr>
              <w:spacing w:before="20" w:after="20" w:line="276" w:lineRule="auto"/>
              <w:jc w:val="left"/>
            </w:pPr>
            <w:r>
              <w:rPr>
                <w:rFonts w:ascii="Calibri" w:hAnsi="Calibri"/>
                <w:color w:val="262626"/>
                <w:sz w:val="18"/>
              </w:rPr>
              <w:t xml:space="preserve">State of Qatar</w:t>
            </w:r>
          </w:p>
        </w:tc>
      </w:tr>
      <w:tr>
        <w:tc>
          <w:tcPr>
            <w:tcW w:w="2700" w:type="dxa"/>
            <w:vAlign w:val="top"/>
          </w:tcPr>
          <w:p>
            <w:pPr>
              <w:spacing w:before="20" w:after="20" w:line="276" w:lineRule="auto"/>
              <w:jc w:val="left"/>
            </w:pPr>
            <w:r>
              <w:rPr>
                <w:rFonts w:ascii="Calibri" w:hAnsi="Calibri"/>
                <w:color w:val="262626"/>
                <w:sz w:val="18"/>
              </w:rPr>
              <w:t xml:space="preserve">Financial fiduciary</w:t>
            </w:r>
          </w:p>
        </w:tc>
        <w:tc>
          <w:tcPr>
            <w:tcW w:w="6326" w:type="dxa"/>
            <w:vAlign w:val="top"/>
          </w:tcPr>
          <w:p>
            <w:pPr>
              <w:spacing w:before="20" w:after="20" w:line="276" w:lineRule="auto"/>
              <w:jc w:val="left"/>
            </w:pPr>
            <w:r>
              <w:rPr>
                <w:rFonts w:ascii="Calibri" w:hAnsi="Calibri"/>
                <w:color w:val="262626"/>
                <w:sz w:val="18"/>
              </w:rPr>
              <w:t xml:space="preserve">Swiss Confederation, through the Neutral Technical Secretariat</w:t>
            </w:r>
          </w:p>
        </w:tc>
      </w:tr>
      <w:tr>
        <w:tc>
          <w:tcPr>
            <w:tcW w:w="2700" w:type="dxa"/>
            <w:vAlign w:val="top"/>
          </w:tcPr>
          <w:p>
            <w:pPr>
              <w:spacing w:before="20" w:after="20" w:line="276" w:lineRule="auto"/>
              <w:jc w:val="left"/>
            </w:pPr>
            <w:r>
              <w:rPr>
                <w:rFonts w:ascii="Calibri" w:hAnsi="Calibri"/>
                <w:color w:val="262626"/>
                <w:sz w:val="18"/>
              </w:rPr>
              <w:t xml:space="preserve">Technical liaison</w:t>
            </w:r>
          </w:p>
        </w:tc>
        <w:tc>
          <w:tcPr>
            <w:tcW w:w="6326" w:type="dxa"/>
            <w:vAlign w:val="top"/>
          </w:tcPr>
          <w:p>
            <w:pPr>
              <w:spacing w:before="20" w:after="20" w:line="276" w:lineRule="auto"/>
              <w:jc w:val="left"/>
            </w:pPr>
            <w:r>
              <w:rPr>
                <w:rFonts w:ascii="Calibri" w:hAnsi="Calibri"/>
                <w:color w:val="262626"/>
                <w:sz w:val="18"/>
              </w:rPr>
              <w:t xml:space="preserve">International Maritime Organization, observer capacity</w:t>
            </w:r>
          </w:p>
        </w:tc>
      </w:tr>
      <w:tr>
        <w:tc>
          <w:tcPr>
            <w:tcW w:w="2700" w:type="dxa"/>
            <w:vAlign w:val="top"/>
          </w:tcPr>
          <w:p>
            <w:pPr>
              <w:spacing w:before="20" w:after="20" w:line="276" w:lineRule="auto"/>
              <w:jc w:val="left"/>
            </w:pPr>
            <w:r>
              <w:rPr>
                <w:rFonts w:ascii="Calibri" w:hAnsi="Calibri"/>
                <w:color w:val="262626"/>
                <w:sz w:val="18"/>
              </w:rPr>
              <w:t xml:space="preserve">Languages of record</w:t>
            </w:r>
          </w:p>
        </w:tc>
        <w:tc>
          <w:tcPr>
            <w:tcW w:w="6326" w:type="dxa"/>
            <w:vAlign w:val="top"/>
          </w:tcPr>
          <w:p>
            <w:pPr>
              <w:spacing w:before="20" w:after="20" w:line="276" w:lineRule="auto"/>
              <w:jc w:val="left"/>
            </w:pPr>
            <w:r>
              <w:rPr>
                <w:rFonts w:ascii="Calibri" w:hAnsi="Calibri"/>
                <w:color w:val="262626"/>
                <w:sz w:val="18"/>
              </w:rPr>
              <w:t xml:space="preserve">English, Arabic, and Persian, each equally authentic</w:t>
            </w:r>
          </w:p>
        </w:tc>
      </w:tr>
    </w:tbl>
    <w:p>
      <w:pPr>
        <w:spacing w:before="60" w:after="120"/>
      </w:pPr>
    </w:p>
    <w:p>
      <w:pPr>
        <w:pStyle w:val="Heading3"/>
      </w:pPr>
      <w:r>
        <w:rPr>
          <w:rFonts w:ascii="Cambria" w:hAnsi="Cambria"/>
          <w:color w:val="262626"/>
          <w:sz w:val="21"/>
        </w:rPr>
        <w:t xml:space="preserve">Version History</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250"/>
        <w:gridCol w:w="2700"/>
        <w:gridCol w:w="4076"/>
      </w:tblGrid>
      <w:tr>
        <w:trPr>
          <w:tblHeader/>
        </w:trPr>
        <w:tc>
          <w:tcPr>
            <w:tcW w:w="2250" w:type="dxa"/>
            <w:shd w:val="clear" w:fill="E9F1F3"/>
            <w:vAlign w:val="top"/>
          </w:tcPr>
          <w:p>
            <w:pPr>
              <w:spacing w:before="20" w:after="20" w:line="276" w:lineRule="auto"/>
              <w:jc w:val="left"/>
            </w:pPr>
            <w:r>
              <w:rPr>
                <w:rFonts w:ascii="Calibri" w:hAnsi="Calibri"/>
                <w:b/>
                <w:color w:val="16404E"/>
                <w:sz w:val="19"/>
              </w:rPr>
              <w:t xml:space="preserve">Version</w:t>
            </w:r>
          </w:p>
        </w:tc>
        <w:tc>
          <w:tcPr>
            <w:tcW w:w="2700" w:type="dxa"/>
            <w:shd w:val="clear" w:fill="E9F1F3"/>
            <w:vAlign w:val="top"/>
          </w:tcPr>
          <w:p>
            <w:pPr>
              <w:spacing w:before="20" w:after="20" w:line="276" w:lineRule="auto"/>
              <w:jc w:val="left"/>
            </w:pPr>
            <w:r>
              <w:rPr>
                <w:rFonts w:ascii="Calibri" w:hAnsi="Calibri"/>
                <w:b/>
                <w:color w:val="16404E"/>
                <w:sz w:val="19"/>
              </w:rPr>
              <w:t xml:space="preserve">Date</w:t>
            </w:r>
          </w:p>
        </w:tc>
        <w:tc>
          <w:tcPr>
            <w:tcW w:w="4076" w:type="dxa"/>
            <w:shd w:val="clear" w:fill="E9F1F3"/>
            <w:vAlign w:val="top"/>
          </w:tcPr>
          <w:p>
            <w:pPr>
              <w:spacing w:before="20" w:after="20" w:line="276" w:lineRule="auto"/>
              <w:jc w:val="left"/>
            </w:pPr>
            <w:r>
              <w:rPr>
                <w:rFonts w:ascii="Calibri" w:hAnsi="Calibri"/>
                <w:b/>
                <w:color w:val="16404E"/>
                <w:sz w:val="19"/>
              </w:rPr>
              <w:t xml:space="preserve">Record of Change</w:t>
            </w:r>
          </w:p>
        </w:tc>
      </w:tr>
      <w:tr>
        <w:tc>
          <w:tcPr>
            <w:tcW w:w="2250" w:type="dxa"/>
            <w:vAlign w:val="top"/>
          </w:tcPr>
          <w:p>
            <w:pPr>
              <w:spacing w:before="20" w:after="20" w:line="276" w:lineRule="auto"/>
              <w:jc w:val="left"/>
            </w:pPr>
            <w:r>
              <w:rPr>
                <w:rFonts w:ascii="Calibri" w:hAnsi="Calibri"/>
                <w:color w:val="262626"/>
                <w:sz w:val="18"/>
              </w:rPr>
              <w:t xml:space="preserve">v1.0</w:t>
            </w:r>
          </w:p>
        </w:tc>
        <w:tc>
          <w:tcPr>
            <w:tcW w:w="2700" w:type="dxa"/>
            <w:vAlign w:val="top"/>
          </w:tcPr>
          <w:p>
            <w:pPr>
              <w:spacing w:before="20" w:after="20" w:line="276" w:lineRule="auto"/>
              <w:jc w:val="left"/>
            </w:pPr>
            <w:r>
              <w:rPr>
                <w:rFonts w:ascii="Calibri" w:hAnsi="Calibri"/>
                <w:color w:val="262626"/>
                <w:sz w:val="18"/>
              </w:rPr>
              <w:t xml:space="preserve">3 August 2026</w:t>
            </w:r>
          </w:p>
        </w:tc>
        <w:tc>
          <w:tcPr>
            <w:tcW w:w="4076" w:type="dxa"/>
            <w:vAlign w:val="top"/>
          </w:tcPr>
          <w:p>
            <w:pPr>
              <w:spacing w:before="20" w:after="20" w:line="276" w:lineRule="auto"/>
              <w:jc w:val="left"/>
            </w:pPr>
            <w:r>
              <w:rPr>
                <w:rFonts w:ascii="Calibri" w:hAnsi="Calibri"/>
                <w:color w:val="262626"/>
                <w:sz w:val="18"/>
              </w:rPr>
              <w:t xml:space="preserve">First consolidated operative draft. Assembles the corridor framework, the tolls settlement, the verification architecture, the compliance system, and the activation timeline into a single implementable instrument for the second negotiating period.</w:t>
            </w:r>
          </w:p>
        </w:tc>
      </w:tr>
    </w:tbl>
    <w:p>
      <w:pPr>
        <w:spacing w:before="60" w:after="120"/>
      </w:pPr>
    </w:p>
    <w:p>
      <w:pPr>
        <w:pStyle w:val="Heading3"/>
      </w:pPr>
      <w:r>
        <w:rPr>
          <w:rFonts w:ascii="Cambria" w:hAnsi="Cambria"/>
          <w:color w:val="262626"/>
          <w:sz w:val="21"/>
        </w:rPr>
        <w:t xml:space="preserve">Distribution</w:t>
      </w:r>
    </w:p>
    <w:p>
      <w:pPr>
        <w:pStyle w:val="Normal"/>
      </w:pPr>
      <w:r>
        <w:rPr>
          <w:rFonts w:ascii="Cambria" w:hAnsi="Cambria"/>
          <w:color w:val="262626"/>
          <w:sz w:val="21"/>
        </w:rPr>
        <w:t xml:space="preserve">This draft circulates to the authorized negotiating delegations of the Islamic Republic of Iran, the Sultanate of Oman, the United States of America, and the State of Qatar, and to the facilitating states and technical observers named above. The depositary maintains the master text and records every proposed revision in a public revision log available to all delegations simultaneously.</w:t>
      </w:r>
    </w:p>
    <w:p>
      <w:pPr>
        <w:pStyle w:val="Heading1"/>
      </w:pPr>
      <w:r>
        <w:rPr>
          <w:rFonts w:ascii="Cambria" w:hAnsi="Cambria"/>
          <w:color w:val="262626"/>
          <w:sz w:val="21"/>
        </w:rPr>
        <w:t xml:space="preserve">The Facilitator's Note (Non-Operative)</w:t>
      </w:r>
      <w:bookmarkStart w:id="501" w:name="_Toc26010002"/>
      <w:bookmarkEnd w:id="501"/>
    </w:p>
    <w:p>
      <w:pPr>
        <w:pStyle w:val="Normal"/>
      </w:pPr>
      <w:r>
        <w:rPr>
          <w:rFonts w:ascii="Cambria" w:hAnsi="Cambria"/>
          <w:color w:val="262626"/>
          <w:sz w:val="21"/>
        </w:rPr>
        <w:t xml:space="preserve">This note stands outside the operative text. It records, for the convenience of principals, the balance of the instrument and the reasoning of the facilitators. No provision of this note creates an obligation, and the operative Articles alone govern.</w:t>
      </w:r>
    </w:p>
    <w:p>
      <w:pPr>
        <w:pStyle w:val="Heading3"/>
      </w:pPr>
      <w:r>
        <w:rPr>
          <w:rFonts w:ascii="Cambria" w:hAnsi="Cambria"/>
          <w:color w:val="262626"/>
          <w:sz w:val="21"/>
        </w:rPr>
        <w:t xml:space="preserve">The Bargain in One Paragraph</w:t>
      </w:r>
    </w:p>
    <w:p>
      <w:pPr>
        <w:pStyle w:val="Normal"/>
      </w:pPr>
      <w:r>
        <w:rPr>
          <w:rFonts w:ascii="Cambria" w:hAnsi="Cambria"/>
          <w:color w:val="262626"/>
          <w:sz w:val="21"/>
        </w:rPr>
        <w:t xml:space="preserve">Every party to this negotiation enters with one demand it treats as untouchable. Iran enters with the demand that its role in the Strait receive formal recognition, that its institutions participate in management, and that its services and its economy receive tangible compensation after eighteen months of war and decades of sanctions. The United States enters with the demand that no vessel ever pays for passage, that no authority grants or withholds permission to transit, and that no payment system acknowledges Iranian control of an international waterway. Oman enters with the demand that freedom of navigation remain intact under international law, that transit fees never become mandatory, and that its mediator standing and its coastal role survive the settlement. Qatar enters with the demand that the Strait never again close, that the settlement take collective regional form rather than the shape of a fait accompli, and that energy infrastructure and liquefied natural gas flows receive durable protection. This Agreement satisfies all four demands at once, because it separates the three questions the crisis fused together: who moves through the water, who manages the services, and who receives money. Passage belongs to no one and carries no charge. Services belong to the coastal states and carry audited compensation. Money flows through neutral channels that no party controls alone.</w:t>
      </w:r>
    </w:p>
    <w:p>
      <w:pPr>
        <w:pStyle w:val="Heading3"/>
      </w:pPr>
      <w:r>
        <w:rPr>
          <w:rFonts w:ascii="Cambria" w:hAnsi="Cambria"/>
          <w:color w:val="262626"/>
          <w:sz w:val="21"/>
        </w:rPr>
        <w:t xml:space="preserve">What Each Party Secures</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700"/>
        <w:gridCol w:w="6326"/>
      </w:tblGrid>
      <w:tr>
        <w:trPr>
          <w:tblHeader/>
        </w:trPr>
        <w:tc>
          <w:tcPr>
            <w:tcW w:w="2700" w:type="dxa"/>
            <w:shd w:val="clear" w:fill="E9F1F3"/>
            <w:vAlign w:val="top"/>
          </w:tcPr>
          <w:p>
            <w:pPr>
              <w:spacing w:before="20" w:after="20" w:line="276" w:lineRule="auto"/>
              <w:jc w:val="left"/>
            </w:pPr>
            <w:r>
              <w:rPr>
                <w:rFonts w:ascii="Calibri" w:hAnsi="Calibri"/>
                <w:b/>
                <w:color w:val="16404E"/>
                <w:sz w:val="19"/>
              </w:rPr>
              <w:t xml:space="preserve">Party</w:t>
            </w:r>
          </w:p>
        </w:tc>
        <w:tc>
          <w:tcPr>
            <w:tcW w:w="6326" w:type="dxa"/>
            <w:shd w:val="clear" w:fill="E9F1F3"/>
            <w:vAlign w:val="top"/>
          </w:tcPr>
          <w:p>
            <w:pPr>
              <w:spacing w:before="20" w:after="20" w:line="276" w:lineRule="auto"/>
              <w:jc w:val="left"/>
            </w:pPr>
            <w:r>
              <w:rPr>
                <w:rFonts w:ascii="Calibri" w:hAnsi="Calibri"/>
                <w:b/>
                <w:color w:val="16404E"/>
                <w:sz w:val="19"/>
              </w:rPr>
              <w:t xml:space="preserve">Core Secured Interests</w:t>
            </w:r>
          </w:p>
        </w:tc>
      </w:tr>
      <w:tr>
        <w:tc>
          <w:tcPr>
            <w:tcW w:w="2700" w:type="dxa"/>
            <w:vAlign w:val="top"/>
          </w:tcPr>
          <w:p>
            <w:pPr>
              <w:spacing w:before="20" w:after="20" w:line="276" w:lineRule="auto"/>
              <w:jc w:val="left"/>
            </w:pPr>
            <w:r>
              <w:rPr>
                <w:rFonts w:ascii="Calibri" w:hAnsi="Calibri"/>
                <w:color w:val="262626"/>
                <w:sz w:val="18"/>
              </w:rPr>
              <w:t xml:space="preserve">Islamic Republic of Iran</w:t>
            </w:r>
          </w:p>
        </w:tc>
        <w:tc>
          <w:tcPr>
            <w:tcW w:w="6326" w:type="dxa"/>
            <w:vAlign w:val="top"/>
          </w:tcPr>
          <w:p>
            <w:pPr>
              <w:spacing w:before="20" w:after="20" w:line="276" w:lineRule="auto"/>
              <w:jc w:val="left"/>
            </w:pPr>
            <w:r>
              <w:rPr>
                <w:rFonts w:ascii="Calibri" w:hAnsi="Calibri"/>
                <w:color w:val="262626"/>
                <w:sz w:val="18"/>
              </w:rPr>
              <w:t xml:space="preserve">A named Northern Alignment Corridor under its designated authority; its national strait authority recognized as the Northern Corridor Authority; co-equal seats in every organ; service reimbursement at published rates from Day 1; a guaranteed revenue floor; a verified, automatic channel releasing frozen assets against incident-free transit; full custody of shared data through a cryptographic key fragment.</w:t>
            </w:r>
          </w:p>
        </w:tc>
      </w:tr>
      <w:tr>
        <w:tc>
          <w:tcPr>
            <w:tcW w:w="2700" w:type="dxa"/>
            <w:vAlign w:val="top"/>
          </w:tcPr>
          <w:p>
            <w:pPr>
              <w:spacing w:before="20" w:after="20" w:line="276" w:lineRule="auto"/>
              <w:jc w:val="left"/>
            </w:pPr>
            <w:r>
              <w:rPr>
                <w:rFonts w:ascii="Calibri" w:hAnsi="Calibri"/>
                <w:color w:val="262626"/>
                <w:sz w:val="18"/>
              </w:rPr>
              <w:t xml:space="preserve">United States of America</w:t>
            </w:r>
          </w:p>
        </w:tc>
        <w:tc>
          <w:tcPr>
            <w:tcW w:w="6326" w:type="dxa"/>
            <w:vAlign w:val="top"/>
          </w:tcPr>
          <w:p>
            <w:pPr>
              <w:spacing w:before="20" w:after="20" w:line="276" w:lineRule="auto"/>
              <w:jc w:val="left"/>
            </w:pPr>
            <w:r>
              <w:rPr>
                <w:rFonts w:ascii="Calibri" w:hAnsi="Calibri"/>
                <w:color w:val="262626"/>
                <w:sz w:val="18"/>
              </w:rPr>
              <w:t xml:space="preserve">The Zero-Toll Covenant, permanent and functionally defined so that no relabeled charge survives; the notification-only rule, so no permission regime exists anywhere; the payments firewall, so no shipper pays any state directly; the Central Transit Corridor as the default artery under multilateral administration; real-time verification access as Non-Executing Security Observer; an emergency brake that restores the status quo ante without fault findings.</w:t>
            </w:r>
          </w:p>
        </w:tc>
      </w:tr>
      <w:tr>
        <w:tc>
          <w:tcPr>
            <w:tcW w:w="2700" w:type="dxa"/>
            <w:vAlign w:val="top"/>
          </w:tcPr>
          <w:p>
            <w:pPr>
              <w:spacing w:before="20" w:after="20" w:line="276" w:lineRule="auto"/>
              <w:jc w:val="left"/>
            </w:pPr>
            <w:r>
              <w:rPr>
                <w:rFonts w:ascii="Calibri" w:hAnsi="Calibri"/>
                <w:color w:val="262626"/>
                <w:sz w:val="18"/>
              </w:rPr>
              <w:t xml:space="preserve">Sultanate of Oman</w:t>
            </w:r>
          </w:p>
        </w:tc>
        <w:tc>
          <w:tcPr>
            <w:tcW w:w="6326" w:type="dxa"/>
            <w:vAlign w:val="top"/>
          </w:tcPr>
          <w:p>
            <w:pPr>
              <w:spacing w:before="20" w:after="20" w:line="276" w:lineRule="auto"/>
              <w:jc w:val="left"/>
            </w:pPr>
            <w:r>
              <w:rPr>
                <w:rFonts w:ascii="Calibri" w:hAnsi="Calibri"/>
                <w:color w:val="262626"/>
                <w:sz w:val="18"/>
              </w:rPr>
              <w:t xml:space="preserve">The Southern Alignment Corridor under its maritime authority; co-equal administration of the joint organs; the voluntary-contribution financial model it presented in July 2026, codified with identical treatment for non-contributors; alignment with the International Maritime Organization throughout; its mediator standing institutionalized in the facilitation tier of dispute resolution.</w:t>
            </w:r>
          </w:p>
        </w:tc>
      </w:tr>
      <w:tr>
        <w:tc>
          <w:tcPr>
            <w:tcW w:w="2700" w:type="dxa"/>
            <w:vAlign w:val="top"/>
          </w:tcPr>
          <w:p>
            <w:pPr>
              <w:spacing w:before="20" w:after="20" w:line="276" w:lineRule="auto"/>
              <w:jc w:val="left"/>
            </w:pPr>
            <w:r>
              <w:rPr>
                <w:rFonts w:ascii="Calibri" w:hAnsi="Calibri"/>
                <w:color w:val="262626"/>
                <w:sz w:val="18"/>
              </w:rPr>
              <w:t xml:space="preserve">State of Qatar</w:t>
            </w:r>
          </w:p>
        </w:tc>
        <w:tc>
          <w:tcPr>
            <w:tcW w:w="6326" w:type="dxa"/>
            <w:vAlign w:val="top"/>
          </w:tcPr>
          <w:p>
            <w:pPr>
              <w:spacing w:before="20" w:after="20" w:line="276" w:lineRule="auto"/>
              <w:jc w:val="left"/>
            </w:pPr>
            <w:r>
              <w:rPr>
                <w:rFonts w:ascii="Calibri" w:hAnsi="Calibri"/>
                <w:color w:val="262626"/>
                <w:sz w:val="18"/>
              </w:rPr>
              <w:t xml:space="preserve">The technical secretariat, the data processing center, and the review conference on its territory; the depositary function; collective regional architecture with a defined accession path for every Gulf Cooperation Council state; a protection covenant that shields energy infrastructure, shipping, and subsea systems from regional spillover; joint roster duty in search and rescue and clearance.</w:t>
            </w:r>
          </w:p>
        </w:tc>
      </w:tr>
    </w:tbl>
    <w:p>
      <w:pPr>
        <w:spacing w:before="60" w:after="120"/>
      </w:pPr>
    </w:p>
    <w:p>
      <w:pPr>
        <w:pStyle w:val="Heading3"/>
      </w:pPr>
      <w:r>
        <w:rPr>
          <w:rFonts w:ascii="Cambria" w:hAnsi="Cambria"/>
          <w:color w:val="262626"/>
          <w:sz w:val="21"/>
        </w:rPr>
        <w:t xml:space="preserve">The Design Rule</w:t>
      </w:r>
    </w:p>
    <w:p>
      <w:pPr>
        <w:pStyle w:val="Normal"/>
      </w:pPr>
      <w:r>
        <w:rPr>
          <w:rFonts w:ascii="Cambria" w:hAnsi="Cambria"/>
          <w:color w:val="262626"/>
          <w:sz w:val="21"/>
        </w:rPr>
        <w:t xml:space="preserve">Every mechanism in this Agreement obeys one design rule: a party's gain arrives through the architecture, not through another party's concession. The text therefore attributes every constraint to the framework itself, and every benefit to verified performance. The facilitators invite each delegation to test the instrument against its own red lines before testing it against the other delegations' wishes. The Red Lines Register of Article 5 and Annex I performs that test mechanically.</w:t>
      </w:r>
    </w:p>
    <w:p>
      <w:pPr>
        <w:pStyle w:val="Heading1"/>
      </w:pPr>
      <w:r>
        <w:rPr>
          <w:rFonts w:ascii="Cambria" w:hAnsi="Cambria"/>
          <w:color w:val="262626"/>
          <w:sz w:val="21"/>
        </w:rPr>
        <w:t xml:space="preserve">Drafting Convention and Method</w:t>
      </w:r>
      <w:bookmarkStart w:id="502" w:name="_Toc26010003"/>
      <w:bookmarkEnd w:id="502"/>
    </w:p>
    <w:p>
      <w:pPr>
        <w:pStyle w:val="Heading3"/>
      </w:pPr>
      <w:r>
        <w:rPr>
          <w:rFonts w:ascii="Cambria" w:hAnsi="Cambria"/>
          <w:color w:val="262626"/>
          <w:sz w:val="21"/>
        </w:rPr>
        <w:t xml:space="preserve">The Present-Tense Convention</w:t>
      </w:r>
    </w:p>
    <w:p>
      <w:pPr>
        <w:pStyle w:val="Normal"/>
      </w:pPr>
      <w:r>
        <w:rPr>
          <w:rFonts w:ascii="Cambria" w:hAnsi="Cambria"/>
          <w:color w:val="262626"/>
          <w:sz w:val="21"/>
        </w:rPr>
        <w:t xml:space="preserve">This instrument speaks in the active present tense throughout its operative text. A clause states what the system does, not what a party promises to do. Obligations appear as standing operational facts of the architecture: the Desk publishes, the Fund reimburses, verification activates, transit carries no charge. This convention removes the vocabulary of command and compliance from the text and replaces it with the vocabulary of engineering: triggers, states, and flows. Where the text describes a consequence, the consequence appears as an immediate, automatic reality of the system, never as a threat.</w:t>
      </w:r>
    </w:p>
    <w:p>
      <w:pPr>
        <w:pStyle w:val="Heading3"/>
      </w:pPr>
      <w:r>
        <w:rPr>
          <w:rFonts w:ascii="Cambria" w:hAnsi="Cambria"/>
          <w:color w:val="262626"/>
          <w:sz w:val="21"/>
        </w:rPr>
        <w:t xml:space="preserve">The Mutual Architecture Rule</w:t>
      </w:r>
    </w:p>
    <w:p>
      <w:pPr>
        <w:pStyle w:val="Normal"/>
      </w:pPr>
      <w:r>
        <w:rPr>
          <w:rFonts w:ascii="Cambria" w:hAnsi="Cambria"/>
          <w:color w:val="262626"/>
          <w:sz w:val="21"/>
        </w:rPr>
        <w:t xml:space="preserve">Every constraint in this instrument attaches to the framework, not to a party. The text never records one party restraining itself for another's benefit. Instead, the architecture excludes an action from every direction at once. The framework excludes charges on passage for every authority. The framework excludes interdiction from every corridor. The framework excludes military enforcement against commercial traffic within the Governance Area from every quarter. This rule preserves full legal force while removing the appearance of hierarchy, capitulation, or asymmetric burden.</w:t>
      </w:r>
    </w:p>
    <w:p>
      <w:pPr>
        <w:pStyle w:val="Heading3"/>
      </w:pPr>
      <w:r>
        <w:rPr>
          <w:rFonts w:ascii="Cambria" w:hAnsi="Cambria"/>
          <w:color w:val="262626"/>
          <w:sz w:val="21"/>
        </w:rPr>
        <w:t xml:space="preserve">The Neutral Terminology Rule</w:t>
      </w:r>
    </w:p>
    <w:p>
      <w:pPr>
        <w:pStyle w:val="Normal"/>
      </w:pPr>
      <w:r>
        <w:rPr>
          <w:rFonts w:ascii="Cambria" w:hAnsi="Cambria"/>
          <w:color w:val="262626"/>
          <w:sz w:val="21"/>
        </w:rPr>
        <w:t xml:space="preserve">The instrument names every mechanism in neutral, functional terms. No mechanism carries the name of a party, a doctrine, a metaphor, or a political program. Annex N registers the approved terminology and the prohibited vocabulary. Public communications by any party draw on the registered terms, and Article 49 governs the narrative discipline that keeps domestic description compatible with the shared text.</w:t>
      </w:r>
    </w:p>
    <w:p>
      <w:pPr>
        <w:pStyle w:val="Heading3"/>
      </w:pPr>
      <w:r>
        <w:rPr>
          <w:rFonts w:ascii="Cambria" w:hAnsi="Cambria"/>
          <w:color w:val="262626"/>
          <w:sz w:val="21"/>
        </w:rPr>
        <w:t xml:space="preserve">The Separated Tracks Rule</w:t>
      </w:r>
    </w:p>
    <w:p>
      <w:pPr>
        <w:pStyle w:val="Normal"/>
      </w:pPr>
      <w:r>
        <w:rPr>
          <w:rFonts w:ascii="Cambria" w:hAnsi="Cambria"/>
          <w:color w:val="262626"/>
          <w:sz w:val="21"/>
        </w:rPr>
        <w:t xml:space="preserve">This instrument governs the operations and navigation of the Strait of Hormuz and nothing else. The nuclear file, the broader regional conflicts, bilateral claims, reparations demands, and alliance questions proceed on their own tracks under their own formats. No development on another track suspends, conditions, or re-prices any operation of this Agreement. Article 1 states the rule operatively; Article 48 shields the corridor system from spillover.</w:t>
      </w:r>
    </w:p>
    <w:p>
      <w:pPr>
        <w:pStyle w:val="Heading1"/>
      </w:pPr>
      <w:r>
        <w:rPr>
          <w:rFonts w:ascii="Cambria" w:hAnsi="Cambria"/>
          <w:color w:val="262626"/>
          <w:sz w:val="21"/>
        </w:rPr>
        <w:t xml:space="preserve">Preamble: The Moment of August 2026</w:t>
      </w:r>
      <w:bookmarkStart w:id="503" w:name="_Toc26010004"/>
      <w:bookmarkEnd w:id="503"/>
    </w:p>
    <w:p>
      <w:pPr>
        <w:pStyle w:val="Normal"/>
      </w:pPr>
      <w:r>
        <w:rPr>
          <w:rFonts w:ascii="Cambria" w:hAnsi="Cambria"/>
          <w:color w:val="262626"/>
          <w:sz w:val="21"/>
        </w:rPr>
        <w:t xml:space="preserve">The Parties record the circumstances in which they conclude this Agreement, without assigning responsibility for any event and without prejudice to any position.</w:t>
      </w:r>
    </w:p>
    <w:p>
      <w:pPr>
        <w:pStyle w:val="Normal"/>
      </w:pPr>
      <w:r>
        <w:rPr>
          <w:rFonts w:ascii="Cambria" w:hAnsi="Cambria"/>
          <w:color w:val="262626"/>
          <w:sz w:val="21"/>
        </w:rPr>
        <w:t xml:space="preserve">On 28 February 2026, hostilities commenced between the United States and Israel on one side and the Islamic Republic of Iran on the other. Commercial transit through the Strait of Hormuz, which carried on the order of one hundred and thirty to one hundred and fifty vessels per day before the conflict, including approximately one fifth of the world's traded crude oil and approximately one fifth of the world's liquefied natural gas, fell to a handful of vessels per day. More than five hundred and fifty vessels and on the order of twenty thousand seafarers accumulated inside the Persian Gulf awaiting passage. Energy infrastructure across the region, including the Ras Laffan liquefaction complex in Qatar, sustained damage. Insurance markets repriced the waterway as a war zone.</w:t>
      </w:r>
    </w:p>
    <w:p>
      <w:pPr>
        <w:pStyle w:val="Normal"/>
      </w:pPr>
      <w:r>
        <w:rPr>
          <w:rFonts w:ascii="Cambria" w:hAnsi="Cambria"/>
          <w:color w:val="262626"/>
          <w:sz w:val="21"/>
        </w:rPr>
        <w:t xml:space="preserve">On 8 April 2026, a first ceasefire took effect under Pakistani facilitation, and direct talks followed in Islamabad. Those talks adjourned without agreement, and a naval blockade of Iranian ports followed. On 14 June 2026, the mediator announced that a memorandum of understanding stood finalized, and on 17 June 2026 the President of the United States and the President of the Islamic Republic of Iran signed the fourteen-point memorandum. Under that text, Iran undertook its best efforts for the safe passage of commercial vessels with no charge for sixty days only, and undertook to conduct dialogue with the Sultanate of Oman, in discussion with the other Persian Gulf littoral states, to define the future administration and maritime services in the Strait of Hormuz in line with applicable international law and the sovereign rights of its coastal states. The Sultanate of Oman and the Islamic Republic of Iran subsequently established a joint working group on the future administration of navigation, the services for delivery, and the costs associated with them.</w:t>
      </w:r>
    </w:p>
    <w:p>
      <w:pPr>
        <w:pStyle w:val="Normal"/>
      </w:pPr>
      <w:r>
        <w:rPr>
          <w:rFonts w:ascii="Cambria" w:hAnsi="Cambria"/>
          <w:color w:val="262626"/>
          <w:sz w:val="21"/>
        </w:rPr>
        <w:t xml:space="preserve">Between 6 July and 24 July 2026, hostilities resumed, commercial vessels came under attack on the southern routing, and the memorandum's implementation suspended. On 11 July 2026, talks in Muscat addressed the public commitment question without conclusion. On 20 July 2026, regional mediators, including the State of Qatar, the Arab Republic of Egypt, and the Islamic Republic of Pakistan, tabled a proposal for a renewed cessation, the reopening of both shipping lanes, and a longer-term arrangement in which reasonable service fees for maritime security, environmental protection, and kindred services, administered on the model of the cooperative arrangements of the Strait of Malacca, could replace every charge on passage. On 28 July 2026, the Sultanate of Oman presented a Gulf-supported plan under which fees remain voluntary and no state exercises sole control. On the same day, the foreign ministers of the Gulf Cooperation Council affirmed freedom and safety of navigation, transit rights under international law, and the sovereign rights of all Gulf littoral states.</w:t>
      </w:r>
    </w:p>
    <w:p>
      <w:pPr>
        <w:pStyle w:val="Normal"/>
      </w:pPr>
      <w:r>
        <w:rPr>
          <w:rFonts w:ascii="Cambria" w:hAnsi="Cambria"/>
          <w:color w:val="262626"/>
          <w:sz w:val="21"/>
        </w:rPr>
        <w:t xml:space="preserve">On 2 and 3 August 2026, negotiators for the United States and the Islamic Republic of Iran reached an understanding to reopen the Strait, to extend the cessation of hostilities for a further sixty days, and to commence negotiations on the nuclear question. It leaves this instrument's central question open: the durable governance of operations and navigation in the Strait of Hormuz after the charge-free window.</w:t>
      </w:r>
    </w:p>
    <w:p>
      <w:pPr>
        <w:pStyle w:val="Normal"/>
      </w:pPr>
      <w:r>
        <w:rPr>
          <w:rFonts w:ascii="Cambria" w:hAnsi="Cambria"/>
          <w:color w:val="262626"/>
          <w:sz w:val="21"/>
        </w:rPr>
        <w:t xml:space="preserve">The Parties therefore conclude this Agreement to convert the temporary opening into a standing operational system built on functional coexistence without prejudice, toll-free passage, compensated services, and shared verification.</w:t>
      </w:r>
    </w:p>
    <w:p>
      <w:pPr>
        <w:pStyle w:val="Heading1"/>
      </w:pPr>
      <w:r>
        <w:rPr>
          <w:rFonts w:ascii="Cambria" w:hAnsi="Cambria"/>
          <w:color w:val="262626"/>
          <w:sz w:val="21"/>
        </w:rPr>
        <w:t xml:space="preserve">Part I: Foundations</w:t>
      </w:r>
      <w:bookmarkStart w:id="504" w:name="_Toc26010005"/>
      <w:bookmarkEnd w:id="504"/>
    </w:p>
    <w:p>
      <w:pPr>
        <w:pStyle w:val="Heading2"/>
      </w:pPr>
      <w:r>
        <w:rPr>
          <w:rFonts w:ascii="Cambria" w:hAnsi="Cambria"/>
          <w:color w:val="262626"/>
          <w:sz w:val="21"/>
        </w:rPr>
        <w:t xml:space="preserve">Article 1: Establishment, Purpose, and Scope</w:t>
      </w:r>
      <w:bookmarkStart w:id="505" w:name="_Toc26010006"/>
      <w:bookmarkEnd w:id="505"/>
    </w:p>
    <w:p>
      <w:pPr>
        <w:pStyle w:val="Heading3"/>
      </w:pPr>
      <w:r>
        <w:rPr>
          <w:rFonts w:ascii="Cambria" w:hAnsi="Cambria"/>
          <w:color w:val="262626"/>
          <w:sz w:val="21"/>
        </w:rPr>
        <w:t xml:space="preserve">1.1 Establishment</w:t>
      </w:r>
    </w:p>
    <w:p>
      <w:pPr>
        <w:pStyle w:val="Normal"/>
      </w:pPr>
      <w:r>
        <w:rPr>
          <w:rFonts w:ascii="Cambria" w:hAnsi="Cambria"/>
          <w:color w:val="262626"/>
          <w:sz w:val="21"/>
        </w:rPr>
        <w:t xml:space="preserve">The Islamic Republic of Iran, the Sultanate of Oman, the United States of America, and the State of Qatar establish the Hormuz Operations and Navigation System through this Agreement. The system governs the movement, safety, servicing, and oversight of commercial vessels transiting the Strait of Hormuz, together with the institutions, finances, data, and compliance architecture that support that movement.</w:t>
      </w:r>
    </w:p>
    <w:p>
      <w:pPr>
        <w:pStyle w:val="Heading3"/>
      </w:pPr>
      <w:r>
        <w:rPr>
          <w:rFonts w:ascii="Cambria" w:hAnsi="Cambria"/>
          <w:color w:val="262626"/>
          <w:sz w:val="21"/>
        </w:rPr>
        <w:t xml:space="preserve">1.2 Purpose</w:t>
      </w:r>
    </w:p>
    <w:p>
      <w:pPr>
        <w:pStyle w:val="Normal"/>
      </w:pPr>
      <w:r>
        <w:rPr>
          <w:rFonts w:ascii="Cambria" w:hAnsi="Cambria"/>
          <w:color w:val="262626"/>
          <w:sz w:val="21"/>
        </w:rPr>
        <w:t xml:space="preserve">The Agreement pursues four purposes in equal rank: first, uninterrupted, charge-free commercial transit through the Strait for every flag; second, recognized, compensated operational roles for the Coastal Parties in the waters adjacent to their coasts; third, a multilateral institutional structure in which no single party holds an operational veto; fourth, an objective record of every transit, service, and incident, held in neutral custody and open to every party in identical form.</w:t>
      </w:r>
    </w:p>
    <w:p>
      <w:pPr>
        <w:pStyle w:val="Heading3"/>
      </w:pPr>
      <w:r>
        <w:rPr>
          <w:rFonts w:ascii="Cambria" w:hAnsi="Cambria"/>
          <w:color w:val="262626"/>
          <w:sz w:val="21"/>
        </w:rPr>
        <w:t xml:space="preserve">1.3 Scope</w:t>
      </w:r>
    </w:p>
    <w:p>
      <w:pPr>
        <w:pStyle w:val="Normal"/>
      </w:pPr>
      <w:r>
        <w:rPr>
          <w:rFonts w:ascii="Cambria" w:hAnsi="Cambria"/>
          <w:color w:val="262626"/>
          <w:sz w:val="21"/>
        </w:rPr>
        <w:t xml:space="preserve">The Agreement applies to the Governance Area defined in Article 6, to the vessels described in Article 12, to the organs established in Part III, to the financial channels of Part IV, and to the verification architecture of Part V. The Agreement binds each party in respect of its own conduct, its organs, its flagged entities, and its designated authorities within the Governance Area.</w:t>
      </w:r>
    </w:p>
    <w:p>
      <w:pPr>
        <w:pStyle w:val="Heading3"/>
      </w:pPr>
      <w:r>
        <w:rPr>
          <w:rFonts w:ascii="Cambria" w:hAnsi="Cambria"/>
          <w:color w:val="262626"/>
          <w:sz w:val="21"/>
        </w:rPr>
        <w:t xml:space="preserve">1.4 The Separated Tracks Rule</w:t>
      </w:r>
    </w:p>
    <w:p>
      <w:pPr>
        <w:pStyle w:val="Normal"/>
      </w:pPr>
      <w:r>
        <w:rPr>
          <w:rFonts w:ascii="Cambria" w:hAnsi="Cambria"/>
          <w:color w:val="262626"/>
          <w:sz w:val="21"/>
        </w:rPr>
        <w:t xml:space="preserve">The Agreement governs operations and navigation only. The nuclear question, the settlement of the wider conflict, reparations and reconstruction claims, alliance relationships, and every other bilateral or regional question proceed on separate tracks under separate formats. No event, position, or failure on another track suspends, conditions, re-prices, or terminates any operation of this Agreement. A party raises another track only through the political channel of Article 47.4, and that channel never touches corridor operations.</w:t>
      </w:r>
    </w:p>
    <w:p>
      <w:pPr>
        <w:pStyle w:val="Heading3"/>
      </w:pPr>
      <w:r>
        <w:rPr>
          <w:rFonts w:ascii="Cambria" w:hAnsi="Cambria"/>
          <w:color w:val="262626"/>
          <w:sz w:val="21"/>
        </w:rPr>
        <w:t xml:space="preserve">1.5 Relationship to Prior Instruments</w:t>
      </w:r>
    </w:p>
    <w:p>
      <w:pPr>
        <w:pStyle w:val="Normal"/>
      </w:pPr>
      <w:r>
        <w:rPr>
          <w:rFonts w:ascii="Cambria" w:hAnsi="Cambria"/>
          <w:color w:val="262626"/>
          <w:sz w:val="21"/>
        </w:rPr>
        <w:t xml:space="preserve">The Agreement succeeds the operational chapters of the memorandum of understanding of 17 June 2026 and the understanding of 2 and 3 August 2026 in respect of the Strait of Hormuz. Where the memorandum addresses passage and administration, this Agreement states the standing rule. The memorandum's remaining chapters, including its nuclear, sanctions, and regional provisions, continue on their own tracks unaffected.</w:t>
      </w:r>
    </w:p>
    <w:p>
      <w:pPr>
        <w:pStyle w:val="Heading3"/>
      </w:pPr>
      <w:r>
        <w:rPr>
          <w:rFonts w:ascii="Cambria" w:hAnsi="Cambria"/>
          <w:color w:val="262626"/>
          <w:sz w:val="21"/>
        </w:rPr>
        <w:t xml:space="preserve">1.6 Duration Character</w:t>
      </w:r>
    </w:p>
    <w:p>
      <w:pPr>
        <w:pStyle w:val="Normal"/>
      </w:pPr>
      <w:r>
        <w:rPr>
          <w:rFonts w:ascii="Cambria" w:hAnsi="Cambria"/>
          <w:color w:val="262626"/>
          <w:sz w:val="21"/>
        </w:rPr>
        <w:t xml:space="preserve">The Agreement enters into effect on signature and operates on a continuous horizon under the Standing Continuity Rule of Article 52. Its operational provisions persist by default; its legal character remains provisional and non-prejudicial under Article 2 for the life of the instrument. Permanence of operation and provisionality of legal effect coexist by design: the Parties gain a system that works every day and concedes nothing about the law of any day after.</w:t>
      </w:r>
    </w:p>
    <w:p>
      <w:pPr>
        <w:pStyle w:val="Heading2"/>
      </w:pPr>
      <w:r>
        <w:rPr>
          <w:rFonts w:ascii="Cambria" w:hAnsi="Cambria"/>
          <w:color w:val="262626"/>
          <w:sz w:val="21"/>
        </w:rPr>
        <w:t xml:space="preserve">Article 2: Legal Character and the No-Prejudice Rule</w:t>
      </w:r>
      <w:bookmarkStart w:id="506" w:name="_Toc26010007"/>
      <w:bookmarkEnd w:id="506"/>
    </w:p>
    <w:p>
      <w:pPr>
        <w:pStyle w:val="Heading3"/>
      </w:pPr>
      <w:r>
        <w:rPr>
          <w:rFonts w:ascii="Cambria" w:hAnsi="Cambria"/>
          <w:color w:val="262626"/>
          <w:sz w:val="21"/>
        </w:rPr>
        <w:t xml:space="preserve">2.1 Functional Coexistence Without Prejudice</w:t>
      </w:r>
    </w:p>
    <w:p>
      <w:pPr>
        <w:pStyle w:val="Normal"/>
      </w:pPr>
      <w:r>
        <w:rPr>
          <w:rFonts w:ascii="Cambria" w:hAnsi="Cambria"/>
          <w:color w:val="262626"/>
          <w:sz w:val="21"/>
        </w:rPr>
        <w:t xml:space="preserve">The Agreement constitutes an operational arrangement, not a territorial settlement, a boundary delimitation, a recognition instrument, or a precedent. The Parties cooperate inside the architecture while their legal positions remain exactly where each of them places those positions outside the architecture.</w:t>
      </w:r>
    </w:p>
    <w:p>
      <w:pPr>
        <w:pStyle w:val="Heading3"/>
      </w:pPr>
      <w:r>
        <w:rPr>
          <w:rFonts w:ascii="Cambria" w:hAnsi="Cambria"/>
          <w:color w:val="262626"/>
          <w:sz w:val="21"/>
        </w:rPr>
        <w:t xml:space="preserve">2.2 The Exemption Clause</w:t>
      </w:r>
    </w:p>
    <w:p>
      <w:pPr>
        <w:pStyle w:val="Normal"/>
      </w:pPr>
      <w:r>
        <w:rPr>
          <w:rFonts w:ascii="Cambria" w:hAnsi="Cambria"/>
          <w:color w:val="262626"/>
          <w:sz w:val="21"/>
        </w:rPr>
        <w:t xml:space="preserve">The establishment, designation, or utilization of any corridor, organ, fund, or procedure under this Agreement does not constitute, and no party presents it as constituting: (a) a permanent legal precedent; (b) recognition, acceptance, or waiver of any sovereignty claim, sovereign right, territorial limit, or transit-passage position; (c) an admission of any party's legal position regarding the United Nations Convention on the Law of the Sea, the 1958 Geneva Conventions, bilateral treaties, or historical usage; (d) consent to the jurisdiction of any court or tribunal over any underlying claim; or (e) a characterization of the legal status of any water column, seabed, or airspace within the Governance Area.</w:t>
      </w:r>
    </w:p>
    <w:p>
      <w:pPr>
        <w:pStyle w:val="Heading3"/>
      </w:pPr>
      <w:r>
        <w:rPr>
          <w:rFonts w:ascii="Cambria" w:hAnsi="Cambria"/>
          <w:color w:val="262626"/>
          <w:sz w:val="21"/>
        </w:rPr>
        <w:t xml:space="preserve">2.3 The Service and Charge Distinction</w:t>
      </w:r>
    </w:p>
    <w:p>
      <w:pPr>
        <w:pStyle w:val="Normal"/>
      </w:pPr>
      <w:r>
        <w:rPr>
          <w:rFonts w:ascii="Cambria" w:hAnsi="Cambria"/>
          <w:color w:val="262626"/>
          <w:sz w:val="21"/>
        </w:rPr>
        <w:t xml:space="preserve">The architecture distinguishes two categories of payment by function, never by label. A payment attaches to passage where its amount, timing, or conditionality connects to a vessel's movement through the Strait; the Agreement classifies every such payment as a toll and Part IV excludes it absolutely. A payment attaches to a service where it follows a documented delivery, at a pre-published rate, auditable against a record; the Agreement routes every such payment through the channels of Part IV and nowhere else. This distinction governs every financial provision of the instrument and every reading of the phrase no charge in the instruments that precede it.</w:t>
      </w:r>
    </w:p>
    <w:p>
      <w:pPr>
        <w:pStyle w:val="Heading3"/>
      </w:pPr>
      <w:r>
        <w:rPr>
          <w:rFonts w:ascii="Cambria" w:hAnsi="Cambria"/>
          <w:color w:val="262626"/>
          <w:sz w:val="21"/>
        </w:rPr>
        <w:t xml:space="preserve">2.4 Reading of International Law References</w:t>
      </w:r>
    </w:p>
    <w:p>
      <w:pPr>
        <w:pStyle w:val="Normal"/>
      </w:pPr>
      <w:r>
        <w:rPr>
          <w:rFonts w:ascii="Cambria" w:hAnsi="Cambria"/>
          <w:color w:val="262626"/>
          <w:sz w:val="21"/>
        </w:rPr>
        <w:t xml:space="preserve">References in this Agreement to international law, including the law of the sea, carry their ordinary meaning and bind the text descriptively. No reference resolves, for or against any party, the questions that the parties reserve: the binding character of particular treaty regimes on particular states, the classification of particular waters, and the scope of coastal-state competence in straits used for international navigation. The architecture functions identically under every party's reading of those questions.</w:t>
      </w:r>
    </w:p>
    <w:p>
      <w:pPr>
        <w:pStyle w:val="Heading3"/>
      </w:pPr>
      <w:r>
        <w:rPr>
          <w:rFonts w:ascii="Cambria" w:hAnsi="Cambria"/>
          <w:color w:val="262626"/>
          <w:sz w:val="21"/>
        </w:rPr>
        <w:t xml:space="preserve">2.5 Domestic Authority Continuity</w:t>
      </w:r>
    </w:p>
    <w:p>
      <w:pPr>
        <w:pStyle w:val="Normal"/>
      </w:pPr>
      <w:r>
        <w:rPr>
          <w:rFonts w:ascii="Cambria" w:hAnsi="Cambria"/>
          <w:color w:val="262626"/>
          <w:sz w:val="21"/>
        </w:rPr>
        <w:t xml:space="preserve">Each party designates its national authorities for the functions this Agreement assigns, and each designation stands as an act of that party's own legal order. The designation of the Persian Gulf Strait Authority as Iran's Northern Corridor Authority, of the Oman Maritime Security Center as Oman's Southern Corridor Authority, and of Qatar's designated maritime administration as secretariat-support authority, flows from each state's own decision. The Agreement recognizes the designations; it creates none of them.</w:t>
      </w:r>
    </w:p>
    <w:p>
      <w:pPr>
        <w:pStyle w:val="Heading3"/>
      </w:pPr>
      <w:r>
        <w:rPr>
          <w:rFonts w:ascii="Cambria" w:hAnsi="Cambria"/>
          <w:color w:val="262626"/>
          <w:sz w:val="21"/>
        </w:rPr>
        <w:t xml:space="preserve">2.6 Sovereignty Unaffected</w:t>
      </w:r>
    </w:p>
    <w:p>
      <w:pPr>
        <w:pStyle w:val="Normal"/>
      </w:pPr>
      <w:r>
        <w:rPr>
          <w:rFonts w:ascii="Cambria" w:hAnsi="Cambria"/>
          <w:color w:val="262626"/>
          <w:sz w:val="21"/>
        </w:rPr>
        <w:t xml:space="preserve">Each Coastal Party's sovereignty and sovereign rights over its own territorial sea stand intact and untouched. The corridors of Part II are functional assignments for the life of the Agreement, and no corridor carries the label sovereign, exclusive, or international as a matter of legal status. The operational matrix assigns work; it assigns no title.</w:t>
      </w:r>
    </w:p>
    <w:p>
      <w:pPr>
        <w:pStyle w:val="Heading2"/>
      </w:pPr>
      <w:r>
        <w:rPr>
          <w:rFonts w:ascii="Cambria" w:hAnsi="Cambria"/>
          <w:color w:val="262626"/>
          <w:sz w:val="21"/>
        </w:rPr>
        <w:t xml:space="preserve">Article 3: Guiding Principles</w:t>
      </w:r>
      <w:bookmarkStart w:id="507" w:name="_Toc26010008"/>
      <w:bookmarkEnd w:id="507"/>
    </w:p>
    <w:p>
      <w:pPr>
        <w:pStyle w:val="Heading3"/>
      </w:pPr>
      <w:r>
        <w:rPr>
          <w:rFonts w:ascii="Cambria" w:hAnsi="Cambria"/>
          <w:color w:val="262626"/>
          <w:sz w:val="21"/>
        </w:rPr>
        <w:t xml:space="preserve">3.1 Uninterrupted Commercial Transit</w:t>
      </w:r>
    </w:p>
    <w:p>
      <w:pPr>
        <w:pStyle w:val="Normal"/>
      </w:pPr>
      <w:r>
        <w:rPr>
          <w:rFonts w:ascii="Cambria" w:hAnsi="Cambria"/>
          <w:color w:val="262626"/>
          <w:sz w:val="21"/>
        </w:rPr>
        <w:t xml:space="preserve">The Strait remains open to lawful commercial shipping, free from deliberate obstruction, for the duration of the Agreement. The architecture treats continuity of transit as the default state and every interruption as a classified, compensated, and repairable event, never as leverage.</w:t>
      </w:r>
    </w:p>
    <w:p>
      <w:pPr>
        <w:pStyle w:val="Heading3"/>
      </w:pPr>
      <w:r>
        <w:rPr>
          <w:rFonts w:ascii="Cambria" w:hAnsi="Cambria"/>
          <w:color w:val="262626"/>
          <w:sz w:val="21"/>
        </w:rPr>
        <w:t xml:space="preserve">3.2 Operational Pragmatism Over Legal Finality</w:t>
      </w:r>
    </w:p>
    <w:p>
      <w:pPr>
        <w:pStyle w:val="Normal"/>
      </w:pPr>
      <w:r>
        <w:rPr>
          <w:rFonts w:ascii="Cambria" w:hAnsi="Cambria"/>
          <w:color w:val="262626"/>
          <w:sz w:val="21"/>
        </w:rPr>
        <w:t xml:space="preserve">The framework addresses how vessels move safely, not who holds permanent legal title over the waters. Every mechanism in this instrument answers an operational question, and no mechanism answers a legal one.</w:t>
      </w:r>
    </w:p>
    <w:p>
      <w:pPr>
        <w:pStyle w:val="Heading3"/>
      </w:pPr>
      <w:r>
        <w:rPr>
          <w:rFonts w:ascii="Cambria" w:hAnsi="Cambria"/>
          <w:color w:val="262626"/>
          <w:sz w:val="21"/>
        </w:rPr>
        <w:t xml:space="preserve">3.3 Shared Stewardship</w:t>
      </w:r>
    </w:p>
    <w:p>
      <w:pPr>
        <w:pStyle w:val="Normal"/>
      </w:pPr>
      <w:r>
        <w:rPr>
          <w:rFonts w:ascii="Cambria" w:hAnsi="Cambria"/>
          <w:color w:val="262626"/>
          <w:sz w:val="21"/>
        </w:rPr>
        <w:t xml:space="preserve">Responsibility for safety, navigation, and emergency response distributes functionally across the parties and the joint organs. No single party holds an exclusive operational veto over transit, classification, funding, or data.</w:t>
      </w:r>
    </w:p>
    <w:p>
      <w:pPr>
        <w:pStyle w:val="Heading3"/>
      </w:pPr>
      <w:r>
        <w:rPr>
          <w:rFonts w:ascii="Cambria" w:hAnsi="Cambria"/>
          <w:color w:val="262626"/>
          <w:sz w:val="21"/>
        </w:rPr>
        <w:t xml:space="preserve">3.4 No Precedent Set</w:t>
      </w:r>
    </w:p>
    <w:p>
      <w:pPr>
        <w:pStyle w:val="Normal"/>
      </w:pPr>
      <w:r>
        <w:rPr>
          <w:rFonts w:ascii="Cambria" w:hAnsi="Cambria"/>
          <w:color w:val="262626"/>
          <w:sz w:val="21"/>
        </w:rPr>
        <w:t xml:space="preserve">Nothing in this Agreement alters, advances, or diminishes any party's claims under any legal regime, and no party invokes the Agreement as practice, acquiescence, or estoppel in any other forum. Article 2 states the rule; every organ repeats it in its founding record.</w:t>
      </w:r>
    </w:p>
    <w:p>
      <w:pPr>
        <w:pStyle w:val="Heading3"/>
      </w:pPr>
      <w:r>
        <w:rPr>
          <w:rFonts w:ascii="Cambria" w:hAnsi="Cambria"/>
          <w:color w:val="262626"/>
          <w:sz w:val="21"/>
        </w:rPr>
        <w:t xml:space="preserve">3.5 Civilian Character</w:t>
      </w:r>
    </w:p>
    <w:p>
      <w:pPr>
        <w:pStyle w:val="Normal"/>
      </w:pPr>
      <w:r>
        <w:rPr>
          <w:rFonts w:ascii="Cambria" w:hAnsi="Cambria"/>
          <w:color w:val="262626"/>
          <w:sz w:val="21"/>
        </w:rPr>
        <w:t xml:space="preserve">Every operational body of the Agreement is civilian in composition, mandate, and method. No foreign military personnel serve in any lane, desk, cell, or inspection team of the architecture. Military questions route to the de-confliction channel of Article 38, which operates alongside the civilian system and never inside it.</w:t>
      </w:r>
    </w:p>
    <w:p>
      <w:pPr>
        <w:pStyle w:val="Heading3"/>
      </w:pPr>
      <w:r>
        <w:rPr>
          <w:rFonts w:ascii="Cambria" w:hAnsi="Cambria"/>
          <w:color w:val="262626"/>
          <w:sz w:val="21"/>
        </w:rPr>
        <w:t xml:space="preserve">3.6 Non-Discrimination</w:t>
      </w:r>
    </w:p>
    <w:p>
      <w:pPr>
        <w:pStyle w:val="Normal"/>
      </w:pPr>
      <w:r>
        <w:rPr>
          <w:rFonts w:ascii="Cambria" w:hAnsi="Cambria"/>
          <w:color w:val="262626"/>
          <w:sz w:val="21"/>
        </w:rPr>
        <w:t xml:space="preserve">The architecture treats every vessel, flag, owner, operator, insurer, crew, and cargo on identical published terms. Classification by destination, origin, alliance, or political relationship plays no role in any operational decision of the system.</w:t>
      </w:r>
    </w:p>
    <w:p>
      <w:pPr>
        <w:pStyle w:val="Heading3"/>
      </w:pPr>
      <w:r>
        <w:rPr>
          <w:rFonts w:ascii="Cambria" w:hAnsi="Cambria"/>
          <w:color w:val="262626"/>
          <w:sz w:val="21"/>
        </w:rPr>
        <w:t xml:space="preserve">3.7 Reciprocity and Symmetry</w:t>
      </w:r>
    </w:p>
    <w:p>
      <w:pPr>
        <w:pStyle w:val="Normal"/>
      </w:pPr>
      <w:r>
        <w:rPr>
          <w:rFonts w:ascii="Cambria" w:hAnsi="Cambria"/>
          <w:color w:val="262626"/>
          <w:sz w:val="21"/>
        </w:rPr>
        <w:t xml:space="preserve">Every right in the instrument pairs with a duty of the same weight, and every burden distributes on a published formula. Where the architecture grants a party a role in one corridor, it grants the corresponding party the corresponding role in the corresponding corridor.</w:t>
      </w:r>
    </w:p>
    <w:p>
      <w:pPr>
        <w:pStyle w:val="Heading3"/>
      </w:pPr>
      <w:r>
        <w:rPr>
          <w:rFonts w:ascii="Cambria" w:hAnsi="Cambria"/>
          <w:color w:val="262626"/>
          <w:sz w:val="21"/>
        </w:rPr>
        <w:t xml:space="preserve">3.8 Transparency</w:t>
      </w:r>
    </w:p>
    <w:p>
      <w:pPr>
        <w:pStyle w:val="Normal"/>
      </w:pPr>
      <w:r>
        <w:rPr>
          <w:rFonts w:ascii="Cambria" w:hAnsi="Cambria"/>
          <w:color w:val="262626"/>
          <w:sz w:val="21"/>
        </w:rPr>
        <w:t xml:space="preserve">Every rate, rule, roster, route, report, and account of the system publishes on the schedule of Annex R. The architecture keeps no secret annexes, no side letters with operational effect, and no unpublished rate.</w:t>
      </w:r>
    </w:p>
    <w:p>
      <w:pPr>
        <w:pStyle w:val="Heading3"/>
      </w:pPr>
      <w:r>
        <w:rPr>
          <w:rFonts w:ascii="Cambria" w:hAnsi="Cambria"/>
          <w:color w:val="262626"/>
          <w:sz w:val="21"/>
        </w:rPr>
        <w:t xml:space="preserve">3.9 Safety Primacy</w:t>
      </w:r>
    </w:p>
    <w:p>
      <w:pPr>
        <w:pStyle w:val="Normal"/>
      </w:pPr>
      <w:r>
        <w:rPr>
          <w:rFonts w:ascii="Cambria" w:hAnsi="Cambria"/>
          <w:color w:val="262626"/>
          <w:sz w:val="21"/>
        </w:rPr>
        <w:t xml:space="preserve">Where two provisions pull in different directions, the provision that protects life, then the provision that protects the marine environment, then the provision that protects traffic continuity, prevails in that order. Distress response stands above every other function of the system at every moment.</w:t>
      </w:r>
    </w:p>
    <w:p>
      <w:pPr>
        <w:pStyle w:val="Heading3"/>
      </w:pPr>
      <w:r>
        <w:rPr>
          <w:rFonts w:ascii="Cambria" w:hAnsi="Cambria"/>
          <w:color w:val="262626"/>
          <w:sz w:val="21"/>
        </w:rPr>
        <w:t xml:space="preserve">3.10 Regional Ownership With an International Interface</w:t>
      </w:r>
    </w:p>
    <w:p>
      <w:pPr>
        <w:pStyle w:val="Normal"/>
      </w:pPr>
      <w:r>
        <w:rPr>
          <w:rFonts w:ascii="Cambria" w:hAnsi="Cambria"/>
          <w:color w:val="262626"/>
          <w:sz w:val="21"/>
        </w:rPr>
        <w:t xml:space="preserve">The states of the region own the system: they staff it, fund it, and answer for it. The international community interfaces with it through defined windows: the technical observers, the industry panel, the insurance liaison, and the accession path. The Strait serves the world; the region runs the system that serves it.</w:t>
      </w:r>
    </w:p>
    <w:p>
      <w:pPr>
        <w:pStyle w:val="Heading2"/>
      </w:pPr>
      <w:r>
        <w:rPr>
          <w:rFonts w:ascii="Cambria" w:hAnsi="Cambria"/>
          <w:color w:val="262626"/>
          <w:sz w:val="21"/>
        </w:rPr>
        <w:t xml:space="preserve">Article 4: Definitions and Interpretation</w:t>
      </w:r>
      <w:bookmarkStart w:id="508" w:name="_Toc26010009"/>
      <w:bookmarkEnd w:id="508"/>
    </w:p>
    <w:p>
      <w:pPr>
        <w:pStyle w:val="Heading3"/>
      </w:pPr>
      <w:r>
        <w:rPr>
          <w:rFonts w:ascii="Cambria" w:hAnsi="Cambria"/>
          <w:color w:val="262626"/>
          <w:sz w:val="21"/>
        </w:rPr>
        <w:t xml:space="preserve">4.1 Defined Terms</w:t>
      </w:r>
    </w:p>
    <w:p>
      <w:pPr>
        <w:pStyle w:val="Normal"/>
      </w:pPr>
      <w:r>
        <w:rPr>
          <w:rFonts w:ascii="Cambria" w:hAnsi="Cambria"/>
          <w:color w:val="262626"/>
          <w:sz w:val="21"/>
        </w:rPr>
        <w:t xml:space="preserve">In this Agreement, the following terms carry the following meanings, and Annex N registers every operational term of the system:</w:t>
      </w:r>
    </w:p>
    <w:p>
      <w:pPr>
        <w:pStyle w:val="Normal"/>
        <w:ind w:left="432"/>
      </w:pPr>
      <w:r>
        <w:rPr>
          <w:rFonts w:ascii="Cambria" w:hAnsi="Cambria"/>
          <w:color w:val="262626"/>
          <w:sz w:val="21"/>
        </w:rPr>
        <w:t xml:space="preserve">(a) Governance Area means the waters, lanes, anchorages, and approaches within the boundary coordinates registered in Annex A.</w:t>
      </w:r>
    </w:p>
    <w:p>
      <w:pPr>
        <w:pStyle w:val="Normal"/>
        <w:ind w:left="432"/>
      </w:pPr>
      <w:r>
        <w:rPr>
          <w:rFonts w:ascii="Cambria" w:hAnsi="Cambria"/>
          <w:color w:val="262626"/>
          <w:sz w:val="21"/>
        </w:rPr>
        <w:t xml:space="preserve">(b) Corridor means one of the three functional transit lanes of Article 7: the Northern Alignment Corridor, the Central Transit Corridor, or the Southern Alignment Corridor.</w:t>
      </w:r>
    </w:p>
    <w:p>
      <w:pPr>
        <w:pStyle w:val="Normal"/>
        <w:ind w:left="432"/>
      </w:pPr>
      <w:r>
        <w:rPr>
          <w:rFonts w:ascii="Cambria" w:hAnsi="Cambria"/>
          <w:color w:val="262626"/>
          <w:sz w:val="21"/>
        </w:rPr>
        <w:t xml:space="preserve">(c) Coastal Parties means the Islamic Republic of Iran and the Sultanate of Oman.</w:t>
      </w:r>
    </w:p>
    <w:p>
      <w:pPr>
        <w:pStyle w:val="Normal"/>
        <w:ind w:left="432"/>
      </w:pPr>
      <w:r>
        <w:rPr>
          <w:rFonts w:ascii="Cambria" w:hAnsi="Cambria"/>
          <w:color w:val="262626"/>
          <w:sz w:val="21"/>
        </w:rPr>
        <w:t xml:space="preserve">(d) Corridor Authority means the national authority a Coastal Party designates for its adjacent corridor: for Iran, the Persian Gulf Strait Authority as the Northern Corridor Authority; for Oman, the Oman Maritime Security Center as the Southern Corridor Authority.</w:t>
      </w:r>
    </w:p>
    <w:p>
      <w:pPr>
        <w:pStyle w:val="Normal"/>
        <w:ind w:left="432"/>
      </w:pPr>
      <w:r>
        <w:rPr>
          <w:rFonts w:ascii="Cambria" w:hAnsi="Cambria"/>
          <w:color w:val="262626"/>
          <w:sz w:val="21"/>
        </w:rPr>
        <w:t xml:space="preserve">(e) The Desk means the Joint Hormuz Transit Desk established under Article 13.</w:t>
      </w:r>
    </w:p>
    <w:p>
      <w:pPr>
        <w:pStyle w:val="Normal"/>
        <w:ind w:left="432"/>
      </w:pPr>
      <w:r>
        <w:rPr>
          <w:rFonts w:ascii="Cambria" w:hAnsi="Cambria"/>
          <w:color w:val="262626"/>
          <w:sz w:val="21"/>
        </w:rPr>
        <w:t xml:space="preserve">(f) The Cell means the Joint Transit Monitoring Cell established under Article 14.</w:t>
      </w:r>
    </w:p>
    <w:p>
      <w:pPr>
        <w:pStyle w:val="Normal"/>
        <w:ind w:left="432"/>
      </w:pPr>
      <w:r>
        <w:rPr>
          <w:rFonts w:ascii="Cambria" w:hAnsi="Cambria"/>
          <w:color w:val="262626"/>
          <w:sz w:val="21"/>
        </w:rPr>
        <w:t xml:space="preserve">(g) The Secretariat means the Neutral Technical Secretariat established under Article 15.</w:t>
      </w:r>
    </w:p>
    <w:p>
      <w:pPr>
        <w:pStyle w:val="Normal"/>
        <w:ind w:left="432"/>
      </w:pPr>
      <w:r>
        <w:rPr>
          <w:rFonts w:ascii="Cambria" w:hAnsi="Cambria"/>
          <w:color w:val="262626"/>
          <w:sz w:val="21"/>
        </w:rPr>
        <w:t xml:space="preserve">(h) The Fund means the Hormuz Safety Cooperative Fund established under Article 22.</w:t>
      </w:r>
    </w:p>
    <w:p>
      <w:pPr>
        <w:pStyle w:val="Normal"/>
        <w:ind w:left="432"/>
      </w:pPr>
      <w:r>
        <w:rPr>
          <w:rFonts w:ascii="Cambria" w:hAnsi="Cambria"/>
          <w:color w:val="262626"/>
          <w:sz w:val="21"/>
        </w:rPr>
        <w:t xml:space="preserve">(i) Transit Declaration Form or TDF means the digital declaration of Article 8 and Annex H.</w:t>
      </w:r>
    </w:p>
    <w:p>
      <w:pPr>
        <w:pStyle w:val="Normal"/>
        <w:ind w:left="432"/>
      </w:pPr>
      <w:r>
        <w:rPr>
          <w:rFonts w:ascii="Cambria" w:hAnsi="Cambria"/>
          <w:color w:val="262626"/>
          <w:sz w:val="21"/>
        </w:rPr>
        <w:t xml:space="preserve">(j) Toll means any payment within the functional definition of Article 2.3, regardless of label.</w:t>
      </w:r>
    </w:p>
    <w:p>
      <w:pPr>
        <w:pStyle w:val="Normal"/>
        <w:ind w:left="432"/>
      </w:pPr>
      <w:r>
        <w:rPr>
          <w:rFonts w:ascii="Cambria" w:hAnsi="Cambria"/>
          <w:color w:val="262626"/>
          <w:sz w:val="21"/>
        </w:rPr>
        <w:t xml:space="preserve">(k) Verified Facts Standard means the evidentiary standard of Article 43.2: two independent technical sources, or one technical source plus a countersigned human observation, recorded in the custody system of Part V.</w:t>
      </w:r>
    </w:p>
    <w:p>
      <w:pPr>
        <w:pStyle w:val="Normal"/>
        <w:ind w:left="432"/>
      </w:pPr>
      <w:r>
        <w:rPr>
          <w:rFonts w:ascii="Cambria" w:hAnsi="Cambria"/>
          <w:color w:val="262626"/>
          <w:sz w:val="21"/>
        </w:rPr>
        <w:t xml:space="preserve">(l) Incident-Free Transit means a completed transit with no classified event of Material Disruption or Structural Breach under Article 43.</w:t>
      </w:r>
    </w:p>
    <w:p>
      <w:pPr>
        <w:pStyle w:val="Normal"/>
        <w:ind w:left="432"/>
      </w:pPr>
      <w:r>
        <w:rPr>
          <w:rFonts w:ascii="Cambria" w:hAnsi="Cambria"/>
          <w:color w:val="262626"/>
          <w:sz w:val="21"/>
        </w:rPr>
        <w:t xml:space="preserve">(m) Parties means the four establishing states; Participating Parties means the Parties together with any state that accedes under Article 54.</w:t>
      </w:r>
    </w:p>
    <w:p>
      <w:pPr>
        <w:pStyle w:val="Heading3"/>
      </w:pPr>
      <w:r>
        <w:rPr>
          <w:rFonts w:ascii="Cambria" w:hAnsi="Cambria"/>
          <w:color w:val="262626"/>
          <w:sz w:val="21"/>
        </w:rPr>
        <w:t xml:space="preserve">4.2 Interpretation Rules</w:t>
      </w:r>
    </w:p>
    <w:p>
      <w:pPr>
        <w:pStyle w:val="Normal"/>
      </w:pPr>
      <w:r>
        <w:rPr>
          <w:rFonts w:ascii="Cambria" w:hAnsi="Cambria"/>
          <w:color w:val="262626"/>
          <w:sz w:val="21"/>
        </w:rPr>
        <w:t xml:space="preserve">Four rules govern the reading of this instrument. First, the text reads as a single machine: a clause takes its meaning from the function it performs in the system. Second, the specific governs the general where two provisions address the same event. Third, the safety primacy order of Article 3.9 resolves any residual conflict. Fourth, the Red Lines Register of Article 5 prevails over every other provision, and no interpretation produces a result that crosses a registered line.</w:t>
      </w:r>
    </w:p>
    <w:p>
      <w:pPr>
        <w:pStyle w:val="Heading3"/>
      </w:pPr>
      <w:r>
        <w:rPr>
          <w:rFonts w:ascii="Cambria" w:hAnsi="Cambria"/>
          <w:color w:val="262626"/>
          <w:sz w:val="21"/>
        </w:rPr>
        <w:t xml:space="preserve">4.3 Headings and Examples</w:t>
      </w:r>
    </w:p>
    <w:p>
      <w:pPr>
        <w:pStyle w:val="Normal"/>
      </w:pPr>
      <w:r>
        <w:rPr>
          <w:rFonts w:ascii="Cambria" w:hAnsi="Cambria"/>
          <w:color w:val="262626"/>
          <w:sz w:val="21"/>
        </w:rPr>
        <w:t xml:space="preserve">Headings serve navigation only. Examples introduced by the words such as or including illustrate and never exhaust.</w:t>
      </w:r>
    </w:p>
    <w:p>
      <w:pPr>
        <w:pStyle w:val="Heading2"/>
      </w:pPr>
      <w:r>
        <w:rPr>
          <w:rFonts w:ascii="Cambria" w:hAnsi="Cambria"/>
          <w:color w:val="262626"/>
          <w:sz w:val="21"/>
        </w:rPr>
        <w:t xml:space="preserve">Article 5: The Red Lines Register and the Perimeter Test</w:t>
      </w:r>
      <w:bookmarkStart w:id="509" w:name="_Toc26010010"/>
      <w:bookmarkEnd w:id="509"/>
    </w:p>
    <w:p>
      <w:pPr>
        <w:pStyle w:val="Heading3"/>
      </w:pPr>
      <w:r>
        <w:rPr>
          <w:rFonts w:ascii="Cambria" w:hAnsi="Cambria"/>
          <w:color w:val="262626"/>
          <w:sz w:val="21"/>
        </w:rPr>
        <w:t xml:space="preserve">5.1 Purpose and Method</w:t>
      </w:r>
    </w:p>
    <w:p>
      <w:pPr>
        <w:pStyle w:val="Normal"/>
      </w:pPr>
      <w:r>
        <w:rPr>
          <w:rFonts w:ascii="Cambria" w:hAnsi="Cambria"/>
          <w:color w:val="262626"/>
          <w:sz w:val="21"/>
        </w:rPr>
        <w:t xml:space="preserve">The Parties name the lines each treats as untouchable once, precisely, and in the open, and the architecture then guards those lines automatically. Annex I carries the full Register. Each entry states the line in neutral terms, names the interest it protects, and identifies the architectural safeguard that holds the line without daily political effort. The Register binds the framework, not the negotiators' rhetoric: a public statement outside the Register carries no operative weight inside the Agreement.</w:t>
      </w:r>
    </w:p>
    <w:p>
      <w:pPr>
        <w:pStyle w:val="Heading3"/>
      </w:pPr>
      <w:r>
        <w:rPr>
          <w:rFonts w:ascii="Cambria" w:hAnsi="Cambria"/>
          <w:color w:val="262626"/>
          <w:sz w:val="21"/>
        </w:rPr>
        <w:t xml:space="preserve">5.2 The Register in Summary</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250"/>
        <w:gridCol w:w="2700"/>
        <w:gridCol w:w="4076"/>
      </w:tblGrid>
      <w:tr>
        <w:trPr>
          <w:tblHeader/>
        </w:trPr>
        <w:tc>
          <w:tcPr>
            <w:tcW w:w="2250" w:type="dxa"/>
            <w:shd w:val="clear" w:fill="E9F1F3"/>
            <w:vAlign w:val="top"/>
          </w:tcPr>
          <w:p>
            <w:pPr>
              <w:spacing w:before="20" w:after="20" w:line="276" w:lineRule="auto"/>
              <w:jc w:val="left"/>
            </w:pPr>
            <w:r>
              <w:rPr>
                <w:rFonts w:ascii="Calibri" w:hAnsi="Calibri"/>
                <w:b/>
                <w:color w:val="16404E"/>
                <w:sz w:val="19"/>
              </w:rPr>
              <w:t xml:space="preserve">Reference</w:t>
            </w:r>
          </w:p>
        </w:tc>
        <w:tc>
          <w:tcPr>
            <w:tcW w:w="2700" w:type="dxa"/>
            <w:shd w:val="clear" w:fill="E9F1F3"/>
            <w:vAlign w:val="top"/>
          </w:tcPr>
          <w:p>
            <w:pPr>
              <w:spacing w:before="20" w:after="20" w:line="276" w:lineRule="auto"/>
              <w:jc w:val="left"/>
            </w:pPr>
            <w:r>
              <w:rPr>
                <w:rFonts w:ascii="Calibri" w:hAnsi="Calibri"/>
                <w:b/>
                <w:color w:val="16404E"/>
                <w:sz w:val="19"/>
              </w:rPr>
              <w:t xml:space="preserve">Line (Summary)</w:t>
            </w:r>
          </w:p>
        </w:tc>
        <w:tc>
          <w:tcPr>
            <w:tcW w:w="4076" w:type="dxa"/>
            <w:shd w:val="clear" w:fill="E9F1F3"/>
            <w:vAlign w:val="top"/>
          </w:tcPr>
          <w:p>
            <w:pPr>
              <w:spacing w:before="20" w:after="20" w:line="276" w:lineRule="auto"/>
              <w:jc w:val="left"/>
            </w:pPr>
            <w:r>
              <w:rPr>
                <w:rFonts w:ascii="Calibri" w:hAnsi="Calibri"/>
                <w:b/>
                <w:color w:val="16404E"/>
                <w:sz w:val="19"/>
              </w:rPr>
              <w:t xml:space="preserve">Architectural Safeguard</w:t>
            </w:r>
          </w:p>
        </w:tc>
      </w:tr>
      <w:tr>
        <w:tc>
          <w:tcPr>
            <w:tcW w:w="2250" w:type="dxa"/>
            <w:vAlign w:val="top"/>
          </w:tcPr>
          <w:p>
            <w:pPr>
              <w:spacing w:before="20" w:after="20" w:line="276" w:lineRule="auto"/>
              <w:jc w:val="left"/>
            </w:pPr>
            <w:r>
              <w:rPr>
                <w:rFonts w:ascii="Calibri" w:hAnsi="Calibri"/>
                <w:color w:val="262626"/>
                <w:sz w:val="18"/>
              </w:rPr>
              <w:t xml:space="preserve">RL-1</w:t>
            </w:r>
          </w:p>
        </w:tc>
        <w:tc>
          <w:tcPr>
            <w:tcW w:w="2700" w:type="dxa"/>
            <w:vAlign w:val="top"/>
          </w:tcPr>
          <w:p>
            <w:pPr>
              <w:spacing w:before="20" w:after="20" w:line="276" w:lineRule="auto"/>
              <w:jc w:val="left"/>
            </w:pPr>
            <w:r>
              <w:rPr>
                <w:rFonts w:ascii="Calibri" w:hAnsi="Calibri"/>
                <w:color w:val="262626"/>
                <w:sz w:val="18"/>
              </w:rPr>
              <w:t xml:space="preserve">No charge of any kind attaches to the act of transit, under any label, in any corridor, ever.</w:t>
            </w:r>
          </w:p>
        </w:tc>
        <w:tc>
          <w:tcPr>
            <w:tcW w:w="4076" w:type="dxa"/>
            <w:vAlign w:val="top"/>
          </w:tcPr>
          <w:p>
            <w:pPr>
              <w:spacing w:before="20" w:after="20" w:line="276" w:lineRule="auto"/>
              <w:jc w:val="left"/>
            </w:pPr>
            <w:r>
              <w:rPr>
                <w:rFonts w:ascii="Calibri" w:hAnsi="Calibri"/>
                <w:color w:val="262626"/>
                <w:sz w:val="18"/>
              </w:rPr>
              <w:t xml:space="preserve">The Zero-Toll Covenant, Article 20</w:t>
            </w:r>
          </w:p>
        </w:tc>
      </w:tr>
      <w:tr>
        <w:tc>
          <w:tcPr>
            <w:tcW w:w="2250" w:type="dxa"/>
            <w:vAlign w:val="top"/>
          </w:tcPr>
          <w:p>
            <w:pPr>
              <w:spacing w:before="20" w:after="20" w:line="276" w:lineRule="auto"/>
              <w:jc w:val="left"/>
            </w:pPr>
            <w:r>
              <w:rPr>
                <w:rFonts w:ascii="Calibri" w:hAnsi="Calibri"/>
                <w:color w:val="262626"/>
                <w:sz w:val="18"/>
              </w:rPr>
              <w:t xml:space="preserve">RL-2</w:t>
            </w:r>
          </w:p>
        </w:tc>
        <w:tc>
          <w:tcPr>
            <w:tcW w:w="2700" w:type="dxa"/>
            <w:vAlign w:val="top"/>
          </w:tcPr>
          <w:p>
            <w:pPr>
              <w:spacing w:before="20" w:after="20" w:line="276" w:lineRule="auto"/>
              <w:jc w:val="left"/>
            </w:pPr>
            <w:r>
              <w:rPr>
                <w:rFonts w:ascii="Calibri" w:hAnsi="Calibri"/>
                <w:color w:val="262626"/>
                <w:sz w:val="18"/>
              </w:rPr>
              <w:t xml:space="preserve">No permission regime operates anywhere in the system; notification informs and never conditions.</w:t>
            </w:r>
          </w:p>
        </w:tc>
        <w:tc>
          <w:tcPr>
            <w:tcW w:w="4076" w:type="dxa"/>
            <w:vAlign w:val="top"/>
          </w:tcPr>
          <w:p>
            <w:pPr>
              <w:spacing w:before="20" w:after="20" w:line="276" w:lineRule="auto"/>
              <w:jc w:val="left"/>
            </w:pPr>
            <w:r>
              <w:rPr>
                <w:rFonts w:ascii="Calibri" w:hAnsi="Calibri"/>
                <w:color w:val="262626"/>
                <w:sz w:val="18"/>
              </w:rPr>
              <w:t xml:space="preserve">The Notification-Only Rule, Article 8.2</w:t>
            </w:r>
          </w:p>
        </w:tc>
      </w:tr>
      <w:tr>
        <w:tc>
          <w:tcPr>
            <w:tcW w:w="2250" w:type="dxa"/>
            <w:vAlign w:val="top"/>
          </w:tcPr>
          <w:p>
            <w:pPr>
              <w:spacing w:before="20" w:after="20" w:line="276" w:lineRule="auto"/>
              <w:jc w:val="left"/>
            </w:pPr>
            <w:r>
              <w:rPr>
                <w:rFonts w:ascii="Calibri" w:hAnsi="Calibri"/>
                <w:color w:val="262626"/>
                <w:sz w:val="18"/>
              </w:rPr>
              <w:t xml:space="preserve">RL-3</w:t>
            </w:r>
          </w:p>
        </w:tc>
        <w:tc>
          <w:tcPr>
            <w:tcW w:w="2700" w:type="dxa"/>
            <w:vAlign w:val="top"/>
          </w:tcPr>
          <w:p>
            <w:pPr>
              <w:spacing w:before="20" w:after="20" w:line="276" w:lineRule="auto"/>
              <w:jc w:val="left"/>
            </w:pPr>
            <w:r>
              <w:rPr>
                <w:rFonts w:ascii="Calibri" w:hAnsi="Calibri"/>
                <w:color w:val="262626"/>
                <w:sz w:val="18"/>
              </w:rPr>
              <w:t xml:space="preserve">The northern littoral holds a recognized, formal, continuing management role.</w:t>
            </w:r>
          </w:p>
        </w:tc>
        <w:tc>
          <w:tcPr>
            <w:tcW w:w="4076" w:type="dxa"/>
            <w:vAlign w:val="top"/>
          </w:tcPr>
          <w:p>
            <w:pPr>
              <w:spacing w:before="20" w:after="20" w:line="276" w:lineRule="auto"/>
              <w:jc w:val="left"/>
            </w:pPr>
            <w:r>
              <w:rPr>
                <w:rFonts w:ascii="Calibri" w:hAnsi="Calibri"/>
                <w:color w:val="262626"/>
                <w:sz w:val="18"/>
              </w:rPr>
              <w:t xml:space="preserve">The Northern Alignment Corridor and the Northern Corridor Authority, Articles 7.2 and 16.1</w:t>
            </w:r>
          </w:p>
        </w:tc>
      </w:tr>
      <w:tr>
        <w:tc>
          <w:tcPr>
            <w:tcW w:w="2250" w:type="dxa"/>
            <w:vAlign w:val="top"/>
          </w:tcPr>
          <w:p>
            <w:pPr>
              <w:spacing w:before="20" w:after="20" w:line="276" w:lineRule="auto"/>
              <w:jc w:val="left"/>
            </w:pPr>
            <w:r>
              <w:rPr>
                <w:rFonts w:ascii="Calibri" w:hAnsi="Calibri"/>
                <w:color w:val="262626"/>
                <w:sz w:val="18"/>
              </w:rPr>
              <w:t xml:space="preserve">RL-4</w:t>
            </w:r>
          </w:p>
        </w:tc>
        <w:tc>
          <w:tcPr>
            <w:tcW w:w="2700" w:type="dxa"/>
            <w:vAlign w:val="top"/>
          </w:tcPr>
          <w:p>
            <w:pPr>
              <w:spacing w:before="20" w:after="20" w:line="276" w:lineRule="auto"/>
              <w:jc w:val="left"/>
            </w:pPr>
            <w:r>
              <w:rPr>
                <w:rFonts w:ascii="Calibri" w:hAnsi="Calibri"/>
                <w:color w:val="262626"/>
                <w:sz w:val="18"/>
              </w:rPr>
              <w:t xml:space="preserve">The southern littoral holds a recognized, formal, continuing management role.</w:t>
            </w:r>
          </w:p>
        </w:tc>
        <w:tc>
          <w:tcPr>
            <w:tcW w:w="4076" w:type="dxa"/>
            <w:vAlign w:val="top"/>
          </w:tcPr>
          <w:p>
            <w:pPr>
              <w:spacing w:before="20" w:after="20" w:line="276" w:lineRule="auto"/>
              <w:jc w:val="left"/>
            </w:pPr>
            <w:r>
              <w:rPr>
                <w:rFonts w:ascii="Calibri" w:hAnsi="Calibri"/>
                <w:color w:val="262626"/>
                <w:sz w:val="18"/>
              </w:rPr>
              <w:t xml:space="preserve">The Southern Alignment Corridor and the Southern Corridor Authority, Articles 7.3 and 16.2</w:t>
            </w:r>
          </w:p>
        </w:tc>
      </w:tr>
      <w:tr>
        <w:tc>
          <w:tcPr>
            <w:tcW w:w="2250" w:type="dxa"/>
            <w:vAlign w:val="top"/>
          </w:tcPr>
          <w:p>
            <w:pPr>
              <w:spacing w:before="20" w:after="20" w:line="276" w:lineRule="auto"/>
              <w:jc w:val="left"/>
            </w:pPr>
            <w:r>
              <w:rPr>
                <w:rFonts w:ascii="Calibri" w:hAnsi="Calibri"/>
                <w:color w:val="262626"/>
                <w:sz w:val="18"/>
              </w:rPr>
              <w:t xml:space="preserve">RL-5</w:t>
            </w:r>
          </w:p>
        </w:tc>
        <w:tc>
          <w:tcPr>
            <w:tcW w:w="2700" w:type="dxa"/>
            <w:vAlign w:val="top"/>
          </w:tcPr>
          <w:p>
            <w:pPr>
              <w:spacing w:before="20" w:after="20" w:line="276" w:lineRule="auto"/>
              <w:jc w:val="left"/>
            </w:pPr>
            <w:r>
              <w:rPr>
                <w:rFonts w:ascii="Calibri" w:hAnsi="Calibri"/>
                <w:color w:val="262626"/>
                <w:sz w:val="18"/>
              </w:rPr>
              <w:t xml:space="preserve">No vessel faces boarding, diversion, seizure, or inspection inside a corridor.</w:t>
            </w:r>
          </w:p>
        </w:tc>
        <w:tc>
          <w:tcPr>
            <w:tcW w:w="4076" w:type="dxa"/>
            <w:vAlign w:val="top"/>
          </w:tcPr>
          <w:p>
            <w:pPr>
              <w:spacing w:before="20" w:after="20" w:line="276" w:lineRule="auto"/>
              <w:jc w:val="left"/>
            </w:pPr>
            <w:r>
              <w:rPr>
                <w:rFonts w:ascii="Calibri" w:hAnsi="Calibri"/>
                <w:color w:val="262626"/>
                <w:sz w:val="18"/>
              </w:rPr>
              <w:t xml:space="preserve">The Non-Interdiction Protocol, Article 10</w:t>
            </w:r>
          </w:p>
        </w:tc>
      </w:tr>
      <w:tr>
        <w:tc>
          <w:tcPr>
            <w:tcW w:w="2250" w:type="dxa"/>
            <w:vAlign w:val="top"/>
          </w:tcPr>
          <w:p>
            <w:pPr>
              <w:spacing w:before="20" w:after="20" w:line="276" w:lineRule="auto"/>
              <w:jc w:val="left"/>
            </w:pPr>
            <w:r>
              <w:rPr>
                <w:rFonts w:ascii="Calibri" w:hAnsi="Calibri"/>
                <w:color w:val="262626"/>
                <w:sz w:val="18"/>
              </w:rPr>
              <w:t xml:space="preserve">RL-6</w:t>
            </w:r>
          </w:p>
        </w:tc>
        <w:tc>
          <w:tcPr>
            <w:tcW w:w="2700" w:type="dxa"/>
            <w:vAlign w:val="top"/>
          </w:tcPr>
          <w:p>
            <w:pPr>
              <w:spacing w:before="20" w:after="20" w:line="276" w:lineRule="auto"/>
              <w:jc w:val="left"/>
            </w:pPr>
            <w:r>
              <w:rPr>
                <w:rFonts w:ascii="Calibri" w:hAnsi="Calibri"/>
                <w:color w:val="262626"/>
                <w:sz w:val="18"/>
              </w:rPr>
              <w:t xml:space="preserve">No shipper, owner, operator, or insurer pays any party or its designated authority directly for anything connected with the Governance Area.</w:t>
            </w:r>
          </w:p>
        </w:tc>
        <w:tc>
          <w:tcPr>
            <w:tcW w:w="4076" w:type="dxa"/>
            <w:vAlign w:val="top"/>
          </w:tcPr>
          <w:p>
            <w:pPr>
              <w:spacing w:before="20" w:after="20" w:line="276" w:lineRule="auto"/>
              <w:jc w:val="left"/>
            </w:pPr>
            <w:r>
              <w:rPr>
                <w:rFonts w:ascii="Calibri" w:hAnsi="Calibri"/>
                <w:color w:val="262626"/>
                <w:sz w:val="18"/>
              </w:rPr>
              <w:t xml:space="preserve">The Payments Firewall, Article 31</w:t>
            </w:r>
          </w:p>
        </w:tc>
      </w:tr>
      <w:tr>
        <w:tc>
          <w:tcPr>
            <w:tcW w:w="2250" w:type="dxa"/>
            <w:vAlign w:val="top"/>
          </w:tcPr>
          <w:p>
            <w:pPr>
              <w:spacing w:before="20" w:after="20" w:line="276" w:lineRule="auto"/>
              <w:jc w:val="left"/>
            </w:pPr>
            <w:r>
              <w:rPr>
                <w:rFonts w:ascii="Calibri" w:hAnsi="Calibri"/>
                <w:color w:val="262626"/>
                <w:sz w:val="18"/>
              </w:rPr>
              <w:t xml:space="preserve">RL-7</w:t>
            </w:r>
          </w:p>
        </w:tc>
        <w:tc>
          <w:tcPr>
            <w:tcW w:w="2700" w:type="dxa"/>
            <w:vAlign w:val="top"/>
          </w:tcPr>
          <w:p>
            <w:pPr>
              <w:spacing w:before="20" w:after="20" w:line="276" w:lineRule="auto"/>
              <w:jc w:val="left"/>
            </w:pPr>
            <w:r>
              <w:rPr>
                <w:rFonts w:ascii="Calibri" w:hAnsi="Calibri"/>
                <w:color w:val="262626"/>
                <w:sz w:val="18"/>
              </w:rPr>
              <w:t xml:space="preserve">Every operational body remains civilian; no foreign military personnel serve in any lane.</w:t>
            </w:r>
          </w:p>
        </w:tc>
        <w:tc>
          <w:tcPr>
            <w:tcW w:w="4076" w:type="dxa"/>
            <w:vAlign w:val="top"/>
          </w:tcPr>
          <w:p>
            <w:pPr>
              <w:spacing w:before="20" w:after="20" w:line="276" w:lineRule="auto"/>
              <w:jc w:val="left"/>
            </w:pPr>
            <w:r>
              <w:rPr>
                <w:rFonts w:ascii="Calibri" w:hAnsi="Calibri"/>
                <w:color w:val="262626"/>
                <w:sz w:val="18"/>
              </w:rPr>
              <w:t xml:space="preserve">The Civilian Character Clause, Articles 3.5 and 13.7</w:t>
            </w:r>
          </w:p>
        </w:tc>
      </w:tr>
      <w:tr>
        <w:tc>
          <w:tcPr>
            <w:tcW w:w="2250" w:type="dxa"/>
            <w:vAlign w:val="top"/>
          </w:tcPr>
          <w:p>
            <w:pPr>
              <w:spacing w:before="20" w:after="20" w:line="276" w:lineRule="auto"/>
              <w:jc w:val="left"/>
            </w:pPr>
            <w:r>
              <w:rPr>
                <w:rFonts w:ascii="Calibri" w:hAnsi="Calibri"/>
                <w:color w:val="262626"/>
                <w:sz w:val="18"/>
              </w:rPr>
              <w:t xml:space="preserve">RL-8</w:t>
            </w:r>
          </w:p>
        </w:tc>
        <w:tc>
          <w:tcPr>
            <w:tcW w:w="2700" w:type="dxa"/>
            <w:vAlign w:val="top"/>
          </w:tcPr>
          <w:p>
            <w:pPr>
              <w:spacing w:before="20" w:after="20" w:line="276" w:lineRule="auto"/>
              <w:jc w:val="left"/>
            </w:pPr>
            <w:r>
              <w:rPr>
                <w:rFonts w:ascii="Calibri" w:hAnsi="Calibri"/>
                <w:color w:val="262626"/>
                <w:sz w:val="18"/>
              </w:rPr>
              <w:t xml:space="preserve">Each party's legal positions on sovereignty, treaties, and maritime status stand untouched.</w:t>
            </w:r>
          </w:p>
        </w:tc>
        <w:tc>
          <w:tcPr>
            <w:tcW w:w="4076" w:type="dxa"/>
            <w:vAlign w:val="top"/>
          </w:tcPr>
          <w:p>
            <w:pPr>
              <w:spacing w:before="20" w:after="20" w:line="276" w:lineRule="auto"/>
              <w:jc w:val="left"/>
            </w:pPr>
            <w:r>
              <w:rPr>
                <w:rFonts w:ascii="Calibri" w:hAnsi="Calibri"/>
                <w:color w:val="262626"/>
                <w:sz w:val="18"/>
              </w:rPr>
              <w:t xml:space="preserve">The No-Prejudice Rule, Article 2</w:t>
            </w:r>
          </w:p>
        </w:tc>
      </w:tr>
      <w:tr>
        <w:tc>
          <w:tcPr>
            <w:tcW w:w="2250" w:type="dxa"/>
            <w:vAlign w:val="top"/>
          </w:tcPr>
          <w:p>
            <w:pPr>
              <w:spacing w:before="20" w:after="20" w:line="276" w:lineRule="auto"/>
              <w:jc w:val="left"/>
            </w:pPr>
            <w:r>
              <w:rPr>
                <w:rFonts w:ascii="Calibri" w:hAnsi="Calibri"/>
                <w:color w:val="262626"/>
                <w:sz w:val="18"/>
              </w:rPr>
              <w:t xml:space="preserve">RL-9</w:t>
            </w:r>
          </w:p>
        </w:tc>
        <w:tc>
          <w:tcPr>
            <w:tcW w:w="2700" w:type="dxa"/>
            <w:vAlign w:val="top"/>
          </w:tcPr>
          <w:p>
            <w:pPr>
              <w:spacing w:before="20" w:after="20" w:line="276" w:lineRule="auto"/>
              <w:jc w:val="left"/>
            </w:pPr>
            <w:r>
              <w:rPr>
                <w:rFonts w:ascii="Calibri" w:hAnsi="Calibri"/>
                <w:color w:val="262626"/>
                <w:sz w:val="18"/>
              </w:rPr>
              <w:t xml:space="preserve">The arrangement takes collective regional form; no bilateral fait accompli governs the Strait.</w:t>
            </w:r>
          </w:p>
        </w:tc>
        <w:tc>
          <w:tcPr>
            <w:tcW w:w="4076" w:type="dxa"/>
            <w:vAlign w:val="top"/>
          </w:tcPr>
          <w:p>
            <w:pPr>
              <w:spacing w:before="20" w:after="20" w:line="276" w:lineRule="auto"/>
              <w:jc w:val="left"/>
            </w:pPr>
            <w:r>
              <w:rPr>
                <w:rFonts w:ascii="Calibri" w:hAnsi="Calibri"/>
                <w:color w:val="262626"/>
                <w:sz w:val="18"/>
              </w:rPr>
              <w:t xml:space="preserve">The Accession Path and the Council structure, Articles 13 and 54</w:t>
            </w:r>
          </w:p>
        </w:tc>
      </w:tr>
      <w:tr>
        <w:tc>
          <w:tcPr>
            <w:tcW w:w="2250" w:type="dxa"/>
            <w:vAlign w:val="top"/>
          </w:tcPr>
          <w:p>
            <w:pPr>
              <w:spacing w:before="20" w:after="20" w:line="276" w:lineRule="auto"/>
              <w:jc w:val="left"/>
            </w:pPr>
            <w:r>
              <w:rPr>
                <w:rFonts w:ascii="Calibri" w:hAnsi="Calibri"/>
                <w:color w:val="262626"/>
                <w:sz w:val="18"/>
              </w:rPr>
              <w:t xml:space="preserve">RL-10</w:t>
            </w:r>
          </w:p>
        </w:tc>
        <w:tc>
          <w:tcPr>
            <w:tcW w:w="2700" w:type="dxa"/>
            <w:vAlign w:val="top"/>
          </w:tcPr>
          <w:p>
            <w:pPr>
              <w:spacing w:before="20" w:after="20" w:line="276" w:lineRule="auto"/>
              <w:jc w:val="left"/>
            </w:pPr>
            <w:r>
              <w:rPr>
                <w:rFonts w:ascii="Calibri" w:hAnsi="Calibri"/>
                <w:color w:val="262626"/>
                <w:sz w:val="18"/>
              </w:rPr>
              <w:t xml:space="preserve">Energy infrastructure, crews, and commercial shipping stay outside every regional dispute.</w:t>
            </w:r>
          </w:p>
        </w:tc>
        <w:tc>
          <w:tcPr>
            <w:tcW w:w="4076" w:type="dxa"/>
            <w:vAlign w:val="top"/>
          </w:tcPr>
          <w:p>
            <w:pPr>
              <w:spacing w:before="20" w:after="20" w:line="276" w:lineRule="auto"/>
              <w:jc w:val="left"/>
            </w:pPr>
            <w:r>
              <w:rPr>
                <w:rFonts w:ascii="Calibri" w:hAnsi="Calibri"/>
                <w:color w:val="262626"/>
                <w:sz w:val="18"/>
              </w:rPr>
              <w:t xml:space="preserve">The Protection Covenant, Article 48</w:t>
            </w:r>
          </w:p>
        </w:tc>
      </w:tr>
      <w:tr>
        <w:tc>
          <w:tcPr>
            <w:tcW w:w="2250" w:type="dxa"/>
            <w:vAlign w:val="top"/>
          </w:tcPr>
          <w:p>
            <w:pPr>
              <w:spacing w:before="20" w:after="20" w:line="276" w:lineRule="auto"/>
              <w:jc w:val="left"/>
            </w:pPr>
            <w:r>
              <w:rPr>
                <w:rFonts w:ascii="Calibri" w:hAnsi="Calibri"/>
                <w:color w:val="262626"/>
                <w:sz w:val="18"/>
              </w:rPr>
              <w:t xml:space="preserve">RL-11</w:t>
            </w:r>
          </w:p>
        </w:tc>
        <w:tc>
          <w:tcPr>
            <w:tcW w:w="2700" w:type="dxa"/>
            <w:vAlign w:val="top"/>
          </w:tcPr>
          <w:p>
            <w:pPr>
              <w:spacing w:before="20" w:after="20" w:line="276" w:lineRule="auto"/>
              <w:jc w:val="left"/>
            </w:pPr>
            <w:r>
              <w:rPr>
                <w:rFonts w:ascii="Calibri" w:hAnsi="Calibri"/>
                <w:color w:val="262626"/>
                <w:sz w:val="18"/>
              </w:rPr>
              <w:t xml:space="preserve">No party's domestic politics empties the system of content; continuity runs by default.</w:t>
            </w:r>
          </w:p>
        </w:tc>
        <w:tc>
          <w:tcPr>
            <w:tcW w:w="4076" w:type="dxa"/>
            <w:vAlign w:val="top"/>
          </w:tcPr>
          <w:p>
            <w:pPr>
              <w:spacing w:before="20" w:after="20" w:line="276" w:lineRule="auto"/>
              <w:jc w:val="left"/>
            </w:pPr>
            <w:r>
              <w:rPr>
                <w:rFonts w:ascii="Calibri" w:hAnsi="Calibri"/>
                <w:color w:val="262626"/>
                <w:sz w:val="18"/>
              </w:rPr>
              <w:t xml:space="preserve">The Standing Continuity Rule, Article 52</w:t>
            </w:r>
          </w:p>
        </w:tc>
      </w:tr>
      <w:tr>
        <w:tc>
          <w:tcPr>
            <w:tcW w:w="2250" w:type="dxa"/>
            <w:vAlign w:val="top"/>
          </w:tcPr>
          <w:p>
            <w:pPr>
              <w:spacing w:before="20" w:after="20" w:line="276" w:lineRule="auto"/>
              <w:jc w:val="left"/>
            </w:pPr>
            <w:r>
              <w:rPr>
                <w:rFonts w:ascii="Calibri" w:hAnsi="Calibri"/>
                <w:color w:val="262626"/>
                <w:sz w:val="18"/>
              </w:rPr>
              <w:t xml:space="preserve">RL-12</w:t>
            </w:r>
          </w:p>
        </w:tc>
        <w:tc>
          <w:tcPr>
            <w:tcW w:w="2700" w:type="dxa"/>
            <w:vAlign w:val="top"/>
          </w:tcPr>
          <w:p>
            <w:pPr>
              <w:spacing w:before="20" w:after="20" w:line="276" w:lineRule="auto"/>
              <w:jc w:val="left"/>
            </w:pPr>
            <w:r>
              <w:rPr>
                <w:rFonts w:ascii="Calibri" w:hAnsi="Calibri"/>
                <w:color w:val="262626"/>
                <w:sz w:val="18"/>
              </w:rPr>
              <w:t xml:space="preserve">Data about transits never becomes a weapon, a bargaining chip, or a unilateral narrative.</w:t>
            </w:r>
          </w:p>
        </w:tc>
        <w:tc>
          <w:tcPr>
            <w:tcW w:w="4076" w:type="dxa"/>
            <w:vAlign w:val="top"/>
          </w:tcPr>
          <w:p>
            <w:pPr>
              <w:spacing w:before="20" w:after="20" w:line="276" w:lineRule="auto"/>
              <w:jc w:val="left"/>
            </w:pPr>
            <w:r>
              <w:rPr>
                <w:rFonts w:ascii="Calibri" w:hAnsi="Calibri"/>
                <w:color w:val="262626"/>
                <w:sz w:val="18"/>
              </w:rPr>
              <w:t xml:space="preserve">The Custody and Key-Fragment Rule, Article 35</w:t>
            </w:r>
          </w:p>
        </w:tc>
      </w:tr>
    </w:tbl>
    <w:p>
      <w:pPr>
        <w:spacing w:before="60" w:after="120"/>
      </w:pPr>
    </w:p>
    <w:p>
      <w:pPr>
        <w:pStyle w:val="Heading3"/>
      </w:pPr>
      <w:r>
        <w:rPr>
          <w:rFonts w:ascii="Cambria" w:hAnsi="Cambria"/>
          <w:color w:val="262626"/>
          <w:sz w:val="21"/>
        </w:rPr>
        <w:t xml:space="preserve">5.3 The Perimeter Test</w:t>
      </w:r>
    </w:p>
    <w:p>
      <w:pPr>
        <w:pStyle w:val="Normal"/>
      </w:pPr>
      <w:r>
        <w:rPr>
          <w:rFonts w:ascii="Cambria" w:hAnsi="Cambria"/>
          <w:color w:val="262626"/>
          <w:sz w:val="21"/>
        </w:rPr>
        <w:t xml:space="preserve">Before any organ adopts a rule, rate, route change, or resolution, the Secretariat runs the Perimeter Test: the measure proceeds only where it crosses no registered line. The test operates mechanically. The Secretariat publishes the test record for every measure, and any party invokes the test to halt a measure for review within seventy-two hours of its publication. A halted measure returns to the adopting organ with the Secretariat's written analysis, and the organ either revises the measure inside the perimeter or records the line it cannot respect and refers the question to the facilitation tier of Article 47.3.</w:t>
      </w:r>
    </w:p>
    <w:p>
      <w:pPr>
        <w:pStyle w:val="Heading3"/>
      </w:pPr>
      <w:r>
        <w:rPr>
          <w:rFonts w:ascii="Cambria" w:hAnsi="Cambria"/>
          <w:color w:val="262626"/>
          <w:sz w:val="21"/>
        </w:rPr>
        <w:t xml:space="preserve">5.4 Amendment of the Register</w:t>
      </w:r>
    </w:p>
    <w:p>
      <w:pPr>
        <w:pStyle w:val="Normal"/>
      </w:pPr>
      <w:r>
        <w:rPr>
          <w:rFonts w:ascii="Cambria" w:hAnsi="Cambria"/>
          <w:color w:val="262626"/>
          <w:sz w:val="21"/>
        </w:rPr>
        <w:t xml:space="preserve">The Register changes only by the joint written instrument of all four Parties under Article 55. A party adds a line through the same instrument, and the architecture extends its safeguard automatically. No organ, majority, or emergency deletes or dilutes a registered line.</w:t>
      </w:r>
    </w:p>
    <w:p>
      <w:pPr>
        <w:pStyle w:val="Heading1"/>
      </w:pPr>
      <w:r>
        <w:rPr>
          <w:rFonts w:ascii="Cambria" w:hAnsi="Cambria"/>
          <w:color w:val="262626"/>
          <w:sz w:val="21"/>
        </w:rPr>
        <w:t xml:space="preserve">Part II: The Three-Corridor Transit System</w:t>
      </w:r>
      <w:bookmarkStart w:id="510" w:name="_Toc26010011"/>
      <w:bookmarkEnd w:id="510"/>
    </w:p>
    <w:p>
      <w:pPr>
        <w:pStyle w:val="Heading2"/>
      </w:pPr>
      <w:r>
        <w:rPr>
          <w:rFonts w:ascii="Cambria" w:hAnsi="Cambria"/>
          <w:color w:val="262626"/>
          <w:sz w:val="21"/>
        </w:rPr>
        <w:t xml:space="preserve">Article 6: The Governance Area and Boundary Coordinates</w:t>
      </w:r>
      <w:bookmarkStart w:id="511" w:name="_Toc26010012"/>
      <w:bookmarkEnd w:id="511"/>
    </w:p>
    <w:p>
      <w:pPr>
        <w:pStyle w:val="Heading3"/>
      </w:pPr>
      <w:r>
        <w:rPr>
          <w:rFonts w:ascii="Cambria" w:hAnsi="Cambria"/>
          <w:color w:val="262626"/>
          <w:sz w:val="21"/>
        </w:rPr>
        <w:t xml:space="preserve">6.1 The Governance Area</w:t>
      </w:r>
    </w:p>
    <w:p>
      <w:pPr>
        <w:pStyle w:val="Normal"/>
      </w:pPr>
      <w:r>
        <w:rPr>
          <w:rFonts w:ascii="Cambria" w:hAnsi="Cambria"/>
          <w:color w:val="262626"/>
          <w:sz w:val="21"/>
        </w:rPr>
        <w:t xml:space="preserve">The Governance Area comprises the waters of the Strait of Hormuz between the registered eastern and western boundary lines, together with the designated approach anchorages. Annex A registers the coordinates of the outer boundary, the corridor separation lines, the precautionary areas, and the anchorages. The registered geometry follows the hydrographic reality of the Strait: the deep-water routes, the shoal patches, the island passages, and the traffic separation scheme adopted through the International Maritime Organization in 1966 and maintained since, which forms the baseline of the Central Transit Corridor.</w:t>
      </w:r>
    </w:p>
    <w:p>
      <w:pPr>
        <w:pStyle w:val="Heading3"/>
      </w:pPr>
      <w:r>
        <w:rPr>
          <w:rFonts w:ascii="Cambria" w:hAnsi="Cambria"/>
          <w:color w:val="262626"/>
          <w:sz w:val="21"/>
        </w:rPr>
        <w:t xml:space="preserve">6.2 The Operational Definition of Adjacent Waters</w:t>
      </w:r>
    </w:p>
    <w:p>
      <w:pPr>
        <w:pStyle w:val="Normal"/>
      </w:pPr>
      <w:r>
        <w:rPr>
          <w:rFonts w:ascii="Cambria" w:hAnsi="Cambria"/>
          <w:color w:val="262626"/>
          <w:sz w:val="21"/>
        </w:rPr>
        <w:t xml:space="preserve">For operational purposes only, the Northern Alignment Corridor occupies the lanes adjacent to the Iranian coast within the Governance Area, the Southern Alignment Corridor occupies the lanes adjacent to the Omani coast within the Governance Area, and the Central Transit Corridor occupies the lanes between them. Article 2.6 governs: these assignments assign work, not title, and no coordinate in Annex A draws a legal boundary.</w:t>
      </w:r>
    </w:p>
    <w:p>
      <w:pPr>
        <w:pStyle w:val="Heading3"/>
      </w:pPr>
      <w:r>
        <w:rPr>
          <w:rFonts w:ascii="Cambria" w:hAnsi="Cambria"/>
          <w:color w:val="262626"/>
          <w:sz w:val="21"/>
        </w:rPr>
        <w:t xml:space="preserve">6.3 Amendment of Geometry</w:t>
      </w:r>
    </w:p>
    <w:p>
      <w:pPr>
        <w:pStyle w:val="Normal"/>
      </w:pPr>
      <w:r>
        <w:rPr>
          <w:rFonts w:ascii="Cambria" w:hAnsi="Cambria"/>
          <w:color w:val="262626"/>
          <w:sz w:val="21"/>
        </w:rPr>
        <w:t xml:space="preserve">The Desk adjusts registered coordinates through the technical procedure of Annex A on the advice of the hydrographic work strand, with sixty days' public notice and a Perimeter Test under Article 5.3. No adjustment reduces the width of the Central Transit Corridor below two nautical miles in each direction of travel, and no adjustment takes effect during a Flow State of Heightened or Restricted under Article 9.</w:t>
      </w:r>
    </w:p>
    <w:p>
      <w:pPr>
        <w:pStyle w:val="Heading2"/>
      </w:pPr>
      <w:r>
        <w:rPr>
          <w:rFonts w:ascii="Cambria" w:hAnsi="Cambria"/>
          <w:color w:val="262626"/>
          <w:sz w:val="21"/>
        </w:rPr>
        <w:t xml:space="preserve">Article 7: The Three Corridors</w:t>
      </w:r>
      <w:bookmarkStart w:id="512" w:name="_Toc26010013"/>
      <w:bookmarkEnd w:id="512"/>
    </w:p>
    <w:p>
      <w:pPr>
        <w:pStyle w:val="Heading3"/>
      </w:pPr>
      <w:r>
        <w:rPr>
          <w:rFonts w:ascii="Cambria" w:hAnsi="Cambria"/>
          <w:color w:val="262626"/>
          <w:sz w:val="21"/>
        </w:rPr>
        <w:t xml:space="preserve">7.1 The System at a Glance</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1500"/>
        <w:gridCol w:w="2850"/>
        <w:gridCol w:w="2400"/>
        <w:gridCol w:w="2276"/>
      </w:tblGrid>
      <w:tr>
        <w:trPr>
          <w:tblHeader/>
        </w:trPr>
        <w:tc>
          <w:tcPr>
            <w:tcW w:w="1500" w:type="dxa"/>
            <w:shd w:val="clear" w:fill="E9F1F3"/>
            <w:vAlign w:val="top"/>
          </w:tcPr>
          <w:p>
            <w:pPr>
              <w:spacing w:before="20" w:after="20" w:line="276" w:lineRule="auto"/>
              <w:jc w:val="left"/>
            </w:pPr>
            <w:r>
              <w:rPr>
                <w:rFonts w:ascii="Calibri" w:hAnsi="Calibri"/>
                <w:b/>
                <w:color w:val="16404E"/>
                <w:sz w:val="19"/>
              </w:rPr>
              <w:t xml:space="preserve">Corridor</w:t>
            </w:r>
          </w:p>
        </w:tc>
        <w:tc>
          <w:tcPr>
            <w:tcW w:w="2850" w:type="dxa"/>
            <w:shd w:val="clear" w:fill="E9F1F3"/>
            <w:vAlign w:val="top"/>
          </w:tcPr>
          <w:p>
            <w:pPr>
              <w:spacing w:before="20" w:after="20" w:line="276" w:lineRule="auto"/>
              <w:jc w:val="left"/>
            </w:pPr>
            <w:r>
              <w:rPr>
                <w:rFonts w:ascii="Calibri" w:hAnsi="Calibri"/>
                <w:b/>
                <w:color w:val="16404E"/>
                <w:sz w:val="19"/>
              </w:rPr>
              <w:t xml:space="preserve">Location (Operational)</w:t>
            </w:r>
          </w:p>
        </w:tc>
        <w:tc>
          <w:tcPr>
            <w:tcW w:w="2400" w:type="dxa"/>
            <w:shd w:val="clear" w:fill="E9F1F3"/>
            <w:vAlign w:val="top"/>
          </w:tcPr>
          <w:p>
            <w:pPr>
              <w:spacing w:before="20" w:after="20" w:line="276" w:lineRule="auto"/>
              <w:jc w:val="left"/>
            </w:pPr>
            <w:r>
              <w:rPr>
                <w:rFonts w:ascii="Calibri" w:hAnsi="Calibri"/>
                <w:b/>
                <w:color w:val="16404E"/>
                <w:sz w:val="19"/>
              </w:rPr>
              <w:t xml:space="preserve">Primary Oversight</w:t>
            </w:r>
          </w:p>
        </w:tc>
        <w:tc>
          <w:tcPr>
            <w:tcW w:w="2276" w:type="dxa"/>
            <w:shd w:val="clear" w:fill="E9F1F3"/>
            <w:vAlign w:val="top"/>
          </w:tcPr>
          <w:p>
            <w:pPr>
              <w:spacing w:before="20" w:after="20" w:line="276" w:lineRule="auto"/>
              <w:jc w:val="left"/>
            </w:pPr>
            <w:r>
              <w:rPr>
                <w:rFonts w:ascii="Calibri" w:hAnsi="Calibri"/>
                <w:b/>
                <w:color w:val="16404E"/>
                <w:sz w:val="19"/>
              </w:rPr>
              <w:t xml:space="preserve">Vessel Eligibility</w:t>
            </w:r>
          </w:p>
        </w:tc>
      </w:tr>
      <w:tr>
        <w:tc>
          <w:tcPr>
            <w:tcW w:w="1500" w:type="dxa"/>
            <w:vAlign w:val="top"/>
          </w:tcPr>
          <w:p>
            <w:pPr>
              <w:spacing w:before="20" w:after="20" w:line="276" w:lineRule="auto"/>
              <w:jc w:val="left"/>
            </w:pPr>
            <w:r>
              <w:rPr>
                <w:rFonts w:ascii="Calibri" w:hAnsi="Calibri"/>
                <w:color w:val="262626"/>
                <w:sz w:val="18"/>
              </w:rPr>
              <w:t xml:space="preserve">Northern Alignment Corridor (NAC)</w:t>
            </w:r>
          </w:p>
        </w:tc>
        <w:tc>
          <w:tcPr>
            <w:tcW w:w="2850" w:type="dxa"/>
            <w:vAlign w:val="top"/>
          </w:tcPr>
          <w:p>
            <w:pPr>
              <w:spacing w:before="20" w:after="20" w:line="276" w:lineRule="auto"/>
              <w:jc w:val="left"/>
            </w:pPr>
            <w:r>
              <w:rPr>
                <w:rFonts w:ascii="Calibri" w:hAnsi="Calibri"/>
                <w:color w:val="262626"/>
                <w:sz w:val="18"/>
              </w:rPr>
              <w:t xml:space="preserve">Lanes adjacent to the Iranian coast</w:t>
            </w:r>
          </w:p>
        </w:tc>
        <w:tc>
          <w:tcPr>
            <w:tcW w:w="2400" w:type="dxa"/>
            <w:vAlign w:val="top"/>
          </w:tcPr>
          <w:p>
            <w:pPr>
              <w:spacing w:before="20" w:after="20" w:line="276" w:lineRule="auto"/>
              <w:jc w:val="left"/>
            </w:pPr>
            <w:r>
              <w:rPr>
                <w:rFonts w:ascii="Calibri" w:hAnsi="Calibri"/>
                <w:color w:val="262626"/>
                <w:sz w:val="18"/>
              </w:rPr>
              <w:t xml:space="preserve">Northern Corridor Authority (Iran's designated authority)</w:t>
            </w:r>
          </w:p>
        </w:tc>
        <w:tc>
          <w:tcPr>
            <w:tcW w:w="2276" w:type="dxa"/>
            <w:vAlign w:val="top"/>
          </w:tcPr>
          <w:p>
            <w:pPr>
              <w:spacing w:before="20" w:after="20" w:line="276" w:lineRule="auto"/>
              <w:jc w:val="left"/>
            </w:pPr>
            <w:r>
              <w:rPr>
                <w:rFonts w:ascii="Calibri" w:hAnsi="Calibri"/>
                <w:color w:val="262626"/>
                <w:sz w:val="18"/>
              </w:rPr>
              <w:t xml:space="preserve">Vessels calling at Iranian ports; vessels embarking Iranian pilots; vessels that select the lane voluntarily; cargo categories designated by the Desk by mutual agreement</w:t>
            </w:r>
          </w:p>
        </w:tc>
      </w:tr>
      <w:tr>
        <w:tc>
          <w:tcPr>
            <w:tcW w:w="1500" w:type="dxa"/>
            <w:vAlign w:val="top"/>
          </w:tcPr>
          <w:p>
            <w:pPr>
              <w:spacing w:before="20" w:after="20" w:line="276" w:lineRule="auto"/>
              <w:jc w:val="left"/>
            </w:pPr>
            <w:r>
              <w:rPr>
                <w:rFonts w:ascii="Calibri" w:hAnsi="Calibri"/>
                <w:color w:val="262626"/>
                <w:sz w:val="18"/>
              </w:rPr>
              <w:t xml:space="preserve">Central Transit Corridor (CTC)</w:t>
            </w:r>
          </w:p>
        </w:tc>
        <w:tc>
          <w:tcPr>
            <w:tcW w:w="2850" w:type="dxa"/>
            <w:vAlign w:val="top"/>
          </w:tcPr>
          <w:p>
            <w:pPr>
              <w:spacing w:before="20" w:after="20" w:line="276" w:lineRule="auto"/>
              <w:jc w:val="left"/>
            </w:pPr>
            <w:r>
              <w:rPr>
                <w:rFonts w:ascii="Calibri" w:hAnsi="Calibri"/>
                <w:color w:val="262626"/>
                <w:sz w:val="18"/>
              </w:rPr>
              <w:t xml:space="preserve">The lanes between the Iranian-adjacent and Omani-adjacent lanes, on the baseline of the internationally adopted traffic separation scheme</w:t>
            </w:r>
          </w:p>
        </w:tc>
        <w:tc>
          <w:tcPr>
            <w:tcW w:w="2400" w:type="dxa"/>
            <w:vAlign w:val="top"/>
          </w:tcPr>
          <w:p>
            <w:pPr>
              <w:spacing w:before="20" w:after="20" w:line="276" w:lineRule="auto"/>
              <w:jc w:val="left"/>
            </w:pPr>
            <w:r>
              <w:rPr>
                <w:rFonts w:ascii="Calibri" w:hAnsi="Calibri"/>
                <w:color w:val="262626"/>
                <w:sz w:val="18"/>
              </w:rPr>
              <w:t xml:space="preserve">The Desk, through the Cell, with neutral pilots certified under Article 19</w:t>
            </w:r>
          </w:p>
        </w:tc>
        <w:tc>
          <w:tcPr>
            <w:tcW w:w="2276" w:type="dxa"/>
            <w:vAlign w:val="top"/>
          </w:tcPr>
          <w:p>
            <w:pPr>
              <w:spacing w:before="20" w:after="20" w:line="276" w:lineRule="auto"/>
              <w:jc w:val="left"/>
            </w:pPr>
            <w:r>
              <w:rPr>
                <w:rFonts w:ascii="Calibri" w:hAnsi="Calibri"/>
                <w:color w:val="262626"/>
                <w:sz w:val="18"/>
              </w:rPr>
              <w:t xml:space="preserve">Every commercial vessel of every flag, as the default route; no prior approval from any coastal state attaches to its use</w:t>
            </w:r>
          </w:p>
        </w:tc>
      </w:tr>
      <w:tr>
        <w:tc>
          <w:tcPr>
            <w:tcW w:w="1500" w:type="dxa"/>
            <w:vAlign w:val="top"/>
          </w:tcPr>
          <w:p>
            <w:pPr>
              <w:spacing w:before="20" w:after="20" w:line="276" w:lineRule="auto"/>
              <w:jc w:val="left"/>
            </w:pPr>
            <w:r>
              <w:rPr>
                <w:rFonts w:ascii="Calibri" w:hAnsi="Calibri"/>
                <w:color w:val="262626"/>
                <w:sz w:val="18"/>
              </w:rPr>
              <w:t xml:space="preserve">Southern Alignment Corridor (SAC)</w:t>
            </w:r>
          </w:p>
        </w:tc>
        <w:tc>
          <w:tcPr>
            <w:tcW w:w="2850" w:type="dxa"/>
            <w:vAlign w:val="top"/>
          </w:tcPr>
          <w:p>
            <w:pPr>
              <w:spacing w:before="20" w:after="20" w:line="276" w:lineRule="auto"/>
              <w:jc w:val="left"/>
            </w:pPr>
            <w:r>
              <w:rPr>
                <w:rFonts w:ascii="Calibri" w:hAnsi="Calibri"/>
                <w:color w:val="262626"/>
                <w:sz w:val="18"/>
              </w:rPr>
              <w:t xml:space="preserve">Lanes adjacent to the Omani coast</w:t>
            </w:r>
          </w:p>
        </w:tc>
        <w:tc>
          <w:tcPr>
            <w:tcW w:w="2400" w:type="dxa"/>
            <w:vAlign w:val="top"/>
          </w:tcPr>
          <w:p>
            <w:pPr>
              <w:spacing w:before="20" w:after="20" w:line="276" w:lineRule="auto"/>
              <w:jc w:val="left"/>
            </w:pPr>
            <w:r>
              <w:rPr>
                <w:rFonts w:ascii="Calibri" w:hAnsi="Calibri"/>
                <w:color w:val="262626"/>
                <w:sz w:val="18"/>
              </w:rPr>
              <w:t xml:space="preserve">Southern Corridor Authority (Oman's designated authority)</w:t>
            </w:r>
          </w:p>
        </w:tc>
        <w:tc>
          <w:tcPr>
            <w:tcW w:w="2276" w:type="dxa"/>
            <w:vAlign w:val="top"/>
          </w:tcPr>
          <w:p>
            <w:pPr>
              <w:spacing w:before="20" w:after="20" w:line="276" w:lineRule="auto"/>
              <w:jc w:val="left"/>
            </w:pPr>
            <w:r>
              <w:rPr>
                <w:rFonts w:ascii="Calibri" w:hAnsi="Calibri"/>
                <w:color w:val="262626"/>
                <w:sz w:val="18"/>
              </w:rPr>
              <w:t xml:space="preserve">Vessels that select the lane voluntarily; outbound traffic preferring the southern routing; cargo categories designated by the Desk by mutual agreement</w:t>
            </w:r>
          </w:p>
        </w:tc>
      </w:tr>
    </w:tbl>
    <w:p>
      <w:pPr>
        <w:spacing w:before="60" w:after="120"/>
      </w:pPr>
    </w:p>
    <w:p>
      <w:pPr>
        <w:pStyle w:val="Heading3"/>
      </w:pPr>
      <w:r>
        <w:rPr>
          <w:rFonts w:ascii="Cambria" w:hAnsi="Cambria"/>
          <w:color w:val="262626"/>
          <w:sz w:val="21"/>
        </w:rPr>
        <w:t xml:space="preserve">7.2 The Northern Alignment Corridor</w:t>
      </w:r>
    </w:p>
    <w:p>
      <w:pPr>
        <w:pStyle w:val="Normal"/>
      </w:pPr>
      <w:r>
        <w:rPr>
          <w:rFonts w:ascii="Cambria" w:hAnsi="Cambria"/>
          <w:color w:val="262626"/>
          <w:sz w:val="21"/>
        </w:rPr>
        <w:t xml:space="preserve">The Northern Alignment Corridor operates under the primary oversight of the Northern Corridor Authority. The Authority maintains the vessel traffic service for the lane, provides pilotage and local navigation assistance, maintains aids to navigation, and holds search and rescue readiness under Article 39. Its operations inside the Governance Area follow the operational matrix of this Part, the rate card of Annex D, and the verification architecture of Part V. Vessels enter the lane by declaration under Article 8, and the lane carries no charge on passage under Article 20.</w:t>
      </w:r>
    </w:p>
    <w:p>
      <w:pPr>
        <w:pStyle w:val="Heading3"/>
      </w:pPr>
      <w:r>
        <w:rPr>
          <w:rFonts w:ascii="Cambria" w:hAnsi="Cambria"/>
          <w:color w:val="262626"/>
          <w:sz w:val="21"/>
        </w:rPr>
        <w:t xml:space="preserve">7.3 The Southern Alignment Corridor</w:t>
      </w:r>
    </w:p>
    <w:p>
      <w:pPr>
        <w:pStyle w:val="Normal"/>
      </w:pPr>
      <w:r>
        <w:rPr>
          <w:rFonts w:ascii="Cambria" w:hAnsi="Cambria"/>
          <w:color w:val="262626"/>
          <w:sz w:val="21"/>
        </w:rPr>
        <w:t xml:space="preserve">The Southern Alignment Corridor operates under the primary oversight of the Southern Corridor Authority on identical structural terms to the northern lane: traffic service, pilotage, aids to navigation, and rescue readiness, under the same operational matrix, the same rate card discipline, the same verification, and the same Zero-Toll Covenant.</w:t>
      </w:r>
    </w:p>
    <w:p>
      <w:pPr>
        <w:pStyle w:val="Heading3"/>
      </w:pPr>
      <w:r>
        <w:rPr>
          <w:rFonts w:ascii="Cambria" w:hAnsi="Cambria"/>
          <w:color w:val="262626"/>
          <w:sz w:val="21"/>
        </w:rPr>
        <w:t xml:space="preserve">7.4 The Central Transit Corridor</w:t>
      </w:r>
    </w:p>
    <w:p>
      <w:pPr>
        <w:pStyle w:val="Normal"/>
      </w:pPr>
      <w:r>
        <w:rPr>
          <w:rFonts w:ascii="Cambria" w:hAnsi="Cambria"/>
          <w:color w:val="262626"/>
          <w:sz w:val="21"/>
        </w:rPr>
        <w:t xml:space="preserve">The Central Transit Corridor operates as the default commercial artery of the system. Every commercial vessel, of every flag, tonnage, cargo, ownership, origin, and destination, transits this lane without prior approval from any coastal state, without notice beyond the continuous identification broadcast of Article 8.4, and without charge of any kind. The Desk administers the lane through the Cell; neutral pilots certified under Article 19 serve the lane; the joint roster of Article 39 covers its rescue readiness; and the clearance sequence of Article 11 gives it first priority. The Central Transit Corridor remains open even where a coastal lane becomes unavailable for any reason, and its continuity constitutes the system's primary performance metric.</w:t>
      </w:r>
    </w:p>
    <w:p>
      <w:pPr>
        <w:pStyle w:val="Heading3"/>
      </w:pPr>
      <w:r>
        <w:rPr>
          <w:rFonts w:ascii="Cambria" w:hAnsi="Cambria"/>
          <w:color w:val="262626"/>
          <w:sz w:val="21"/>
        </w:rPr>
        <w:t xml:space="preserve">7.5 Free Selection and No Routing Compulsion</w:t>
      </w:r>
    </w:p>
    <w:p>
      <w:pPr>
        <w:pStyle w:val="Normal"/>
      </w:pPr>
      <w:r>
        <w:rPr>
          <w:rFonts w:ascii="Cambria" w:hAnsi="Cambria"/>
          <w:color w:val="262626"/>
          <w:sz w:val="21"/>
        </w:rPr>
        <w:t xml:space="preserve">Every vessel selects its corridor. The master weighs the published conditions bulletin, the vessel's draft and cargo, the pilotage arrangements, and the schedule, and declares a selection. No organ directs a vessel into or out of a corridor for any reason other than immediate navigational safety under Article 9.5, and every such safety direction logs automatically in the custody system with its reason and its duration.</w:t>
      </w:r>
    </w:p>
    <w:p>
      <w:pPr>
        <w:pStyle w:val="Heading3"/>
      </w:pPr>
      <w:r>
        <w:rPr>
          <w:rFonts w:ascii="Cambria" w:hAnsi="Cambria"/>
          <w:color w:val="262626"/>
          <w:sz w:val="21"/>
        </w:rPr>
        <w:t xml:space="preserve">7.6 No Exclusive or Sovereign Labels</w:t>
      </w:r>
    </w:p>
    <w:p>
      <w:pPr>
        <w:pStyle w:val="Normal"/>
      </w:pPr>
      <w:r>
        <w:rPr>
          <w:rFonts w:ascii="Cambria" w:hAnsi="Cambria"/>
          <w:color w:val="262626"/>
          <w:sz w:val="21"/>
        </w:rPr>
        <w:t xml:space="preserve">No corridor carries the label sovereign, exclusive, national, or international in operational use. The register of Annex N fixes the neutral names of this Article, and every map, bulletin, form, and publication of the system uses the registered names alone.</w:t>
      </w:r>
    </w:p>
    <w:p>
      <w:pPr>
        <w:pStyle w:val="Heading2"/>
      </w:pPr>
      <w:r>
        <w:rPr>
          <w:rFonts w:ascii="Cambria" w:hAnsi="Cambria"/>
          <w:color w:val="262626"/>
          <w:sz w:val="21"/>
        </w:rPr>
        <w:t xml:space="preserve">Article 8: The Transit Declaration and the Notification-Only Rule</w:t>
      </w:r>
      <w:bookmarkStart w:id="513" w:name="_Toc26010014"/>
      <w:bookmarkEnd w:id="513"/>
    </w:p>
    <w:p>
      <w:pPr>
        <w:pStyle w:val="Heading3"/>
      </w:pPr>
      <w:r>
        <w:rPr>
          <w:rFonts w:ascii="Cambria" w:hAnsi="Cambria"/>
          <w:color w:val="262626"/>
          <w:sz w:val="21"/>
        </w:rPr>
        <w:t xml:space="preserve">8.1 The Transit Declaration Form</w:t>
      </w:r>
    </w:p>
    <w:p>
      <w:pPr>
        <w:pStyle w:val="Normal"/>
      </w:pPr>
      <w:r>
        <w:rPr>
          <w:rFonts w:ascii="Cambria" w:hAnsi="Cambria"/>
          <w:color w:val="262626"/>
          <w:sz w:val="21"/>
        </w:rPr>
        <w:t xml:space="preserve">The commercial agent of every vessel over 300 gross tonnage files a digital Transit Declaration Form with the Desk before the vessel enters the Governance Area. The form records the vessel's identity, dimensions, cargo class in the categories of Annex B, destination port, selected corridor, and estimated entry window. The Desk acknowledges every filing automatically and instantly, and the acknowledgment constitutes a record receipt and nothing more.</w:t>
      </w:r>
    </w:p>
    <w:p>
      <w:pPr>
        <w:pStyle w:val="Heading3"/>
      </w:pPr>
      <w:r>
        <w:rPr>
          <w:rFonts w:ascii="Cambria" w:hAnsi="Cambria"/>
          <w:color w:val="262626"/>
          <w:sz w:val="21"/>
        </w:rPr>
        <w:t xml:space="preserve">8.2 The Notification-Only Rule</w:t>
      </w:r>
    </w:p>
    <w:p>
      <w:pPr>
        <w:pStyle w:val="Normal"/>
      </w:pPr>
      <w:r>
        <w:rPr>
          <w:rFonts w:ascii="Cambria" w:hAnsi="Cambria"/>
          <w:color w:val="262626"/>
          <w:sz w:val="21"/>
        </w:rPr>
        <w:t xml:space="preserve">Every filing, notice, and declaration in the system informs; none of them requests, and none of them receives, permission. The architecture contains no approval step, no clearance grant, no permit, and no waiting status. A vessel that files proceeds. A vessel that fails to file proceeds as well, and the Desk records the missing filing as an Operational Variance of the agent under Article 43, with the vessel itself unimpeded. No organ conditions any transit on any filing, payment, insurance document, flag, or declaration.</w:t>
      </w:r>
    </w:p>
    <w:p>
      <w:pPr>
        <w:pStyle w:val="Heading3"/>
      </w:pPr>
      <w:r>
        <w:rPr>
          <w:rFonts w:ascii="Cambria" w:hAnsi="Cambria"/>
          <w:color w:val="262626"/>
          <w:sz w:val="21"/>
        </w:rPr>
        <w:t xml:space="preserve">8.3 Filing Windows</w:t>
      </w:r>
    </w:p>
    <w:p>
      <w:pPr>
        <w:pStyle w:val="Normal"/>
      </w:pPr>
      <w:r>
        <w:rPr>
          <w:rFonts w:ascii="Cambria" w:hAnsi="Cambria"/>
          <w:color w:val="262626"/>
          <w:sz w:val="21"/>
        </w:rPr>
        <w:t xml:space="preserve">The standard filing window opens seventy-two hours before entry and closes one hour before entry. The Desk accepts late filings without penalty to the vessel, records them, and notes the agent's compliance pattern in the Reciprocity Record of Article 46. Iranian-port calls through the Northern Alignment Corridor file six hours ahead under the lane's traffic service schedule, as information for berth and pilot coordination, never as a permission request.</w:t>
      </w:r>
    </w:p>
    <w:p>
      <w:pPr>
        <w:pStyle w:val="Heading3"/>
      </w:pPr>
      <w:r>
        <w:rPr>
          <w:rFonts w:ascii="Cambria" w:hAnsi="Cambria"/>
          <w:color w:val="262626"/>
          <w:sz w:val="21"/>
        </w:rPr>
        <w:t xml:space="preserve">8.4 Continuous Identification</w:t>
      </w:r>
    </w:p>
    <w:p>
      <w:pPr>
        <w:pStyle w:val="Normal"/>
      </w:pPr>
      <w:r>
        <w:rPr>
          <w:rFonts w:ascii="Cambria" w:hAnsi="Cambria"/>
          <w:color w:val="262626"/>
          <w:sz w:val="21"/>
        </w:rPr>
        <w:t xml:space="preserve">Every vessel in the Governance Area broadcasts identification and position through the Automatic Identification System continuously. A vessel with an inoperative transmitter notifies the Cell by voice on the working channel of Annex F and proceeds under enhanced observation; the failure itself never grounds, delays, or diverts the vessel, and the Cell logs the event for the technical record.</w:t>
      </w:r>
    </w:p>
    <w:p>
      <w:pPr>
        <w:pStyle w:val="Heading3"/>
      </w:pPr>
      <w:r>
        <w:rPr>
          <w:rFonts w:ascii="Cambria" w:hAnsi="Cambria"/>
          <w:color w:val="262626"/>
          <w:sz w:val="21"/>
        </w:rPr>
        <w:t xml:space="preserve">8.5 The Deviation Tolerance</w:t>
      </w:r>
    </w:p>
    <w:p>
      <w:pPr>
        <w:pStyle w:val="Normal"/>
      </w:pPr>
      <w:r>
        <w:rPr>
          <w:rFonts w:ascii="Cambria" w:hAnsi="Cambria"/>
          <w:color w:val="262626"/>
          <w:sz w:val="21"/>
        </w:rPr>
        <w:t xml:space="preserve">The system treats a declared corridor selection as honored while the vessel's track remains within two nautical miles of the lane's registered centerline envelope. A track that crosses that envelope triggers an automatic advisory to the vessel and a log entry; the Cell's officers hold a fifteen-minute window to record an objection to any classification arising from the deviation, and the objection procedure of Article 34.4 governs. Navigation for safety, including collision avoidance and weather routing, never constitutes a deviation.</w:t>
      </w:r>
    </w:p>
    <w:p>
      <w:pPr>
        <w:pStyle w:val="Heading2"/>
      </w:pPr>
      <w:r>
        <w:rPr>
          <w:rFonts w:ascii="Cambria" w:hAnsi="Cambria"/>
          <w:color w:val="262626"/>
          <w:sz w:val="21"/>
        </w:rPr>
        <w:t xml:space="preserve">Article 9: Traffic Management and the Strait Conditions Bulletin</w:t>
      </w:r>
      <w:bookmarkStart w:id="514" w:name="_Toc26010015"/>
      <w:bookmarkEnd w:id="514"/>
    </w:p>
    <w:p>
      <w:pPr>
        <w:pStyle w:val="Heading3"/>
      </w:pPr>
      <w:r>
        <w:rPr>
          <w:rFonts w:ascii="Cambria" w:hAnsi="Cambria"/>
          <w:color w:val="262626"/>
          <w:sz w:val="21"/>
        </w:rPr>
        <w:t xml:space="preserve">9.1 The Vessel Traffic Services</w:t>
      </w:r>
    </w:p>
    <w:p>
      <w:pPr>
        <w:pStyle w:val="Normal"/>
      </w:pPr>
      <w:r>
        <w:rPr>
          <w:rFonts w:ascii="Cambria" w:hAnsi="Cambria"/>
          <w:color w:val="262626"/>
          <w:sz w:val="21"/>
        </w:rPr>
        <w:t xml:space="preserve">Three vessel traffic services operate as one network: the northern service under the Northern Corridor Authority, the southern service under the Southern Corridor Authority, and the central service under the Desk. The Cell displays every service's picture to every officer simultaneously, and the Desk holds final authority on de-confliction between lanes. Each service speaks to vessels on the channels of Annex F in the working language of the sea, English, with interpretation support registered by the Secretariat.</w:t>
      </w:r>
    </w:p>
    <w:p>
      <w:pPr>
        <w:pStyle w:val="Heading3"/>
      </w:pPr>
      <w:r>
        <w:rPr>
          <w:rFonts w:ascii="Cambria" w:hAnsi="Cambria"/>
          <w:color w:val="262626"/>
          <w:sz w:val="21"/>
        </w:rPr>
        <w:t xml:space="preserve">9.2 The Strait Conditions Bulletin</w:t>
      </w:r>
    </w:p>
    <w:p>
      <w:pPr>
        <w:pStyle w:val="Normal"/>
      </w:pPr>
      <w:r>
        <w:rPr>
          <w:rFonts w:ascii="Cambria" w:hAnsi="Cambria"/>
          <w:color w:val="262626"/>
          <w:sz w:val="21"/>
        </w:rPr>
        <w:t xml:space="preserve">The Desk publishes the Strait Conditions Bulletin every six hours and on every material change. The Bulletin states the Flow State of each corridor, the clearance status of every lane and anchorage, weather and visibility, hazard notices, congestion and expected waiting times, pilot availability, and any safety direction in force. The Bulletin publishes simultaneously to every party, every subscribed operator, and the public dashboard of the Fund. No vessel pays for the Bulletin, and no condition of any kind attaches to receiving it.</w:t>
      </w:r>
    </w:p>
    <w:p>
      <w:pPr>
        <w:pStyle w:val="Heading3"/>
      </w:pPr>
      <w:r>
        <w:rPr>
          <w:rFonts w:ascii="Cambria" w:hAnsi="Cambria"/>
          <w:color w:val="262626"/>
          <w:sz w:val="21"/>
        </w:rPr>
        <w:t xml:space="preserve">9.3 The Flow States</w:t>
      </w:r>
    </w:p>
    <w:p>
      <w:pPr>
        <w:pStyle w:val="Normal"/>
      </w:pPr>
      <w:r>
        <w:rPr>
          <w:rFonts w:ascii="Cambria" w:hAnsi="Cambria"/>
          <w:color w:val="262626"/>
          <w:sz w:val="21"/>
        </w:rPr>
        <w:t xml:space="preserve">Each corridor operates in one of three published Flow States. Normal: the lane operates at full published parameters. Heightened: the lane operates with advisory speed and spacing parameters following a classified event, a congestion threshold, or a weather criterion. Restricted: the lane operates under a temporary safety direction with defined entry sequencing, and the Bulletin states the reason, the expected duration, and the alternatives. The Desk declares and lifts Flow States on objective published criteria alone, and every declaration and lifting logs automatically with its triggering data.</w:t>
      </w:r>
    </w:p>
    <w:p>
      <w:pPr>
        <w:pStyle w:val="Heading3"/>
      </w:pPr>
      <w:r>
        <w:rPr>
          <w:rFonts w:ascii="Cambria" w:hAnsi="Cambria"/>
          <w:color w:val="262626"/>
          <w:sz w:val="21"/>
        </w:rPr>
        <w:t xml:space="preserve">9.4 Congestion Management</w:t>
      </w:r>
    </w:p>
    <w:p>
      <w:pPr>
        <w:pStyle w:val="Normal"/>
      </w:pPr>
      <w:r>
        <w:rPr>
          <w:rFonts w:ascii="Cambria" w:hAnsi="Cambria"/>
          <w:color w:val="262626"/>
          <w:sz w:val="21"/>
        </w:rPr>
        <w:t xml:space="preserve">Where demand exceeds a lane's published capacity, the Desk sequences entries by a transparent queue: time of declared readiness first, with the priority classes of Article 50.4 applied during the reopening phases. The queue publishes in real time. No fee, favor, or flag advances a vessel in the queue, and every queue decision logs for audit.</w:t>
      </w:r>
    </w:p>
    <w:p>
      <w:pPr>
        <w:pStyle w:val="Heading3"/>
      </w:pPr>
      <w:r>
        <w:rPr>
          <w:rFonts w:ascii="Cambria" w:hAnsi="Cambria"/>
          <w:color w:val="262626"/>
          <w:sz w:val="21"/>
        </w:rPr>
        <w:t xml:space="preserve">9.5 Safety Directions</w:t>
      </w:r>
    </w:p>
    <w:p>
      <w:pPr>
        <w:pStyle w:val="Normal"/>
      </w:pPr>
      <w:r>
        <w:rPr>
          <w:rFonts w:ascii="Cambria" w:hAnsi="Cambria"/>
          <w:color w:val="262626"/>
          <w:sz w:val="21"/>
        </w:rPr>
        <w:t xml:space="preserve">A traffic service issues a safety direction only for immediate navigational safety: collision avoidance, hazard clearance, rescue operations, or a verified obstruction. Every safety direction states its reason, its geographic scope, and its expiry, and none exceeds twenty-four hours without a Desk-level confirmation logged with the confirming data. Safety directions never address a vessel's flag, cargo ownership, destination, or commercial relationships.</w:t>
      </w:r>
    </w:p>
    <w:p>
      <w:pPr>
        <w:pStyle w:val="Heading2"/>
      </w:pPr>
      <w:r>
        <w:rPr>
          <w:rFonts w:ascii="Cambria" w:hAnsi="Cambria"/>
          <w:color w:val="262626"/>
          <w:sz w:val="21"/>
        </w:rPr>
        <w:t xml:space="preserve">Article 10: The Non-Interdiction Protocol</w:t>
      </w:r>
      <w:bookmarkStart w:id="515" w:name="_Toc26010016"/>
      <w:bookmarkEnd w:id="515"/>
    </w:p>
    <w:p>
      <w:pPr>
        <w:pStyle w:val="Heading3"/>
      </w:pPr>
      <w:r>
        <w:rPr>
          <w:rFonts w:ascii="Cambria" w:hAnsi="Cambria"/>
          <w:color w:val="262626"/>
          <w:sz w:val="21"/>
        </w:rPr>
        <w:t xml:space="preserve">10.1 The Protocol</w:t>
      </w:r>
    </w:p>
    <w:p>
      <w:pPr>
        <w:pStyle w:val="Normal"/>
      </w:pPr>
      <w:r>
        <w:rPr>
          <w:rFonts w:ascii="Cambria" w:hAnsi="Cambria"/>
          <w:color w:val="262626"/>
          <w:sz w:val="21"/>
        </w:rPr>
        <w:t xml:space="preserve">Commercial transit operates under an absolute non-interdiction protocol within the Governance Area. The framework excludes, from every direction and every authority, the boarding, diversion, seizure, detention, inspection, or harassment of any commercial vessel inside any corridor, anchorage, or approach. The protocol binds every state organ, every designated authority, every contractor, and every vessel or aircraft of any party, and it binds them through the architecture itself rather than through any party's restraint.</w:t>
      </w:r>
    </w:p>
    <w:p>
      <w:pPr>
        <w:pStyle w:val="Heading3"/>
      </w:pPr>
      <w:r>
        <w:rPr>
          <w:rFonts w:ascii="Cambria" w:hAnsi="Cambria"/>
          <w:color w:val="262626"/>
          <w:sz w:val="21"/>
        </w:rPr>
        <w:t xml:space="preserve">10.2 The Distress and Safety Exception</w:t>
      </w:r>
    </w:p>
    <w:p>
      <w:pPr>
        <w:pStyle w:val="Normal"/>
      </w:pPr>
      <w:r>
        <w:rPr>
          <w:rFonts w:ascii="Cambria" w:hAnsi="Cambria"/>
          <w:color w:val="262626"/>
          <w:sz w:val="21"/>
        </w:rPr>
        <w:t xml:space="preserve">The protocol admits exactly two intrusions, and each operates under joint observation. First, rescue: a rescue unit renders assistance to a vessel or person in distress, and the rescue chapter of Article 39 governs. Second, immediate safety: where a vessel's condition presents a grave and imminent danger to navigation or the environment, the nearest traffic service directs the vessel to a place of refuge under the published refuge plan, with a Cell officer of each Coastal Party witnessing the direction in real time and the event logging automatically. No other exception exists, and every invocation of either exception publishes in the next Bulletin.</w:t>
      </w:r>
    </w:p>
    <w:p>
      <w:pPr>
        <w:pStyle w:val="Heading3"/>
      </w:pPr>
      <w:r>
        <w:rPr>
          <w:rFonts w:ascii="Cambria" w:hAnsi="Cambria"/>
          <w:color w:val="262626"/>
          <w:sz w:val="21"/>
        </w:rPr>
        <w:t xml:space="preserve">10.3 Enforcement Character</w:t>
      </w:r>
    </w:p>
    <w:p>
      <w:pPr>
        <w:pStyle w:val="Normal"/>
      </w:pPr>
      <w:r>
        <w:rPr>
          <w:rFonts w:ascii="Cambria" w:hAnsi="Cambria"/>
          <w:color w:val="262626"/>
          <w:sz w:val="21"/>
        </w:rPr>
        <w:t xml:space="preserve">A breach of the protocol constitutes a Structural Breach under Article 43 and activates the Emergency Brake of Article 45 on the request of any party. The classification follows the verified facts, and the brake restores the status quo ante without any finding of fault, so the protocol protects traffic first and argues about responsibility second.</w:t>
      </w:r>
    </w:p>
    <w:p>
      <w:pPr>
        <w:pStyle w:val="Heading2"/>
      </w:pPr>
      <w:r>
        <w:rPr>
          <w:rFonts w:ascii="Cambria" w:hAnsi="Cambria"/>
          <w:color w:val="262626"/>
          <w:sz w:val="21"/>
        </w:rPr>
        <w:t xml:space="preserve">Article 11: Hazard Survey and Clearance</w:t>
      </w:r>
      <w:bookmarkStart w:id="516" w:name="_Toc26010017"/>
      <w:bookmarkEnd w:id="516"/>
    </w:p>
    <w:p>
      <w:pPr>
        <w:pStyle w:val="Heading3"/>
      </w:pPr>
      <w:r>
        <w:rPr>
          <w:rFonts w:ascii="Cambria" w:hAnsi="Cambria"/>
          <w:color w:val="262626"/>
          <w:sz w:val="21"/>
        </w:rPr>
        <w:t xml:space="preserve">11.1 The Joint Survey and Clearance Unit</w:t>
      </w:r>
    </w:p>
    <w:p>
      <w:pPr>
        <w:pStyle w:val="Normal"/>
      </w:pPr>
      <w:r>
        <w:rPr>
          <w:rFonts w:ascii="Cambria" w:hAnsi="Cambria"/>
          <w:color w:val="262626"/>
          <w:sz w:val="21"/>
        </w:rPr>
        <w:t xml:space="preserve">The Parties establish the Joint Survey and Clearance Unit as a civilian formation of Iranian, Omani, and Qatari non-military specialists, with an internationally accredited neutral supervisor appointed through the International Maritime Organization liaison. The Unit surveys, marks, and clears mines and other conflict-related hazards within the Governance Area, maintains the hazard register, and certifies lanes for reopening. No foreign military unit participates in any clearance operation, and every operation proceeds on forty-eight hours' advance notification to every party through the Desk.</w:t>
      </w:r>
    </w:p>
    <w:p>
      <w:pPr>
        <w:pStyle w:val="Heading3"/>
      </w:pPr>
      <w:r>
        <w:rPr>
          <w:rFonts w:ascii="Cambria" w:hAnsi="Cambria"/>
          <w:color w:val="262626"/>
          <w:sz w:val="21"/>
        </w:rPr>
        <w:t xml:space="preserve">11.2 Clearance Sequencing</w:t>
      </w:r>
    </w:p>
    <w:p>
      <w:pPr>
        <w:pStyle w:val="Normal"/>
      </w:pPr>
      <w:r>
        <w:rPr>
          <w:rFonts w:ascii="Cambria" w:hAnsi="Cambria"/>
          <w:color w:val="262626"/>
          <w:sz w:val="21"/>
        </w:rPr>
        <w:t xml:space="preserve">The Unit clears in the published order: first, the Central Transit Corridor, the default artery; second, the Southern Alignment Corridor; third, the Northern Alignment Corridor; fourth, anchorages and approaches. The sequence reflects traffic priority, not politics, and the Unit deviates from it only on hydrographic or safety grounds recorded in the hazard register.</w:t>
      </w:r>
    </w:p>
    <w:p>
      <w:pPr>
        <w:pStyle w:val="Heading3"/>
      </w:pPr>
      <w:r>
        <w:rPr>
          <w:rFonts w:ascii="Cambria" w:hAnsi="Cambria"/>
          <w:color w:val="262626"/>
          <w:sz w:val="21"/>
        </w:rPr>
        <w:t xml:space="preserve">11.3 Certification</w:t>
      </w:r>
    </w:p>
    <w:p>
      <w:pPr>
        <w:pStyle w:val="Normal"/>
      </w:pPr>
      <w:r>
        <w:rPr>
          <w:rFonts w:ascii="Cambria" w:hAnsi="Cambria"/>
          <w:color w:val="262626"/>
          <w:sz w:val="21"/>
        </w:rPr>
        <w:t xml:space="preserve">The Unit certifies each lane in writing against the published clearance standard of Annex G, and the certification states the surveyed corridor, the residual risk class, and the recommended operating parameters. The Desk publishes every certification in the Bulletin, and the insurance liaison of Article 42 transmits it to the market the same day. A lane opens commercially only on certification, and a certification, once published, remains valid until a verified new hazard appears.</w:t>
      </w:r>
    </w:p>
    <w:p>
      <w:pPr>
        <w:pStyle w:val="Heading3"/>
      </w:pPr>
      <w:r>
        <w:rPr>
          <w:rFonts w:ascii="Cambria" w:hAnsi="Cambria"/>
          <w:color w:val="262626"/>
          <w:sz w:val="21"/>
        </w:rPr>
        <w:t xml:space="preserve">11.4 Residual Hazard Protocol</w:t>
      </w:r>
    </w:p>
    <w:p>
      <w:pPr>
        <w:pStyle w:val="Normal"/>
      </w:pPr>
      <w:r>
        <w:rPr>
          <w:rFonts w:ascii="Cambria" w:hAnsi="Cambria"/>
          <w:color w:val="262626"/>
          <w:sz w:val="21"/>
        </w:rPr>
        <w:t xml:space="preserve">Where a mariner reports a suspected hazard, the Cell broadcasts an immediate cautionary notice, the Unit surveys within forty-eight hours, and the affected lane moves to Flow State Heightened or Restricted on the published criteria. The architecture treats every report as genuine until the survey closes it, and the reporter never faces penalty for a report that the survey does not confirm.</w:t>
      </w:r>
    </w:p>
    <w:p>
      <w:pPr>
        <w:pStyle w:val="Heading2"/>
      </w:pPr>
      <w:r>
        <w:rPr>
          <w:rFonts w:ascii="Cambria" w:hAnsi="Cambria"/>
          <w:color w:val="262626"/>
          <w:sz w:val="21"/>
        </w:rPr>
        <w:t xml:space="preserve">Article 12: Vessel Classification and Differentiated Treatment</w:t>
      </w:r>
      <w:bookmarkStart w:id="517" w:name="_Toc26010018"/>
      <w:bookmarkEnd w:id="517"/>
    </w:p>
    <w:p>
      <w:pPr>
        <w:pStyle w:val="Heading3"/>
      </w:pPr>
      <w:r>
        <w:rPr>
          <w:rFonts w:ascii="Cambria" w:hAnsi="Cambria"/>
          <w:color w:val="262626"/>
          <w:sz w:val="21"/>
        </w:rPr>
        <w:t xml:space="preserve">12.1 The Classification Matrix</w:t>
      </w:r>
    </w:p>
    <w:p>
      <w:pPr>
        <w:pStyle w:val="Normal"/>
      </w:pPr>
      <w:r>
        <w:rPr>
          <w:rFonts w:ascii="Cambria" w:hAnsi="Cambria"/>
          <w:color w:val="262626"/>
          <w:sz w:val="21"/>
        </w:rPr>
        <w:t xml:space="preserve">Annex B registers the vessel classification matrix. The matrix classifies every transit by vessel class, deadweight band, cargo category, and operational need, and assigns each class its filing detail, pilotage posture, speed and spacing parameters, and reporting rhythm. Classification exists to price services correctly, to sequence traffic safely, and to target rescue readiness; it never exists to privilege or burden any flag, trade, or destination.</w:t>
      </w:r>
    </w:p>
    <w:p>
      <w:pPr>
        <w:pStyle w:val="Heading3"/>
      </w:pPr>
      <w:r>
        <w:rPr>
          <w:rFonts w:ascii="Cambria" w:hAnsi="Cambria"/>
          <w:color w:val="262626"/>
          <w:sz w:val="21"/>
        </w:rPr>
        <w:t xml:space="preserve">12.2 Pilotage Posture</w:t>
      </w:r>
    </w:p>
    <w:p>
      <w:pPr>
        <w:pStyle w:val="Normal"/>
      </w:pPr>
      <w:r>
        <w:rPr>
          <w:rFonts w:ascii="Cambria" w:hAnsi="Cambria"/>
          <w:color w:val="262626"/>
          <w:sz w:val="21"/>
        </w:rPr>
        <w:t xml:space="preserve">Vessels above 50,000 deadweight tons transiting any corridor embark a certified pilot for the main passage: a pilot of the relevant Corridor Authority in the coastal lanes, or a neutral pilot certified under Article 19 in the Central Transit Corridor. Vessels at or below that threshold transit on advisory pilotage, available on request at the published rate. Liquefied natural gas carriers and loaded very large crude carriers operate under the enhanced spacing parameters of Annex B in every corridor, and the Bulletin publishes the resulting slots.</w:t>
      </w:r>
    </w:p>
    <w:p>
      <w:pPr>
        <w:pStyle w:val="Heading3"/>
      </w:pPr>
      <w:r>
        <w:rPr>
          <w:rFonts w:ascii="Cambria" w:hAnsi="Cambria"/>
          <w:color w:val="262626"/>
          <w:sz w:val="21"/>
        </w:rPr>
        <w:t xml:space="preserve">12.3 Special Categories</w:t>
      </w:r>
    </w:p>
    <w:p>
      <w:pPr>
        <w:pStyle w:val="Normal"/>
      </w:pPr>
      <w:r>
        <w:rPr>
          <w:rFonts w:ascii="Cambria" w:hAnsi="Cambria"/>
          <w:color w:val="262626"/>
          <w:sz w:val="21"/>
        </w:rPr>
        <w:t xml:space="preserve">Passenger vessels, humanitarian cargoes, and vessels in distress receive priority handling under the queue rules of Article 9.4 and the safety primacy order of Article 3.9. Fishing craft and local traffic below 300 gross tonnage operate outside the filing system and inside the small-craft routing of Annex A, with the traffic services broadcasting their crossing windows.</w:t>
      </w:r>
    </w:p>
    <w:p>
      <w:pPr>
        <w:pStyle w:val="Heading3"/>
      </w:pPr>
      <w:r>
        <w:rPr>
          <w:rFonts w:ascii="Cambria" w:hAnsi="Cambria"/>
          <w:color w:val="262626"/>
          <w:sz w:val="21"/>
        </w:rPr>
        <w:t xml:space="preserve">12.4 Equal Terms</w:t>
      </w:r>
    </w:p>
    <w:p>
      <w:pPr>
        <w:pStyle w:val="Normal"/>
      </w:pPr>
      <w:r>
        <w:rPr>
          <w:rFonts w:ascii="Cambria" w:hAnsi="Cambria"/>
          <w:color w:val="262626"/>
          <w:sz w:val="21"/>
        </w:rPr>
        <w:t xml:space="preserve">Within each class, every vessel faces identical published terms. The Desk reviews the matrix annually against the traffic record, and any revision passes the Perimeter Test of Article 5.3 before publication.</w:t>
      </w:r>
    </w:p>
    <w:p>
      <w:pPr>
        <w:pStyle w:val="Heading1"/>
      </w:pPr>
      <w:r>
        <w:rPr>
          <w:rFonts w:ascii="Cambria" w:hAnsi="Cambria"/>
          <w:color w:val="262626"/>
          <w:sz w:val="21"/>
        </w:rPr>
        <w:t xml:space="preserve">Part III: Institutional Architecture</w:t>
      </w:r>
      <w:bookmarkStart w:id="518" w:name="_Toc26010019"/>
      <w:bookmarkEnd w:id="518"/>
    </w:p>
    <w:p>
      <w:pPr>
        <w:pStyle w:val="Heading2"/>
      </w:pPr>
      <w:r>
        <w:rPr>
          <w:rFonts w:ascii="Cambria" w:hAnsi="Cambria"/>
          <w:color w:val="262626"/>
          <w:sz w:val="21"/>
        </w:rPr>
        <w:t xml:space="preserve">Article 13: The Joint Hormuz Transit Desk</w:t>
      </w:r>
      <w:bookmarkStart w:id="519" w:name="_Toc26010020"/>
      <w:bookmarkEnd w:id="519"/>
    </w:p>
    <w:p>
      <w:pPr>
        <w:pStyle w:val="Heading3"/>
      </w:pPr>
      <w:r>
        <w:rPr>
          <w:rFonts w:ascii="Cambria" w:hAnsi="Cambria"/>
          <w:color w:val="262626"/>
          <w:sz w:val="21"/>
        </w:rPr>
        <w:t xml:space="preserve">13.1 Establishment and Seat</w:t>
      </w:r>
    </w:p>
    <w:p>
      <w:pPr>
        <w:pStyle w:val="Normal"/>
      </w:pPr>
      <w:r>
        <w:rPr>
          <w:rFonts w:ascii="Cambria" w:hAnsi="Cambria"/>
          <w:color w:val="262626"/>
          <w:sz w:val="21"/>
        </w:rPr>
        <w:t xml:space="preserve">The Parties establish the Joint Hormuz Transit Desk as the central administrative organ of the system. The Desk seats in Doha, with a liaison office in Tehran hosted by the Northern Corridor Authority and a liaison office in Muscat hosted by the Southern Corridor Authority. The three sites operate as one organ: a decision of the Desk takes effect at all three sites simultaneously, and the mirror offices hold identical records through the custody system of Part V.</w:t>
      </w:r>
    </w:p>
    <w:p>
      <w:pPr>
        <w:pStyle w:val="Heading3"/>
      </w:pPr>
      <w:r>
        <w:rPr>
          <w:rFonts w:ascii="Cambria" w:hAnsi="Cambria"/>
          <w:color w:val="262626"/>
          <w:sz w:val="21"/>
        </w:rPr>
        <w:t xml:space="preserve">13.2 Composition</w:t>
      </w:r>
    </w:p>
    <w:p>
      <w:pPr>
        <w:pStyle w:val="Normal"/>
      </w:pPr>
      <w:r>
        <w:rPr>
          <w:rFonts w:ascii="Cambria" w:hAnsi="Cambria"/>
          <w:color w:val="262626"/>
          <w:sz w:val="21"/>
        </w:rPr>
        <w:t xml:space="preserve">The Desk staffs equally: nine civil officers each from Iran, Oman, and Qatar, serving in three watches, plus the neutral technical staff of the Secretariat under Article 15. Each national contingent includes traffic management, hydrographic, financial, and liaison specialties in published proportions. Officers serve two-year terms, and each sending party replaces its own officers on its own schedule, with thirty days' overlap for continuity.</w:t>
      </w:r>
    </w:p>
    <w:p>
      <w:pPr>
        <w:pStyle w:val="Heading3"/>
      </w:pPr>
      <w:r>
        <w:rPr>
          <w:rFonts w:ascii="Cambria" w:hAnsi="Cambria"/>
          <w:color w:val="262626"/>
          <w:sz w:val="21"/>
        </w:rPr>
        <w:t xml:space="preserve">13.3 Mandate</w:t>
      </w:r>
    </w:p>
    <w:p>
      <w:pPr>
        <w:pStyle w:val="Normal"/>
      </w:pPr>
      <w:r>
        <w:rPr>
          <w:rFonts w:ascii="Cambria" w:hAnsi="Cambria"/>
          <w:color w:val="262626"/>
          <w:sz w:val="21"/>
        </w:rPr>
        <w:t xml:space="preserve">The Desk administers the Central Transit Corridor; operates the network of vessel traffic services under Article 9; publishes the Bulletin; maintains the queue, the hazard register interface, and the service record system of Part IV; convenes the review conferences of Article 53; and holds final authority on de-confliction between lanes. The Desk executes; it does not legislate. The rulebook is this Agreement and its Annexes, and the Desk's every act traces to a published provision.</w:t>
      </w:r>
    </w:p>
    <w:p>
      <w:pPr>
        <w:pStyle w:val="Heading3"/>
      </w:pPr>
      <w:r>
        <w:rPr>
          <w:rFonts w:ascii="Cambria" w:hAnsi="Cambria"/>
          <w:color w:val="262626"/>
          <w:sz w:val="21"/>
        </w:rPr>
        <w:t xml:space="preserve">13.4 The Chair</w:t>
      </w:r>
    </w:p>
    <w:p>
      <w:pPr>
        <w:pStyle w:val="Normal"/>
      </w:pPr>
      <w:r>
        <w:rPr>
          <w:rFonts w:ascii="Cambria" w:hAnsi="Cambria"/>
          <w:color w:val="262626"/>
          <w:sz w:val="21"/>
        </w:rPr>
        <w:t xml:space="preserve">The chair rotates among the three staffing parties in four-month turns, in the order Oman, Qatar, Iran, repeating. The chair convenes and moderates, holds the agenda, and signs the Desk's routine acts. The chair holds no vote beyond its own contingent's, and no casting vote exists anywhere in the system.</w:t>
      </w:r>
    </w:p>
    <w:p>
      <w:pPr>
        <w:pStyle w:val="Heading3"/>
      </w:pPr>
      <w:r>
        <w:rPr>
          <w:rFonts w:ascii="Cambria" w:hAnsi="Cambria"/>
          <w:color w:val="262626"/>
          <w:sz w:val="21"/>
        </w:rPr>
        <w:t xml:space="preserve">13.5 Decision Rules Inside the Desk</w:t>
      </w:r>
    </w:p>
    <w:p>
      <w:pPr>
        <w:pStyle w:val="Normal"/>
      </w:pPr>
      <w:r>
        <w:rPr>
          <w:rFonts w:ascii="Cambria" w:hAnsi="Cambria"/>
          <w:color w:val="262626"/>
          <w:sz w:val="21"/>
        </w:rPr>
        <w:t xml:space="preserve">The Desk decides classifications, Flow State declarations, certifications, publications, and rate applications by consensus of the three contingents present, with the silence procedure of Article 18.2 for routine items. Where consensus fails on an operational item, the item follows the default rule of Article 18.3; where consensus fails on a rule change, the item rises to the Council of the Parties under Article 18.4.</w:t>
      </w:r>
    </w:p>
    <w:p>
      <w:pPr>
        <w:pStyle w:val="Heading3"/>
      </w:pPr>
      <w:r>
        <w:rPr>
          <w:rFonts w:ascii="Cambria" w:hAnsi="Cambria"/>
          <w:color w:val="262626"/>
          <w:sz w:val="21"/>
        </w:rPr>
        <w:t xml:space="preserve">13.6 Record</w:t>
      </w:r>
    </w:p>
    <w:p>
      <w:pPr>
        <w:pStyle w:val="Normal"/>
      </w:pPr>
      <w:r>
        <w:rPr>
          <w:rFonts w:ascii="Cambria" w:hAnsi="Cambria"/>
          <w:color w:val="262626"/>
          <w:sz w:val="21"/>
        </w:rPr>
        <w:t xml:space="preserve">The Desk keeps its full record in the custody system: every decision, every vote pattern by contingent and never by named individual, every objection, and every dissent. The record publishes on the schedule of Annex R, with the narrow redactions of Article 35.6 for personal data.</w:t>
      </w:r>
    </w:p>
    <w:p>
      <w:pPr>
        <w:pStyle w:val="Heading3"/>
      </w:pPr>
      <w:r>
        <w:rPr>
          <w:rFonts w:ascii="Cambria" w:hAnsi="Cambria"/>
          <w:color w:val="262626"/>
          <w:sz w:val="21"/>
        </w:rPr>
        <w:t xml:space="preserve">13.7 Civilian Character Clause</w:t>
      </w:r>
    </w:p>
    <w:p>
      <w:pPr>
        <w:pStyle w:val="Normal"/>
      </w:pPr>
      <w:r>
        <w:rPr>
          <w:rFonts w:ascii="Cambria" w:hAnsi="Cambria"/>
          <w:color w:val="262626"/>
          <w:sz w:val="21"/>
        </w:rPr>
        <w:t xml:space="preserve">Every officer of the Desk, the Cell, the Unit, the inspection teams, and the Secretariat serves as a civilian. No officer holds an active military commission during service, and no military chain of command reaches any organ of the system. A sending party replaces any officer who accepts a military commission, and the replacement takes effect on the day of appointment.</w:t>
      </w:r>
    </w:p>
    <w:p>
      <w:pPr>
        <w:pStyle w:val="Heading2"/>
      </w:pPr>
      <w:r>
        <w:rPr>
          <w:rFonts w:ascii="Cambria" w:hAnsi="Cambria"/>
          <w:color w:val="262626"/>
          <w:sz w:val="21"/>
        </w:rPr>
        <w:t xml:space="preserve">Article 14: The Joint Transit Monitoring Cell</w:t>
      </w:r>
      <w:bookmarkStart w:id="520" w:name="_Toc26010021"/>
      <w:bookmarkEnd w:id="520"/>
    </w:p>
    <w:p>
      <w:pPr>
        <w:pStyle w:val="Heading3"/>
      </w:pPr>
      <w:r>
        <w:rPr>
          <w:rFonts w:ascii="Cambria" w:hAnsi="Cambria"/>
          <w:color w:val="262626"/>
          <w:sz w:val="21"/>
        </w:rPr>
        <w:t xml:space="preserve">14.1 Establishment and Posture</w:t>
      </w:r>
    </w:p>
    <w:p>
      <w:pPr>
        <w:pStyle w:val="Normal"/>
      </w:pPr>
      <w:r>
        <w:rPr>
          <w:rFonts w:ascii="Cambria" w:hAnsi="Cambria"/>
          <w:color w:val="262626"/>
          <w:sz w:val="21"/>
        </w:rPr>
        <w:t xml:space="preserve">The Parties establish the Joint Transit Monitoring Cell at the Desk's Doha seat as the permanent human observation layer of the verification architecture. The Cell stands watch continuously, in three watches per day, every day of the year.</w:t>
      </w:r>
    </w:p>
    <w:p>
      <w:pPr>
        <w:pStyle w:val="Heading3"/>
      </w:pPr>
      <w:r>
        <w:rPr>
          <w:rFonts w:ascii="Cambria" w:hAnsi="Cambria"/>
          <w:color w:val="262626"/>
          <w:sz w:val="21"/>
        </w:rPr>
        <w:t xml:space="preserve">14.2 Composition</w:t>
      </w:r>
    </w:p>
    <w:p>
      <w:pPr>
        <w:pStyle w:val="Normal"/>
      </w:pPr>
      <w:r>
        <w:rPr>
          <w:rFonts w:ascii="Cambria" w:hAnsi="Cambria"/>
          <w:color w:val="262626"/>
          <w:sz w:val="21"/>
        </w:rPr>
        <w:t xml:space="preserve">Each watch comprises six officers: two Iranian officers, two Omani officers, and two neutral officers drawn from the Secretariat's technical staff on nomination by the neutral participating states registered in Annex M, initially Singapore and Norway. A Qatari watch coordinator from the Desk staff convenes each watch and holds no classification vote.</w:t>
      </w:r>
    </w:p>
    <w:p>
      <w:pPr>
        <w:pStyle w:val="Heading3"/>
      </w:pPr>
      <w:r>
        <w:rPr>
          <w:rFonts w:ascii="Cambria" w:hAnsi="Cambria"/>
          <w:color w:val="262626"/>
          <w:sz w:val="21"/>
        </w:rPr>
        <w:t xml:space="preserve">14.3 The Shared Picture</w:t>
      </w:r>
    </w:p>
    <w:p>
      <w:pPr>
        <w:pStyle w:val="Normal"/>
      </w:pPr>
      <w:r>
        <w:rPr>
          <w:rFonts w:ascii="Cambria" w:hAnsi="Cambria"/>
          <w:color w:val="262626"/>
          <w:sz w:val="21"/>
        </w:rPr>
        <w:t xml:space="preserve">Every screen in the Cell shows every officer the same data at the same moment: the satellite-validated identification tracks, the acoustic sensor feed summaries, the corridor usage logs, the declaration filings, and the traffic service voice channels. No national feed reaches any officer before it reaches the Cell's shared picture. The architecture thereby removes the possibility of divergent national versions of the same event.</w:t>
      </w:r>
    </w:p>
    <w:p>
      <w:pPr>
        <w:pStyle w:val="Heading3"/>
      </w:pPr>
      <w:r>
        <w:rPr>
          <w:rFonts w:ascii="Cambria" w:hAnsi="Cambria"/>
          <w:color w:val="262626"/>
          <w:sz w:val="21"/>
        </w:rPr>
        <w:t xml:space="preserve">14.4 The Objection Window</w:t>
      </w:r>
    </w:p>
    <w:p>
      <w:pPr>
        <w:pStyle w:val="Normal"/>
      </w:pPr>
      <w:r>
        <w:rPr>
          <w:rFonts w:ascii="Cambria" w:hAnsi="Cambria"/>
          <w:color w:val="262626"/>
          <w:sz w:val="21"/>
        </w:rPr>
        <w:t xml:space="preserve">Any officer records an objection to any automated classification, Flow State trigger, or event log within fifteen minutes of the event. The objection enters the record with the officer's contingent affiliation and the technical basis. An unresolved objection routes automatically to the technical arbitration of Article 35.4 and never delays the underlying transit, publication, or reimbursement, which proceeds on the logged data in the meantime.</w:t>
      </w:r>
    </w:p>
    <w:p>
      <w:pPr>
        <w:pStyle w:val="Heading3"/>
      </w:pPr>
      <w:r>
        <w:rPr>
          <w:rFonts w:ascii="Cambria" w:hAnsi="Cambria"/>
          <w:color w:val="262626"/>
          <w:sz w:val="21"/>
        </w:rPr>
        <w:t xml:space="preserve">14.5 Duties Beyond Watching</w:t>
      </w:r>
    </w:p>
    <w:p>
      <w:pPr>
        <w:pStyle w:val="Normal"/>
      </w:pPr>
      <w:r>
        <w:rPr>
          <w:rFonts w:ascii="Cambria" w:hAnsi="Cambria"/>
          <w:color w:val="262626"/>
          <w:sz w:val="21"/>
        </w:rPr>
        <w:t xml:space="preserve">The Cell cross-references every declaration against the automated logs under Article 8.5; raises the advisories of the deviation tolerance; convenes the joint fact-finding of Article 41.3 after incidents; and prepares the data chapters of the public confidence reports of Article 37.</w:t>
      </w:r>
    </w:p>
    <w:p>
      <w:pPr>
        <w:pStyle w:val="Heading2"/>
      </w:pPr>
      <w:r>
        <w:rPr>
          <w:rFonts w:ascii="Cambria" w:hAnsi="Cambria"/>
          <w:color w:val="262626"/>
          <w:sz w:val="21"/>
        </w:rPr>
        <w:t xml:space="preserve">Article 15: The Neutral Technical Secretariat</w:t>
      </w:r>
      <w:bookmarkStart w:id="521" w:name="_Toc26010022"/>
      <w:bookmarkEnd w:id="521"/>
    </w:p>
    <w:p>
      <w:pPr>
        <w:pStyle w:val="Heading3"/>
      </w:pPr>
      <w:r>
        <w:rPr>
          <w:rFonts w:ascii="Cambria" w:hAnsi="Cambria"/>
          <w:color w:val="262626"/>
          <w:sz w:val="21"/>
        </w:rPr>
        <w:t xml:space="preserve">15.1 Establishment and Functions</w:t>
      </w:r>
    </w:p>
    <w:p>
      <w:pPr>
        <w:pStyle w:val="Normal"/>
      </w:pPr>
      <w:r>
        <w:rPr>
          <w:rFonts w:ascii="Cambria" w:hAnsi="Cambria"/>
          <w:color w:val="262626"/>
          <w:sz w:val="21"/>
        </w:rPr>
        <w:t xml:space="preserve">The Parties establish the Neutral Technical Secretariat as the impartial technical and fiduciary engine of the system. The Secretariat operates the data processing center in Doha; administers the data vault and the custody system under Article 35; services the Fund under Article 22; maintains the rate card, the catalog, the register, and the publication schedule; runs the Perimeter Test of Article 5.3; and staffs the neutral seats of the Cell.</w:t>
      </w:r>
    </w:p>
    <w:p>
      <w:pPr>
        <w:pStyle w:val="Heading3"/>
      </w:pPr>
      <w:r>
        <w:rPr>
          <w:rFonts w:ascii="Cambria" w:hAnsi="Cambria"/>
          <w:color w:val="262626"/>
          <w:sz w:val="21"/>
        </w:rPr>
        <w:t xml:space="preserve">15.2 Administration</w:t>
      </w:r>
    </w:p>
    <w:p>
      <w:pPr>
        <w:pStyle w:val="Normal"/>
      </w:pPr>
      <w:r>
        <w:rPr>
          <w:rFonts w:ascii="Cambria" w:hAnsi="Cambria"/>
          <w:color w:val="262626"/>
          <w:sz w:val="21"/>
        </w:rPr>
        <w:t xml:space="preserve">The Secretariat operates under a Head of Secretariat appointed by consensus of the Parties for a four-year term, on nomination of the facilitating states. The Head of Secretariat is a national of a neutral participating state and answers to the Parties jointly through the published reporting rhythm, never to any one of them. The Secretariat's staff recruits internationally on professional merit, and no single nationality exceeds one quarter of the technical staff.</w:t>
      </w:r>
    </w:p>
    <w:p>
      <w:pPr>
        <w:pStyle w:val="Heading3"/>
      </w:pPr>
      <w:r>
        <w:rPr>
          <w:rFonts w:ascii="Cambria" w:hAnsi="Cambria"/>
          <w:color w:val="262626"/>
          <w:sz w:val="21"/>
        </w:rPr>
        <w:t xml:space="preserve">15.3 Independence and Funding</w:t>
      </w:r>
    </w:p>
    <w:p>
      <w:pPr>
        <w:pStyle w:val="Normal"/>
      </w:pPr>
      <w:r>
        <w:rPr>
          <w:rFonts w:ascii="Cambria" w:hAnsi="Cambria"/>
          <w:color w:val="262626"/>
          <w:sz w:val="21"/>
        </w:rPr>
        <w:t xml:space="preserve">The Fund finances the Secretariat as a first call on all revenue under Article 22.4, on the budget the Parties approve annually under Article 31.5. The Secretariat holds its own accounts, publishes them quarterly, and undergoes the external audit of Article 31.6. No party instructs the Secretariat; the parties direct its work only through joint written instruments of general application.</w:t>
      </w:r>
    </w:p>
    <w:p>
      <w:pPr>
        <w:pStyle w:val="Heading3"/>
      </w:pPr>
      <w:r>
        <w:rPr>
          <w:rFonts w:ascii="Cambria" w:hAnsi="Cambria"/>
          <w:color w:val="262626"/>
          <w:sz w:val="21"/>
        </w:rPr>
        <w:t xml:space="preserve">15.4 Fiduciary Role</w:t>
      </w:r>
    </w:p>
    <w:p>
      <w:pPr>
        <w:pStyle w:val="Normal"/>
      </w:pPr>
      <w:r>
        <w:rPr>
          <w:rFonts w:ascii="Cambria" w:hAnsi="Cambria"/>
          <w:color w:val="262626"/>
          <w:sz w:val="21"/>
        </w:rPr>
        <w:t xml:space="preserve">The Swiss Confederation acts as financial fiduciary of the system through the Secretariat: the principal accounts sit in Switzerland under Swiss law, the settlement mirror operates in Doha, and the escrow functions of Article 27 run through a neutral escrow bank in Switzerland under the dual-control rule of Article 27.5.</w:t>
      </w:r>
    </w:p>
    <w:p>
      <w:pPr>
        <w:pStyle w:val="Heading2"/>
      </w:pPr>
      <w:r>
        <w:rPr>
          <w:rFonts w:ascii="Cambria" w:hAnsi="Cambria"/>
          <w:color w:val="262626"/>
          <w:sz w:val="21"/>
        </w:rPr>
        <w:t xml:space="preserve">Article 16: The Corridor Sub-Desks</w:t>
      </w:r>
      <w:bookmarkStart w:id="522" w:name="_Toc26010023"/>
      <w:bookmarkEnd w:id="522"/>
    </w:p>
    <w:p>
      <w:pPr>
        <w:pStyle w:val="Heading3"/>
      </w:pPr>
      <w:r>
        <w:rPr>
          <w:rFonts w:ascii="Cambria" w:hAnsi="Cambria"/>
          <w:color w:val="262626"/>
          <w:sz w:val="21"/>
        </w:rPr>
        <w:t xml:space="preserve">16.1 The Northern Sub-Desk</w:t>
      </w:r>
    </w:p>
    <w:p>
      <w:pPr>
        <w:pStyle w:val="Normal"/>
      </w:pPr>
      <w:r>
        <w:rPr>
          <w:rFonts w:ascii="Cambria" w:hAnsi="Cambria"/>
          <w:color w:val="262626"/>
          <w:sz w:val="21"/>
        </w:rPr>
        <w:t xml:space="preserve">The Northern Corridor Authority maintains the Northern Sub-Desk at Bandar Abbas as its interface with the system. The Sub-Desk operates the northern traffic service, schedules pilots, coordinates port-call traffic through the lane, delivers the services of the Verified Services Catalog in the northern lane, and files the service records of Article 23.3 with the Desk. The Persian Gulf Strait Authority performs this function as Iran's designated national authority under Article 2.5, and its operations within the Governance Area follow the operational matrix, the rate card, and the verification architecture of this Agreement.</w:t>
      </w:r>
    </w:p>
    <w:p>
      <w:pPr>
        <w:pStyle w:val="Heading3"/>
      </w:pPr>
      <w:r>
        <w:rPr>
          <w:rFonts w:ascii="Cambria" w:hAnsi="Cambria"/>
          <w:color w:val="262626"/>
          <w:sz w:val="21"/>
        </w:rPr>
        <w:t xml:space="preserve">16.2 The Southern Sub-Desk</w:t>
      </w:r>
    </w:p>
    <w:p>
      <w:pPr>
        <w:pStyle w:val="Normal"/>
      </w:pPr>
      <w:r>
        <w:rPr>
          <w:rFonts w:ascii="Cambria" w:hAnsi="Cambria"/>
          <w:color w:val="262626"/>
          <w:sz w:val="21"/>
        </w:rPr>
        <w:t xml:space="preserve">The Southern Corridor Authority maintains the Southern Sub-Desk at Muscat on identical structural terms: traffic service, pilot scheduling, service delivery in the southern lane, and service record filing, under the same matrix, rate card, and verification.</w:t>
      </w:r>
    </w:p>
    <w:p>
      <w:pPr>
        <w:pStyle w:val="Heading3"/>
      </w:pPr>
      <w:r>
        <w:rPr>
          <w:rFonts w:ascii="Cambria" w:hAnsi="Cambria"/>
          <w:color w:val="262626"/>
          <w:sz w:val="21"/>
        </w:rPr>
        <w:t xml:space="preserve">16.3 Parity of Standing</w:t>
      </w:r>
    </w:p>
    <w:p>
      <w:pPr>
        <w:pStyle w:val="Normal"/>
      </w:pPr>
      <w:r>
        <w:rPr>
          <w:rFonts w:ascii="Cambria" w:hAnsi="Cambria"/>
          <w:color w:val="262626"/>
          <w:sz w:val="21"/>
        </w:rPr>
        <w:t xml:space="preserve">The two Sub-Desks hold identical standing, identical duties, identical access to the shared picture, and identical reimbursement rights. Every provision of this Agreement that addresses one Sub-Desk addresses the other in the same sentence or not at all.</w:t>
      </w:r>
    </w:p>
    <w:p>
      <w:pPr>
        <w:pStyle w:val="Heading2"/>
      </w:pPr>
      <w:r>
        <w:rPr>
          <w:rFonts w:ascii="Cambria" w:hAnsi="Cambria"/>
          <w:color w:val="262626"/>
          <w:sz w:val="21"/>
        </w:rPr>
        <w:t xml:space="preserve">Article 17: The Observer and Stakeholder Layer</w:t>
      </w:r>
      <w:bookmarkStart w:id="523" w:name="_Toc26010024"/>
      <w:bookmarkEnd w:id="523"/>
    </w:p>
    <w:p>
      <w:pPr>
        <w:pStyle w:val="Heading3"/>
      </w:pPr>
      <w:r>
        <w:rPr>
          <w:rFonts w:ascii="Cambria" w:hAnsi="Cambria"/>
          <w:color w:val="262626"/>
          <w:sz w:val="21"/>
        </w:rPr>
        <w:t xml:space="preserve">17.1 The Non-Executing Security Observer</w:t>
      </w:r>
    </w:p>
    <w:p>
      <w:pPr>
        <w:pStyle w:val="Normal"/>
      </w:pPr>
      <w:r>
        <w:rPr>
          <w:rFonts w:ascii="Cambria" w:hAnsi="Cambria"/>
          <w:color w:val="262626"/>
          <w:sz w:val="21"/>
        </w:rPr>
        <w:t xml:space="preserve">The United States participates in the system as the Non-Executing Security Observer. In that capacity, the United States holds: real-time read access to the shared picture and the custody system; a standing liaison officer at the Desk's Doha seat; the rotating observer missions of Article 34.5; participation in the security communications channel of Article 38.2; and a seat without executive function at every review conference. The observer capacity executes nothing in the corridors, and the corridors operate identically whether or not the observer exercises any of these windows on any given day.</w:t>
      </w:r>
    </w:p>
    <w:p>
      <w:pPr>
        <w:pStyle w:val="Heading3"/>
      </w:pPr>
      <w:r>
        <w:rPr>
          <w:rFonts w:ascii="Cambria" w:hAnsi="Cambria"/>
          <w:color w:val="262626"/>
          <w:sz w:val="21"/>
        </w:rPr>
        <w:t xml:space="preserve">17.2 The Littoral Liaison Group</w:t>
      </w:r>
    </w:p>
    <w:p>
      <w:pPr>
        <w:pStyle w:val="Normal"/>
      </w:pPr>
      <w:r>
        <w:rPr>
          <w:rFonts w:ascii="Cambria" w:hAnsi="Cambria"/>
          <w:color w:val="262626"/>
          <w:sz w:val="21"/>
        </w:rPr>
        <w:t xml:space="preserve">The Gulf Cooperation Council states and Iraq form the Littoral Liaison Group, seated at the Desk through one liaison officer per state. The Group receives the Bulletin, the hazard register, and the traffic statistics; tables the region's operational concerns at the Desk's weekly session; and sponsors the accession instruments of Article 54. The Group advises; the operational organs decide.</w:t>
      </w:r>
    </w:p>
    <w:p>
      <w:pPr>
        <w:pStyle w:val="Heading3"/>
      </w:pPr>
      <w:r>
        <w:rPr>
          <w:rFonts w:ascii="Cambria" w:hAnsi="Cambria"/>
          <w:color w:val="262626"/>
          <w:sz w:val="21"/>
        </w:rPr>
        <w:t xml:space="preserve">17.3 The Industry Panel</w:t>
      </w:r>
    </w:p>
    <w:p>
      <w:pPr>
        <w:pStyle w:val="Normal"/>
      </w:pPr>
      <w:r>
        <w:rPr>
          <w:rFonts w:ascii="Cambria" w:hAnsi="Cambria"/>
          <w:color w:val="262626"/>
          <w:sz w:val="21"/>
        </w:rPr>
        <w:t xml:space="preserve">The shipping industry participates through the Industry Panel: eight seats allocated by the published formula of Annex M among shipowners' associations, tanker and gas carrier operators, container lines, classification societies, protection and indemnity clubs, and war-risk underwriters, plus two seats for seafarers' representatives. The Panel receives every consultation draft touching rates, routing, or reporting; files written industry positions within fourteen days; and administers the contribution channel of Article 24 on the industry's side.</w:t>
      </w:r>
    </w:p>
    <w:p>
      <w:pPr>
        <w:pStyle w:val="Heading3"/>
      </w:pPr>
      <w:r>
        <w:rPr>
          <w:rFonts w:ascii="Cambria" w:hAnsi="Cambria"/>
          <w:color w:val="262626"/>
          <w:sz w:val="21"/>
        </w:rPr>
        <w:t xml:space="preserve">17.4 The Technical Observers</w:t>
      </w:r>
    </w:p>
    <w:p>
      <w:pPr>
        <w:pStyle w:val="Normal"/>
      </w:pPr>
      <w:r>
        <w:rPr>
          <w:rFonts w:ascii="Cambria" w:hAnsi="Cambria"/>
          <w:color w:val="262626"/>
          <w:sz w:val="21"/>
        </w:rPr>
        <w:t xml:space="preserve">The International Maritime Organization participates as technical observer: it accredits the clearance supervisor, certifies the pilot standards interface, reviews the Verification Methods Manual annually, and receives every certification and report of the system on publication day. Other technical bodies accede through the register of Annex M by consensus of the Parties.</w:t>
      </w:r>
    </w:p>
    <w:p>
      <w:pPr>
        <w:pStyle w:val="Heading3"/>
      </w:pPr>
      <w:r>
        <w:rPr>
          <w:rFonts w:ascii="Cambria" w:hAnsi="Cambria"/>
          <w:color w:val="262626"/>
          <w:sz w:val="21"/>
        </w:rPr>
        <w:t xml:space="preserve">17.5 Rotating Observer Missions</w:t>
      </w:r>
    </w:p>
    <w:p>
      <w:pPr>
        <w:pStyle w:val="Normal"/>
      </w:pPr>
      <w:r>
        <w:rPr>
          <w:rFonts w:ascii="Cambria" w:hAnsi="Cambria"/>
          <w:color w:val="262626"/>
          <w:sz w:val="21"/>
        </w:rPr>
        <w:t xml:space="preserve">Any Participating Party sends a civilian maritime attaché to observe the Cell's operations on seventy-two hours' notice, for up to fourteen days per quarter. The observer receives the same screens, the same logs, and the same briefings as the watch officers, and files observations only through the custody system, where every party reads them simultaneously.</w:t>
      </w:r>
    </w:p>
    <w:p>
      <w:pPr>
        <w:pStyle w:val="Heading2"/>
      </w:pPr>
      <w:r>
        <w:rPr>
          <w:rFonts w:ascii="Cambria" w:hAnsi="Cambria"/>
          <w:color w:val="262626"/>
          <w:sz w:val="21"/>
        </w:rPr>
        <w:t xml:space="preserve">Article 18: Decision Rules and Default Continuity</w:t>
      </w:r>
      <w:bookmarkStart w:id="524" w:name="_Toc26010025"/>
      <w:bookmarkEnd w:id="524"/>
    </w:p>
    <w:p>
      <w:pPr>
        <w:pStyle w:val="Heading3"/>
      </w:pPr>
      <w:r>
        <w:rPr>
          <w:rFonts w:ascii="Cambria" w:hAnsi="Cambria"/>
          <w:color w:val="262626"/>
          <w:sz w:val="21"/>
        </w:rPr>
        <w:t xml:space="preserve">18.1 The Consensus Principle</w:t>
      </w:r>
    </w:p>
    <w:p>
      <w:pPr>
        <w:pStyle w:val="Normal"/>
      </w:pPr>
      <w:r>
        <w:rPr>
          <w:rFonts w:ascii="Cambria" w:hAnsi="Cambria"/>
          <w:color w:val="262626"/>
          <w:sz w:val="21"/>
        </w:rPr>
        <w:t xml:space="preserve">The organs of the system decide by consensus among the participating contingents. Consensus means the absence of a recorded objection at the close of the decision window; it never means unanimity of enthusiasm, and it never gives any contingent a veto over the system's continued operation.</w:t>
      </w:r>
    </w:p>
    <w:p>
      <w:pPr>
        <w:pStyle w:val="Heading3"/>
      </w:pPr>
      <w:r>
        <w:rPr>
          <w:rFonts w:ascii="Cambria" w:hAnsi="Cambria"/>
          <w:color w:val="262626"/>
          <w:sz w:val="21"/>
        </w:rPr>
        <w:t xml:space="preserve">18.2 The Silence Procedure</w:t>
      </w:r>
    </w:p>
    <w:p>
      <w:pPr>
        <w:pStyle w:val="Normal"/>
      </w:pPr>
      <w:r>
        <w:rPr>
          <w:rFonts w:ascii="Cambria" w:hAnsi="Cambria"/>
          <w:color w:val="262626"/>
          <w:sz w:val="21"/>
        </w:rPr>
        <w:t xml:space="preserve">For routine items on the published routine list, the proposing officer circulates the item with a forty-eight-hour window, and silence at the close of the window records assent. The routine list itself stands in Annex R and changes only by consensus.</w:t>
      </w:r>
    </w:p>
    <w:p>
      <w:pPr>
        <w:pStyle w:val="Heading3"/>
      </w:pPr>
      <w:r>
        <w:rPr>
          <w:rFonts w:ascii="Cambria" w:hAnsi="Cambria"/>
          <w:color w:val="262626"/>
          <w:sz w:val="21"/>
        </w:rPr>
        <w:t xml:space="preserve">18.3 The Default Rule for Stalls</w:t>
      </w:r>
    </w:p>
    <w:p>
      <w:pPr>
        <w:pStyle w:val="Normal"/>
      </w:pPr>
      <w:r>
        <w:rPr>
          <w:rFonts w:ascii="Cambria" w:hAnsi="Cambria"/>
          <w:color w:val="262626"/>
          <w:sz w:val="21"/>
        </w:rPr>
        <w:t xml:space="preserve">Where a decision stalls, the standing procedures govern by default: a stalled budget runs on the previous budget at the same level; a stalled rate runs on the previous rate; a stalled route or roster question runs on the existing registration. No deadlock suspends, degrades, delays, or re-prices any operation of the corridor system.</w:t>
      </w:r>
    </w:p>
    <w:p>
      <w:pPr>
        <w:pStyle w:val="Heading3"/>
      </w:pPr>
      <w:r>
        <w:rPr>
          <w:rFonts w:ascii="Cambria" w:hAnsi="Cambria"/>
          <w:color w:val="262626"/>
          <w:sz w:val="21"/>
        </w:rPr>
        <w:t xml:space="preserve">18.4 Escalation of Stalls</w:t>
      </w:r>
    </w:p>
    <w:p>
      <w:pPr>
        <w:pStyle w:val="Normal"/>
      </w:pPr>
      <w:r>
        <w:rPr>
          <w:rFonts w:ascii="Cambria" w:hAnsi="Cambria"/>
          <w:color w:val="262626"/>
          <w:sz w:val="21"/>
        </w:rPr>
        <w:t xml:space="preserve">A stall that persists for fourteen days rises one level: from the Cell to the Desk, from the Desk to the Council of the Parties, from the Council to the facilitation tier of Article 47.3. Each rise publishes in the record with the question and the positions. The system's operations continue on the default rule throughout every escalation.</w:t>
      </w:r>
    </w:p>
    <w:p>
      <w:pPr>
        <w:pStyle w:val="Heading3"/>
      </w:pPr>
      <w:r>
        <w:rPr>
          <w:rFonts w:ascii="Cambria" w:hAnsi="Cambria"/>
          <w:color w:val="262626"/>
          <w:sz w:val="21"/>
        </w:rPr>
        <w:t xml:space="preserve">18.5 The Council of the Parties</w:t>
      </w:r>
    </w:p>
    <w:p>
      <w:pPr>
        <w:pStyle w:val="Normal"/>
      </w:pPr>
      <w:r>
        <w:rPr>
          <w:rFonts w:ascii="Cambria" w:hAnsi="Cambria"/>
          <w:color w:val="262626"/>
          <w:sz w:val="21"/>
        </w:rPr>
        <w:t xml:space="preserve">The Council of the Parties, comprising one senior representative of each of the four Parties, meets monthly and on call, reviews the system's performance against the metrics of Annex R, approves the items the Desk cannot settle, and holds the amendment initiative of Article 55. The Council decides by consensus of the four, and its every decision publishes.</w:t>
      </w:r>
    </w:p>
    <w:p>
      <w:pPr>
        <w:pStyle w:val="Heading2"/>
      </w:pPr>
      <w:r>
        <w:rPr>
          <w:rFonts w:ascii="Cambria" w:hAnsi="Cambria"/>
          <w:color w:val="262626"/>
          <w:sz w:val="21"/>
        </w:rPr>
        <w:t xml:space="preserve">Article 19: Watch Standards, Training, and Certification</w:t>
      </w:r>
      <w:bookmarkStart w:id="525" w:name="_Toc26010026"/>
      <w:bookmarkEnd w:id="525"/>
    </w:p>
    <w:p>
      <w:pPr>
        <w:pStyle w:val="Heading3"/>
      </w:pPr>
      <w:r>
        <w:rPr>
          <w:rFonts w:ascii="Cambria" w:hAnsi="Cambria"/>
          <w:color w:val="262626"/>
          <w:sz w:val="21"/>
        </w:rPr>
        <w:t xml:space="preserve">19.1 Watch Standards</w:t>
      </w:r>
    </w:p>
    <w:p>
      <w:pPr>
        <w:pStyle w:val="Normal"/>
      </w:pPr>
      <w:r>
        <w:rPr>
          <w:rFonts w:ascii="Cambria" w:hAnsi="Cambria"/>
          <w:color w:val="262626"/>
          <w:sz w:val="21"/>
        </w:rPr>
        <w:t xml:space="preserve">Every watchstanding position in the system operates under the published watch standards of Annex G: maximum watch length, minimum rest, handover protocol, and fitness-for-duty rules. The standards track the international maritime labor benchmarks, and the Secretariat audits them quarterly against the watch logs.</w:t>
      </w:r>
    </w:p>
    <w:p>
      <w:pPr>
        <w:pStyle w:val="Heading3"/>
      </w:pPr>
      <w:r>
        <w:rPr>
          <w:rFonts w:ascii="Cambria" w:hAnsi="Cambria"/>
          <w:color w:val="262626"/>
          <w:sz w:val="21"/>
        </w:rPr>
        <w:t xml:space="preserve">19.2 The Joint Certification Program</w:t>
      </w:r>
    </w:p>
    <w:p>
      <w:pPr>
        <w:pStyle w:val="Normal"/>
      </w:pPr>
      <w:r>
        <w:rPr>
          <w:rFonts w:ascii="Cambria" w:hAnsi="Cambria"/>
          <w:color w:val="262626"/>
          <w:sz w:val="21"/>
        </w:rPr>
        <w:t xml:space="preserve">The Parties operate a joint certification program for the system's operational professions: traffic service operators, pilots, clearance specialists, Cell officers, and inspectors. The program sets a single syllabus, a single examination, and a single register, run by the Secretariat with the technical observer's review. A certificate of the program entitles its holder to serve in any lane of the system, and every party's authorities recognize it on equal terms with their national qualifications for service inside the Governance Area.</w:t>
      </w:r>
    </w:p>
    <w:p>
      <w:pPr>
        <w:pStyle w:val="Heading3"/>
      </w:pPr>
      <w:r>
        <w:rPr>
          <w:rFonts w:ascii="Cambria" w:hAnsi="Cambria"/>
          <w:color w:val="262626"/>
          <w:sz w:val="21"/>
        </w:rPr>
        <w:t xml:space="preserve">19.3 Neutral Pilots for the Central Corridor</w:t>
      </w:r>
    </w:p>
    <w:p>
      <w:pPr>
        <w:pStyle w:val="Normal"/>
      </w:pPr>
      <w:r>
        <w:rPr>
          <w:rFonts w:ascii="Cambria" w:hAnsi="Cambria"/>
          <w:color w:val="262626"/>
          <w:sz w:val="21"/>
        </w:rPr>
        <w:t xml:space="preserve">The central lane's pilots certify through the joint program and embark from the pilot station registered in Annex A. The pilot pool draws from every nationality on the register, assigns pilots by rotation without regard to the vessel's flag, and bills through the Catalog and rate card of Part IV, never through any direct payment.</w:t>
      </w:r>
    </w:p>
    <w:p>
      <w:pPr>
        <w:pStyle w:val="Heading3"/>
      </w:pPr>
      <w:r>
        <w:rPr>
          <w:rFonts w:ascii="Cambria" w:hAnsi="Cambria"/>
          <w:color w:val="262626"/>
          <w:sz w:val="21"/>
        </w:rPr>
        <w:t xml:space="preserve">19.4 Human Factors Review</w:t>
      </w:r>
    </w:p>
    <w:p>
      <w:pPr>
        <w:pStyle w:val="Normal"/>
      </w:pPr>
      <w:r>
        <w:rPr>
          <w:rFonts w:ascii="Cambria" w:hAnsi="Cambria"/>
          <w:color w:val="262626"/>
          <w:sz w:val="21"/>
        </w:rPr>
        <w:t xml:space="preserve">The Desk reviews fatigue, workload, and error data every quarter with the Industry Panel's seafarers' seats, and adjusts watch structures on the evidence. Every incident review of Article 41 includes a human factors chapter, and the chapter publishes with the rest of the record.</w:t>
      </w:r>
    </w:p>
    <w:p>
      <w:pPr>
        <w:pStyle w:val="Heading1"/>
      </w:pPr>
      <w:r>
        <w:rPr>
          <w:rFonts w:ascii="Cambria" w:hAnsi="Cambria"/>
          <w:color w:val="262626"/>
          <w:sz w:val="21"/>
        </w:rPr>
        <w:t xml:space="preserve">Part IV: The Settlement of the Tolls Question</w:t>
      </w:r>
      <w:bookmarkStart w:id="526" w:name="_Toc26010027"/>
      <w:bookmarkEnd w:id="526"/>
    </w:p>
    <w:p>
      <w:pPr>
        <w:pStyle w:val="Heading2"/>
      </w:pPr>
      <w:r>
        <w:rPr>
          <w:rFonts w:ascii="Cambria" w:hAnsi="Cambria"/>
          <w:color w:val="262626"/>
          <w:sz w:val="21"/>
        </w:rPr>
        <w:t xml:space="preserve">Article 20: The Zero-Toll Covenant</w:t>
      </w:r>
      <w:bookmarkStart w:id="527" w:name="_Toc26010028"/>
      <w:bookmarkEnd w:id="527"/>
    </w:p>
    <w:p>
      <w:pPr>
        <w:pStyle w:val="Heading3"/>
      </w:pPr>
      <w:r>
        <w:rPr>
          <w:rFonts w:ascii="Cambria" w:hAnsi="Cambria"/>
          <w:color w:val="262626"/>
          <w:sz w:val="21"/>
        </w:rPr>
        <w:t xml:space="preserve">20.1 The Covenant</w:t>
      </w:r>
    </w:p>
    <w:p>
      <w:pPr>
        <w:pStyle w:val="Normal"/>
      </w:pPr>
      <w:r>
        <w:rPr>
          <w:rFonts w:ascii="Cambria" w:hAnsi="Cambria"/>
          <w:color w:val="262626"/>
          <w:sz w:val="21"/>
        </w:rPr>
        <w:t xml:space="preserve">No charge of any kind attaches to the act of transit through the Strait of Hormuz, in any corridor, for any vessel, of any class, under any circumstances. Transit is free. The framework defines the following measures as tolls regardless of their label, and excludes each of them absolutely: passage fees; transit charges; strait dues; per-ton or per-vessel charges on navigation; payments as a condition of entry, acknowledgment, scheduling, escort, queue position, pilot availability, or bulletin access; charges denominated as insurance, security, environmental, or administrative levies computed on transit rather than on a documented service; and mandatory purchase of insurance from any designated provider as a condition of transit.</w:t>
      </w:r>
    </w:p>
    <w:p>
      <w:pPr>
        <w:pStyle w:val="Heading3"/>
      </w:pPr>
      <w:r>
        <w:rPr>
          <w:rFonts w:ascii="Cambria" w:hAnsi="Cambria"/>
          <w:color w:val="262626"/>
          <w:sz w:val="21"/>
        </w:rPr>
        <w:t xml:space="preserve">20.2 The Functional Test</w:t>
      </w:r>
    </w:p>
    <w:p>
      <w:pPr>
        <w:pStyle w:val="Normal"/>
      </w:pPr>
      <w:r>
        <w:rPr>
          <w:rFonts w:ascii="Cambria" w:hAnsi="Cambria"/>
          <w:color w:val="262626"/>
          <w:sz w:val="21"/>
        </w:rPr>
        <w:t xml:space="preserve">Every payment inside the Governance Area answers one question: does its amount, timing, or conditionality attach to the vessel's movement through the Strait? An affirmative answer classifies the payment as a toll, and the architecture excludes it without exception and without regard to its name, its collector, its stated purpose, or its legal basis in any domestic order. A negative answer routes the payment into the channels of this Part, each of which carries its own audit trail, and nowhere else.</w:t>
      </w:r>
    </w:p>
    <w:p>
      <w:pPr>
        <w:pStyle w:val="Heading3"/>
      </w:pPr>
      <w:r>
        <w:rPr>
          <w:rFonts w:ascii="Cambria" w:hAnsi="Cambria"/>
          <w:color w:val="262626"/>
          <w:sz w:val="21"/>
        </w:rPr>
        <w:t xml:space="preserve">20.3 Scope</w:t>
      </w:r>
    </w:p>
    <w:p>
      <w:pPr>
        <w:pStyle w:val="Normal"/>
      </w:pPr>
      <w:r>
        <w:rPr>
          <w:rFonts w:ascii="Cambria" w:hAnsi="Cambria"/>
          <w:color w:val="262626"/>
          <w:sz w:val="21"/>
        </w:rPr>
        <w:t xml:space="preserve">The Covenant covers every lane, anchorage, approach, and service interface of the Governance Area. It admits no exception for vessel class, flag, ownership, cargo origin or destination, crew nationality, insurer, charterer, or any other characteristic. It binds every state organ, every designated authority, every contractor, and every successor instrument for the life of the Agreement.</w:t>
      </w:r>
    </w:p>
    <w:p>
      <w:pPr>
        <w:pStyle w:val="Heading3"/>
      </w:pPr>
      <w:r>
        <w:rPr>
          <w:rFonts w:ascii="Cambria" w:hAnsi="Cambria"/>
          <w:color w:val="262626"/>
          <w:sz w:val="21"/>
        </w:rPr>
        <w:t xml:space="preserve">20.4 Permanence</w:t>
      </w:r>
    </w:p>
    <w:p>
      <w:pPr>
        <w:pStyle w:val="Normal"/>
      </w:pPr>
      <w:r>
        <w:rPr>
          <w:rFonts w:ascii="Cambria" w:hAnsi="Cambria"/>
          <w:color w:val="262626"/>
          <w:sz w:val="21"/>
        </w:rPr>
        <w:t xml:space="preserve">The Covenant stands permanently under the Standing Continuity Rule of Article 52. No passage charge arises by inaction, by silence, by custom, by national legislation, by reinterpretation, or by the expiry of any window. The charge-free character of transit is not a concession with a deadline; it is a load-bearing wall of the architecture, and the whole settlement of this Part rests on it.</w:t>
      </w:r>
    </w:p>
    <w:p>
      <w:pPr>
        <w:pStyle w:val="Heading3"/>
      </w:pPr>
      <w:r>
        <w:rPr>
          <w:rFonts w:ascii="Cambria" w:hAnsi="Cambria"/>
          <w:color w:val="262626"/>
          <w:sz w:val="21"/>
        </w:rPr>
        <w:t xml:space="preserve">20.5 The Broad Reading Codified</w:t>
      </w:r>
    </w:p>
    <w:p>
      <w:pPr>
        <w:pStyle w:val="Normal"/>
      </w:pPr>
      <w:r>
        <w:rPr>
          <w:rFonts w:ascii="Cambria" w:hAnsi="Cambria"/>
          <w:color w:val="262626"/>
          <w:sz w:val="21"/>
        </w:rPr>
        <w:t xml:space="preserve">The phrase no charge, as this Agreement and the instruments preceding it employ the phrase, reads broadly: no tolls, no fees, no surcharges, no insurance costs imposed by any authority, and no state-controlled payment system touching passage. Every organ applies this reading mechanically, and the Perimeter Test of Article 5.3 blocks any measure that narrows it.</w:t>
      </w:r>
    </w:p>
    <w:p>
      <w:pPr>
        <w:pStyle w:val="Heading3"/>
      </w:pPr>
      <w:r>
        <w:rPr>
          <w:rFonts w:ascii="Cambria" w:hAnsi="Cambria"/>
          <w:color w:val="262626"/>
          <w:sz w:val="21"/>
        </w:rPr>
        <w:t xml:space="preserve">20.6 No Shadow Pricing</w:t>
      </w:r>
    </w:p>
    <w:p>
      <w:pPr>
        <w:pStyle w:val="Normal"/>
      </w:pPr>
      <w:r>
        <w:rPr>
          <w:rFonts w:ascii="Cambria" w:hAnsi="Cambria"/>
          <w:color w:val="262626"/>
          <w:sz w:val="21"/>
        </w:rPr>
        <w:t xml:space="preserve">The architecture excludes indirect passage pricing with the same force: no queue manipulation for payment, no pilot withholding for payment, no service bundling as a condition of transit, no data withholding for payment, and no safety certification sold as a condition of entry. The compliance chapter of Part VII classifies every such practice as a Structural Breach on verified facts.</w:t>
      </w:r>
    </w:p>
    <w:p>
      <w:pPr>
        <w:pStyle w:val="Heading2"/>
      </w:pPr>
      <w:r>
        <w:rPr>
          <w:rFonts w:ascii="Cambria" w:hAnsi="Cambria"/>
          <w:color w:val="262626"/>
          <w:sz w:val="21"/>
        </w:rPr>
        <w:t xml:space="preserve">Article 21: The Legislative Reconciliation Channel</w:t>
      </w:r>
      <w:bookmarkStart w:id="528" w:name="_Toc26010029"/>
      <w:bookmarkEnd w:id="528"/>
    </w:p>
    <w:p>
      <w:pPr>
        <w:pStyle w:val="Heading3"/>
      </w:pPr>
      <w:r>
        <w:rPr>
          <w:rFonts w:ascii="Cambria" w:hAnsi="Cambria"/>
          <w:color w:val="262626"/>
          <w:sz w:val="21"/>
        </w:rPr>
        <w:t xml:space="preserve">21.1 The Channel</w:t>
      </w:r>
    </w:p>
    <w:p>
      <w:pPr>
        <w:pStyle w:val="Normal"/>
      </w:pPr>
      <w:r>
        <w:rPr>
          <w:rFonts w:ascii="Cambria" w:hAnsi="Cambria"/>
          <w:color w:val="262626"/>
          <w:sz w:val="21"/>
        </w:rPr>
        <w:t xml:space="preserve">Where a party's domestic legal order enacts, advances, or maintains a fee, permit, or passage measure touching the Strait, this Agreement governs that party's conduct within the Governance Area: no collection occurs, no condition attaches, and the Desk acknowledges filings and operates traffic without reference to the domestic measure. The party routes the domestic measure into the Legislative Reconciliation Channel of this Article.</w:t>
      </w:r>
    </w:p>
    <w:p>
      <w:pPr>
        <w:pStyle w:val="Heading3"/>
      </w:pPr>
      <w:r>
        <w:rPr>
          <w:rFonts w:ascii="Cambria" w:hAnsi="Cambria"/>
          <w:color w:val="262626"/>
          <w:sz w:val="21"/>
        </w:rPr>
        <w:t xml:space="preserve">21.2 Operation</w:t>
      </w:r>
    </w:p>
    <w:p>
      <w:pPr>
        <w:pStyle w:val="Normal"/>
      </w:pPr>
      <w:r>
        <w:rPr>
          <w:rFonts w:ascii="Cambria" w:hAnsi="Cambria"/>
          <w:color w:val="262626"/>
          <w:sz w:val="21"/>
        </w:rPr>
        <w:t xml:space="preserve">The channel works as follows. The party notifies the measure to the depositary within fourteen days of its adoption or advancement. The facilitation tier of Article 47.3 convenes on the measure within thirty days. The reconciliation process runs ninety days, extendable once by sixty days on the tier's recorded finding of progress. Throughout the process, corridor operations continue untouched, and the Independent Cross-Verification function of Article 35.5 notes the reconciliation status in its public reporting.</w:t>
      </w:r>
    </w:p>
    <w:p>
      <w:pPr>
        <w:pStyle w:val="Heading3"/>
      </w:pPr>
      <w:r>
        <w:rPr>
          <w:rFonts w:ascii="Cambria" w:hAnsi="Cambria"/>
          <w:color w:val="262626"/>
          <w:sz w:val="21"/>
        </w:rPr>
        <w:t xml:space="preserve">21.3 Output</w:t>
      </w:r>
    </w:p>
    <w:p>
      <w:pPr>
        <w:pStyle w:val="Normal"/>
      </w:pPr>
      <w:r>
        <w:rPr>
          <w:rFonts w:ascii="Cambria" w:hAnsi="Cambria"/>
          <w:color w:val="262626"/>
          <w:sz w:val="21"/>
        </w:rPr>
        <w:t xml:space="preserve">The channel closes in one of three ways: the domestic order aligns with the Covenant; the parties record an agreed reading under which the domestic measure never touches the Governance Area; or the measure stands referred to the political channel of Article 47.4, with corridor operations continuing throughout. The architecture thereby absorbs legislative friction without touching the water, and domestic political processes never hold transit hostage.</w:t>
      </w:r>
    </w:p>
    <w:p>
      <w:pPr>
        <w:pStyle w:val="Heading2"/>
      </w:pPr>
      <w:r>
        <w:rPr>
          <w:rFonts w:ascii="Cambria" w:hAnsi="Cambria"/>
          <w:color w:val="262626"/>
          <w:sz w:val="21"/>
        </w:rPr>
        <w:t xml:space="preserve">Article 22: The Hormuz Safety Cooperative Fund</w:t>
      </w:r>
      <w:bookmarkStart w:id="529" w:name="_Toc26010030"/>
      <w:bookmarkEnd w:id="529"/>
    </w:p>
    <w:p>
      <w:pPr>
        <w:pStyle w:val="Heading3"/>
      </w:pPr>
      <w:r>
        <w:rPr>
          <w:rFonts w:ascii="Cambria" w:hAnsi="Cambria"/>
          <w:color w:val="262626"/>
          <w:sz w:val="21"/>
        </w:rPr>
        <w:t xml:space="preserve">22.1 Establishment and Legal Form</w:t>
      </w:r>
    </w:p>
    <w:p>
      <w:pPr>
        <w:pStyle w:val="Normal"/>
      </w:pPr>
      <w:r>
        <w:rPr>
          <w:rFonts w:ascii="Cambria" w:hAnsi="Cambria"/>
          <w:color w:val="262626"/>
          <w:sz w:val="21"/>
        </w:rPr>
        <w:t xml:space="preserve">The Parties establish the Hormuz Safety Cooperative Fund as the single financial vehicle of the system. The Fund takes the legal form of a multilateral fiduciary facility administered by the Secretariat under Swiss law, with its principal account in Switzerland and its settlement mirror in Doha. The Fund exists to pay for verified maritime services and the system's institutions, to reimburse the Coastal Parties for services delivered, to finance readiness and clearance, and to operate the compensation window of Article 22.8. No payment from the Fund ever travels as a condition of any vessel's transit, and no payment to the Fund purchases passage.</w:t>
      </w:r>
    </w:p>
    <w:p>
      <w:pPr>
        <w:pStyle w:val="Heading3"/>
      </w:pPr>
      <w:r>
        <w:rPr>
          <w:rFonts w:ascii="Cambria" w:hAnsi="Cambria"/>
          <w:color w:val="262626"/>
          <w:sz w:val="21"/>
        </w:rPr>
        <w:t xml:space="preserve">22.2 Governance</w:t>
      </w:r>
    </w:p>
    <w:p>
      <w:pPr>
        <w:pStyle w:val="Normal"/>
      </w:pPr>
      <w:r>
        <w:rPr>
          <w:rFonts w:ascii="Cambria" w:hAnsi="Cambria"/>
          <w:color w:val="262626"/>
          <w:sz w:val="21"/>
        </w:rPr>
        <w:t xml:space="preserve">A board of five governors directs the Fund: one each from Iran, Oman, and Qatar, and two from neutral participating states, initially Norway and Singapore. The board decides allocations by consensus, meets monthly, publishes its minutes and accounts quarterly, and answers to the Council of the Parties through the annual budget process. The Secretariat services the board and executes its decisions.</w:t>
      </w:r>
    </w:p>
    <w:p>
      <w:pPr>
        <w:pStyle w:val="Heading3"/>
      </w:pPr>
      <w:r>
        <w:rPr>
          <w:rFonts w:ascii="Cambria" w:hAnsi="Cambria"/>
          <w:color w:val="262626"/>
          <w:sz w:val="21"/>
        </w:rPr>
        <w:t xml:space="preserve">22.3 Revenue Sources</w:t>
      </w:r>
    </w:p>
    <w:p>
      <w:pPr>
        <w:pStyle w:val="Normal"/>
      </w:pPr>
      <w:r>
        <w:rPr>
          <w:rFonts w:ascii="Cambria" w:hAnsi="Cambria"/>
          <w:color w:val="262626"/>
          <w:sz w:val="21"/>
        </w:rPr>
        <w:t xml:space="preserve">The Fund draws revenue from six published sources, each voluntary in law and each auditable to its origin: endowment contributions of states; the voluntary transit contributions of Article 24; the annual navigation passes of Article 25; the administration fees of the environmental assurance registry of Article 26; the information service subscriptions of Article 28; and the infrastructure finance window of Article 29. Annex C fixes the accounts structure, and Annex D publishes every rate. No source ever touches a vessel at the point of passage.</w:t>
      </w:r>
    </w:p>
    <w:p>
      <w:pPr>
        <w:pStyle w:val="Heading3"/>
      </w:pPr>
      <w:r>
        <w:rPr>
          <w:rFonts w:ascii="Cambria" w:hAnsi="Cambria"/>
          <w:color w:val="262626"/>
          <w:sz w:val="21"/>
        </w:rPr>
        <w:t xml:space="preserve">22.4 The Priority Order and the Liquidity Lock</w:t>
      </w:r>
    </w:p>
    <w:p>
      <w:pPr>
        <w:pStyle w:val="Normal"/>
      </w:pPr>
      <w:r>
        <w:rPr>
          <w:rFonts w:ascii="Cambria" w:hAnsi="Cambria"/>
          <w:color w:val="262626"/>
          <w:sz w:val="21"/>
        </w:rPr>
        <w:t xml:space="preserve">The Fund applies its resources in a fixed order: first, the costs of the Secretariat, the Desk, the Cell, and the inspection and certification functions; second, reimbursement of verified services under Article 23; third, readiness and standby capacity for escort, salvage, clearance, and pollution response; fourth, the compensation window of Article 22.8; fifth, capacity building for the maritime administrations of the Coastal Parties. The Fund operates under the liquidity lock: it maintains a standing reserve equal to six months of institutional costs, and no allocation breaches the lock.</w:t>
      </w:r>
    </w:p>
    <w:p>
      <w:pPr>
        <w:pStyle w:val="Heading3"/>
      </w:pPr>
      <w:r>
        <w:rPr>
          <w:rFonts w:ascii="Cambria" w:hAnsi="Cambria"/>
          <w:color w:val="262626"/>
          <w:sz w:val="21"/>
        </w:rPr>
        <w:t xml:space="preserve">22.5 The Public Dashboard</w:t>
      </w:r>
    </w:p>
    <w:p>
      <w:pPr>
        <w:pStyle w:val="Normal"/>
      </w:pPr>
      <w:r>
        <w:rPr>
          <w:rFonts w:ascii="Cambria" w:hAnsi="Cambria"/>
          <w:color w:val="262626"/>
          <w:sz w:val="21"/>
        </w:rPr>
        <w:t xml:space="preserve">The Fund publishes a real-time public dashboard: every inflow by source category, every outflow by purpose, every reimbursement by service and lane, the reserve level, and the audit status. The dashboard carries no vessel-identifying commercial data; Article 28.4 governs the boundary between transparency and commercial privacy.</w:t>
      </w:r>
    </w:p>
    <w:p>
      <w:pPr>
        <w:pStyle w:val="Heading3"/>
      </w:pPr>
      <w:r>
        <w:rPr>
          <w:rFonts w:ascii="Cambria" w:hAnsi="Cambria"/>
          <w:color w:val="262626"/>
          <w:sz w:val="21"/>
        </w:rPr>
        <w:t xml:space="preserve">22.6 Audit</w:t>
      </w:r>
    </w:p>
    <w:p>
      <w:pPr>
        <w:pStyle w:val="Normal"/>
      </w:pPr>
      <w:r>
        <w:rPr>
          <w:rFonts w:ascii="Cambria" w:hAnsi="Cambria"/>
          <w:color w:val="262626"/>
          <w:sz w:val="21"/>
        </w:rPr>
        <w:t xml:space="preserve">An external auditor of international standing, appointed by the board on the Secretariat's shortlist for a non-renewable four-year term, audits the Fund annually and on demand of any two governors. Every audit publishes in full. A discrepancy above the materiality threshold of Annex C triggers the financial compliance procedure of Article 31.4.</w:t>
      </w:r>
    </w:p>
    <w:p>
      <w:pPr>
        <w:pStyle w:val="Heading3"/>
      </w:pPr>
      <w:r>
        <w:rPr>
          <w:rFonts w:ascii="Cambria" w:hAnsi="Cambria"/>
          <w:color w:val="262626"/>
          <w:sz w:val="21"/>
        </w:rPr>
        <w:t xml:space="preserve">22.7 No Direct Collection</w:t>
      </w:r>
    </w:p>
    <w:p>
      <w:pPr>
        <w:pStyle w:val="Normal"/>
      </w:pPr>
      <w:r>
        <w:rPr>
          <w:rFonts w:ascii="Cambria" w:hAnsi="Cambria"/>
          <w:color w:val="262626"/>
          <w:sz w:val="21"/>
        </w:rPr>
        <w:t xml:space="preserve">No organ, authority, contractor, or agent of any party collects any payment from any vessel, owner, operator, charterer, or insurer for anything connected with the Governance Area. Every payment flows through the Fund's accounts or the neutral trusts of this Part. Article 31 states the firewall; this section states the channel.</w:t>
      </w:r>
    </w:p>
    <w:p>
      <w:pPr>
        <w:pStyle w:val="Heading3"/>
      </w:pPr>
      <w:r>
        <w:rPr>
          <w:rFonts w:ascii="Cambria" w:hAnsi="Cambria"/>
          <w:color w:val="262626"/>
          <w:sz w:val="21"/>
        </w:rPr>
        <w:t xml:space="preserve">22.8 The Compensation Window</w:t>
      </w:r>
    </w:p>
    <w:p>
      <w:pPr>
        <w:pStyle w:val="Normal"/>
      </w:pPr>
      <w:r>
        <w:rPr>
          <w:rFonts w:ascii="Cambria" w:hAnsi="Cambria"/>
          <w:color w:val="262626"/>
          <w:sz w:val="21"/>
        </w:rPr>
        <w:t xml:space="preserve">Where a disruption certified under Article 43 closes a corridor or materially degrades it, the Fund compensates documented economic loss of affected operators and coastal administrations from its fourth-priority allocation, on the published scale of Annex C. Compensation follows the certified facts, never fault, and acceptance of compensation settles no legal claim of any party or person.</w:t>
      </w:r>
    </w:p>
    <w:p>
      <w:pPr>
        <w:pStyle w:val="Heading2"/>
      </w:pPr>
      <w:r>
        <w:rPr>
          <w:rFonts w:ascii="Cambria" w:hAnsi="Cambria"/>
          <w:color w:val="262626"/>
          <w:sz w:val="21"/>
        </w:rPr>
        <w:t xml:space="preserve">Article 23: The Verified Services Catalog and Service Reimbursement</w:t>
      </w:r>
      <w:bookmarkStart w:id="530" w:name="_Toc26010031"/>
      <w:bookmarkEnd w:id="530"/>
    </w:p>
    <w:p>
      <w:pPr>
        <w:pStyle w:val="Heading3"/>
      </w:pPr>
      <w:r>
        <w:rPr>
          <w:rFonts w:ascii="Cambria" w:hAnsi="Cambria"/>
          <w:color w:val="262626"/>
          <w:sz w:val="21"/>
        </w:rPr>
        <w:t xml:space="preserve">23.1 The Catalog</w:t>
      </w:r>
    </w:p>
    <w:p>
      <w:pPr>
        <w:pStyle w:val="Normal"/>
      </w:pPr>
      <w:r>
        <w:rPr>
          <w:rFonts w:ascii="Cambria" w:hAnsi="Cambria"/>
          <w:color w:val="262626"/>
          <w:sz w:val="21"/>
        </w:rPr>
        <w:t xml:space="preserve">Annex D registers the Verified Services Catalog: the complete list of standard maritime services the corridor system consumes, each with its technical definition, its delivery standard, and its published rate. The Catalog covers vessel traffic service operation; pilotage; escorted window coordination; hydrographic survey; aids to navigation maintenance; search and rescue standby; pollution response standby; tug availability; clearance operations; and data services. The Catalog expands and re-prices only through the annual rate process of Article 23.6.</w:t>
      </w:r>
    </w:p>
    <w:p>
      <w:pPr>
        <w:pStyle w:val="Heading3"/>
      </w:pPr>
      <w:r>
        <w:rPr>
          <w:rFonts w:ascii="Cambria" w:hAnsi="Cambria"/>
          <w:color w:val="262626"/>
          <w:sz w:val="21"/>
        </w:rPr>
        <w:t xml:space="preserve">23.2 Compensation Follows Delivery</w:t>
      </w:r>
    </w:p>
    <w:p>
      <w:pPr>
        <w:pStyle w:val="Normal"/>
      </w:pPr>
      <w:r>
        <w:rPr>
          <w:rFonts w:ascii="Cambria" w:hAnsi="Cambria"/>
          <w:color w:val="262626"/>
          <w:sz w:val="21"/>
        </w:rPr>
        <w:t xml:space="preserve">The Fund compensates each delivering authority for its actual provision of Catalog services to all transiting vessels, against the verified service record and at the rate card. Compensation follows delivery, never passage: a vessel transits free of charge in every corridor, and the delivering authority receives audited reimbursement from the Fund for the services the system consumes. The architecture thereby gives every coastal administration documented, direct compensation for real work while the Strait remains toll-free in law and in market fact. This mechanism aligns with the cooperative service-fee arrangements of the Malacca model and with the voluntary-fee plan the Sultanate of Oman tabled in July 2026, and it gives concrete, lawful form to the principle that the provider of safe passage earns compensation for the service it provides.</w:t>
      </w:r>
    </w:p>
    <w:p>
      <w:pPr>
        <w:pStyle w:val="Heading3"/>
      </w:pPr>
      <w:r>
        <w:rPr>
          <w:rFonts w:ascii="Cambria" w:hAnsi="Cambria"/>
          <w:color w:val="262626"/>
          <w:sz w:val="21"/>
        </w:rPr>
        <w:t xml:space="preserve">23.3 The Record Standard</w:t>
      </w:r>
    </w:p>
    <w:p>
      <w:pPr>
        <w:pStyle w:val="Normal"/>
      </w:pPr>
      <w:r>
        <w:rPr>
          <w:rFonts w:ascii="Cambria" w:hAnsi="Cambria"/>
          <w:color w:val="262626"/>
          <w:sz w:val="21"/>
        </w:rPr>
        <w:t xml:space="preserve">Self-declaration earns nothing. Every reimbursement traces to a service record that the delivering authority files and the receiving traffic service or the Cell countersigns, visible to the Secretariat's quarterly cross-check. A record without countersignature earns nothing; a record that the cross-check flags enters the audit channel of Article 31.4; a record that survives cross-check pays on the next quarterly settlement.</w:t>
      </w:r>
    </w:p>
    <w:p>
      <w:pPr>
        <w:pStyle w:val="Heading3"/>
      </w:pPr>
      <w:r>
        <w:rPr>
          <w:rFonts w:ascii="Cambria" w:hAnsi="Cambria"/>
          <w:color w:val="262626"/>
          <w:sz w:val="21"/>
        </w:rPr>
        <w:t xml:space="preserve">23.4 Settlement Rhythm</w:t>
      </w:r>
    </w:p>
    <w:p>
      <w:pPr>
        <w:pStyle w:val="Normal"/>
      </w:pPr>
      <w:r>
        <w:rPr>
          <w:rFonts w:ascii="Cambria" w:hAnsi="Cambria"/>
          <w:color w:val="262626"/>
          <w:sz w:val="21"/>
        </w:rPr>
        <w:t xml:space="preserve">The Fund settles reimbursements quarterly, within thirty days of quarter close, in the settlement currencies of Annex C. Every settlement publishes on the dashboard by delivering authority, service line, and lane. Disputed lines escrow under Article 35.4 pending technical arbitration, and undisputed lines pay on schedule regardless of any dispute.</w:t>
      </w:r>
    </w:p>
    <w:p>
      <w:pPr>
        <w:pStyle w:val="Heading3"/>
      </w:pPr>
      <w:r>
        <w:rPr>
          <w:rFonts w:ascii="Cambria" w:hAnsi="Cambria"/>
          <w:color w:val="262626"/>
          <w:sz w:val="21"/>
        </w:rPr>
        <w:t xml:space="preserve">23.5 No Double Recovery</w:t>
      </w:r>
    </w:p>
    <w:p>
      <w:pPr>
        <w:pStyle w:val="Normal"/>
      </w:pPr>
      <w:r>
        <w:rPr>
          <w:rFonts w:ascii="Cambria" w:hAnsi="Cambria"/>
          <w:color w:val="262626"/>
          <w:sz w:val="21"/>
        </w:rPr>
        <w:t xml:space="preserve">A service line pays once. Where a delivering authority receives reimbursement from the Fund for a service, no charge for that service attaches to any vessel, operator, or insurer for the same delivery. The compliance chapter classifies double recovery as a Material Disruption on first verified instance and as a Structural Breach on repetition.</w:t>
      </w:r>
    </w:p>
    <w:p>
      <w:pPr>
        <w:pStyle w:val="Heading3"/>
      </w:pPr>
      <w:r>
        <w:rPr>
          <w:rFonts w:ascii="Cambria" w:hAnsi="Cambria"/>
          <w:color w:val="262626"/>
          <w:sz w:val="21"/>
        </w:rPr>
        <w:t xml:space="preserve">23.6 The Annual Rate Process</w:t>
      </w:r>
    </w:p>
    <w:p>
      <w:pPr>
        <w:pStyle w:val="Normal"/>
      </w:pPr>
      <w:r>
        <w:rPr>
          <w:rFonts w:ascii="Cambria" w:hAnsi="Cambria"/>
          <w:color w:val="262626"/>
          <w:sz w:val="21"/>
        </w:rPr>
        <w:t xml:space="preserve">The Desk reviews the rate card annually against the published cost basis of each service line, the traffic statistics, and the international benchmarks the technical observer supplies. Every rate change passes the Perimeter Test, publishes sixty days before effect, and runs on the previous rate if the process stalls. No rate attaches to passage; every rate attaches to a service line with a delivery standard.</w:t>
      </w:r>
    </w:p>
    <w:p>
      <w:pPr>
        <w:pStyle w:val="Heading2"/>
      </w:pPr>
      <w:r>
        <w:rPr>
          <w:rFonts w:ascii="Cambria" w:hAnsi="Cambria"/>
          <w:color w:val="262626"/>
          <w:sz w:val="21"/>
        </w:rPr>
        <w:t xml:space="preserve">Article 24: The Voluntary Transit Contribution</w:t>
      </w:r>
      <w:bookmarkStart w:id="531" w:name="_Toc26010032"/>
      <w:bookmarkEnd w:id="531"/>
    </w:p>
    <w:p>
      <w:pPr>
        <w:pStyle w:val="Heading3"/>
      </w:pPr>
      <w:r>
        <w:rPr>
          <w:rFonts w:ascii="Cambria" w:hAnsi="Cambria"/>
          <w:color w:val="262626"/>
          <w:sz w:val="21"/>
        </w:rPr>
        <w:t xml:space="preserve">24.1 The Contribution</w:t>
      </w:r>
    </w:p>
    <w:p>
      <w:pPr>
        <w:pStyle w:val="Normal"/>
      </w:pPr>
      <w:r>
        <w:rPr>
          <w:rFonts w:ascii="Cambria" w:hAnsi="Cambria"/>
          <w:color w:val="262626"/>
          <w:sz w:val="21"/>
        </w:rPr>
        <w:t xml:space="preserve">The Fund operates the Voluntary Transit Contribution as a standing, suggested contribution that the shipping industry pays through the Industry Panel into the Fund's operations account. The suggested scale publishes with the annual budget: a per-transit suggestion by vessel band, initially set between five thousand and fifteen thousand United States dollars, and an annual fleet option for operators preferring a single settlement. An operator contributes per transit, per year, or never, at its sole discretion.</w:t>
      </w:r>
    </w:p>
    <w:p>
      <w:pPr>
        <w:pStyle w:val="Heading3"/>
      </w:pPr>
      <w:r>
        <w:rPr>
          <w:rFonts w:ascii="Cambria" w:hAnsi="Cambria"/>
          <w:color w:val="262626"/>
          <w:sz w:val="21"/>
        </w:rPr>
        <w:t xml:space="preserve">24.2 Absolute Voluntariness</w:t>
      </w:r>
    </w:p>
    <w:p>
      <w:pPr>
        <w:pStyle w:val="Normal"/>
      </w:pPr>
      <w:r>
        <w:rPr>
          <w:rFonts w:ascii="Cambria" w:hAnsi="Cambria"/>
          <w:color w:val="262626"/>
          <w:sz w:val="21"/>
        </w:rPr>
        <w:t xml:space="preserve">No vessel, operator, or flag state faces any condition, consequence, differential treatment, queue effect, service effect, insurance effect, or reputational penalty for declining. An operator that never contributes transits on terms identical to an operator that contributes every quarter. The Desk's systems record no contributor status at the traffic interface: the traffic services, the queue, and the pilot dispatch see every vessel identically, and the contribution ledger lives in the Fund, walled off from operations by the firewall of Article 31.3.</w:t>
      </w:r>
    </w:p>
    <w:p>
      <w:pPr>
        <w:pStyle w:val="Heading3"/>
      </w:pPr>
      <w:r>
        <w:rPr>
          <w:rFonts w:ascii="Cambria" w:hAnsi="Cambria"/>
          <w:color w:val="262626"/>
          <w:sz w:val="21"/>
        </w:rPr>
        <w:t xml:space="preserve">24.3 The Recognition Layer</w:t>
      </w:r>
    </w:p>
    <w:p>
      <w:pPr>
        <w:pStyle w:val="Normal"/>
      </w:pPr>
      <w:r>
        <w:rPr>
          <w:rFonts w:ascii="Cambria" w:hAnsi="Cambria"/>
          <w:color w:val="262626"/>
          <w:sz w:val="21"/>
        </w:rPr>
        <w:t xml:space="preserve">The Fund publishes a quarterly contributor list, with an anonymity option for any contributor, alongside the annual budget. Standing in the Reciprocity Record of Article 46 accrues to states whose operator communities participate, and the Record publishes the participation rate alongside the service record. The contribution thereby operates on industry citizenship and transparency, never on compulsion: the market reads the contributor list, and standing carries the discretionary benefits of Article 46.3.</w:t>
      </w:r>
    </w:p>
    <w:p>
      <w:pPr>
        <w:pStyle w:val="Heading3"/>
      </w:pPr>
      <w:r>
        <w:rPr>
          <w:rFonts w:ascii="Cambria" w:hAnsi="Cambria"/>
          <w:color w:val="262626"/>
          <w:sz w:val="21"/>
        </w:rPr>
        <w:t xml:space="preserve">24.4 The Conversion Ban</w:t>
      </w:r>
    </w:p>
    <w:p>
      <w:pPr>
        <w:pStyle w:val="Normal"/>
      </w:pPr>
      <w:r>
        <w:rPr>
          <w:rFonts w:ascii="Cambria" w:hAnsi="Cambria"/>
          <w:color w:val="262626"/>
          <w:sz w:val="21"/>
        </w:rPr>
        <w:t xml:space="preserve">Any conversion of the contribution into a mandatory charge, any linkage of the contribution to any operational treatment, and any collection of the contribution by any party's authority constitutes a Structural Breach under Article 43. The voluntary character of the contribution is permanent and continues without expiry under Article 52.</w:t>
      </w:r>
    </w:p>
    <w:p>
      <w:pPr>
        <w:pStyle w:val="Heading3"/>
      </w:pPr>
      <w:r>
        <w:rPr>
          <w:rFonts w:ascii="Cambria" w:hAnsi="Cambria"/>
          <w:color w:val="262626"/>
          <w:sz w:val="21"/>
        </w:rPr>
        <w:t xml:space="preserve">24.5 The Tick-Box Interface</w:t>
      </w:r>
    </w:p>
    <w:p>
      <w:pPr>
        <w:pStyle w:val="Normal"/>
      </w:pPr>
      <w:r>
        <w:rPr>
          <w:rFonts w:ascii="Cambria" w:hAnsi="Cambria"/>
          <w:color w:val="262626"/>
          <w:sz w:val="21"/>
        </w:rPr>
        <w:t xml:space="preserve">The Industry Panel administers the contribution through a simple election interface: operators tick the contribution on filing their annual documentation or their per-transit declarations, on the model of voluntary offset contributions in other transport sectors. The election adds no step to operations, no document to the vessel, and no question to the master.</w:t>
      </w:r>
    </w:p>
    <w:p>
      <w:pPr>
        <w:pStyle w:val="Heading2"/>
      </w:pPr>
      <w:r>
        <w:rPr>
          <w:rFonts w:ascii="Cambria" w:hAnsi="Cambria"/>
          <w:color w:val="262626"/>
          <w:sz w:val="21"/>
        </w:rPr>
        <w:t xml:space="preserve">Article 25: The Annual Navigation Pass</w:t>
      </w:r>
      <w:bookmarkStart w:id="532" w:name="_Toc26010033"/>
      <w:bookmarkEnd w:id="532"/>
    </w:p>
    <w:p>
      <w:pPr>
        <w:pStyle w:val="Heading3"/>
      </w:pPr>
      <w:r>
        <w:rPr>
          <w:rFonts w:ascii="Cambria" w:hAnsi="Cambria"/>
          <w:color w:val="262626"/>
          <w:sz w:val="21"/>
        </w:rPr>
        <w:t xml:space="preserve">25.1 The Pass</w:t>
      </w:r>
    </w:p>
    <w:p>
      <w:pPr>
        <w:pStyle w:val="Normal"/>
      </w:pPr>
      <w:r>
        <w:rPr>
          <w:rFonts w:ascii="Cambria" w:hAnsi="Cambria"/>
          <w:color w:val="262626"/>
          <w:sz w:val="21"/>
        </w:rPr>
        <w:t xml:space="preserve">The Fund offers an Annual Navigation Pass through the Secretariat as the second voluntary channel: a single annual payment covering an operator's administrative interface with the system for a fleet or a single vessel, initially set at two hundred and fifty thousand United States dollars per vessel per year with fleet discounts on the published scale. The pass covers administrative services: documentation handling, data service subscriptions of Article 28 at the standard tier, and priority scheduling of non-operational services such as survey bookings and training slots.</w:t>
      </w:r>
    </w:p>
    <w:p>
      <w:pPr>
        <w:pStyle w:val="Heading3"/>
      </w:pPr>
      <w:r>
        <w:rPr>
          <w:rFonts w:ascii="Cambria" w:hAnsi="Cambria"/>
          <w:color w:val="262626"/>
          <w:sz w:val="21"/>
        </w:rPr>
        <w:t xml:space="preserve">25.2 What the Pass Never Buys</w:t>
      </w:r>
    </w:p>
    <w:p>
      <w:pPr>
        <w:pStyle w:val="Normal"/>
      </w:pPr>
      <w:r>
        <w:rPr>
          <w:rFonts w:ascii="Cambria" w:hAnsi="Cambria"/>
          <w:color w:val="262626"/>
          <w:sz w:val="21"/>
        </w:rPr>
        <w:t xml:space="preserve">The pass never buys passage, queue position, pilot priority, safety certification, or any operational treatment. A vessel without a pass transits identically to a vessel with one. The pass exists as an administrative convenience and a predictable revenue base for the Fund, and the conversion ban of Article 24.4 applies to it with equal force.</w:t>
      </w:r>
    </w:p>
    <w:p>
      <w:pPr>
        <w:pStyle w:val="Heading3"/>
      </w:pPr>
      <w:r>
        <w:rPr>
          <w:rFonts w:ascii="Cambria" w:hAnsi="Cambria"/>
          <w:color w:val="262626"/>
          <w:sz w:val="21"/>
        </w:rPr>
        <w:t xml:space="preserve">25.3 Revenue Distribution</w:t>
      </w:r>
    </w:p>
    <w:p>
      <w:pPr>
        <w:pStyle w:val="Normal"/>
      </w:pPr>
      <w:r>
        <w:rPr>
          <w:rFonts w:ascii="Cambria" w:hAnsi="Cambria"/>
          <w:color w:val="262626"/>
          <w:sz w:val="21"/>
        </w:rPr>
        <w:t xml:space="preserve">The Fund distributes pass revenue on the published formula of Annex C: a fixed share to the operations account, and service-development shares to the two Coastal Parties and the central maintenance account in the bands of forty to fifty percent, twenty-five to thirty-five percent, and fifteen to twenty-five percent respectively, set annually within those bands by the board against the verified service record. The formula rewards service delivery, never geography alone, and every distribution publishes.</w:t>
      </w:r>
    </w:p>
    <w:p>
      <w:pPr>
        <w:pStyle w:val="Heading2"/>
      </w:pPr>
      <w:r>
        <w:rPr>
          <w:rFonts w:ascii="Cambria" w:hAnsi="Cambria"/>
          <w:color w:val="262626"/>
          <w:sz w:val="21"/>
        </w:rPr>
        <w:t xml:space="preserve">Article 26: The Environmental Assurance Registry</w:t>
      </w:r>
      <w:bookmarkStart w:id="533" w:name="_Toc26010034"/>
      <w:bookmarkEnd w:id="533"/>
    </w:p>
    <w:p>
      <w:pPr>
        <w:pStyle w:val="Heading3"/>
      </w:pPr>
      <w:r>
        <w:rPr>
          <w:rFonts w:ascii="Cambria" w:hAnsi="Cambria"/>
          <w:color w:val="262626"/>
          <w:sz w:val="21"/>
        </w:rPr>
        <w:t xml:space="preserve">26.1 The Deposit</w:t>
      </w:r>
    </w:p>
    <w:p>
      <w:pPr>
        <w:pStyle w:val="Normal"/>
      </w:pPr>
      <w:r>
        <w:rPr>
          <w:rFonts w:ascii="Cambria" w:hAnsi="Cambria"/>
          <w:color w:val="262626"/>
          <w:sz w:val="21"/>
        </w:rPr>
        <w:t xml:space="preserve">Every vessel above 10,000 gross tonnage transiting the Governance Area maintains environmental assurance on the registry of this Article: a refundable deposit of one hundred thousand United States dollars per transit, or a standing annual deposit on the published scale for regular traders, held by an independent environmental trust administered in Geneva under the fiduciary chapter of Article 15.4. The deposit secures pollution liability readiness; it never purchases passage, and the registry confirms a vessel's standing deposit automatically on filing without any operational step.</w:t>
      </w:r>
    </w:p>
    <w:p>
      <w:pPr>
        <w:pStyle w:val="Heading3"/>
      </w:pPr>
      <w:r>
        <w:rPr>
          <w:rFonts w:ascii="Cambria" w:hAnsi="Cambria"/>
          <w:color w:val="262626"/>
          <w:sz w:val="21"/>
        </w:rPr>
        <w:t xml:space="preserve">26.2 Refund and Administration Fee</w:t>
      </w:r>
    </w:p>
    <w:p>
      <w:pPr>
        <w:pStyle w:val="Normal"/>
      </w:pPr>
      <w:r>
        <w:rPr>
          <w:rFonts w:ascii="Cambria" w:hAnsi="Cambria"/>
          <w:color w:val="262626"/>
          <w:sz w:val="21"/>
        </w:rPr>
        <w:t xml:space="preserve">The trust refunds each per-transit deposit within thirty days of the vessel's departure from the Governance Area, less only the published administration fee of five hundred dollars, which flows to the Fund's operations account for registry and response coordination. The fee compensates administration; it never touches passage, and the conversion ban of Article 24.4 guards that line.</w:t>
      </w:r>
    </w:p>
    <w:p>
      <w:pPr>
        <w:pStyle w:val="Heading3"/>
      </w:pPr>
      <w:r>
        <w:rPr>
          <w:rFonts w:ascii="Cambria" w:hAnsi="Cambria"/>
          <w:color w:val="262626"/>
          <w:sz w:val="21"/>
        </w:rPr>
        <w:t xml:space="preserve">26.3 Claims</w:t>
      </w:r>
    </w:p>
    <w:p>
      <w:pPr>
        <w:pStyle w:val="Normal"/>
      </w:pPr>
      <w:r>
        <w:rPr>
          <w:rFonts w:ascii="Cambria" w:hAnsi="Cambria"/>
          <w:color w:val="262626"/>
          <w:sz w:val="21"/>
        </w:rPr>
        <w:t xml:space="preserve">Where a pollution incident occurs, the response chapter of Article 40 governs, and the deposit stands available to the response account on the certification of the incident facts under the Verified Facts Standard. Claims follow the incident record, never nationality, and the trust publishes a claims ledger quarterly.</w:t>
      </w:r>
    </w:p>
    <w:p>
      <w:pPr>
        <w:pStyle w:val="Heading3"/>
      </w:pPr>
      <w:r>
        <w:rPr>
          <w:rFonts w:ascii="Cambria" w:hAnsi="Cambria"/>
          <w:color w:val="262626"/>
          <w:sz w:val="21"/>
        </w:rPr>
        <w:t xml:space="preserve">26.4 Insurance Interface</w:t>
      </w:r>
    </w:p>
    <w:p>
      <w:pPr>
        <w:pStyle w:val="Normal"/>
      </w:pPr>
      <w:r>
        <w:rPr>
          <w:rFonts w:ascii="Cambria" w:hAnsi="Cambria"/>
          <w:color w:val="262626"/>
          <w:sz w:val="21"/>
        </w:rPr>
        <w:t xml:space="preserve">The registry recognizes every internationally established protection and indemnity club and every commercial war-risk underwriter on equal terms, and a club certificate in the published form satisfies the assurance requirement in place of cash. The architecture excludes mandatory purchase from any designated provider, and the insurance liaison of Article 42 monitors the interface for friction.</w:t>
      </w:r>
    </w:p>
    <w:p>
      <w:pPr>
        <w:pStyle w:val="Heading2"/>
      </w:pPr>
      <w:r>
        <w:rPr>
          <w:rFonts w:ascii="Cambria" w:hAnsi="Cambria"/>
          <w:color w:val="262626"/>
          <w:sz w:val="21"/>
        </w:rPr>
        <w:t xml:space="preserve">Article 27: The Economic Bridge and the Asset Release Channel</w:t>
      </w:r>
      <w:bookmarkStart w:id="534" w:name="_Toc26010035"/>
      <w:bookmarkEnd w:id="534"/>
    </w:p>
    <w:p>
      <w:pPr>
        <w:pStyle w:val="Heading3"/>
      </w:pPr>
      <w:r>
        <w:rPr>
          <w:rFonts w:ascii="Cambria" w:hAnsi="Cambria"/>
          <w:color w:val="262626"/>
          <w:sz w:val="21"/>
        </w:rPr>
        <w:t xml:space="preserve">27.1 The Bridge</w:t>
      </w:r>
    </w:p>
    <w:p>
      <w:pPr>
        <w:pStyle w:val="Normal"/>
      </w:pPr>
      <w:r>
        <w:rPr>
          <w:rFonts w:ascii="Cambria" w:hAnsi="Cambria"/>
          <w:color w:val="262626"/>
          <w:sz w:val="21"/>
        </w:rPr>
        <w:t xml:space="preserve">The Parties establish the Economic Bridge as the channel through which the system's verified performance unlocks economic normalization for Iran on a separate, automatic track. The Bridge exists because the tolls question never stood alone: Iran's demand for compensation connects to its wider demand for the release of frozen assets and relief from sanctions, and the architecture answers the wider demand through performance rather than through passage charges. The Bridge operates under the Separated Tracks Rule: it runs on transit data alone, and no other file accelerates or brakes it.</w:t>
      </w:r>
    </w:p>
    <w:p>
      <w:pPr>
        <w:pStyle w:val="Heading3"/>
      </w:pPr>
      <w:r>
        <w:rPr>
          <w:rFonts w:ascii="Cambria" w:hAnsi="Cambria"/>
          <w:color w:val="262626"/>
          <w:sz w:val="21"/>
        </w:rPr>
        <w:t xml:space="preserve">27.2 The Credit Mechanism</w:t>
      </w:r>
    </w:p>
    <w:p>
      <w:pPr>
        <w:pStyle w:val="Normal"/>
      </w:pPr>
      <w:r>
        <w:rPr>
          <w:rFonts w:ascii="Cambria" w:hAnsi="Cambria"/>
          <w:color w:val="262626"/>
          <w:sz w:val="21"/>
        </w:rPr>
        <w:t xml:space="preserve">Every Incident-Free Transit through any corridor earns one credit on the Bridge ledger, maintained by the Secretariat from the corridor usage logs. Every credit carries a face value of ten thousand United States dollars against the release schedule of frozen Iranian assets held abroad. The ledger is objective: it reads the same logs every party watches, and no organ adjusts it by hand.</w:t>
      </w:r>
    </w:p>
    <w:p>
      <w:pPr>
        <w:pStyle w:val="Heading3"/>
      </w:pPr>
      <w:r>
        <w:rPr>
          <w:rFonts w:ascii="Cambria" w:hAnsi="Cambria"/>
          <w:color w:val="262626"/>
          <w:sz w:val="21"/>
        </w:rPr>
        <w:t xml:space="preserve">27.3 The Release Schedule</w:t>
      </w:r>
    </w:p>
    <w:p>
      <w:pPr>
        <w:pStyle w:val="Normal"/>
      </w:pPr>
      <w:r>
        <w:rPr>
          <w:rFonts w:ascii="Cambria" w:hAnsi="Cambria"/>
          <w:color w:val="262626"/>
          <w:sz w:val="21"/>
        </w:rPr>
        <w:t xml:space="preserve">On each accumulation of one thousand consecutive incident-free days-of-transit equivalents, as the schedule of Annex C defines the unit, a tranche of frozen assets releases through the neutral escrow bank of Article 15.4, on the pre-agreed tranche map registered with the fiduciary. The first tranche corresponds to ten percent of the designated humanitarian and commercial funds; subsequent tranches follow the published ladder of Article 51. The releases execute automatically on the ledger's arithmetic, and the licensing pathway of Article 27.4 keeps every release inside the sanctions frameworks as those frameworks stand on each release date.</w:t>
      </w:r>
    </w:p>
    <w:p>
      <w:pPr>
        <w:pStyle w:val="Heading3"/>
      </w:pPr>
      <w:r>
        <w:rPr>
          <w:rFonts w:ascii="Cambria" w:hAnsi="Cambria"/>
          <w:color w:val="262626"/>
          <w:sz w:val="21"/>
        </w:rPr>
        <w:t xml:space="preserve">27.4 The Licensing Pathway</w:t>
      </w:r>
    </w:p>
    <w:p>
      <w:pPr>
        <w:pStyle w:val="Normal"/>
      </w:pPr>
      <w:r>
        <w:rPr>
          <w:rFonts w:ascii="Cambria" w:hAnsi="Cambria"/>
          <w:color w:val="262626"/>
          <w:sz w:val="21"/>
        </w:rPr>
        <w:t xml:space="preserve">The United States maintains the standing licenses, waivers, and authorizations that the release schedule consumes, through its existing humanitarian and exceptions authorities, and registers them with the fiduciary at activation. The architecture never routes a payment around the sanctions frameworks; it routes performance through the doors those frameworks already contain, and the firewall of Article 31 screens every flow.</w:t>
      </w:r>
    </w:p>
    <w:p>
      <w:pPr>
        <w:pStyle w:val="Heading3"/>
      </w:pPr>
      <w:r>
        <w:rPr>
          <w:rFonts w:ascii="Cambria" w:hAnsi="Cambria"/>
          <w:color w:val="262626"/>
          <w:sz w:val="21"/>
        </w:rPr>
        <w:t xml:space="preserve">27.5 Dual Control</w:t>
      </w:r>
    </w:p>
    <w:p>
      <w:pPr>
        <w:pStyle w:val="Normal"/>
      </w:pPr>
      <w:r>
        <w:rPr>
          <w:rFonts w:ascii="Cambria" w:hAnsi="Cambria"/>
          <w:color w:val="262626"/>
          <w:sz w:val="21"/>
        </w:rPr>
        <w:t xml:space="preserve">The escrow bank operates under dual control: no release executes on the instruction of any single party, and no party freezes the schedule unilaterally. A suspension of releases follows only a classified Structural Breach under Part VII, takes effect prospectively, never claws back a completed release, and lifts automatically on earn-back under Article 44.4.</w:t>
      </w:r>
    </w:p>
    <w:p>
      <w:pPr>
        <w:pStyle w:val="Heading3"/>
      </w:pPr>
      <w:r>
        <w:rPr>
          <w:rFonts w:ascii="Cambria" w:hAnsi="Cambria"/>
          <w:color w:val="262626"/>
          <w:sz w:val="21"/>
        </w:rPr>
        <w:t xml:space="preserve">27.6 The Regional Investment Window</w:t>
      </w:r>
    </w:p>
    <w:p>
      <w:pPr>
        <w:pStyle w:val="Normal"/>
      </w:pPr>
      <w:r>
        <w:rPr>
          <w:rFonts w:ascii="Cambria" w:hAnsi="Cambria"/>
          <w:color w:val="262626"/>
          <w:sz w:val="21"/>
        </w:rPr>
        <w:t xml:space="preserve">Running alongside the Bridge, and outside this Agreement's governance, the Gulf states' trade and investment engagements with the United States proceed on their own bilateral tracks as announced on 14 July 2026. The window registers with the depositary for transparency, and no term of those engagements attaches any condition to transit, to any corridor, or to any organ of this system.</w:t>
      </w:r>
    </w:p>
    <w:p>
      <w:pPr>
        <w:pStyle w:val="Heading2"/>
      </w:pPr>
      <w:r>
        <w:rPr>
          <w:rFonts w:ascii="Cambria" w:hAnsi="Cambria"/>
          <w:color w:val="262626"/>
          <w:sz w:val="21"/>
        </w:rPr>
        <w:t xml:space="preserve">Article 28: The Transit Information Service</w:t>
      </w:r>
      <w:bookmarkStart w:id="535" w:name="_Toc26010036"/>
      <w:bookmarkEnd w:id="535"/>
    </w:p>
    <w:p>
      <w:pPr>
        <w:pStyle w:val="Heading3"/>
      </w:pPr>
      <w:r>
        <w:rPr>
          <w:rFonts w:ascii="Cambria" w:hAnsi="Cambria"/>
          <w:color w:val="262626"/>
          <w:sz w:val="21"/>
        </w:rPr>
        <w:t xml:space="preserve">28.1 The Service</w:t>
      </w:r>
    </w:p>
    <w:p>
      <w:pPr>
        <w:pStyle w:val="Normal"/>
      </w:pPr>
      <w:r>
        <w:rPr>
          <w:rFonts w:ascii="Cambria" w:hAnsi="Cambria"/>
          <w:color w:val="262626"/>
          <w:sz w:val="21"/>
        </w:rPr>
        <w:t xml:space="preserve">The Secretariat operates the Transit Information Service as a commercial data product of the system: anonymized, aggregated transit statistics, flow analyses, congestion forecasts, and safety metrics, sold by annual subscription to commercial analytics firms, insurers, commodity market participants, and research institutions at the published rate of Annex D. The raw identifying data never sells; the service sells analysis of the system's own operational record.</w:t>
      </w:r>
    </w:p>
    <w:p>
      <w:pPr>
        <w:pStyle w:val="Heading3"/>
      </w:pPr>
      <w:r>
        <w:rPr>
          <w:rFonts w:ascii="Cambria" w:hAnsi="Cambria"/>
          <w:color w:val="262626"/>
          <w:sz w:val="21"/>
        </w:rPr>
        <w:t xml:space="preserve">28.2 The Privacy Safeguards</w:t>
      </w:r>
    </w:p>
    <w:p>
      <w:pPr>
        <w:pStyle w:val="Normal"/>
      </w:pPr>
      <w:r>
        <w:rPr>
          <w:rFonts w:ascii="Cambria" w:hAnsi="Cambria"/>
          <w:color w:val="262626"/>
          <w:sz w:val="21"/>
        </w:rPr>
        <w:t xml:space="preserve">The service anonymizes every vessel identifier before aggregation, publishes no cargo ownership data, no routing of individual vessels beyond the published statistics, and no data with military sensitivity under the review of the Cell. A subscriber never reconstructs an individual passage from the product, and the external audit of Article 22.6 tests the anonymization annually.</w:t>
      </w:r>
    </w:p>
    <w:p>
      <w:pPr>
        <w:pStyle w:val="Heading3"/>
      </w:pPr>
      <w:r>
        <w:rPr>
          <w:rFonts w:ascii="Cambria" w:hAnsi="Cambria"/>
          <w:color w:val="262626"/>
          <w:sz w:val="21"/>
        </w:rPr>
        <w:t xml:space="preserve">28.3 Revenue</w:t>
      </w:r>
    </w:p>
    <w:p>
      <w:pPr>
        <w:pStyle w:val="Normal"/>
      </w:pPr>
      <w:r>
        <w:rPr>
          <w:rFonts w:ascii="Cambria" w:hAnsi="Cambria"/>
          <w:color w:val="262626"/>
          <w:sz w:val="21"/>
        </w:rPr>
        <w:t xml:space="preserve">Subscription revenue flows to the Fund and distributes on the formula of Article 25.3. The service thereby converts the system's own transparency into revenue for the coastal administrations and the central maintenance account, without any charge on any passage.</w:t>
      </w:r>
    </w:p>
    <w:p>
      <w:pPr>
        <w:pStyle w:val="Heading3"/>
      </w:pPr>
      <w:r>
        <w:rPr>
          <w:rFonts w:ascii="Cambria" w:hAnsi="Cambria"/>
          <w:color w:val="262626"/>
          <w:sz w:val="21"/>
        </w:rPr>
        <w:t xml:space="preserve">28.4 The Transparency Boundary</w:t>
      </w:r>
    </w:p>
    <w:p>
      <w:pPr>
        <w:pStyle w:val="Normal"/>
      </w:pPr>
      <w:r>
        <w:rPr>
          <w:rFonts w:ascii="Cambria" w:hAnsi="Cambria"/>
          <w:color w:val="262626"/>
          <w:sz w:val="21"/>
        </w:rPr>
        <w:t xml:space="preserve">The public dashboard of Article 22.5 and the commercial service of this Article draw from the same custody system under one rule: operational transparency is total, commercial privacy is absolute. The Desk resolves every boundary question on the published criteria of Annex G, and its resolutions publish.</w:t>
      </w:r>
    </w:p>
    <w:p>
      <w:pPr>
        <w:pStyle w:val="Heading2"/>
      </w:pPr>
      <w:r>
        <w:rPr>
          <w:rFonts w:ascii="Cambria" w:hAnsi="Cambria"/>
          <w:color w:val="262626"/>
          <w:sz w:val="21"/>
        </w:rPr>
        <w:t xml:space="preserve">Article 29: The Infrastructure Finance Window</w:t>
      </w:r>
      <w:bookmarkStart w:id="536" w:name="_Toc26010037"/>
      <w:bookmarkEnd w:id="536"/>
    </w:p>
    <w:p>
      <w:pPr>
        <w:pStyle w:val="Heading3"/>
      </w:pPr>
      <w:r>
        <w:rPr>
          <w:rFonts w:ascii="Cambria" w:hAnsi="Cambria"/>
          <w:color w:val="262626"/>
          <w:sz w:val="21"/>
        </w:rPr>
        <w:t xml:space="preserve">29.1 The Window</w:t>
      </w:r>
    </w:p>
    <w:p>
      <w:pPr>
        <w:pStyle w:val="Normal"/>
      </w:pPr>
      <w:r>
        <w:rPr>
          <w:rFonts w:ascii="Cambria" w:hAnsi="Cambria"/>
          <w:color w:val="262626"/>
          <w:sz w:val="21"/>
        </w:rPr>
        <w:t xml:space="preserve">The Fund opens the Infrastructure Finance Window for the capital works of the system: aids to navigation, radar and sensor networks, pilot stations, salvage and rescue craft, dredging, and shore facilities serving the corridors. The window raises voluntary investment through a regional maritime infrastructure facility, open to states, institutions, and private investors on the published terms of Annex C, with an initial program target of two billion United States dollars over ten years.</w:t>
      </w:r>
    </w:p>
    <w:p>
      <w:pPr>
        <w:pStyle w:val="Heading3"/>
      </w:pPr>
      <w:r>
        <w:rPr>
          <w:rFonts w:ascii="Cambria" w:hAnsi="Cambria"/>
          <w:color w:val="262626"/>
          <w:sz w:val="21"/>
        </w:rPr>
        <w:t xml:space="preserve">29.2 Project Governance</w:t>
      </w:r>
    </w:p>
    <w:p>
      <w:pPr>
        <w:pStyle w:val="Normal"/>
      </w:pPr>
      <w:r>
        <w:rPr>
          <w:rFonts w:ascii="Cambria" w:hAnsi="Cambria"/>
          <w:color w:val="262626"/>
          <w:sz w:val="21"/>
        </w:rPr>
        <w:t xml:space="preserve">The Desk's technical strand proposes projects against the system's needs assessment; the board approves them by consensus; the Secretariat procures them under the published procurement rules; and the Corridor Authorities execute the works in their adjacent lanes under joint certification. A project coordination fee, initially two percent annually of administered project value, compensates the executing administrations for program management, and every fee publishes.</w:t>
      </w:r>
    </w:p>
    <w:p>
      <w:pPr>
        <w:pStyle w:val="Heading3"/>
      </w:pPr>
      <w:r>
        <w:rPr>
          <w:rFonts w:ascii="Cambria" w:hAnsi="Cambria"/>
          <w:color w:val="262626"/>
          <w:sz w:val="21"/>
        </w:rPr>
        <w:t xml:space="preserve">29.3 Voluntary Character</w:t>
      </w:r>
    </w:p>
    <w:p>
      <w:pPr>
        <w:pStyle w:val="Normal"/>
      </w:pPr>
      <w:r>
        <w:rPr>
          <w:rFonts w:ascii="Cambria" w:hAnsi="Cambria"/>
          <w:color w:val="262626"/>
          <w:sz w:val="21"/>
        </w:rPr>
        <w:t xml:space="preserve">Investment in the window is voluntary, repayable on the published terms, and never connected to any operational treatment of any vessel or state. The conversion ban of Article 24.4 applies, and no investor receives any operational privilege in return for investment.</w:t>
      </w:r>
    </w:p>
    <w:p>
      <w:pPr>
        <w:pStyle w:val="Heading2"/>
      </w:pPr>
      <w:r>
        <w:rPr>
          <w:rFonts w:ascii="Cambria" w:hAnsi="Cambria"/>
          <w:color w:val="262626"/>
          <w:sz w:val="21"/>
        </w:rPr>
        <w:t xml:space="preserve">Article 30: The Service Revenue Floor</w:t>
      </w:r>
      <w:bookmarkStart w:id="537" w:name="_Toc26010038"/>
      <w:bookmarkEnd w:id="537"/>
    </w:p>
    <w:p>
      <w:pPr>
        <w:pStyle w:val="Heading3"/>
      </w:pPr>
      <w:r>
        <w:rPr>
          <w:rFonts w:ascii="Cambria" w:hAnsi="Cambria"/>
          <w:color w:val="262626"/>
          <w:sz w:val="21"/>
        </w:rPr>
        <w:t xml:space="preserve">30.1 The Floor</w:t>
      </w:r>
    </w:p>
    <w:p>
      <w:pPr>
        <w:pStyle w:val="Normal"/>
      </w:pPr>
      <w:r>
        <w:rPr>
          <w:rFonts w:ascii="Cambria" w:hAnsi="Cambria"/>
          <w:color w:val="262626"/>
          <w:sz w:val="21"/>
        </w:rPr>
        <w:t xml:space="preserve">The system guarantees each Coastal Party a predictable minimum annual revenue from its service role, decoupled from the volatility of voluntary channels. The board sets the floor annually within the published band, initially forty million United States dollars per Coastal Party per year, against the system's cost assessment. Where a Coastal Party's aggregate receipts under Articles 23, 25, 28, and 29 fall below the floor in any year, the Fund's endowment account tops up the difference on the final settlement of the year.</w:t>
      </w:r>
    </w:p>
    <w:p>
      <w:pPr>
        <w:pStyle w:val="Heading3"/>
      </w:pPr>
      <w:r>
        <w:rPr>
          <w:rFonts w:ascii="Cambria" w:hAnsi="Cambria"/>
          <w:color w:val="262626"/>
          <w:sz w:val="21"/>
        </w:rPr>
        <w:t xml:space="preserve">30.2 The Endowment</w:t>
      </w:r>
    </w:p>
    <w:p>
      <w:pPr>
        <w:pStyle w:val="Normal"/>
      </w:pPr>
      <w:r>
        <w:rPr>
          <w:rFonts w:ascii="Cambria" w:hAnsi="Cambria"/>
          <w:color w:val="262626"/>
          <w:sz w:val="21"/>
        </w:rPr>
        <w:t xml:space="preserve">The endowment account capitalizes from state contributions on the accession formula of Annex C, from a fixed share of the voluntary channels, and from the investment window's surpluses. The endowment's contributors are states and institutions; the endowment never collects from vessels, and the firewall of Article 31 screens every inflow.</w:t>
      </w:r>
    </w:p>
    <w:p>
      <w:pPr>
        <w:pStyle w:val="Heading3"/>
      </w:pPr>
      <w:r>
        <w:rPr>
          <w:rFonts w:ascii="Cambria" w:hAnsi="Cambria"/>
          <w:color w:val="262626"/>
          <w:sz w:val="21"/>
        </w:rPr>
        <w:t xml:space="preserve">30.3 Purpose</w:t>
      </w:r>
    </w:p>
    <w:p>
      <w:pPr>
        <w:pStyle w:val="Normal"/>
      </w:pPr>
      <w:r>
        <w:rPr>
          <w:rFonts w:ascii="Cambria" w:hAnsi="Cambria"/>
          <w:color w:val="262626"/>
          <w:sz w:val="21"/>
        </w:rPr>
        <w:t xml:space="preserve">The floor exists so that no Coastal Party's budget ever depends on the politics of any given quarter, so that the service role survives market hesitancy in the voluntary channels, and so that the compensation principle of Article 23.2 carries a guarantee and not merely a hope. The floor pays for documented service capacity maintained at the certification standard, and the cross-check of Article 23.3 verifies the capacity annually.</w:t>
      </w:r>
    </w:p>
    <w:p>
      <w:pPr>
        <w:pStyle w:val="Heading2"/>
      </w:pPr>
      <w:r>
        <w:rPr>
          <w:rFonts w:ascii="Cambria" w:hAnsi="Cambria"/>
          <w:color w:val="262626"/>
          <w:sz w:val="21"/>
        </w:rPr>
        <w:t xml:space="preserve">Article 31: The Payments Firewall and Financial Integrity</w:t>
      </w:r>
      <w:bookmarkStart w:id="538" w:name="_Toc26010039"/>
      <w:bookmarkEnd w:id="538"/>
    </w:p>
    <w:p>
      <w:pPr>
        <w:pStyle w:val="Heading3"/>
      </w:pPr>
      <w:r>
        <w:rPr>
          <w:rFonts w:ascii="Cambria" w:hAnsi="Cambria"/>
          <w:color w:val="262626"/>
          <w:sz w:val="21"/>
        </w:rPr>
        <w:t xml:space="preserve">31.1 The Firewall</w:t>
      </w:r>
    </w:p>
    <w:p>
      <w:pPr>
        <w:pStyle w:val="Normal"/>
      </w:pPr>
      <w:r>
        <w:rPr>
          <w:rFonts w:ascii="Cambria" w:hAnsi="Cambria"/>
          <w:color w:val="262626"/>
          <w:sz w:val="21"/>
        </w:rPr>
        <w:t xml:space="preserve">No shipper, owner, operator, charterer, insurer, or agent pays any party, any Corridor Authority, any organ, or any contractor directly for anything connected with the Governance Area. Every payment flows through the Fund, the environmental trust, the escrow bank, or the information service account, each administered under the fiduciary chapter of Article 15.4. The firewall stands between every payer and every party, and no transaction crosses it in either direction except through a registered channel.</w:t>
      </w:r>
    </w:p>
    <w:p>
      <w:pPr>
        <w:pStyle w:val="Heading3"/>
      </w:pPr>
      <w:r>
        <w:rPr>
          <w:rFonts w:ascii="Cambria" w:hAnsi="Cambria"/>
          <w:color w:val="262626"/>
          <w:sz w:val="21"/>
        </w:rPr>
        <w:t xml:space="preserve">31.2 Sanctions-Compliance Screening</w:t>
      </w:r>
    </w:p>
    <w:p>
      <w:pPr>
        <w:pStyle w:val="Normal"/>
      </w:pPr>
      <w:r>
        <w:rPr>
          <w:rFonts w:ascii="Cambria" w:hAnsi="Cambria"/>
          <w:color w:val="262626"/>
          <w:sz w:val="21"/>
        </w:rPr>
        <w:t xml:space="preserve">The Secretariat screens every inflow and outflow through standing sanctions-compliance counsel in Switzerland, against the sanctions frameworks as they stand on each transaction date. A transaction that fails screening halts, reports to the parties simultaneously, and resolves through the licensing pathway of Article 27.4 or reverses. The screening record publishes in aggregate quarterly.</w:t>
      </w:r>
    </w:p>
    <w:p>
      <w:pPr>
        <w:pStyle w:val="Heading3"/>
      </w:pPr>
      <w:r>
        <w:rPr>
          <w:rFonts w:ascii="Cambria" w:hAnsi="Cambria"/>
          <w:color w:val="262626"/>
          <w:sz w:val="21"/>
        </w:rPr>
        <w:t xml:space="preserve">31.3 The Operations Wall</w:t>
      </w:r>
    </w:p>
    <w:p>
      <w:pPr>
        <w:pStyle w:val="Normal"/>
      </w:pPr>
      <w:r>
        <w:rPr>
          <w:rFonts w:ascii="Cambria" w:hAnsi="Cambria"/>
          <w:color w:val="262626"/>
          <w:sz w:val="21"/>
        </w:rPr>
        <w:t xml:space="preserve">The financial ledgers of the system live behind an operations wall: the traffic services, the queue, the pilot dispatch, the Cell's classification functions, and the Bulletin draw on no payment data, and the financial functions draw on no operational discretion. A vessel's payment status in any channel never appears on any operational screen, and an officer's access to one side of the wall never opens the other side.</w:t>
      </w:r>
    </w:p>
    <w:p>
      <w:pPr>
        <w:pStyle w:val="Heading3"/>
      </w:pPr>
      <w:r>
        <w:rPr>
          <w:rFonts w:ascii="Cambria" w:hAnsi="Cambria"/>
          <w:color w:val="262626"/>
          <w:sz w:val="21"/>
        </w:rPr>
        <w:t xml:space="preserve">31.4 The Financial Compliance Procedure</w:t>
      </w:r>
    </w:p>
    <w:p>
      <w:pPr>
        <w:pStyle w:val="Normal"/>
      </w:pPr>
      <w:r>
        <w:rPr>
          <w:rFonts w:ascii="Cambria" w:hAnsi="Cambria"/>
          <w:color w:val="262626"/>
          <w:sz w:val="21"/>
        </w:rPr>
        <w:t xml:space="preserve">Where the cross-check of Article 23.3, the audit of Article 22.6, or any party identifies a financial irregularity, the Secretariat freezes the affected line, convenes a financial review within fourteen days with the external auditor in attendance, and publishes the finding. Recovery follows the audit trail; double recovery reverses; and a pattern of irregularity enters the compliance classification of Article 43.</w:t>
      </w:r>
    </w:p>
    <w:p>
      <w:pPr>
        <w:pStyle w:val="Heading3"/>
      </w:pPr>
      <w:r>
        <w:rPr>
          <w:rFonts w:ascii="Cambria" w:hAnsi="Cambria"/>
          <w:color w:val="262626"/>
          <w:sz w:val="21"/>
        </w:rPr>
        <w:t xml:space="preserve">31.5 The Budget Process</w:t>
      </w:r>
    </w:p>
    <w:p>
      <w:pPr>
        <w:pStyle w:val="Normal"/>
      </w:pPr>
      <w:r>
        <w:rPr>
          <w:rFonts w:ascii="Cambria" w:hAnsi="Cambria"/>
          <w:color w:val="262626"/>
          <w:sz w:val="21"/>
        </w:rPr>
        <w:t xml:space="preserve">The Secretariat proposes the annual budget; the board amends and adopts it by consensus; the Council of the Parties notes it. A stalled budget runs on the previous budget at the same level under Article 18.3, and no budget dispute suspends any verification, safety, or traffic function of the system.</w:t>
      </w:r>
    </w:p>
    <w:p>
      <w:pPr>
        <w:pStyle w:val="Heading3"/>
      </w:pPr>
      <w:r>
        <w:rPr>
          <w:rFonts w:ascii="Cambria" w:hAnsi="Cambria"/>
          <w:color w:val="262626"/>
          <w:sz w:val="21"/>
        </w:rPr>
        <w:t xml:space="preserve">31.6 Publication</w:t>
      </w:r>
    </w:p>
    <w:p>
      <w:pPr>
        <w:pStyle w:val="Normal"/>
      </w:pPr>
      <w:r>
        <w:rPr>
          <w:rFonts w:ascii="Cambria" w:hAnsi="Cambria"/>
          <w:color w:val="262626"/>
          <w:sz w:val="21"/>
        </w:rPr>
        <w:t xml:space="preserve">Every account, audit, settlement, distribution, floor calculation, and screening aggregate publishes on the schedule of Annex R. The financial architecture keeps no confidential annexes.</w:t>
      </w:r>
    </w:p>
    <w:p>
      <w:pPr>
        <w:pStyle w:val="Heading2"/>
      </w:pPr>
      <w:r>
        <w:rPr>
          <w:rFonts w:ascii="Cambria" w:hAnsi="Cambria"/>
          <w:color w:val="262626"/>
          <w:sz w:val="21"/>
        </w:rPr>
        <w:t xml:space="preserve">Article 32: The Settlement Matrix</w:t>
      </w:r>
      <w:bookmarkStart w:id="539" w:name="_Toc26010040"/>
      <w:bookmarkEnd w:id="539"/>
    </w:p>
    <w:p>
      <w:pPr>
        <w:pStyle w:val="Heading3"/>
      </w:pPr>
      <w:r>
        <w:rPr>
          <w:rFonts w:ascii="Cambria" w:hAnsi="Cambria"/>
          <w:color w:val="262626"/>
          <w:sz w:val="21"/>
        </w:rPr>
        <w:t xml:space="preserve">32.1 The Whole Settlement on One Page</w:t>
      </w:r>
    </w:p>
    <w:p>
      <w:pPr>
        <w:pStyle w:val="Normal"/>
      </w:pPr>
      <w:r>
        <w:rPr>
          <w:rFonts w:ascii="Cambria" w:hAnsi="Cambria"/>
          <w:color w:val="262626"/>
          <w:sz w:val="21"/>
        </w:rPr>
        <w:t xml:space="preserve">The tolls question closes through the interaction of the channels of this Part, and the following matrix states the whole settlement at a glance. Annex O carries the full reference matrix, including the mapping to the proposal history of the negotiation.</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000"/>
        <w:gridCol w:w="1850"/>
        <w:gridCol w:w="1850"/>
        <w:gridCol w:w="1600"/>
        <w:gridCol w:w="1726"/>
      </w:tblGrid>
      <w:tr>
        <w:trPr>
          <w:tblHeader/>
        </w:trPr>
        <w:tc>
          <w:tcPr>
            <w:tcW w:w="2000" w:type="dxa"/>
            <w:shd w:val="clear" w:fill="E9F1F3"/>
            <w:vAlign w:val="top"/>
          </w:tcPr>
          <w:p>
            <w:pPr>
              <w:spacing w:before="20" w:after="20" w:line="276" w:lineRule="auto"/>
              <w:jc w:val="left"/>
            </w:pPr>
            <w:r>
              <w:rPr>
                <w:rFonts w:ascii="Calibri" w:hAnsi="Calibri"/>
                <w:b/>
                <w:color w:val="16404E"/>
                <w:sz w:val="19"/>
              </w:rPr>
              <w:t xml:space="preserve">Channel</w:t>
            </w:r>
          </w:p>
        </w:tc>
        <w:tc>
          <w:tcPr>
            <w:tcW w:w="1850" w:type="dxa"/>
            <w:shd w:val="clear" w:fill="E9F1F3"/>
            <w:vAlign w:val="top"/>
          </w:tcPr>
          <w:p>
            <w:pPr>
              <w:spacing w:before="20" w:after="20" w:line="276" w:lineRule="auto"/>
              <w:jc w:val="left"/>
            </w:pPr>
            <w:r>
              <w:rPr>
                <w:rFonts w:ascii="Calibri" w:hAnsi="Calibri"/>
                <w:b/>
                <w:color w:val="16404E"/>
                <w:sz w:val="19"/>
              </w:rPr>
              <w:t xml:space="preserve">Who Pays</w:t>
            </w:r>
          </w:p>
        </w:tc>
        <w:tc>
          <w:tcPr>
            <w:tcW w:w="1850" w:type="dxa"/>
            <w:shd w:val="clear" w:fill="E9F1F3"/>
            <w:vAlign w:val="top"/>
          </w:tcPr>
          <w:p>
            <w:pPr>
              <w:spacing w:before="20" w:after="20" w:line="276" w:lineRule="auto"/>
              <w:jc w:val="left"/>
            </w:pPr>
            <w:r>
              <w:rPr>
                <w:rFonts w:ascii="Calibri" w:hAnsi="Calibri"/>
                <w:b/>
                <w:color w:val="16404E"/>
                <w:sz w:val="19"/>
              </w:rPr>
              <w:t xml:space="preserve">Who Receives</w:t>
            </w:r>
          </w:p>
        </w:tc>
        <w:tc>
          <w:tcPr>
            <w:tcW w:w="1600" w:type="dxa"/>
            <w:shd w:val="clear" w:fill="E9F1F3"/>
            <w:vAlign w:val="top"/>
          </w:tcPr>
          <w:p>
            <w:pPr>
              <w:spacing w:before="20" w:after="20" w:line="276" w:lineRule="auto"/>
              <w:jc w:val="left"/>
            </w:pPr>
            <w:r>
              <w:rPr>
                <w:rFonts w:ascii="Calibri" w:hAnsi="Calibri"/>
                <w:b/>
                <w:color w:val="16404E"/>
                <w:sz w:val="19"/>
              </w:rPr>
              <w:t xml:space="preserve">Character</w:t>
            </w:r>
          </w:p>
        </w:tc>
        <w:tc>
          <w:tcPr>
            <w:tcW w:w="1726" w:type="dxa"/>
            <w:shd w:val="clear" w:fill="E9F1F3"/>
            <w:vAlign w:val="top"/>
          </w:tcPr>
          <w:p>
            <w:pPr>
              <w:spacing w:before="20" w:after="20" w:line="276" w:lineRule="auto"/>
              <w:jc w:val="left"/>
            </w:pPr>
            <w:r>
              <w:rPr>
                <w:rFonts w:ascii="Calibri" w:hAnsi="Calibri"/>
                <w:b/>
                <w:color w:val="16404E"/>
                <w:sz w:val="19"/>
              </w:rPr>
              <w:t xml:space="preserve">Red Line Guarded</w:t>
            </w:r>
          </w:p>
        </w:tc>
      </w:tr>
      <w:tr>
        <w:tc>
          <w:tcPr>
            <w:tcW w:w="2000" w:type="dxa"/>
            <w:vAlign w:val="top"/>
          </w:tcPr>
          <w:p>
            <w:pPr>
              <w:spacing w:before="20" w:after="20" w:line="276" w:lineRule="auto"/>
              <w:jc w:val="left"/>
            </w:pPr>
            <w:r>
              <w:rPr>
                <w:rFonts w:ascii="Calibri" w:hAnsi="Calibri"/>
                <w:color w:val="262626"/>
                <w:sz w:val="18"/>
              </w:rPr>
              <w:t xml:space="preserve">Zero-Toll Covenant (Art. 20)</w:t>
            </w:r>
          </w:p>
        </w:tc>
        <w:tc>
          <w:tcPr>
            <w:tcW w:w="1850" w:type="dxa"/>
            <w:vAlign w:val="top"/>
          </w:tcPr>
          <w:p>
            <w:pPr>
              <w:spacing w:before="20" w:after="20" w:line="276" w:lineRule="auto"/>
              <w:jc w:val="left"/>
            </w:pPr>
            <w:r>
              <w:rPr>
                <w:rFonts w:ascii="Calibri" w:hAnsi="Calibri"/>
                <w:color w:val="262626"/>
                <w:sz w:val="18"/>
              </w:rPr>
              <w:t xml:space="preserve">No one</w:t>
            </w:r>
          </w:p>
        </w:tc>
        <w:tc>
          <w:tcPr>
            <w:tcW w:w="1850" w:type="dxa"/>
            <w:vAlign w:val="top"/>
          </w:tcPr>
          <w:p>
            <w:pPr>
              <w:spacing w:before="20" w:after="20" w:line="276" w:lineRule="auto"/>
              <w:jc w:val="left"/>
            </w:pPr>
            <w:r>
              <w:rPr>
                <w:rFonts w:ascii="Calibri" w:hAnsi="Calibri"/>
                <w:color w:val="262626"/>
                <w:sz w:val="18"/>
              </w:rPr>
              <w:t xml:space="preserve">No one</w:t>
            </w:r>
          </w:p>
        </w:tc>
        <w:tc>
          <w:tcPr>
            <w:tcW w:w="1600" w:type="dxa"/>
            <w:vAlign w:val="top"/>
          </w:tcPr>
          <w:p>
            <w:pPr>
              <w:spacing w:before="20" w:after="20" w:line="276" w:lineRule="auto"/>
              <w:jc w:val="left"/>
            </w:pPr>
            <w:r>
              <w:rPr>
                <w:rFonts w:ascii="Calibri" w:hAnsi="Calibri"/>
                <w:color w:val="262626"/>
                <w:sz w:val="18"/>
              </w:rPr>
              <w:t xml:space="preserve">Absolute exclusion of passage charges</w:t>
            </w:r>
          </w:p>
        </w:tc>
        <w:tc>
          <w:tcPr>
            <w:tcW w:w="1726" w:type="dxa"/>
            <w:vAlign w:val="top"/>
          </w:tcPr>
          <w:p>
            <w:pPr>
              <w:spacing w:before="20" w:after="20" w:line="276" w:lineRule="auto"/>
              <w:jc w:val="left"/>
            </w:pPr>
            <w:r>
              <w:rPr>
                <w:rFonts w:ascii="Calibri" w:hAnsi="Calibri"/>
                <w:color w:val="262626"/>
                <w:sz w:val="18"/>
              </w:rPr>
              <w:t xml:space="preserve">RL-1, RL-2, RL-6</w:t>
            </w:r>
          </w:p>
        </w:tc>
      </w:tr>
      <w:tr>
        <w:tc>
          <w:tcPr>
            <w:tcW w:w="2000" w:type="dxa"/>
            <w:vAlign w:val="top"/>
          </w:tcPr>
          <w:p>
            <w:pPr>
              <w:spacing w:before="20" w:after="20" w:line="276" w:lineRule="auto"/>
              <w:jc w:val="left"/>
            </w:pPr>
            <w:r>
              <w:rPr>
                <w:rFonts w:ascii="Calibri" w:hAnsi="Calibri"/>
                <w:color w:val="262626"/>
                <w:sz w:val="18"/>
              </w:rPr>
              <w:t xml:space="preserve">Service Reimbursement (Art. 23)</w:t>
            </w:r>
          </w:p>
        </w:tc>
        <w:tc>
          <w:tcPr>
            <w:tcW w:w="1850" w:type="dxa"/>
            <w:vAlign w:val="top"/>
          </w:tcPr>
          <w:p>
            <w:pPr>
              <w:spacing w:before="20" w:after="20" w:line="276" w:lineRule="auto"/>
              <w:jc w:val="left"/>
            </w:pPr>
            <w:r>
              <w:rPr>
                <w:rFonts w:ascii="Calibri" w:hAnsi="Calibri"/>
                <w:color w:val="262626"/>
                <w:sz w:val="18"/>
              </w:rPr>
              <w:t xml:space="preserve">The Fund, from pooled voluntary and endowment revenue</w:t>
            </w:r>
          </w:p>
        </w:tc>
        <w:tc>
          <w:tcPr>
            <w:tcW w:w="1850" w:type="dxa"/>
            <w:vAlign w:val="top"/>
          </w:tcPr>
          <w:p>
            <w:pPr>
              <w:spacing w:before="20" w:after="20" w:line="276" w:lineRule="auto"/>
              <w:jc w:val="left"/>
            </w:pPr>
            <w:r>
              <w:rPr>
                <w:rFonts w:ascii="Calibri" w:hAnsi="Calibri"/>
                <w:color w:val="262626"/>
                <w:sz w:val="18"/>
              </w:rPr>
              <w:t xml:space="preserve">Corridor Authorities, per verified delivery</w:t>
            </w:r>
          </w:p>
        </w:tc>
        <w:tc>
          <w:tcPr>
            <w:tcW w:w="1600" w:type="dxa"/>
            <w:vAlign w:val="top"/>
          </w:tcPr>
          <w:p>
            <w:pPr>
              <w:spacing w:before="20" w:after="20" w:line="276" w:lineRule="auto"/>
              <w:jc w:val="left"/>
            </w:pPr>
            <w:r>
              <w:rPr>
                <w:rFonts w:ascii="Calibri" w:hAnsi="Calibri"/>
                <w:color w:val="262626"/>
                <w:sz w:val="18"/>
              </w:rPr>
              <w:t xml:space="preserve">Compensation for documented services at published rates</w:t>
            </w:r>
          </w:p>
        </w:tc>
        <w:tc>
          <w:tcPr>
            <w:tcW w:w="1726" w:type="dxa"/>
            <w:vAlign w:val="top"/>
          </w:tcPr>
          <w:p>
            <w:pPr>
              <w:spacing w:before="20" w:after="20" w:line="276" w:lineRule="auto"/>
              <w:jc w:val="left"/>
            </w:pPr>
            <w:r>
              <w:rPr>
                <w:rFonts w:ascii="Calibri" w:hAnsi="Calibri"/>
                <w:color w:val="262626"/>
                <w:sz w:val="18"/>
              </w:rPr>
              <w:t xml:space="preserve">RL-1, RL-3, RL-4</w:t>
            </w:r>
          </w:p>
        </w:tc>
      </w:tr>
      <w:tr>
        <w:tc>
          <w:tcPr>
            <w:tcW w:w="2000" w:type="dxa"/>
            <w:vAlign w:val="top"/>
          </w:tcPr>
          <w:p>
            <w:pPr>
              <w:spacing w:before="20" w:after="20" w:line="276" w:lineRule="auto"/>
              <w:jc w:val="left"/>
            </w:pPr>
            <w:r>
              <w:rPr>
                <w:rFonts w:ascii="Calibri" w:hAnsi="Calibri"/>
                <w:color w:val="262626"/>
                <w:sz w:val="18"/>
              </w:rPr>
              <w:t xml:space="preserve">Voluntary Transit Contribution (Art. 24)</w:t>
            </w:r>
          </w:p>
        </w:tc>
        <w:tc>
          <w:tcPr>
            <w:tcW w:w="1850" w:type="dxa"/>
            <w:vAlign w:val="top"/>
          </w:tcPr>
          <w:p>
            <w:pPr>
              <w:spacing w:before="20" w:after="20" w:line="276" w:lineRule="auto"/>
              <w:jc w:val="left"/>
            </w:pPr>
            <w:r>
              <w:rPr>
                <w:rFonts w:ascii="Calibri" w:hAnsi="Calibri"/>
                <w:color w:val="262626"/>
                <w:sz w:val="18"/>
              </w:rPr>
              <w:t xml:space="preserve">Operators, at sole discretion</w:t>
            </w:r>
          </w:p>
        </w:tc>
        <w:tc>
          <w:tcPr>
            <w:tcW w:w="1850" w:type="dxa"/>
            <w:vAlign w:val="top"/>
          </w:tcPr>
          <w:p>
            <w:pPr>
              <w:spacing w:before="20" w:after="20" w:line="276" w:lineRule="auto"/>
              <w:jc w:val="left"/>
            </w:pPr>
            <w:r>
              <w:rPr>
                <w:rFonts w:ascii="Calibri" w:hAnsi="Calibri"/>
                <w:color w:val="262626"/>
                <w:sz w:val="18"/>
              </w:rPr>
              <w:t xml:space="preserve">The Fund operations account</w:t>
            </w:r>
          </w:p>
        </w:tc>
        <w:tc>
          <w:tcPr>
            <w:tcW w:w="1600" w:type="dxa"/>
            <w:vAlign w:val="top"/>
          </w:tcPr>
          <w:p>
            <w:pPr>
              <w:spacing w:before="20" w:after="20" w:line="276" w:lineRule="auto"/>
              <w:jc w:val="left"/>
            </w:pPr>
            <w:r>
              <w:rPr>
                <w:rFonts w:ascii="Calibri" w:hAnsi="Calibri"/>
                <w:color w:val="262626"/>
                <w:sz w:val="18"/>
              </w:rPr>
              <w:t xml:space="preserve">Voluntary, anonymous if elected, identical treatment for non-contributors</w:t>
            </w:r>
          </w:p>
        </w:tc>
        <w:tc>
          <w:tcPr>
            <w:tcW w:w="1726" w:type="dxa"/>
            <w:vAlign w:val="top"/>
          </w:tcPr>
          <w:p>
            <w:pPr>
              <w:spacing w:before="20" w:after="20" w:line="276" w:lineRule="auto"/>
              <w:jc w:val="left"/>
            </w:pPr>
            <w:r>
              <w:rPr>
                <w:rFonts w:ascii="Calibri" w:hAnsi="Calibri"/>
                <w:color w:val="262626"/>
                <w:sz w:val="18"/>
              </w:rPr>
              <w:t xml:space="preserve">RL-1, RL-6</w:t>
            </w:r>
          </w:p>
        </w:tc>
      </w:tr>
      <w:tr>
        <w:tc>
          <w:tcPr>
            <w:tcW w:w="2000" w:type="dxa"/>
            <w:vAlign w:val="top"/>
          </w:tcPr>
          <w:p>
            <w:pPr>
              <w:spacing w:before="20" w:after="20" w:line="276" w:lineRule="auto"/>
              <w:jc w:val="left"/>
            </w:pPr>
            <w:r>
              <w:rPr>
                <w:rFonts w:ascii="Calibri" w:hAnsi="Calibri"/>
                <w:color w:val="262626"/>
                <w:sz w:val="18"/>
              </w:rPr>
              <w:t xml:space="preserve">Annual Navigation Pass (Art. 25)</w:t>
            </w:r>
          </w:p>
        </w:tc>
        <w:tc>
          <w:tcPr>
            <w:tcW w:w="1850" w:type="dxa"/>
            <w:vAlign w:val="top"/>
          </w:tcPr>
          <w:p>
            <w:pPr>
              <w:spacing w:before="20" w:after="20" w:line="276" w:lineRule="auto"/>
              <w:jc w:val="left"/>
            </w:pPr>
            <w:r>
              <w:rPr>
                <w:rFonts w:ascii="Calibri" w:hAnsi="Calibri"/>
                <w:color w:val="262626"/>
                <w:sz w:val="18"/>
              </w:rPr>
              <w:t xml:space="preserve">Operators, voluntarily</w:t>
            </w:r>
          </w:p>
        </w:tc>
        <w:tc>
          <w:tcPr>
            <w:tcW w:w="1850" w:type="dxa"/>
            <w:vAlign w:val="top"/>
          </w:tcPr>
          <w:p>
            <w:pPr>
              <w:spacing w:before="20" w:after="20" w:line="276" w:lineRule="auto"/>
              <w:jc w:val="left"/>
            </w:pPr>
            <w:r>
              <w:rPr>
                <w:rFonts w:ascii="Calibri" w:hAnsi="Calibri"/>
                <w:color w:val="262626"/>
                <w:sz w:val="18"/>
              </w:rPr>
              <w:t xml:space="preserve">The Fund, distributed on the service formula</w:t>
            </w:r>
          </w:p>
        </w:tc>
        <w:tc>
          <w:tcPr>
            <w:tcW w:w="1600" w:type="dxa"/>
            <w:vAlign w:val="top"/>
          </w:tcPr>
          <w:p>
            <w:pPr>
              <w:spacing w:before="20" w:after="20" w:line="276" w:lineRule="auto"/>
              <w:jc w:val="left"/>
            </w:pPr>
            <w:r>
              <w:rPr>
                <w:rFonts w:ascii="Calibri" w:hAnsi="Calibri"/>
                <w:color w:val="262626"/>
                <w:sz w:val="18"/>
              </w:rPr>
              <w:t xml:space="preserve">Administrative convenience, never operational treatment</w:t>
            </w:r>
          </w:p>
        </w:tc>
        <w:tc>
          <w:tcPr>
            <w:tcW w:w="1726" w:type="dxa"/>
            <w:vAlign w:val="top"/>
          </w:tcPr>
          <w:p>
            <w:pPr>
              <w:spacing w:before="20" w:after="20" w:line="276" w:lineRule="auto"/>
              <w:jc w:val="left"/>
            </w:pPr>
            <w:r>
              <w:rPr>
                <w:rFonts w:ascii="Calibri" w:hAnsi="Calibri"/>
                <w:color w:val="262626"/>
                <w:sz w:val="18"/>
              </w:rPr>
              <w:t xml:space="preserve">RL-1, RL-2</w:t>
            </w:r>
          </w:p>
        </w:tc>
      </w:tr>
      <w:tr>
        <w:tc>
          <w:tcPr>
            <w:tcW w:w="2000" w:type="dxa"/>
            <w:vAlign w:val="top"/>
          </w:tcPr>
          <w:p>
            <w:pPr>
              <w:spacing w:before="20" w:after="20" w:line="276" w:lineRule="auto"/>
              <w:jc w:val="left"/>
            </w:pPr>
            <w:r>
              <w:rPr>
                <w:rFonts w:ascii="Calibri" w:hAnsi="Calibri"/>
                <w:color w:val="262626"/>
                <w:sz w:val="18"/>
              </w:rPr>
              <w:t xml:space="preserve">Environmental Assurance Registry (Art. 26)</w:t>
            </w:r>
          </w:p>
        </w:tc>
        <w:tc>
          <w:tcPr>
            <w:tcW w:w="1850" w:type="dxa"/>
            <w:vAlign w:val="top"/>
          </w:tcPr>
          <w:p>
            <w:pPr>
              <w:spacing w:before="20" w:after="20" w:line="276" w:lineRule="auto"/>
              <w:jc w:val="left"/>
            </w:pPr>
            <w:r>
              <w:rPr>
                <w:rFonts w:ascii="Calibri" w:hAnsi="Calibri"/>
                <w:color w:val="262626"/>
                <w:sz w:val="18"/>
              </w:rPr>
              <w:t xml:space="preserve">Vessels above threshold, refundable</w:t>
            </w:r>
          </w:p>
        </w:tc>
        <w:tc>
          <w:tcPr>
            <w:tcW w:w="1850" w:type="dxa"/>
            <w:vAlign w:val="top"/>
          </w:tcPr>
          <w:p>
            <w:pPr>
              <w:spacing w:before="20" w:after="20" w:line="276" w:lineRule="auto"/>
              <w:jc w:val="left"/>
            </w:pPr>
            <w:r>
              <w:rPr>
                <w:rFonts w:ascii="Calibri" w:hAnsi="Calibri"/>
                <w:color w:val="262626"/>
                <w:sz w:val="18"/>
              </w:rPr>
              <w:t xml:space="preserve">Trust, refund; administration fee to the Fund</w:t>
            </w:r>
          </w:p>
        </w:tc>
        <w:tc>
          <w:tcPr>
            <w:tcW w:w="1600" w:type="dxa"/>
            <w:vAlign w:val="top"/>
          </w:tcPr>
          <w:p>
            <w:pPr>
              <w:spacing w:before="20" w:after="20" w:line="276" w:lineRule="auto"/>
              <w:jc w:val="left"/>
            </w:pPr>
            <w:r>
              <w:rPr>
                <w:rFonts w:ascii="Calibri" w:hAnsi="Calibri"/>
                <w:color w:val="262626"/>
                <w:sz w:val="18"/>
              </w:rPr>
              <w:t xml:space="preserve">Refundable deposit, liability readiness</w:t>
            </w:r>
          </w:p>
        </w:tc>
        <w:tc>
          <w:tcPr>
            <w:tcW w:w="1726" w:type="dxa"/>
            <w:vAlign w:val="top"/>
          </w:tcPr>
          <w:p>
            <w:pPr>
              <w:spacing w:before="20" w:after="20" w:line="276" w:lineRule="auto"/>
              <w:jc w:val="left"/>
            </w:pPr>
            <w:r>
              <w:rPr>
                <w:rFonts w:ascii="Calibri" w:hAnsi="Calibri"/>
                <w:color w:val="262626"/>
                <w:sz w:val="18"/>
              </w:rPr>
              <w:t xml:space="preserve">RL-1</w:t>
            </w:r>
          </w:p>
        </w:tc>
      </w:tr>
      <w:tr>
        <w:tc>
          <w:tcPr>
            <w:tcW w:w="2000" w:type="dxa"/>
            <w:vAlign w:val="top"/>
          </w:tcPr>
          <w:p>
            <w:pPr>
              <w:spacing w:before="20" w:after="20" w:line="276" w:lineRule="auto"/>
              <w:jc w:val="left"/>
            </w:pPr>
            <w:r>
              <w:rPr>
                <w:rFonts w:ascii="Calibri" w:hAnsi="Calibri"/>
                <w:color w:val="262626"/>
                <w:sz w:val="18"/>
              </w:rPr>
              <w:t xml:space="preserve">Economic Bridge (Art. 27)</w:t>
            </w:r>
          </w:p>
        </w:tc>
        <w:tc>
          <w:tcPr>
            <w:tcW w:w="1850" w:type="dxa"/>
            <w:vAlign w:val="top"/>
          </w:tcPr>
          <w:p>
            <w:pPr>
              <w:spacing w:before="20" w:after="20" w:line="276" w:lineRule="auto"/>
              <w:jc w:val="left"/>
            </w:pPr>
            <w:r>
              <w:rPr>
                <w:rFonts w:ascii="Calibri" w:hAnsi="Calibri"/>
                <w:color w:val="262626"/>
                <w:sz w:val="18"/>
              </w:rPr>
              <w:t xml:space="preserve">No payer; unlocks Iran's own frozen assets</w:t>
            </w:r>
          </w:p>
        </w:tc>
        <w:tc>
          <w:tcPr>
            <w:tcW w:w="1850" w:type="dxa"/>
            <w:vAlign w:val="top"/>
          </w:tcPr>
          <w:p>
            <w:pPr>
              <w:spacing w:before="20" w:after="20" w:line="276" w:lineRule="auto"/>
              <w:jc w:val="left"/>
            </w:pPr>
            <w:r>
              <w:rPr>
                <w:rFonts w:ascii="Calibri" w:hAnsi="Calibri"/>
                <w:color w:val="262626"/>
                <w:sz w:val="18"/>
              </w:rPr>
              <w:t xml:space="preserve">Iran, on verified incident-free performance</w:t>
            </w:r>
          </w:p>
        </w:tc>
        <w:tc>
          <w:tcPr>
            <w:tcW w:w="1600" w:type="dxa"/>
            <w:vAlign w:val="top"/>
          </w:tcPr>
          <w:p>
            <w:pPr>
              <w:spacing w:before="20" w:after="20" w:line="276" w:lineRule="auto"/>
              <w:jc w:val="left"/>
            </w:pPr>
            <w:r>
              <w:rPr>
                <w:rFonts w:ascii="Calibri" w:hAnsi="Calibri"/>
                <w:color w:val="262626"/>
                <w:sz w:val="18"/>
              </w:rPr>
              <w:t xml:space="preserve">Automatic, arithmetic, track-separated</w:t>
            </w:r>
          </w:p>
        </w:tc>
        <w:tc>
          <w:tcPr>
            <w:tcW w:w="1726" w:type="dxa"/>
            <w:vAlign w:val="top"/>
          </w:tcPr>
          <w:p>
            <w:pPr>
              <w:spacing w:before="20" w:after="20" w:line="276" w:lineRule="auto"/>
              <w:jc w:val="left"/>
            </w:pPr>
            <w:r>
              <w:rPr>
                <w:rFonts w:ascii="Calibri" w:hAnsi="Calibri"/>
                <w:color w:val="262626"/>
                <w:sz w:val="18"/>
              </w:rPr>
              <w:t xml:space="preserve">RL-1, RL-11</w:t>
            </w:r>
          </w:p>
        </w:tc>
      </w:tr>
      <w:tr>
        <w:tc>
          <w:tcPr>
            <w:tcW w:w="2000" w:type="dxa"/>
            <w:vAlign w:val="top"/>
          </w:tcPr>
          <w:p>
            <w:pPr>
              <w:spacing w:before="20" w:after="20" w:line="276" w:lineRule="auto"/>
              <w:jc w:val="left"/>
            </w:pPr>
            <w:r>
              <w:rPr>
                <w:rFonts w:ascii="Calibri" w:hAnsi="Calibri"/>
                <w:color w:val="262626"/>
                <w:sz w:val="18"/>
              </w:rPr>
              <w:t xml:space="preserve">Information Service (Art. 28)</w:t>
            </w:r>
          </w:p>
        </w:tc>
        <w:tc>
          <w:tcPr>
            <w:tcW w:w="1850" w:type="dxa"/>
            <w:vAlign w:val="top"/>
          </w:tcPr>
          <w:p>
            <w:pPr>
              <w:spacing w:before="20" w:after="20" w:line="276" w:lineRule="auto"/>
              <w:jc w:val="left"/>
            </w:pPr>
            <w:r>
              <w:rPr>
                <w:rFonts w:ascii="Calibri" w:hAnsi="Calibri"/>
                <w:color w:val="262626"/>
                <w:sz w:val="18"/>
              </w:rPr>
              <w:t xml:space="preserve">Commercial subscribers</w:t>
            </w:r>
          </w:p>
        </w:tc>
        <w:tc>
          <w:tcPr>
            <w:tcW w:w="1850" w:type="dxa"/>
            <w:vAlign w:val="top"/>
          </w:tcPr>
          <w:p>
            <w:pPr>
              <w:spacing w:before="20" w:after="20" w:line="276" w:lineRule="auto"/>
              <w:jc w:val="left"/>
            </w:pPr>
            <w:r>
              <w:rPr>
                <w:rFonts w:ascii="Calibri" w:hAnsi="Calibri"/>
                <w:color w:val="262626"/>
                <w:sz w:val="18"/>
              </w:rPr>
              <w:t xml:space="preserve">The Fund, distributed on the service formula</w:t>
            </w:r>
          </w:p>
        </w:tc>
        <w:tc>
          <w:tcPr>
            <w:tcW w:w="1600" w:type="dxa"/>
            <w:vAlign w:val="top"/>
          </w:tcPr>
          <w:p>
            <w:pPr>
              <w:spacing w:before="20" w:after="20" w:line="276" w:lineRule="auto"/>
              <w:jc w:val="left"/>
            </w:pPr>
            <w:r>
              <w:rPr>
                <w:rFonts w:ascii="Calibri" w:hAnsi="Calibri"/>
                <w:color w:val="262626"/>
                <w:sz w:val="18"/>
              </w:rPr>
              <w:t xml:space="preserve">Anonymized data products</w:t>
            </w:r>
          </w:p>
        </w:tc>
        <w:tc>
          <w:tcPr>
            <w:tcW w:w="1726" w:type="dxa"/>
            <w:vAlign w:val="top"/>
          </w:tcPr>
          <w:p>
            <w:pPr>
              <w:spacing w:before="20" w:after="20" w:line="276" w:lineRule="auto"/>
              <w:jc w:val="left"/>
            </w:pPr>
            <w:r>
              <w:rPr>
                <w:rFonts w:ascii="Calibri" w:hAnsi="Calibri"/>
                <w:color w:val="262626"/>
                <w:sz w:val="18"/>
              </w:rPr>
              <w:t xml:space="preserve">RL-12</w:t>
            </w:r>
          </w:p>
        </w:tc>
      </w:tr>
      <w:tr>
        <w:tc>
          <w:tcPr>
            <w:tcW w:w="2000" w:type="dxa"/>
            <w:vAlign w:val="top"/>
          </w:tcPr>
          <w:p>
            <w:pPr>
              <w:spacing w:before="20" w:after="20" w:line="276" w:lineRule="auto"/>
              <w:jc w:val="left"/>
            </w:pPr>
            <w:r>
              <w:rPr>
                <w:rFonts w:ascii="Calibri" w:hAnsi="Calibri"/>
                <w:color w:val="262626"/>
                <w:sz w:val="18"/>
              </w:rPr>
              <w:t xml:space="preserve">Infrastructure Window (Art. 29)</w:t>
            </w:r>
          </w:p>
        </w:tc>
        <w:tc>
          <w:tcPr>
            <w:tcW w:w="1850" w:type="dxa"/>
            <w:vAlign w:val="top"/>
          </w:tcPr>
          <w:p>
            <w:pPr>
              <w:spacing w:before="20" w:after="20" w:line="276" w:lineRule="auto"/>
              <w:jc w:val="left"/>
            </w:pPr>
            <w:r>
              <w:rPr>
                <w:rFonts w:ascii="Calibri" w:hAnsi="Calibri"/>
                <w:color w:val="262626"/>
                <w:sz w:val="18"/>
              </w:rPr>
              <w:t xml:space="preserve">Voluntary investors</w:t>
            </w:r>
          </w:p>
        </w:tc>
        <w:tc>
          <w:tcPr>
            <w:tcW w:w="1850" w:type="dxa"/>
            <w:vAlign w:val="top"/>
          </w:tcPr>
          <w:p>
            <w:pPr>
              <w:spacing w:before="20" w:after="20" w:line="276" w:lineRule="auto"/>
              <w:jc w:val="left"/>
            </w:pPr>
            <w:r>
              <w:rPr>
                <w:rFonts w:ascii="Calibri" w:hAnsi="Calibri"/>
                <w:color w:val="262626"/>
                <w:sz w:val="18"/>
              </w:rPr>
              <w:t xml:space="preserve">Projects; coordination fees to executing administrations</w:t>
            </w:r>
          </w:p>
        </w:tc>
        <w:tc>
          <w:tcPr>
            <w:tcW w:w="1600" w:type="dxa"/>
            <w:vAlign w:val="top"/>
          </w:tcPr>
          <w:p>
            <w:pPr>
              <w:spacing w:before="20" w:after="20" w:line="276" w:lineRule="auto"/>
              <w:jc w:val="left"/>
            </w:pPr>
            <w:r>
              <w:rPr>
                <w:rFonts w:ascii="Calibri" w:hAnsi="Calibri"/>
                <w:color w:val="262626"/>
                <w:sz w:val="18"/>
              </w:rPr>
              <w:t xml:space="preserve">Voluntary investment, published terms</w:t>
            </w:r>
          </w:p>
        </w:tc>
        <w:tc>
          <w:tcPr>
            <w:tcW w:w="1726" w:type="dxa"/>
            <w:vAlign w:val="top"/>
          </w:tcPr>
          <w:p>
            <w:pPr>
              <w:spacing w:before="20" w:after="20" w:line="276" w:lineRule="auto"/>
              <w:jc w:val="left"/>
            </w:pPr>
            <w:r>
              <w:rPr>
                <w:rFonts w:ascii="Calibri" w:hAnsi="Calibri"/>
                <w:color w:val="262626"/>
                <w:sz w:val="18"/>
              </w:rPr>
              <w:t xml:space="preserve">RL-6</w:t>
            </w:r>
          </w:p>
        </w:tc>
      </w:tr>
      <w:tr>
        <w:tc>
          <w:tcPr>
            <w:tcW w:w="2000" w:type="dxa"/>
            <w:vAlign w:val="top"/>
          </w:tcPr>
          <w:p>
            <w:pPr>
              <w:spacing w:before="20" w:after="20" w:line="276" w:lineRule="auto"/>
              <w:jc w:val="left"/>
            </w:pPr>
            <w:r>
              <w:rPr>
                <w:rFonts w:ascii="Calibri" w:hAnsi="Calibri"/>
                <w:color w:val="262626"/>
                <w:sz w:val="18"/>
              </w:rPr>
              <w:t xml:space="preserve">Service Revenue Floor (Art. 30)</w:t>
            </w:r>
          </w:p>
        </w:tc>
        <w:tc>
          <w:tcPr>
            <w:tcW w:w="1850" w:type="dxa"/>
            <w:vAlign w:val="top"/>
          </w:tcPr>
          <w:p>
            <w:pPr>
              <w:spacing w:before="20" w:after="20" w:line="276" w:lineRule="auto"/>
              <w:jc w:val="left"/>
            </w:pPr>
            <w:r>
              <w:rPr>
                <w:rFonts w:ascii="Calibri" w:hAnsi="Calibri"/>
                <w:color w:val="262626"/>
                <w:sz w:val="18"/>
              </w:rPr>
              <w:t xml:space="preserve">The endowment, from state and institutional contributors</w:t>
            </w:r>
          </w:p>
        </w:tc>
        <w:tc>
          <w:tcPr>
            <w:tcW w:w="1850" w:type="dxa"/>
            <w:vAlign w:val="top"/>
          </w:tcPr>
          <w:p>
            <w:pPr>
              <w:spacing w:before="20" w:after="20" w:line="276" w:lineRule="auto"/>
              <w:jc w:val="left"/>
            </w:pPr>
            <w:r>
              <w:rPr>
                <w:rFonts w:ascii="Calibri" w:hAnsi="Calibri"/>
                <w:color w:val="262626"/>
                <w:sz w:val="18"/>
              </w:rPr>
              <w:t xml:space="preserve">Coastal Parties, top-up to the floor</w:t>
            </w:r>
          </w:p>
        </w:tc>
        <w:tc>
          <w:tcPr>
            <w:tcW w:w="1600" w:type="dxa"/>
            <w:vAlign w:val="top"/>
          </w:tcPr>
          <w:p>
            <w:pPr>
              <w:spacing w:before="20" w:after="20" w:line="276" w:lineRule="auto"/>
              <w:jc w:val="left"/>
            </w:pPr>
            <w:r>
              <w:rPr>
                <w:rFonts w:ascii="Calibri" w:hAnsi="Calibri"/>
                <w:color w:val="262626"/>
                <w:sz w:val="18"/>
              </w:rPr>
              <w:t xml:space="preserve">Predictability guarantee for service capacity</w:t>
            </w:r>
          </w:p>
        </w:tc>
        <w:tc>
          <w:tcPr>
            <w:tcW w:w="1726" w:type="dxa"/>
            <w:vAlign w:val="top"/>
          </w:tcPr>
          <w:p>
            <w:pPr>
              <w:spacing w:before="20" w:after="20" w:line="276" w:lineRule="auto"/>
              <w:jc w:val="left"/>
            </w:pPr>
            <w:r>
              <w:rPr>
                <w:rFonts w:ascii="Calibri" w:hAnsi="Calibri"/>
                <w:color w:val="262626"/>
                <w:sz w:val="18"/>
              </w:rPr>
              <w:t xml:space="preserve">RL-3, RL-4</w:t>
            </w:r>
          </w:p>
        </w:tc>
      </w:tr>
    </w:tbl>
    <w:p>
      <w:pPr>
        <w:spacing w:before="60" w:after="120"/>
      </w:pPr>
    </w:p>
    <w:p>
      <w:pPr>
        <w:pStyle w:val="Heading3"/>
      </w:pPr>
      <w:r>
        <w:rPr>
          <w:rFonts w:ascii="Cambria" w:hAnsi="Cambria"/>
          <w:color w:val="262626"/>
          <w:sz w:val="21"/>
        </w:rPr>
        <w:t xml:space="preserve">32.2 The Logic of the Whole</w:t>
      </w:r>
    </w:p>
    <w:p>
      <w:pPr>
        <w:pStyle w:val="Normal"/>
      </w:pPr>
      <w:r>
        <w:rPr>
          <w:rFonts w:ascii="Cambria" w:hAnsi="Cambria"/>
          <w:color w:val="262626"/>
          <w:sz w:val="21"/>
        </w:rPr>
        <w:t xml:space="preserve">The settlement works because each channel answers a different demand. The Covenant answers the demand that passage never carries a price. Reimbursement answers the demand that service providers earn compensation for real work. The voluntary channels answer the demand that the industry that benefits from the system contributes to it without coercion. The floor answers the demand for predictability. The Bridge answers the demand that Iran's wider economic claims move on performance rather than on leverage over shipping. And the firewall answers the demand that no payment ever read as acknowledgment of any party's control over passage. No channel stands alone; together they leave no space in which a toll grows.</w:t>
      </w:r>
    </w:p>
    <w:p>
      <w:pPr>
        <w:pStyle w:val="Heading1"/>
      </w:pPr>
      <w:r>
        <w:rPr>
          <w:rFonts w:ascii="Cambria" w:hAnsi="Cambria"/>
          <w:color w:val="262626"/>
          <w:sz w:val="21"/>
        </w:rPr>
        <w:t xml:space="preserve">Part V: The Verification Architecture</w:t>
      </w:r>
      <w:bookmarkStart w:id="540" w:name="_Toc26010041"/>
      <w:bookmarkEnd w:id="540"/>
    </w:p>
    <w:p>
      <w:pPr>
        <w:pStyle w:val="Heading2"/>
      </w:pPr>
      <w:r>
        <w:rPr>
          <w:rFonts w:ascii="Cambria" w:hAnsi="Cambria"/>
          <w:color w:val="262626"/>
          <w:sz w:val="21"/>
        </w:rPr>
        <w:t xml:space="preserve">Article 33: Layer One: Automated Technical Tracking</w:t>
      </w:r>
      <w:bookmarkStart w:id="541" w:name="_Toc26010042"/>
      <w:bookmarkEnd w:id="541"/>
    </w:p>
    <w:p>
      <w:pPr>
        <w:pStyle w:val="Heading3"/>
      </w:pPr>
      <w:r>
        <w:rPr>
          <w:rFonts w:ascii="Cambria" w:hAnsi="Cambria"/>
          <w:color w:val="262626"/>
          <w:sz w:val="21"/>
        </w:rPr>
        <w:t xml:space="preserve">33.1 Design Intent</w:t>
      </w:r>
    </w:p>
    <w:p>
      <w:pPr>
        <w:pStyle w:val="Normal"/>
      </w:pPr>
      <w:r>
        <w:rPr>
          <w:rFonts w:ascii="Cambria" w:hAnsi="Cambria"/>
          <w:color w:val="262626"/>
          <w:sz w:val="21"/>
        </w:rPr>
        <w:t xml:space="preserve">The first layer removes human discretion from raw data collection. It employs passive, non-spoofable technologies that report directly to the neutral data processing center in Doha, and it treats every national feed as a contribution to the shared picture, never as the picture itself.</w:t>
      </w:r>
    </w:p>
    <w:p>
      <w:pPr>
        <w:pStyle w:val="Heading3"/>
      </w:pPr>
      <w:r>
        <w:rPr>
          <w:rFonts w:ascii="Cambria" w:hAnsi="Cambria"/>
          <w:color w:val="262626"/>
          <w:sz w:val="21"/>
        </w:rPr>
        <w:t xml:space="preserve">33.2 Identification Tracking With Satellite Validation</w:t>
      </w:r>
    </w:p>
    <w:p>
      <w:pPr>
        <w:pStyle w:val="Normal"/>
      </w:pPr>
      <w:r>
        <w:rPr>
          <w:rFonts w:ascii="Cambria" w:hAnsi="Cambria"/>
          <w:color w:val="262626"/>
          <w:sz w:val="21"/>
        </w:rPr>
        <w:t xml:space="preserve">Every vessel over 300 gross tonnage in the Governance Area broadcasts identification continuously under Article 8.4. Low-earth-orbit satellite constellations cross-check every broadcast track against radar satellite imagery on a published revisit rhythm, and the processing center flags every inconsistency: a vessel broadcasting where no vessel appears, a vessel appearing where no vessel broadcasts, or a track that jumps implausibly. The flag enters the log with the supporting imagery and the timestamp.</w:t>
      </w:r>
    </w:p>
    <w:p>
      <w:pPr>
        <w:pStyle w:val="Heading3"/>
      </w:pPr>
      <w:r>
        <w:rPr>
          <w:rFonts w:ascii="Cambria" w:hAnsi="Cambria"/>
          <w:color w:val="262626"/>
          <w:sz w:val="21"/>
        </w:rPr>
        <w:t xml:space="preserve">33.3 Acoustic Monitoring</w:t>
      </w:r>
    </w:p>
    <w:p>
      <w:pPr>
        <w:pStyle w:val="Normal"/>
      </w:pPr>
      <w:r>
        <w:rPr>
          <w:rFonts w:ascii="Cambria" w:hAnsi="Cambria"/>
          <w:color w:val="262626"/>
          <w:sz w:val="21"/>
        </w:rPr>
        <w:t xml:space="preserve">Fixed seabed acoustic sensors in all three corridors detect underwater movement and any activity consistent with mining. The sensor data streams to the processing center with cryptographic timestamping and hashing at the point of collection, so retroactive alteration stands technically impossible. The sensor network operates for safety and verification only, and its deployment map publishes in Annex G.</w:t>
      </w:r>
    </w:p>
    <w:p>
      <w:pPr>
        <w:pStyle w:val="Heading3"/>
      </w:pPr>
      <w:r>
        <w:rPr>
          <w:rFonts w:ascii="Cambria" w:hAnsi="Cambria"/>
          <w:color w:val="262626"/>
          <w:sz w:val="21"/>
        </w:rPr>
        <w:t xml:space="preserve">33.4 The Automated Corridor Usage Logs</w:t>
      </w:r>
    </w:p>
    <w:p>
      <w:pPr>
        <w:pStyle w:val="Normal"/>
      </w:pPr>
      <w:r>
        <w:rPr>
          <w:rFonts w:ascii="Cambria" w:hAnsi="Cambria"/>
          <w:color w:val="262626"/>
          <w:sz w:val="21"/>
        </w:rPr>
        <w:t xml:space="preserve">The processing center classifies every transit into a corridor automatically from the track data, counts every transit, and computes the system metrics: daily volumes by lane, Flow State durations, queue times, deviation advisories, and the Incident-Free Transit count that drives the Economic Bridge of Article 27. The logs constitute the objective count for every trigger in this Agreement: reimbursements, releases, floor calculations, classifications, and brake activations.</w:t>
      </w:r>
    </w:p>
    <w:p>
      <w:pPr>
        <w:pStyle w:val="Heading2"/>
      </w:pPr>
      <w:r>
        <w:rPr>
          <w:rFonts w:ascii="Cambria" w:hAnsi="Cambria"/>
          <w:color w:val="262626"/>
          <w:sz w:val="21"/>
        </w:rPr>
        <w:t xml:space="preserve">Article 34: Layer Two: Multilateral Human Observation</w:t>
      </w:r>
      <w:bookmarkStart w:id="542" w:name="_Toc26010043"/>
      <w:bookmarkEnd w:id="542"/>
    </w:p>
    <w:p>
      <w:pPr>
        <w:pStyle w:val="Heading3"/>
      </w:pPr>
      <w:r>
        <w:rPr>
          <w:rFonts w:ascii="Cambria" w:hAnsi="Cambria"/>
          <w:color w:val="262626"/>
          <w:sz w:val="21"/>
        </w:rPr>
        <w:t xml:space="preserve">34.1 Design Intent</w:t>
      </w:r>
    </w:p>
    <w:p>
      <w:pPr>
        <w:pStyle w:val="Normal"/>
      </w:pPr>
      <w:r>
        <w:rPr>
          <w:rFonts w:ascii="Cambria" w:hAnsi="Cambria"/>
          <w:color w:val="262626"/>
          <w:sz w:val="21"/>
        </w:rPr>
        <w:t xml:space="preserve">The second layer guarantees that human beings from different capitals watch the same event at the same moment, so that interpretation disputes surface in fifteen minutes rather than in communiques. The Cell of Article 14 operates this layer.</w:t>
      </w:r>
    </w:p>
    <w:p>
      <w:pPr>
        <w:pStyle w:val="Heading3"/>
      </w:pPr>
      <w:r>
        <w:rPr>
          <w:rFonts w:ascii="Cambria" w:hAnsi="Cambria"/>
          <w:color w:val="262626"/>
          <w:sz w:val="21"/>
        </w:rPr>
        <w:t xml:space="preserve">34.2 Cross-Reference</w:t>
      </w:r>
    </w:p>
    <w:p>
      <w:pPr>
        <w:pStyle w:val="Normal"/>
      </w:pPr>
      <w:r>
        <w:rPr>
          <w:rFonts w:ascii="Cambria" w:hAnsi="Cambria"/>
          <w:color w:val="262626"/>
          <w:sz w:val="21"/>
        </w:rPr>
        <w:t xml:space="preserve">The Cell cross-references every declaration against the automated logs. A vessel deviating from its declared corridor envelope beyond the two-nautical-mile tolerance of Article 8.5 receives an automatic advisory on the working channel, and the event logs with its track.</w:t>
      </w:r>
    </w:p>
    <w:p>
      <w:pPr>
        <w:pStyle w:val="Heading3"/>
      </w:pPr>
      <w:r>
        <w:rPr>
          <w:rFonts w:ascii="Cambria" w:hAnsi="Cambria"/>
          <w:color w:val="262626"/>
          <w:sz w:val="21"/>
        </w:rPr>
        <w:t xml:space="preserve">34.3 Event Documentation</w:t>
      </w:r>
    </w:p>
    <w:p>
      <w:pPr>
        <w:pStyle w:val="Normal"/>
      </w:pPr>
      <w:r>
        <w:rPr>
          <w:rFonts w:ascii="Cambria" w:hAnsi="Cambria"/>
          <w:color w:val="262626"/>
          <w:sz w:val="21"/>
        </w:rPr>
        <w:t xml:space="preserve">For every event that no sensor captures fully, including close-quarters situations, unsafe approaches, distress, and hazard sightings, the watch officers file a joint event note in the custody system within one watch cycle. The note records the facts each officer confirms, the facts any officer contests, and the raw data references. Contested facts route to Article 35.4; confirmed facts stand as the record.</w:t>
      </w:r>
    </w:p>
    <w:p>
      <w:pPr>
        <w:pStyle w:val="Heading3"/>
      </w:pPr>
      <w:r>
        <w:rPr>
          <w:rFonts w:ascii="Cambria" w:hAnsi="Cambria"/>
          <w:color w:val="262626"/>
          <w:sz w:val="21"/>
        </w:rPr>
        <w:t xml:space="preserve">34.4 The Objection Procedure</w:t>
      </w:r>
    </w:p>
    <w:p>
      <w:pPr>
        <w:pStyle w:val="Normal"/>
      </w:pPr>
      <w:r>
        <w:rPr>
          <w:rFonts w:ascii="Cambria" w:hAnsi="Cambria"/>
          <w:color w:val="262626"/>
          <w:sz w:val="21"/>
        </w:rPr>
        <w:t xml:space="preserve">The fifteen-minute objection window of Article 14.4 keeps classification honest without freezing operations: the system acts on the logged data immediately, and the objection process reviews the classification afterward. An upheld objection corrects the classification retroactively in the ledger, and every correction publishes.</w:t>
      </w:r>
    </w:p>
    <w:p>
      <w:pPr>
        <w:pStyle w:val="Heading3"/>
      </w:pPr>
      <w:r>
        <w:rPr>
          <w:rFonts w:ascii="Cambria" w:hAnsi="Cambria"/>
          <w:color w:val="262626"/>
          <w:sz w:val="21"/>
        </w:rPr>
        <w:t xml:space="preserve">34.5 Observer Missions</w:t>
      </w:r>
    </w:p>
    <w:p>
      <w:pPr>
        <w:pStyle w:val="Normal"/>
      </w:pPr>
      <w:r>
        <w:rPr>
          <w:rFonts w:ascii="Cambria" w:hAnsi="Cambria"/>
          <w:color w:val="262626"/>
          <w:sz w:val="21"/>
        </w:rPr>
        <w:t xml:space="preserve">The rotating observer missions of Article 17.5 extend this layer to every Participating Party and to the Non-Executing Security Observer, so that no party ever depends on another party's account of a disputed day.</w:t>
      </w:r>
    </w:p>
    <w:p>
      <w:pPr>
        <w:pStyle w:val="Heading2"/>
      </w:pPr>
      <w:r>
        <w:rPr>
          <w:rFonts w:ascii="Cambria" w:hAnsi="Cambria"/>
          <w:color w:val="262626"/>
          <w:sz w:val="21"/>
        </w:rPr>
        <w:t xml:space="preserve">Article 35: Layer Three: Independent Data Custody and Technical Arbitration</w:t>
      </w:r>
      <w:bookmarkStart w:id="543" w:name="_Toc26010044"/>
      <w:bookmarkEnd w:id="543"/>
    </w:p>
    <w:p>
      <w:pPr>
        <w:pStyle w:val="Heading3"/>
      </w:pPr>
      <w:r>
        <w:rPr>
          <w:rFonts w:ascii="Cambria" w:hAnsi="Cambria"/>
          <w:color w:val="262626"/>
          <w:sz w:val="21"/>
        </w:rPr>
        <w:t xml:space="preserve">35.1 The Data Vault</w:t>
      </w:r>
    </w:p>
    <w:p>
      <w:pPr>
        <w:pStyle w:val="Normal"/>
      </w:pPr>
      <w:r>
        <w:rPr>
          <w:rFonts w:ascii="Cambria" w:hAnsi="Cambria"/>
          <w:color w:val="262626"/>
          <w:sz w:val="21"/>
        </w:rPr>
        <w:t xml:space="preserve">All raw data of the system, including satellite imagery references, identification pings, acoustic signatures, voice channel recordings, declarations, logs, and event notes, stores in an immutable, append-only data vault hosted by a neutral provider in Singapore, with a synchronized mirror in Switzerland. The vault writes once and never overwrites: corrections append, and every entry carries its hash and timestamp.</w:t>
      </w:r>
    </w:p>
    <w:p>
      <w:pPr>
        <w:pStyle w:val="Heading3"/>
      </w:pPr>
      <w:r>
        <w:rPr>
          <w:rFonts w:ascii="Cambria" w:hAnsi="Cambria"/>
          <w:color w:val="262626"/>
          <w:sz w:val="21"/>
        </w:rPr>
        <w:t xml:space="preserve">35.2 The Key-Fragment Rule</w:t>
      </w:r>
    </w:p>
    <w:p>
      <w:pPr>
        <w:pStyle w:val="Normal"/>
      </w:pPr>
      <w:r>
        <w:rPr>
          <w:rFonts w:ascii="Cambria" w:hAnsi="Cambria"/>
          <w:color w:val="262626"/>
          <w:sz w:val="21"/>
        </w:rPr>
        <w:t xml:space="preserve">The vault operates on a three-fragment custody model: Iran, Oman, and Qatar each hold one cryptographic key fragment, and any amendment, deletion, or export of historical raw data requires all three fragments together. Reading is free to every party at every moment; writing belongs to the automated collectors; amendment belongs to no one alone. Data thereby never becomes a weapon, a bargaining chip, or a unilateral narrative.</w:t>
      </w:r>
    </w:p>
    <w:p>
      <w:pPr>
        <w:pStyle w:val="Heading3"/>
      </w:pPr>
      <w:r>
        <w:rPr>
          <w:rFonts w:ascii="Cambria" w:hAnsi="Cambria"/>
          <w:color w:val="262626"/>
          <w:sz w:val="21"/>
        </w:rPr>
        <w:t xml:space="preserve">35.3 The Non-Executing Security Observer's Access</w:t>
      </w:r>
    </w:p>
    <w:p>
      <w:pPr>
        <w:pStyle w:val="Normal"/>
      </w:pPr>
      <w:r>
        <w:rPr>
          <w:rFonts w:ascii="Cambria" w:hAnsi="Cambria"/>
          <w:color w:val="262626"/>
          <w:sz w:val="21"/>
        </w:rPr>
        <w:t xml:space="preserve">The Non-Executing Security Observer holds read access to the vault and the shared picture in real time. Its access carries no write, amendment, or export authority, and every access session logs.</w:t>
      </w:r>
    </w:p>
    <w:p>
      <w:pPr>
        <w:pStyle w:val="Heading3"/>
      </w:pPr>
      <w:r>
        <w:rPr>
          <w:rFonts w:ascii="Cambria" w:hAnsi="Cambria"/>
          <w:color w:val="262626"/>
          <w:sz w:val="21"/>
        </w:rPr>
        <w:t xml:space="preserve">35.4 The Expedited Technical Arbitration Panel</w:t>
      </w:r>
    </w:p>
    <w:p>
      <w:pPr>
        <w:pStyle w:val="Normal"/>
      </w:pPr>
      <w:r>
        <w:rPr>
          <w:rFonts w:ascii="Cambria" w:hAnsi="Cambria"/>
          <w:color w:val="262626"/>
          <w:sz w:val="21"/>
        </w:rPr>
        <w:t xml:space="preserve">Where a data dispute resists the Cell's joint event process, the dispute refers automatically to the Expedited Technical Arbitration Panel. The Panel comprises three independent maritime technical experts: one nominated through the International Maritime Organization liaison, one through the international shipping industry's representative bodies, and one through a neutral Gulf state on the register of Annex M. The Panel rules within seventy-two hours on the raw data alone: coordinates, times, counts, and identities. Its ruling binds every operational trigger of the system, including reimbursement, release, classification, and floor calculations, and it establishes no legal precedent on sovereignty, jurisdiction, or responsibility. The Panel's every ruling publishes with its underlying data references.</w:t>
      </w:r>
    </w:p>
    <w:p>
      <w:pPr>
        <w:pStyle w:val="Heading3"/>
      </w:pPr>
      <w:r>
        <w:rPr>
          <w:rFonts w:ascii="Cambria" w:hAnsi="Cambria"/>
          <w:color w:val="262626"/>
          <w:sz w:val="21"/>
        </w:rPr>
        <w:t xml:space="preserve">35.5 Independent Cross-Verification</w:t>
      </w:r>
    </w:p>
    <w:p>
      <w:pPr>
        <w:pStyle w:val="Normal"/>
      </w:pPr>
      <w:r>
        <w:rPr>
          <w:rFonts w:ascii="Cambria" w:hAnsi="Cambria"/>
          <w:color w:val="262626"/>
          <w:sz w:val="21"/>
        </w:rPr>
        <w:t xml:space="preserve">An independent inspection function, staffed by an internationally accredited classification society under contract to the Secretariat, conducts unannounced cross-verification: spot checks of recently transited vessels' manifests against declarations, recalibration checks on sensors, and reconciliation of service records against logs. Where discrepancies exceed two percent in any month, the Desk triggers a full audit of that month's logs and records, and the audit publishes.</w:t>
      </w:r>
    </w:p>
    <w:p>
      <w:pPr>
        <w:pStyle w:val="Heading3"/>
      </w:pPr>
      <w:r>
        <w:rPr>
          <w:rFonts w:ascii="Cambria" w:hAnsi="Cambria"/>
          <w:color w:val="262626"/>
          <w:sz w:val="21"/>
        </w:rPr>
        <w:t xml:space="preserve">35.6 Personal and Commercial Data</w:t>
      </w:r>
    </w:p>
    <w:p>
      <w:pPr>
        <w:pStyle w:val="Normal"/>
      </w:pPr>
      <w:r>
        <w:rPr>
          <w:rFonts w:ascii="Cambria" w:hAnsi="Cambria"/>
          <w:color w:val="262626"/>
          <w:sz w:val="21"/>
        </w:rPr>
        <w:t xml:space="preserve">The custody system holds personal data and commercially sensitive data under the published protection schedule of Annex G: minimum retention, redaction rules, and access tiers. The system's transparency never publishes a seafarer's identity, and the commercial privacy rule of Article 28.4 binds every layer.</w:t>
      </w:r>
    </w:p>
    <w:p>
      <w:pPr>
        <w:pStyle w:val="Heading2"/>
      </w:pPr>
      <w:r>
        <w:rPr>
          <w:rFonts w:ascii="Cambria" w:hAnsi="Cambria"/>
          <w:color w:val="262626"/>
          <w:sz w:val="21"/>
        </w:rPr>
        <w:t xml:space="preserve">Article 36: Data Integrity, Cybersecurity, and Authentication</w:t>
      </w:r>
      <w:bookmarkStart w:id="544" w:name="_Toc26010045"/>
      <w:bookmarkEnd w:id="544"/>
    </w:p>
    <w:p>
      <w:pPr>
        <w:pStyle w:val="Heading3"/>
      </w:pPr>
      <w:r>
        <w:rPr>
          <w:rFonts w:ascii="Cambria" w:hAnsi="Cambria"/>
          <w:color w:val="262626"/>
          <w:sz w:val="21"/>
        </w:rPr>
        <w:t xml:space="preserve">36.1 Integrity Engineering</w:t>
      </w:r>
    </w:p>
    <w:p>
      <w:pPr>
        <w:pStyle w:val="Normal"/>
      </w:pPr>
      <w:r>
        <w:rPr>
          <w:rFonts w:ascii="Cambria" w:hAnsi="Cambria"/>
          <w:color w:val="262626"/>
          <w:sz w:val="21"/>
        </w:rPr>
        <w:t xml:space="preserve">Every data object in the system carries a cryptographic hash at creation, a timestamp from the synchronized clock network, and a provenance chain. The processing center and the vault reconcile their hashes continuously, and any mismatch raises an integrity alarm to every party simultaneously.</w:t>
      </w:r>
    </w:p>
    <w:p>
      <w:pPr>
        <w:pStyle w:val="Heading3"/>
      </w:pPr>
      <w:r>
        <w:rPr>
          <w:rFonts w:ascii="Cambria" w:hAnsi="Cambria"/>
          <w:color w:val="262626"/>
          <w:sz w:val="21"/>
        </w:rPr>
        <w:t xml:space="preserve">36.2 Access Control</w:t>
      </w:r>
    </w:p>
    <w:p>
      <w:pPr>
        <w:pStyle w:val="Normal"/>
      </w:pPr>
      <w:r>
        <w:rPr>
          <w:rFonts w:ascii="Cambria" w:hAnsi="Cambria"/>
          <w:color w:val="262626"/>
          <w:sz w:val="21"/>
        </w:rPr>
        <w:t xml:space="preserve">Access to every system tier follows the published access matrix of Annex G: least privilege, two-person control for administrative actions, complete session logging, and quarterly access audits by the Secretariat with an external assessor.</w:t>
      </w:r>
    </w:p>
    <w:p>
      <w:pPr>
        <w:pStyle w:val="Heading3"/>
      </w:pPr>
      <w:r>
        <w:rPr>
          <w:rFonts w:ascii="Cambria" w:hAnsi="Cambria"/>
          <w:color w:val="262626"/>
          <w:sz w:val="21"/>
        </w:rPr>
        <w:t xml:space="preserve">36.3 Incident Response</w:t>
      </w:r>
    </w:p>
    <w:p>
      <w:pPr>
        <w:pStyle w:val="Normal"/>
      </w:pPr>
      <w:r>
        <w:rPr>
          <w:rFonts w:ascii="Cambria" w:hAnsi="Cambria"/>
          <w:color w:val="262626"/>
          <w:sz w:val="21"/>
        </w:rPr>
        <w:t xml:space="preserve">A cybersecurity incident affecting any system tier activates the response protocol of Annex G: isolation of the affected tier, continuity of traffic operations on the published fallback procedures, notification to every party within four hours, and a joint post-incident report within fourteen days. Traffic safety functions degrade gracefully to voice and visual procedures, and no cyber incident closes a corridor by itself.</w:t>
      </w:r>
    </w:p>
    <w:p>
      <w:pPr>
        <w:pStyle w:val="Heading3"/>
      </w:pPr>
      <w:r>
        <w:rPr>
          <w:rFonts w:ascii="Cambria" w:hAnsi="Cambria"/>
          <w:color w:val="262626"/>
          <w:sz w:val="21"/>
        </w:rPr>
        <w:t xml:space="preserve">36.4 Spoofing and Interference</w:t>
      </w:r>
    </w:p>
    <w:p>
      <w:pPr>
        <w:pStyle w:val="Normal"/>
      </w:pPr>
      <w:r>
        <w:rPr>
          <w:rFonts w:ascii="Cambria" w:hAnsi="Cambria"/>
          <w:color w:val="262626"/>
          <w:sz w:val="21"/>
        </w:rPr>
        <w:t xml:space="preserve">Detection of identification spoofing, signal interference, or sensor tampering classifies under Article 43 on verified facts. A verified pattern of interference touching safety functions constitutes a Material Disruption; a verified pattern attributable to a state organ constitutes a Structural Breach.</w:t>
      </w:r>
    </w:p>
    <w:p>
      <w:pPr>
        <w:pStyle w:val="Heading2"/>
      </w:pPr>
      <w:r>
        <w:rPr>
          <w:rFonts w:ascii="Cambria" w:hAnsi="Cambria"/>
          <w:color w:val="262626"/>
          <w:sz w:val="21"/>
        </w:rPr>
        <w:t xml:space="preserve">Article 37: Public Confidence Reporting</w:t>
      </w:r>
      <w:bookmarkStart w:id="545" w:name="_Toc26010046"/>
      <w:bookmarkEnd w:id="545"/>
    </w:p>
    <w:p>
      <w:pPr>
        <w:pStyle w:val="Heading3"/>
      </w:pPr>
      <w:r>
        <w:rPr>
          <w:rFonts w:ascii="Cambria" w:hAnsi="Cambria"/>
          <w:color w:val="262626"/>
          <w:sz w:val="21"/>
        </w:rPr>
        <w:t xml:space="preserve">37.1 The Reports</w:t>
      </w:r>
    </w:p>
    <w:p>
      <w:pPr>
        <w:pStyle w:val="Normal"/>
      </w:pPr>
      <w:r>
        <w:rPr>
          <w:rFonts w:ascii="Cambria" w:hAnsi="Cambria"/>
          <w:color w:val="262626"/>
          <w:sz w:val="21"/>
        </w:rPr>
        <w:t xml:space="preserve">The Desk issues public confidence reports on the rhythm of Annex R: a Day-30 report and a Day-50 report during the first operational period, and quarterly reports thereafter. Each report states the data fidelity metrics, transit volumes by corridor, Flow State history, dispute frequency and resolution times, safety incident statistics, clearance status, and the financial summaries of Part IV.</w:t>
      </w:r>
    </w:p>
    <w:p>
      <w:pPr>
        <w:pStyle w:val="Heading3"/>
      </w:pPr>
      <w:r>
        <w:rPr>
          <w:rFonts w:ascii="Cambria" w:hAnsi="Cambria"/>
          <w:color w:val="262626"/>
          <w:sz w:val="21"/>
        </w:rPr>
        <w:t xml:space="preserve">37.2 The Accuracy Standard</w:t>
      </w:r>
    </w:p>
    <w:p>
      <w:pPr>
        <w:pStyle w:val="Normal"/>
      </w:pPr>
      <w:r>
        <w:rPr>
          <w:rFonts w:ascii="Cambria" w:hAnsi="Cambria"/>
          <w:color w:val="262626"/>
          <w:sz w:val="21"/>
        </w:rPr>
        <w:t xml:space="preserve">The system holds itself to a published accuracy standard: automated classification accuracy of at least ninety-eight percent against the cross-verification sample, and zero unresolved data disputes older than seventy-two hours. The reports state performance against the standard plainly, including every failure.</w:t>
      </w:r>
    </w:p>
    <w:p>
      <w:pPr>
        <w:pStyle w:val="Heading3"/>
      </w:pPr>
      <w:r>
        <w:rPr>
          <w:rFonts w:ascii="Cambria" w:hAnsi="Cambria"/>
          <w:color w:val="262626"/>
          <w:sz w:val="21"/>
        </w:rPr>
        <w:t xml:space="preserve">37.3 Renewal Relevance</w:t>
      </w:r>
    </w:p>
    <w:p>
      <w:pPr>
        <w:pStyle w:val="Normal"/>
      </w:pPr>
      <w:r>
        <w:rPr>
          <w:rFonts w:ascii="Cambria" w:hAnsi="Cambria"/>
          <w:color w:val="262626"/>
          <w:sz w:val="21"/>
        </w:rPr>
        <w:t xml:space="preserve">The review conference of Article 53 reads the confidence reports as the factual basis of every renewal decision, and the accuracy standard functions as a binding renewal criterion under Article 53.3.</w:t>
      </w:r>
    </w:p>
    <w:p>
      <w:pPr>
        <w:pStyle w:val="Heading1"/>
      </w:pPr>
      <w:r>
        <w:rPr>
          <w:rFonts w:ascii="Cambria" w:hAnsi="Cambria"/>
          <w:color w:val="262626"/>
          <w:sz w:val="21"/>
        </w:rPr>
        <w:t xml:space="preserve">Part VI: Safety, Security, and Environmental Protection</w:t>
      </w:r>
      <w:bookmarkStart w:id="546" w:name="_Toc26010047"/>
      <w:bookmarkEnd w:id="546"/>
    </w:p>
    <w:p>
      <w:pPr>
        <w:pStyle w:val="Heading2"/>
      </w:pPr>
      <w:r>
        <w:rPr>
          <w:rFonts w:ascii="Cambria" w:hAnsi="Cambria"/>
          <w:color w:val="262626"/>
          <w:sz w:val="21"/>
        </w:rPr>
        <w:t xml:space="preserve">Article 38: Naval De-Confliction and the Standoff Protocol</w:t>
      </w:r>
      <w:bookmarkStart w:id="547" w:name="_Toc26010048"/>
      <w:bookmarkEnd w:id="547"/>
    </w:p>
    <w:p>
      <w:pPr>
        <w:pStyle w:val="Heading3"/>
      </w:pPr>
      <w:r>
        <w:rPr>
          <w:rFonts w:ascii="Cambria" w:hAnsi="Cambria"/>
          <w:color w:val="262626"/>
          <w:sz w:val="21"/>
        </w:rPr>
        <w:t xml:space="preserve">38.1 The Civilian Exclusion</w:t>
      </w:r>
    </w:p>
    <w:p>
      <w:pPr>
        <w:pStyle w:val="Normal"/>
      </w:pPr>
      <w:r>
        <w:rPr>
          <w:rFonts w:ascii="Cambria" w:hAnsi="Cambria"/>
          <w:color w:val="262626"/>
          <w:sz w:val="21"/>
        </w:rPr>
        <w:t xml:space="preserve">The corridors are civilian water. No naval vessel, military aircraft, or armed state craft enters any corridor in an enforcement posture, and no foreign military personnel serve in any lane. Military movements through the Governance Area proceed under this Article's de-confliction channel, separate from the civilian system at every point.</w:t>
      </w:r>
    </w:p>
    <w:p>
      <w:pPr>
        <w:pStyle w:val="Heading3"/>
      </w:pPr>
      <w:r>
        <w:rPr>
          <w:rFonts w:ascii="Cambria" w:hAnsi="Cambria"/>
          <w:color w:val="262626"/>
          <w:sz w:val="21"/>
        </w:rPr>
        <w:t xml:space="preserve">38.2 The Security Communications Channel</w:t>
      </w:r>
    </w:p>
    <w:p>
      <w:pPr>
        <w:pStyle w:val="Normal"/>
      </w:pPr>
      <w:r>
        <w:rPr>
          <w:rFonts w:ascii="Cambria" w:hAnsi="Cambria"/>
          <w:color w:val="262626"/>
          <w:sz w:val="21"/>
        </w:rPr>
        <w:t xml:space="preserve">A standing security channel connects the defense establishments of Iran, Oman, Qatar, and the United States continuously: a tested voice hotline, a written notice format, and a shared incident log. The channel carries notice of military movements in or near the Governance Area forty-eight hours ahead where operations permit, and immediately upon initiation where they do not. The channel sits alongside the Desk, not inside it, and the Desk receives only the safety-relevant outputs: hazard areas, exercise boxes, and temporary caution zones.</w:t>
      </w:r>
    </w:p>
    <w:p>
      <w:pPr>
        <w:pStyle w:val="Heading3"/>
      </w:pPr>
      <w:r>
        <w:rPr>
          <w:rFonts w:ascii="Cambria" w:hAnsi="Cambria"/>
          <w:color w:val="262626"/>
          <w:sz w:val="21"/>
        </w:rPr>
        <w:t xml:space="preserve">38.3 The Standoff Geometry</w:t>
      </w:r>
    </w:p>
    <w:p>
      <w:pPr>
        <w:pStyle w:val="Normal"/>
      </w:pPr>
      <w:r>
        <w:rPr>
          <w:rFonts w:ascii="Cambria" w:hAnsi="Cambria"/>
          <w:color w:val="262626"/>
          <w:sz w:val="21"/>
        </w:rPr>
        <w:t xml:space="preserve">Annex A registers the standoff geometry: the buffer distances between military operations and the corridor envelopes, the caution zones around clearance operations, and the separation lines that keep enforcement activity outside the lanes. The geometry binds every party's forces equally, and the Bulletin publishes every temporary caution zone with its expiry.</w:t>
      </w:r>
    </w:p>
    <w:p>
      <w:pPr>
        <w:pStyle w:val="Heading3"/>
      </w:pPr>
      <w:r>
        <w:rPr>
          <w:rFonts w:ascii="Cambria" w:hAnsi="Cambria"/>
          <w:color w:val="262626"/>
          <w:sz w:val="21"/>
        </w:rPr>
        <w:t xml:space="preserve">38.4 The Non-Enforcement Rule</w:t>
      </w:r>
    </w:p>
    <w:p>
      <w:pPr>
        <w:pStyle w:val="Normal"/>
      </w:pPr>
      <w:r>
        <w:rPr>
          <w:rFonts w:ascii="Cambria" w:hAnsi="Cambria"/>
          <w:color w:val="262626"/>
          <w:sz w:val="21"/>
        </w:rPr>
        <w:t xml:space="preserve">The architecture excludes military enforcement measures against commercial traffic within the Governance Area from every quarter: no blockade, no interdiction, no escort requirement, and no boarding touches a commercial vessel inside the lanes. A military measure against a commercial vessel anywhere in the Governance Area classifies as a Structural Breach on verified facts and activates Article 45 on request.</w:t>
      </w:r>
    </w:p>
    <w:p>
      <w:pPr>
        <w:pStyle w:val="Heading3"/>
      </w:pPr>
      <w:r>
        <w:rPr>
          <w:rFonts w:ascii="Cambria" w:hAnsi="Cambria"/>
          <w:color w:val="262626"/>
          <w:sz w:val="21"/>
        </w:rPr>
        <w:t xml:space="preserve">38.5 External Defensive Missions</w:t>
      </w:r>
    </w:p>
    <w:p>
      <w:pPr>
        <w:pStyle w:val="Normal"/>
      </w:pPr>
      <w:r>
        <w:rPr>
          <w:rFonts w:ascii="Cambria" w:hAnsi="Cambria"/>
          <w:color w:val="262626"/>
          <w:sz w:val="21"/>
        </w:rPr>
        <w:t xml:space="preserve">International defensive missions operating outside the Governance Area interface with the system through the observer layer of Article 17 and the security channel of this Article. They hold no function inside the corridors, and the system's own architecture performs every safety function inside the lanes.</w:t>
      </w:r>
    </w:p>
    <w:p>
      <w:pPr>
        <w:pStyle w:val="Heading2"/>
      </w:pPr>
      <w:r>
        <w:rPr>
          <w:rFonts w:ascii="Cambria" w:hAnsi="Cambria"/>
          <w:color w:val="262626"/>
          <w:sz w:val="21"/>
        </w:rPr>
        <w:t xml:space="preserve">Article 39: Search and Rescue</w:t>
      </w:r>
      <w:bookmarkStart w:id="548" w:name="_Toc26010049"/>
      <w:bookmarkEnd w:id="548"/>
    </w:p>
    <w:p>
      <w:pPr>
        <w:pStyle w:val="Heading3"/>
      </w:pPr>
      <w:r>
        <w:rPr>
          <w:rFonts w:ascii="Cambria" w:hAnsi="Cambria"/>
          <w:color w:val="262626"/>
          <w:sz w:val="21"/>
        </w:rPr>
        <w:t xml:space="preserve">39.1 The Rescue Network</w:t>
      </w:r>
    </w:p>
    <w:p>
      <w:pPr>
        <w:pStyle w:val="Normal"/>
      </w:pPr>
      <w:r>
        <w:rPr>
          <w:rFonts w:ascii="Cambria" w:hAnsi="Cambria"/>
          <w:color w:val="262626"/>
          <w:sz w:val="21"/>
        </w:rPr>
        <w:t xml:space="preserve">Search and rescue operates as one network across the Governance Area. Each Corridor Authority maintains rescue assets for its adjacent lane; the central lane's readiness stands on a joint roster crewed by Iran, Oman, and Qatar in equal monthly turns; and the Desk coordinates the network from the rescue coordination interface at its Doha seat. Annex K carries the full operations plan.</w:t>
      </w:r>
    </w:p>
    <w:p>
      <w:pPr>
        <w:pStyle w:val="Heading3"/>
      </w:pPr>
      <w:r>
        <w:rPr>
          <w:rFonts w:ascii="Cambria" w:hAnsi="Cambria"/>
          <w:color w:val="262626"/>
          <w:sz w:val="21"/>
        </w:rPr>
        <w:t xml:space="preserve">39.2 The Distress Absolute</w:t>
      </w:r>
    </w:p>
    <w:p>
      <w:pPr>
        <w:pStyle w:val="Normal"/>
      </w:pPr>
      <w:r>
        <w:rPr>
          <w:rFonts w:ascii="Cambria" w:hAnsi="Cambria"/>
          <w:color w:val="262626"/>
          <w:sz w:val="21"/>
        </w:rPr>
        <w:t xml:space="preserve">Distress response stands above every rule of this Agreement. Every asset of every party answers every distress call inside the Governance Area regardless of the vessel's flag, the state of political relations, the Flow State, or any brake, pause, or suspension in force anywhere else in the system. Mutual assistance in distress is automatic, requires no request through any channel, and logs for the record afterward.</w:t>
      </w:r>
    </w:p>
    <w:p>
      <w:pPr>
        <w:pStyle w:val="Heading3"/>
      </w:pPr>
      <w:r>
        <w:rPr>
          <w:rFonts w:ascii="Cambria" w:hAnsi="Cambria"/>
          <w:color w:val="262626"/>
          <w:sz w:val="21"/>
        </w:rPr>
        <w:t xml:space="preserve">39.3 The Hotlink</w:t>
      </w:r>
    </w:p>
    <w:p>
      <w:pPr>
        <w:pStyle w:val="Normal"/>
      </w:pPr>
      <w:r>
        <w:rPr>
          <w:rFonts w:ascii="Cambria" w:hAnsi="Cambria"/>
          <w:color w:val="262626"/>
          <w:sz w:val="21"/>
        </w:rPr>
        <w:t xml:space="preserve">A continuous hotlink connects the three rescue interfaces: Bandar Abbas, Muscat, and Doha. The hotlink carries every distress alert to all three simultaneously, and the network drills jointly every quarter under the exercise program of Annex K.</w:t>
      </w:r>
    </w:p>
    <w:p>
      <w:pPr>
        <w:pStyle w:val="Heading3"/>
      </w:pPr>
      <w:r>
        <w:rPr>
          <w:rFonts w:ascii="Cambria" w:hAnsi="Cambria"/>
          <w:color w:val="262626"/>
          <w:sz w:val="21"/>
        </w:rPr>
        <w:t xml:space="preserve">39.4 Places of Refuge</w:t>
      </w:r>
    </w:p>
    <w:p>
      <w:pPr>
        <w:pStyle w:val="Normal"/>
      </w:pPr>
      <w:r>
        <w:rPr>
          <w:rFonts w:ascii="Cambria" w:hAnsi="Cambria"/>
          <w:color w:val="262626"/>
          <w:sz w:val="21"/>
        </w:rPr>
        <w:t xml:space="preserve">Annex A registers the places of refuge for vessels in difficulty, with the access procedure of Article 10.2. A request for refuge receives an answer within one hour, and the answer never turns on the vessel's flag, cargo ownership, or payment status in any channel.</w:t>
      </w:r>
    </w:p>
    <w:p>
      <w:pPr>
        <w:pStyle w:val="Heading2"/>
      </w:pPr>
      <w:r>
        <w:rPr>
          <w:rFonts w:ascii="Cambria" w:hAnsi="Cambria"/>
          <w:color w:val="262626"/>
          <w:sz w:val="21"/>
        </w:rPr>
        <w:t xml:space="preserve">Article 40: Environmental Protection</w:t>
      </w:r>
      <w:bookmarkStart w:id="549" w:name="_Toc26010050"/>
      <w:bookmarkEnd w:id="549"/>
    </w:p>
    <w:p>
      <w:pPr>
        <w:pStyle w:val="Heading3"/>
      </w:pPr>
      <w:r>
        <w:rPr>
          <w:rFonts w:ascii="Cambria" w:hAnsi="Cambria"/>
          <w:color w:val="262626"/>
          <w:sz w:val="21"/>
        </w:rPr>
        <w:t xml:space="preserve">40.1 The Standards</w:t>
      </w:r>
    </w:p>
    <w:p>
      <w:pPr>
        <w:pStyle w:val="Normal"/>
      </w:pPr>
      <w:r>
        <w:rPr>
          <w:rFonts w:ascii="Cambria" w:hAnsi="Cambria"/>
          <w:color w:val="262626"/>
          <w:sz w:val="21"/>
        </w:rPr>
        <w:t xml:space="preserve">The Governance Area operates under the environmental standards of Annex J, aligned with the international pollution prevention instruments as each party applies them domestically, plus the system's own enhancements: the assurance registry of Article 26, the discharge monitoring of the sensor network, and the protected zones around the clearance operations and the coral and fishery areas registered in Annex A.</w:t>
      </w:r>
    </w:p>
    <w:p>
      <w:pPr>
        <w:pStyle w:val="Heading3"/>
      </w:pPr>
      <w:r>
        <w:rPr>
          <w:rFonts w:ascii="Cambria" w:hAnsi="Cambria"/>
          <w:color w:val="262626"/>
          <w:sz w:val="21"/>
        </w:rPr>
        <w:t xml:space="preserve">40.2 Pollution Response</w:t>
      </w:r>
    </w:p>
    <w:p>
      <w:pPr>
        <w:pStyle w:val="Normal"/>
      </w:pPr>
      <w:r>
        <w:rPr>
          <w:rFonts w:ascii="Cambria" w:hAnsi="Cambria"/>
          <w:color w:val="262626"/>
          <w:sz w:val="21"/>
        </w:rPr>
        <w:t xml:space="preserve">The pollution response plan of Annex J maintains a tiered response: on-water containment within four hours of a verified release, salvage interface within twelve hours, and the claims channel of Article 26.3 thereafter. The joint roster of Article 39.1 carries pollution standby on the same turns, and the Fund finances the standby under its third priority.</w:t>
      </w:r>
    </w:p>
    <w:p>
      <w:pPr>
        <w:pStyle w:val="Heading3"/>
      </w:pPr>
      <w:r>
        <w:rPr>
          <w:rFonts w:ascii="Cambria" w:hAnsi="Cambria"/>
          <w:color w:val="262626"/>
          <w:sz w:val="21"/>
        </w:rPr>
        <w:t xml:space="preserve">40.3 Environmental Monitoring</w:t>
      </w:r>
    </w:p>
    <w:p>
      <w:pPr>
        <w:pStyle w:val="Normal"/>
      </w:pPr>
      <w:r>
        <w:rPr>
          <w:rFonts w:ascii="Cambria" w:hAnsi="Cambria"/>
          <w:color w:val="262626"/>
          <w:sz w:val="21"/>
        </w:rPr>
        <w:t xml:space="preserve">The processing center maintains the environmental monitoring picture: discharge detection, water quality telemetry from the sensor network, and incident history. The picture publishes quarterly, and the environmental chapter of the confidence reports states performance against the Annex J indicators.</w:t>
      </w:r>
    </w:p>
    <w:p>
      <w:pPr>
        <w:pStyle w:val="Heading3"/>
      </w:pPr>
      <w:r>
        <w:rPr>
          <w:rFonts w:ascii="Cambria" w:hAnsi="Cambria"/>
          <w:color w:val="262626"/>
          <w:sz w:val="21"/>
        </w:rPr>
        <w:t xml:space="preserve">40.4 The Environmental Framing of Fees</w:t>
      </w:r>
    </w:p>
    <w:p>
      <w:pPr>
        <w:pStyle w:val="Normal"/>
      </w:pPr>
      <w:r>
        <w:rPr>
          <w:rFonts w:ascii="Cambria" w:hAnsi="Cambria"/>
          <w:color w:val="262626"/>
          <w:sz w:val="21"/>
        </w:rPr>
        <w:t xml:space="preserve">Every environmental payment in the system flows through the registry of Article 26 or the response accounts of this Article. The architecture admits no environmental levy computed on transit, and Article 20.1 names any such levy a toll.</w:t>
      </w:r>
    </w:p>
    <w:p>
      <w:pPr>
        <w:pStyle w:val="Heading2"/>
      </w:pPr>
      <w:r>
        <w:rPr>
          <w:rFonts w:ascii="Cambria" w:hAnsi="Cambria"/>
          <w:color w:val="262626"/>
          <w:sz w:val="21"/>
        </w:rPr>
        <w:t xml:space="preserve">Article 41: Incident Management and the Mishap Protocol</w:t>
      </w:r>
      <w:bookmarkStart w:id="550" w:name="_Toc26010051"/>
      <w:bookmarkEnd w:id="550"/>
    </w:p>
    <w:p>
      <w:pPr>
        <w:pStyle w:val="Heading3"/>
      </w:pPr>
      <w:r>
        <w:rPr>
          <w:rFonts w:ascii="Cambria" w:hAnsi="Cambria"/>
          <w:color w:val="262626"/>
          <w:sz w:val="21"/>
        </w:rPr>
        <w:t xml:space="preserve">41.1 Incident Tiers</w:t>
      </w:r>
    </w:p>
    <w:p>
      <w:pPr>
        <w:pStyle w:val="Normal"/>
      </w:pPr>
      <w:r>
        <w:rPr>
          <w:rFonts w:ascii="Cambria" w:hAnsi="Cambria"/>
          <w:color w:val="262626"/>
          <w:sz w:val="21"/>
        </w:rPr>
        <w:t xml:space="preserve">The system classifies every safety incident into three tiers on the verified facts: Tier One, a near miss or minor contact with no injury and no pollution; Tier Two, an incident with injury, significant damage, or limited pollution; Tier Three, an incident with loss of life, loss of a vessel, or major pollution. Every tier carries its notification rhythm, its investigation depth, and its publication rule in Annex G.</w:t>
      </w:r>
    </w:p>
    <w:p>
      <w:pPr>
        <w:pStyle w:val="Heading3"/>
      </w:pPr>
      <w:r>
        <w:rPr>
          <w:rFonts w:ascii="Cambria" w:hAnsi="Cambria"/>
          <w:color w:val="262626"/>
          <w:sz w:val="21"/>
        </w:rPr>
        <w:t xml:space="preserve">41.2 Immediate Notification</w:t>
      </w:r>
    </w:p>
    <w:p>
      <w:pPr>
        <w:pStyle w:val="Normal"/>
      </w:pPr>
      <w:r>
        <w:rPr>
          <w:rFonts w:ascii="Cambria" w:hAnsi="Cambria"/>
          <w:color w:val="262626"/>
          <w:sz w:val="21"/>
        </w:rPr>
        <w:t xml:space="preserve">A traffic service aware of any incident notifies the Cell immediately, the Cell notifies every party's liaison within one hour, and the Bulletin carries a Tier Two or Tier Three incident in its next edition with the verified facts as they stand.</w:t>
      </w:r>
    </w:p>
    <w:p>
      <w:pPr>
        <w:pStyle w:val="Heading3"/>
      </w:pPr>
      <w:r>
        <w:rPr>
          <w:rFonts w:ascii="Cambria" w:hAnsi="Cambria"/>
          <w:color w:val="262626"/>
          <w:sz w:val="21"/>
        </w:rPr>
        <w:t xml:space="preserve">41.3 Joint Fact-Finding</w:t>
      </w:r>
    </w:p>
    <w:p>
      <w:pPr>
        <w:pStyle w:val="Normal"/>
      </w:pPr>
      <w:r>
        <w:rPr>
          <w:rFonts w:ascii="Cambria" w:hAnsi="Cambria"/>
          <w:color w:val="262626"/>
          <w:sz w:val="21"/>
        </w:rPr>
        <w:t xml:space="preserve">Every Tier Two and Tier Three incident convenes a joint fact-finding team: one investigator from each Coastal Party, one from the Secretariat, and, for Tier Three, one from the technical observer. The team reads the custody data first, interviews second, and writes a facts report within twenty-one days. The report states facts and causal factors; it assigns no legal fault, and it publishes in full.</w:t>
      </w:r>
    </w:p>
    <w:p>
      <w:pPr>
        <w:pStyle w:val="Heading3"/>
      </w:pPr>
      <w:r>
        <w:rPr>
          <w:rFonts w:ascii="Cambria" w:hAnsi="Cambria"/>
          <w:color w:val="262626"/>
          <w:sz w:val="21"/>
        </w:rPr>
        <w:t xml:space="preserve">41.4 The Near-Miss Program</w:t>
      </w:r>
    </w:p>
    <w:p>
      <w:pPr>
        <w:pStyle w:val="Normal"/>
      </w:pPr>
      <w:r>
        <w:rPr>
          <w:rFonts w:ascii="Cambria" w:hAnsi="Cambria"/>
          <w:color w:val="262626"/>
          <w:sz w:val="21"/>
        </w:rPr>
        <w:t xml:space="preserve">The Cell operates a confidential near-miss reporting channel for mariners, with guaranteed non-attribution, quarterly pattern analysis, and published safety recommendations. The program exists because the incidents the system never has are its best teachers.</w:t>
      </w:r>
    </w:p>
    <w:p>
      <w:pPr>
        <w:pStyle w:val="Heading2"/>
      </w:pPr>
      <w:r>
        <w:rPr>
          <w:rFonts w:ascii="Cambria" w:hAnsi="Cambria"/>
          <w:color w:val="262626"/>
          <w:sz w:val="21"/>
        </w:rPr>
        <w:t xml:space="preserve">Article 42: The Insurance Stabilization Interface</w:t>
      </w:r>
      <w:bookmarkStart w:id="551" w:name="_Toc26010052"/>
      <w:bookmarkEnd w:id="551"/>
    </w:p>
    <w:p>
      <w:pPr>
        <w:pStyle w:val="Heading3"/>
      </w:pPr>
      <w:r>
        <w:rPr>
          <w:rFonts w:ascii="Cambria" w:hAnsi="Cambria"/>
          <w:color w:val="262626"/>
          <w:sz w:val="21"/>
        </w:rPr>
        <w:t xml:space="preserve">42.1 The Liaison</w:t>
      </w:r>
    </w:p>
    <w:p>
      <w:pPr>
        <w:pStyle w:val="Normal"/>
      </w:pPr>
      <w:r>
        <w:rPr>
          <w:rFonts w:ascii="Cambria" w:hAnsi="Cambria"/>
          <w:color w:val="262626"/>
          <w:sz w:val="21"/>
        </w:rPr>
        <w:t xml:space="preserve">The Industry Panel's insurer seats and the Secretariat jointly operate the insurance stabilization interface: a standing channel to the protection and indemnity clubs, the war-risk market, and the reinsurance towers. The interface transmits every certification and report on issue day, plus a monthly risk pack with the system's verified metrics.</w:t>
      </w:r>
    </w:p>
    <w:p>
      <w:pPr>
        <w:pStyle w:val="Heading3"/>
      </w:pPr>
      <w:r>
        <w:rPr>
          <w:rFonts w:ascii="Cambria" w:hAnsi="Cambria"/>
          <w:color w:val="262626"/>
          <w:sz w:val="21"/>
        </w:rPr>
        <w:t xml:space="preserve">42.2 The Premium Track</w:t>
      </w:r>
    </w:p>
    <w:p>
      <w:pPr>
        <w:pStyle w:val="Normal"/>
      </w:pPr>
      <w:r>
        <w:rPr>
          <w:rFonts w:ascii="Cambria" w:hAnsi="Cambria"/>
          <w:color w:val="262626"/>
          <w:sz w:val="21"/>
        </w:rPr>
        <w:t xml:space="preserve">The Parties pursue the normalization of war-risk premiums on evidence, not exhortation. The interface proposes a published premium ladder to the market: reviews at each phase gate of Article 50, anchored to the verified incident record. The market prices freely; the system supplies the verified facts.</w:t>
      </w:r>
    </w:p>
    <w:p>
      <w:pPr>
        <w:pStyle w:val="Heading3"/>
      </w:pPr>
      <w:r>
        <w:rPr>
          <w:rFonts w:ascii="Cambria" w:hAnsi="Cambria"/>
          <w:color w:val="262626"/>
          <w:sz w:val="21"/>
        </w:rPr>
        <w:t xml:space="preserve">42.3 No Designated Insurer</w:t>
      </w:r>
    </w:p>
    <w:p>
      <w:pPr>
        <w:pStyle w:val="Normal"/>
      </w:pPr>
      <w:r>
        <w:rPr>
          <w:rFonts w:ascii="Cambria" w:hAnsi="Cambria"/>
          <w:color w:val="262626"/>
          <w:sz w:val="21"/>
        </w:rPr>
        <w:t xml:space="preserve">The architecture excludes mandatory purchase of insurance from any designated provider as a condition of transit. Every vessel carries the cover its flag state and its club require, and the registry recognizes every established provider on equal terms. During the reopening phases, the compensation window and the registry backstop the residual risks of early transit.</w:t>
      </w:r>
    </w:p>
    <w:p>
      <w:pPr>
        <w:pStyle w:val="Heading1"/>
      </w:pPr>
      <w:r>
        <w:rPr>
          <w:rFonts w:ascii="Cambria" w:hAnsi="Cambria"/>
          <w:color w:val="262626"/>
          <w:sz w:val="21"/>
        </w:rPr>
        <w:t xml:space="preserve">Part VII: Compliance, Pause, and Dispute Resolution</w:t>
      </w:r>
      <w:bookmarkStart w:id="552" w:name="_Toc26010053"/>
      <w:bookmarkEnd w:id="552"/>
    </w:p>
    <w:p>
      <w:pPr>
        <w:pStyle w:val="Heading2"/>
      </w:pPr>
      <w:r>
        <w:rPr>
          <w:rFonts w:ascii="Cambria" w:hAnsi="Cambria"/>
          <w:color w:val="262626"/>
          <w:sz w:val="21"/>
        </w:rPr>
        <w:t xml:space="preserve">Article 43: The Compliance Classification</w:t>
      </w:r>
      <w:bookmarkStart w:id="553" w:name="_Toc26010054"/>
      <w:bookmarkEnd w:id="553"/>
    </w:p>
    <w:p>
      <w:pPr>
        <w:pStyle w:val="Heading3"/>
      </w:pPr>
      <w:r>
        <w:rPr>
          <w:rFonts w:ascii="Cambria" w:hAnsi="Cambria"/>
          <w:color w:val="262626"/>
          <w:sz w:val="21"/>
        </w:rPr>
        <w:t xml:space="preserve">43.1 Three Categories</w:t>
      </w:r>
    </w:p>
    <w:p>
      <w:pPr>
        <w:pStyle w:val="Normal"/>
      </w:pPr>
      <w:r>
        <w:rPr>
          <w:rFonts w:ascii="Cambria" w:hAnsi="Cambria"/>
          <w:color w:val="262626"/>
          <w:sz w:val="21"/>
        </w:rPr>
        <w:t xml:space="preserve">The system classifies every compliance event into one of three categories on verified facts: Operational Variance, an isolated, non-pattern deviation from a procedural rule, cured or curable without third-party loss; Material Disruption, a deviation that produces third-party loss, repeats after notice, or touches a service, safety, or financial standard; Structural Breach, a deviation touching a registered red line, the distress absolute, the liquidity lock, or the Non-Interdiction Protocol. Annex E carries the full classification schedule with examples and automatic responses.</w:t>
      </w:r>
    </w:p>
    <w:p>
      <w:pPr>
        <w:pStyle w:val="Heading3"/>
      </w:pPr>
      <w:r>
        <w:rPr>
          <w:rFonts w:ascii="Cambria" w:hAnsi="Cambria"/>
          <w:color w:val="262626"/>
          <w:sz w:val="21"/>
        </w:rPr>
        <w:t xml:space="preserve">43.2 The Verified Facts Standard</w:t>
      </w:r>
    </w:p>
    <w:p>
      <w:pPr>
        <w:pStyle w:val="Normal"/>
      </w:pPr>
      <w:r>
        <w:rPr>
          <w:rFonts w:ascii="Cambria" w:hAnsi="Cambria"/>
          <w:color w:val="262626"/>
          <w:sz w:val="21"/>
        </w:rPr>
        <w:t xml:space="preserve">Classification rests on verified facts alone: two independent technical sources, or one technical source plus a countersigned human observation, drawn from the custody system. A proposed classification never rests on allegation, inference from nationality, or press reporting.</w:t>
      </w:r>
    </w:p>
    <w:p>
      <w:pPr>
        <w:pStyle w:val="Heading3"/>
      </w:pPr>
      <w:r>
        <w:rPr>
          <w:rFonts w:ascii="Cambria" w:hAnsi="Cambria"/>
          <w:color w:val="262626"/>
          <w:sz w:val="21"/>
        </w:rPr>
        <w:t xml:space="preserve">43.3 The Classification Procedure</w:t>
      </w:r>
    </w:p>
    <w:p>
      <w:pPr>
        <w:pStyle w:val="Normal"/>
      </w:pPr>
      <w:r>
        <w:rPr>
          <w:rFonts w:ascii="Cambria" w:hAnsi="Cambria"/>
          <w:color w:val="262626"/>
          <w:sz w:val="21"/>
        </w:rPr>
        <w:t xml:space="preserve">The Secretariat proposes a classification with its evidence file; the Cell confirms the technical facts; the Desk classifies. The party whose conduct the proposal addresses sees the full evidence file and answers within seventy-two hours before classification. The classification, the file, and the answer publish together. No classification occurs behind any party's back, and no classification stalls waiting for an answer beyond the window.</w:t>
      </w:r>
    </w:p>
    <w:p>
      <w:pPr>
        <w:pStyle w:val="Heading3"/>
      </w:pPr>
      <w:r>
        <w:rPr>
          <w:rFonts w:ascii="Cambria" w:hAnsi="Cambria"/>
          <w:color w:val="262626"/>
          <w:sz w:val="21"/>
        </w:rPr>
        <w:t xml:space="preserve">43.4 Consequences by Category</w:t>
      </w:r>
    </w:p>
    <w:p>
      <w:pPr>
        <w:pStyle w:val="Normal"/>
      </w:pPr>
      <w:r>
        <w:rPr>
          <w:rFonts w:ascii="Cambria" w:hAnsi="Cambria"/>
          <w:color w:val="262626"/>
          <w:sz w:val="21"/>
        </w:rPr>
        <w:t xml:space="preserve">An Operational Variance closes on cure within seven days, with the notice and cure logged. A Material Disruption enters the graduated ladder of Article 44. A Structural Breach activates the Emergency Brake of Article 45 on the request of any party, and the facilitation tier convenes within forty-eight hours.</w:t>
      </w:r>
    </w:p>
    <w:p>
      <w:pPr>
        <w:pStyle w:val="Heading2"/>
      </w:pPr>
      <w:r>
        <w:rPr>
          <w:rFonts w:ascii="Cambria" w:hAnsi="Cambria"/>
          <w:color w:val="262626"/>
          <w:sz w:val="21"/>
        </w:rPr>
        <w:t xml:space="preserve">Article 44: The Graduated Ladder and Earn-Back</w:t>
      </w:r>
      <w:bookmarkStart w:id="554" w:name="_Toc26010055"/>
      <w:bookmarkEnd w:id="554"/>
    </w:p>
    <w:p>
      <w:pPr>
        <w:pStyle w:val="Heading3"/>
      </w:pPr>
      <w:r>
        <w:rPr>
          <w:rFonts w:ascii="Cambria" w:hAnsi="Cambria"/>
          <w:color w:val="262626"/>
          <w:sz w:val="21"/>
        </w:rPr>
        <w:t xml:space="preserve">44.1 The Ladder</w:t>
      </w:r>
    </w:p>
    <w:p>
      <w:pPr>
        <w:pStyle w:val="Normal"/>
      </w:pPr>
      <w:r>
        <w:rPr>
          <w:rFonts w:ascii="Cambria" w:hAnsi="Cambria"/>
          <w:color w:val="262626"/>
          <w:sz w:val="21"/>
        </w:rPr>
        <w:t xml:space="preserve">Consequences for Material Disruption rise in five defined steps, each proportionate, each reversible, and none touching the distress absolute, the liquidity lock, or the compensation window: step one, formal notice with a seven-day cure window; step two, publication of the deviation with the evidence file in the performance digest; step three, suspension of new service certifications and of the quality premium on reimbursement for the responsible party for thirty days; step four, step-back of standing by one level in the Reciprocity Record of Article 46; step five, referral to the facilitation tier with a published case file.</w:t>
      </w:r>
    </w:p>
    <w:p>
      <w:pPr>
        <w:pStyle w:val="Heading3"/>
      </w:pPr>
      <w:r>
        <w:rPr>
          <w:rFonts w:ascii="Cambria" w:hAnsi="Cambria"/>
          <w:color w:val="262626"/>
          <w:sz w:val="21"/>
        </w:rPr>
        <w:t xml:space="preserve">44.2 One Step at a Time</w:t>
      </w:r>
    </w:p>
    <w:p>
      <w:pPr>
        <w:pStyle w:val="Normal"/>
      </w:pPr>
      <w:r>
        <w:rPr>
          <w:rFonts w:ascii="Cambria" w:hAnsi="Cambria"/>
          <w:color w:val="262626"/>
          <w:sz w:val="21"/>
        </w:rPr>
        <w:t xml:space="preserve">The ladder climbs one step at a time, and a step takes effect only where the prior step failed to cure within its window. The ladder never jumps steps for a Material Disruption; a Structural Breach starts at the Brake, not on the ladder.</w:t>
      </w:r>
    </w:p>
    <w:p>
      <w:pPr>
        <w:pStyle w:val="Heading3"/>
      </w:pPr>
      <w:r>
        <w:rPr>
          <w:rFonts w:ascii="Cambria" w:hAnsi="Cambria"/>
          <w:color w:val="262626"/>
          <w:sz w:val="21"/>
        </w:rPr>
        <w:t xml:space="preserve">44.3 Proportionality Review</w:t>
      </w:r>
    </w:p>
    <w:p>
      <w:pPr>
        <w:pStyle w:val="Normal"/>
      </w:pPr>
      <w:r>
        <w:rPr>
          <w:rFonts w:ascii="Cambria" w:hAnsi="Cambria"/>
          <w:color w:val="262626"/>
          <w:sz w:val="21"/>
        </w:rPr>
        <w:t xml:space="preserve">The facilitation tier reviews every step-four and step-five application for proportionality against the classification schedule, and publishes its review. A step applied beyond the schedule reverses, and the reversal publishes with the same prominence as the step.</w:t>
      </w:r>
    </w:p>
    <w:p>
      <w:pPr>
        <w:pStyle w:val="Heading3"/>
      </w:pPr>
      <w:r>
        <w:rPr>
          <w:rFonts w:ascii="Cambria" w:hAnsi="Cambria"/>
          <w:color w:val="262626"/>
          <w:sz w:val="21"/>
        </w:rPr>
        <w:t xml:space="preserve">44.4 Earn-Back and Restoration</w:t>
      </w:r>
    </w:p>
    <w:p>
      <w:pPr>
        <w:pStyle w:val="Normal"/>
      </w:pPr>
      <w:r>
        <w:rPr>
          <w:rFonts w:ascii="Cambria" w:hAnsi="Cambria"/>
          <w:color w:val="262626"/>
          <w:sz w:val="21"/>
        </w:rPr>
        <w:t xml:space="preserve">Every consequence earns back. On verified cure, restoration is automatic and immediate: certifications resume, premiums resume, standing steps back up, and the performance record banks the restored status. Time never restores anything by itself; verified performance restores everything. The Reciprocity Record publishes every step-back and every earn-back side by side.</w:t>
      </w:r>
    </w:p>
    <w:p>
      <w:pPr>
        <w:pStyle w:val="Heading2"/>
      </w:pPr>
      <w:r>
        <w:rPr>
          <w:rFonts w:ascii="Cambria" w:hAnsi="Cambria"/>
          <w:color w:val="262626"/>
          <w:sz w:val="21"/>
        </w:rPr>
        <w:t xml:space="preserve">Article 45: The Emergency Brake</w:t>
      </w:r>
      <w:bookmarkStart w:id="555" w:name="_Toc26010056"/>
      <w:bookmarkEnd w:id="555"/>
    </w:p>
    <w:p>
      <w:pPr>
        <w:pStyle w:val="Heading3"/>
      </w:pPr>
      <w:r>
        <w:rPr>
          <w:rFonts w:ascii="Cambria" w:hAnsi="Cambria"/>
          <w:color w:val="262626"/>
          <w:sz w:val="21"/>
        </w:rPr>
        <w:t xml:space="preserve">45.1 The Brake</w:t>
      </w:r>
    </w:p>
    <w:p>
      <w:pPr>
        <w:pStyle w:val="Normal"/>
      </w:pPr>
      <w:r>
        <w:rPr>
          <w:rFonts w:ascii="Cambria" w:hAnsi="Cambria"/>
          <w:color w:val="262626"/>
          <w:sz w:val="21"/>
        </w:rPr>
        <w:t xml:space="preserve">Any party pauses the operational arrangement with forty-eight hours' written notice where a verifiable security violation occurs in any corridor: mining or mine-laying activity, hostile naval interdiction, an attack on a commercial vessel, or a breach of the Non-Interdiction Protocol. The notice states the verified facts relied upon, and the custody system opens them to every party simultaneously.</w:t>
      </w:r>
    </w:p>
    <w:p>
      <w:pPr>
        <w:pStyle w:val="Heading3"/>
      </w:pPr>
      <w:r>
        <w:rPr>
          <w:rFonts w:ascii="Cambria" w:hAnsi="Cambria"/>
          <w:color w:val="262626"/>
          <w:sz w:val="21"/>
        </w:rPr>
        <w:t xml:space="preserve">45.2 Effect</w:t>
      </w:r>
    </w:p>
    <w:p>
      <w:pPr>
        <w:pStyle w:val="Normal"/>
      </w:pPr>
      <w:r>
        <w:rPr>
          <w:rFonts w:ascii="Cambria" w:hAnsi="Cambria"/>
          <w:color w:val="262626"/>
          <w:sz w:val="21"/>
        </w:rPr>
        <w:t xml:space="preserve">On a pause, the parties revert to the status quo ante without legal penalty and without any presumption of fault. Corridor operations suspend in the affected lane or lanes only; the unaffected lanes continue under the published fallback procedures; and the classified event proceeds through Part VII on its facts. The pause never converts into a termination: continuation resumes on the verified clearance of the violation or on the facilitation tier's restoration decision.</w:t>
      </w:r>
    </w:p>
    <w:p>
      <w:pPr>
        <w:pStyle w:val="Heading3"/>
      </w:pPr>
      <w:r>
        <w:rPr>
          <w:rFonts w:ascii="Cambria" w:hAnsi="Cambria"/>
          <w:color w:val="262626"/>
          <w:sz w:val="21"/>
        </w:rPr>
        <w:t xml:space="preserve">45.3 What Never Pauses</w:t>
      </w:r>
    </w:p>
    <w:p>
      <w:pPr>
        <w:pStyle w:val="Normal"/>
      </w:pPr>
      <w:r>
        <w:rPr>
          <w:rFonts w:ascii="Cambria" w:hAnsi="Cambria"/>
          <w:color w:val="262626"/>
          <w:sz w:val="21"/>
        </w:rPr>
        <w:t xml:space="preserve">Four functions run through every pause: distress response under Article 39.2; the hazard caution broadcasts of Article 11.4; the custody and verification record of Part V, which keeps watching exactly so that the pause has facts to end on; and the compensation window of Article 22.8, which pays certified disruption losses while the water stands still.</w:t>
      </w:r>
    </w:p>
    <w:p>
      <w:pPr>
        <w:pStyle w:val="Heading3"/>
      </w:pPr>
      <w:r>
        <w:rPr>
          <w:rFonts w:ascii="Cambria" w:hAnsi="Cambria"/>
          <w:color w:val="262626"/>
          <w:sz w:val="21"/>
        </w:rPr>
        <w:t xml:space="preserve">45.4 The Cooling-Off Clock</w:t>
      </w:r>
    </w:p>
    <w:p>
      <w:pPr>
        <w:pStyle w:val="Normal"/>
      </w:pPr>
      <w:r>
        <w:rPr>
          <w:rFonts w:ascii="Cambria" w:hAnsi="Cambria"/>
          <w:color w:val="262626"/>
          <w:sz w:val="21"/>
        </w:rPr>
        <w:t xml:space="preserve">A pause runs thirty days. Before it expires, the facilitation tier convenes the parties on the verified facts, and the arrangement resumes on the tier's consensus or extends once for a further thirty days by default while mediation continues. Two consecutive pauses by any party within one hundred and eighty days convene the review conference of Article 53 early.</w:t>
      </w:r>
    </w:p>
    <w:p>
      <w:pPr>
        <w:pStyle w:val="Heading2"/>
      </w:pPr>
      <w:r>
        <w:rPr>
          <w:rFonts w:ascii="Cambria" w:hAnsi="Cambria"/>
          <w:color w:val="262626"/>
          <w:sz w:val="21"/>
        </w:rPr>
        <w:t xml:space="preserve">Article 46: The Reciprocity Record</w:t>
      </w:r>
      <w:bookmarkStart w:id="556" w:name="_Toc26010057"/>
      <w:bookmarkEnd w:id="556"/>
    </w:p>
    <w:p>
      <w:pPr>
        <w:pStyle w:val="Heading3"/>
      </w:pPr>
      <w:r>
        <w:rPr>
          <w:rFonts w:ascii="Cambria" w:hAnsi="Cambria"/>
          <w:color w:val="262626"/>
          <w:sz w:val="21"/>
        </w:rPr>
        <w:t xml:space="preserve">46.1 The Record</w:t>
      </w:r>
    </w:p>
    <w:p>
      <w:pPr>
        <w:pStyle w:val="Normal"/>
      </w:pPr>
      <w:r>
        <w:rPr>
          <w:rFonts w:ascii="Cambria" w:hAnsi="Cambria"/>
          <w:color w:val="262626"/>
          <w:sz w:val="21"/>
        </w:rPr>
        <w:t xml:space="preserve">The Secretariat maintains the Reciprocity Record: the standing account of each party's verified performance across the system's functions, published quarterly. The Record scores transit continuity, service delivery, filing discipline, financial participation, clearance progress, drill performance, and dispute conduct, each on published indicators, each from custody data alone.</w:t>
      </w:r>
    </w:p>
    <w:p>
      <w:pPr>
        <w:pStyle w:val="Heading3"/>
      </w:pPr>
      <w:r>
        <w:rPr>
          <w:rFonts w:ascii="Cambria" w:hAnsi="Cambria"/>
          <w:color w:val="262626"/>
          <w:sz w:val="21"/>
        </w:rPr>
        <w:t xml:space="preserve">46.2 Standing Levels</w:t>
      </w:r>
    </w:p>
    <w:p>
      <w:pPr>
        <w:pStyle w:val="Normal"/>
      </w:pPr>
      <w:r>
        <w:rPr>
          <w:rFonts w:ascii="Cambria" w:hAnsi="Cambria"/>
          <w:color w:val="262626"/>
          <w:sz w:val="21"/>
        </w:rPr>
        <w:t xml:space="preserve">The Record places each party at one of five standing levels per quarter, on the published thresholds of Annex E. Standing never depends on any other party's conduct: each party's level reflects its own verified record, so no party holds another's reputation hostage.</w:t>
      </w:r>
    </w:p>
    <w:p>
      <w:pPr>
        <w:pStyle w:val="Heading3"/>
      </w:pPr>
      <w:r>
        <w:rPr>
          <w:rFonts w:ascii="Cambria" w:hAnsi="Cambria"/>
          <w:color w:val="262626"/>
          <w:sz w:val="21"/>
        </w:rPr>
        <w:t xml:space="preserve">46.3 What Standing Carries</w:t>
      </w:r>
    </w:p>
    <w:p>
      <w:pPr>
        <w:pStyle w:val="Normal"/>
      </w:pPr>
      <w:r>
        <w:rPr>
          <w:rFonts w:ascii="Cambria" w:hAnsi="Cambria"/>
          <w:color w:val="262626"/>
          <w:sz w:val="21"/>
        </w:rPr>
        <w:t xml:space="preserve">Standing carries the system's discretionary benefits: eligibility for the chair's agenda privileges, priority in the project queue of Article 29, the quality premium on reimbursement rates of Annex D, and first consideration for new functions the system creates. Standing never carries operational treatment of vessels, and no vessel's transit ever reads a state's standing.</w:t>
      </w:r>
    </w:p>
    <w:p>
      <w:pPr>
        <w:pStyle w:val="Heading3"/>
      </w:pPr>
      <w:r>
        <w:rPr>
          <w:rFonts w:ascii="Cambria" w:hAnsi="Cambria"/>
          <w:color w:val="262626"/>
          <w:sz w:val="21"/>
        </w:rPr>
        <w:t xml:space="preserve">46.4 Banking</w:t>
      </w:r>
    </w:p>
    <w:p>
      <w:pPr>
        <w:pStyle w:val="Normal"/>
      </w:pPr>
      <w:r>
        <w:rPr>
          <w:rFonts w:ascii="Cambria" w:hAnsi="Cambria"/>
          <w:color w:val="262626"/>
          <w:sz w:val="21"/>
        </w:rPr>
        <w:t xml:space="preserve">Earned standing banks. A party's accumulated record survives every review cycle, every pause, and every transition, and carries forward into every successor instrument. Only the defined step-back of Article 44 adjusts standing downward, and earn-back restores it under Article 44.4.</w:t>
      </w:r>
    </w:p>
    <w:p>
      <w:pPr>
        <w:pStyle w:val="Heading2"/>
      </w:pPr>
      <w:r>
        <w:rPr>
          <w:rFonts w:ascii="Cambria" w:hAnsi="Cambria"/>
          <w:color w:val="262626"/>
          <w:sz w:val="21"/>
        </w:rPr>
        <w:t xml:space="preserve">Article 47: The Dispute Resolution Ladder</w:t>
      </w:r>
      <w:bookmarkStart w:id="557" w:name="_Toc26010058"/>
      <w:bookmarkEnd w:id="557"/>
    </w:p>
    <w:p>
      <w:pPr>
        <w:pStyle w:val="Heading3"/>
      </w:pPr>
      <w:r>
        <w:rPr>
          <w:rFonts w:ascii="Cambria" w:hAnsi="Cambria"/>
          <w:color w:val="262626"/>
          <w:sz w:val="21"/>
        </w:rPr>
        <w:t xml:space="preserve">47.1 The Ladder</w:t>
      </w:r>
    </w:p>
    <w:p>
      <w:pPr>
        <w:pStyle w:val="Normal"/>
      </w:pPr>
      <w:r>
        <w:rPr>
          <w:rFonts w:ascii="Cambria" w:hAnsi="Cambria"/>
          <w:color w:val="262626"/>
          <w:sz w:val="21"/>
        </w:rPr>
        <w:t xml:space="preserve">Disputes rise through four tiers, each with its own subject matter, its own clock, and its own output, and the system's operations continue on the default rule at every tier.</w:t>
      </w:r>
    </w:p>
    <w:p>
      <w:pPr>
        <w:pStyle w:val="Heading3"/>
      </w:pPr>
      <w:r>
        <w:rPr>
          <w:rFonts w:ascii="Cambria" w:hAnsi="Cambria"/>
          <w:color w:val="262626"/>
          <w:sz w:val="21"/>
        </w:rPr>
        <w:t xml:space="preserve">47.2 Tier One: Technical Facts</w:t>
      </w:r>
    </w:p>
    <w:p>
      <w:pPr>
        <w:pStyle w:val="Normal"/>
      </w:pPr>
      <w:r>
        <w:rPr>
          <w:rFonts w:ascii="Cambria" w:hAnsi="Cambria"/>
          <w:color w:val="262626"/>
          <w:sz w:val="21"/>
        </w:rPr>
        <w:t xml:space="preserve">A dispute over facts, classifications, counts, coordinates, or records goes to the Expedited Technical Arbitration Panel of Article 35.4, which rules within seventy-two hours on the raw data, binding on every operational trigger and precedent-free in law.</w:t>
      </w:r>
    </w:p>
    <w:p>
      <w:pPr>
        <w:pStyle w:val="Heading3"/>
      </w:pPr>
      <w:r>
        <w:rPr>
          <w:rFonts w:ascii="Cambria" w:hAnsi="Cambria"/>
          <w:color w:val="262626"/>
          <w:sz w:val="21"/>
        </w:rPr>
        <w:t xml:space="preserve">47.3 Tier Two: Facilitation</w:t>
      </w:r>
    </w:p>
    <w:p>
      <w:pPr>
        <w:pStyle w:val="Normal"/>
      </w:pPr>
      <w:r>
        <w:rPr>
          <w:rFonts w:ascii="Cambria" w:hAnsi="Cambria"/>
          <w:color w:val="262626"/>
          <w:sz w:val="21"/>
        </w:rPr>
        <w:t xml:space="preserve">A dispute over the application of a rule, a classification above Tier One, a reconciliation under Article 21, or a proportionality question goes to the facilitation tier: a standing panel of the four facilitating states, chaired in rotation, convening within fourteen days and reporting within thirty, with the good offices of the Sultanate of Oman and the State of Qatar as of standing right. The tier's outputs take the form of agreed readings, recorded understandings, and restoration decisions, and each publishes.</w:t>
      </w:r>
    </w:p>
    <w:p>
      <w:pPr>
        <w:pStyle w:val="Heading3"/>
      </w:pPr>
      <w:r>
        <w:rPr>
          <w:rFonts w:ascii="Cambria" w:hAnsi="Cambria"/>
          <w:color w:val="262626"/>
          <w:sz w:val="21"/>
        </w:rPr>
        <w:t xml:space="preserve">47.4 Tier Three: The Political Channel</w:t>
      </w:r>
    </w:p>
    <w:p>
      <w:pPr>
        <w:pStyle w:val="Normal"/>
      </w:pPr>
      <w:r>
        <w:rPr>
          <w:rFonts w:ascii="Cambria" w:hAnsi="Cambria"/>
          <w:color w:val="262626"/>
          <w:sz w:val="21"/>
        </w:rPr>
        <w:t xml:space="preserve">A dispute touching a registered red line, a pause beyond thirty days, or any question a party elevates in writing goes to the political channel: the foreign ministers of the four Parties, convened by the depositary within twenty-one days, with the facilitating states in attendance. The channel addresses the question as a political matter; it never issues operational instructions to the organs, and corridor operations continue on the default rule throughout.</w:t>
      </w:r>
    </w:p>
    <w:p>
      <w:pPr>
        <w:pStyle w:val="Heading3"/>
      </w:pPr>
      <w:r>
        <w:rPr>
          <w:rFonts w:ascii="Cambria" w:hAnsi="Cambria"/>
          <w:color w:val="262626"/>
          <w:sz w:val="21"/>
        </w:rPr>
        <w:t xml:space="preserve">47.5 Tier Four: Technical Arbitration on Reimbursement and Accounts</w:t>
      </w:r>
    </w:p>
    <w:p>
      <w:pPr>
        <w:pStyle w:val="Normal"/>
      </w:pPr>
      <w:r>
        <w:rPr>
          <w:rFonts w:ascii="Cambria" w:hAnsi="Cambria"/>
          <w:color w:val="262626"/>
          <w:sz w:val="21"/>
        </w:rPr>
        <w:t xml:space="preserve">A financial dispute that resists the review of Article 31.4 goes to a single arbitrator from the registered list of Annex M, appointed by rotation, ruling within sixty days on the accounts and the audit trail. The ruling binds the financial settlement and touches nothing else.</w:t>
      </w:r>
    </w:p>
    <w:p>
      <w:pPr>
        <w:pStyle w:val="Heading3"/>
      </w:pPr>
      <w:r>
        <w:rPr>
          <w:rFonts w:ascii="Cambria" w:hAnsi="Cambria"/>
          <w:color w:val="262626"/>
          <w:sz w:val="21"/>
        </w:rPr>
        <w:t xml:space="preserve">47.6 No Forum Shopping</w:t>
      </w:r>
    </w:p>
    <w:p>
      <w:pPr>
        <w:pStyle w:val="Normal"/>
      </w:pPr>
      <w:r>
        <w:rPr>
          <w:rFonts w:ascii="Cambria" w:hAnsi="Cambria"/>
          <w:color w:val="262626"/>
          <w:sz w:val="21"/>
        </w:rPr>
        <w:t xml:space="preserve">A dispute enters the ladder at the tier that matches its subject matter, and no party carries a live dispute to a public forum, a third institution, or another track while its tier's clock runs. The ladder's clocks are short by design, and Annex R publishes the system's dispute statistics every quarter.</w:t>
      </w:r>
    </w:p>
    <w:p>
      <w:pPr>
        <w:pStyle w:val="Heading2"/>
      </w:pPr>
      <w:r>
        <w:rPr>
          <w:rFonts w:ascii="Cambria" w:hAnsi="Cambria"/>
          <w:color w:val="262626"/>
          <w:sz w:val="21"/>
        </w:rPr>
        <w:t xml:space="preserve">Article 48: The Protection Covenant</w:t>
      </w:r>
      <w:bookmarkStart w:id="558" w:name="_Toc26010059"/>
      <w:bookmarkEnd w:id="558"/>
    </w:p>
    <w:p>
      <w:pPr>
        <w:pStyle w:val="Heading3"/>
      </w:pPr>
      <w:r>
        <w:rPr>
          <w:rFonts w:ascii="Cambria" w:hAnsi="Cambria"/>
          <w:color w:val="262626"/>
          <w:sz w:val="21"/>
        </w:rPr>
        <w:t xml:space="preserve">48.1 The Covenant</w:t>
      </w:r>
    </w:p>
    <w:p>
      <w:pPr>
        <w:pStyle w:val="Normal"/>
      </w:pPr>
      <w:r>
        <w:rPr>
          <w:rFonts w:ascii="Cambria" w:hAnsi="Cambria"/>
          <w:color w:val="262626"/>
          <w:sz w:val="21"/>
        </w:rPr>
        <w:t xml:space="preserve">The framework shields the civilian maritime domain from every regional dispute. Commercial shipping, seafarers, offshore energy infrastructure, port and liquefaction facilities, and subsea cables within and serving the Governance Area stand outside every conflict, sanction, retaliation, and pressure campaign of any party, from every direction. The covenant binds through the architecture: no party's dispute with any other party touches the water, the ships, the crews, or the energy system that the region and the world share.</w:t>
      </w:r>
    </w:p>
    <w:p>
      <w:pPr>
        <w:pStyle w:val="Heading3"/>
      </w:pPr>
      <w:r>
        <w:rPr>
          <w:rFonts w:ascii="Cambria" w:hAnsi="Cambria"/>
          <w:color w:val="262626"/>
          <w:sz w:val="21"/>
        </w:rPr>
        <w:t xml:space="preserve">48.2 Spillover Shielding</w:t>
      </w:r>
    </w:p>
    <w:p>
      <w:pPr>
        <w:pStyle w:val="Normal"/>
      </w:pPr>
      <w:r>
        <w:rPr>
          <w:rFonts w:ascii="Cambria" w:hAnsi="Cambria"/>
          <w:color w:val="262626"/>
          <w:sz w:val="21"/>
        </w:rPr>
        <w:t xml:space="preserve">Developments elsewhere, including in Lebanon, Yemen, the Red Sea, Iraq, or on the nuclear track, route to their own formats. No such development suspends, conditions, or re-prices any operation of this Agreement, and no organ of this system takes cognizance of any of them except through the political channel's recorded references.</w:t>
      </w:r>
    </w:p>
    <w:p>
      <w:pPr>
        <w:pStyle w:val="Heading3"/>
      </w:pPr>
      <w:r>
        <w:rPr>
          <w:rFonts w:ascii="Cambria" w:hAnsi="Cambria"/>
          <w:color w:val="262626"/>
          <w:sz w:val="21"/>
        </w:rPr>
        <w:t xml:space="preserve">48.3 Energy Continuity</w:t>
      </w:r>
    </w:p>
    <w:p>
      <w:pPr>
        <w:pStyle w:val="Normal"/>
      </w:pPr>
      <w:r>
        <w:rPr>
          <w:rFonts w:ascii="Cambria" w:hAnsi="Cambria"/>
          <w:color w:val="262626"/>
          <w:sz w:val="21"/>
        </w:rPr>
        <w:t xml:space="preserve">The Parties record the shared interest of all four of them in the continuity of energy flows: the crude and condensate of the Gulf's producers, the liquefied natural gas of Qatar and its neighbors, and the imports on which the region's own populations depend. The system's metrics of Annex R include energy-continuity indicators, and the confidence reports state them plainly.</w:t>
      </w:r>
    </w:p>
    <w:p>
      <w:pPr>
        <w:pStyle w:val="Heading3"/>
      </w:pPr>
      <w:r>
        <w:rPr>
          <w:rFonts w:ascii="Cambria" w:hAnsi="Cambria"/>
          <w:color w:val="262626"/>
          <w:sz w:val="21"/>
        </w:rPr>
        <w:t xml:space="preserve">48.4 Crew Protection</w:t>
      </w:r>
    </w:p>
    <w:p>
      <w:pPr>
        <w:pStyle w:val="Normal"/>
      </w:pPr>
      <w:r>
        <w:rPr>
          <w:rFonts w:ascii="Cambria" w:hAnsi="Cambria"/>
          <w:color w:val="262626"/>
          <w:sz w:val="21"/>
        </w:rPr>
        <w:t xml:space="preserve">Seafarers stand outside every dispute. No party detains, harasses, or instrumentalizes any crew for any reason connected with any other party, and every crew welfare incident in the Governance Area enters the incident system of Article 41 with the same care as a collision.</w:t>
      </w:r>
    </w:p>
    <w:p>
      <w:pPr>
        <w:pStyle w:val="Heading2"/>
      </w:pPr>
      <w:r>
        <w:rPr>
          <w:rFonts w:ascii="Cambria" w:hAnsi="Cambria"/>
          <w:color w:val="262626"/>
          <w:sz w:val="21"/>
        </w:rPr>
        <w:t xml:space="preserve">Article 49: The Narrative Symmetry Protocol</w:t>
      </w:r>
      <w:bookmarkStart w:id="559" w:name="_Toc26010060"/>
      <w:bookmarkEnd w:id="559"/>
    </w:p>
    <w:p>
      <w:pPr>
        <w:pStyle w:val="Heading3"/>
      </w:pPr>
      <w:r>
        <w:rPr>
          <w:rFonts w:ascii="Cambria" w:hAnsi="Cambria"/>
          <w:color w:val="262626"/>
          <w:sz w:val="21"/>
        </w:rPr>
        <w:t xml:space="preserve">49.1 The Protocol</w:t>
      </w:r>
    </w:p>
    <w:p>
      <w:pPr>
        <w:pStyle w:val="Normal"/>
      </w:pPr>
      <w:r>
        <w:rPr>
          <w:rFonts w:ascii="Cambria" w:hAnsi="Cambria"/>
          <w:color w:val="262626"/>
          <w:sz w:val="21"/>
        </w:rPr>
        <w:t xml:space="preserve">Each party describes this Agreement to its own public in its own terms, and the architecture protects every party's domestic narrative by protecting all of them equally. No party publicly characterizes another party's participation as concession, capitulation, victory, or defeat. Public statements by the parties describe the system's operations in the registered terminology of Annex N, and the depositary maintains a public reference text for that purpose in all three languages of record.</w:t>
      </w:r>
    </w:p>
    <w:p>
      <w:pPr>
        <w:pStyle w:val="Heading3"/>
      </w:pPr>
      <w:r>
        <w:rPr>
          <w:rFonts w:ascii="Cambria" w:hAnsi="Cambria"/>
          <w:color w:val="262626"/>
          <w:sz w:val="21"/>
        </w:rPr>
        <w:t xml:space="preserve">49.2 The Terminology Discipline</w:t>
      </w:r>
    </w:p>
    <w:p>
      <w:pPr>
        <w:pStyle w:val="Normal"/>
      </w:pPr>
      <w:r>
        <w:rPr>
          <w:rFonts w:ascii="Cambria" w:hAnsi="Cambria"/>
          <w:color w:val="262626"/>
          <w:sz w:val="21"/>
        </w:rPr>
        <w:t xml:space="preserve">The registered vocabulary governs: the system speaks of corridors, services, reimbursement, contributions, and verification, and never of tolls, permits, control, or surrender. Where a party's domestic law or political vocabulary requires different words for domestic consumption, the party uses them domestically, and the shared record uses the registered terms. The two registers coexist without either one amending the shared text.</w:t>
      </w:r>
    </w:p>
    <w:p>
      <w:pPr>
        <w:pStyle w:val="Heading3"/>
      </w:pPr>
      <w:r>
        <w:rPr>
          <w:rFonts w:ascii="Cambria" w:hAnsi="Cambria"/>
          <w:color w:val="262626"/>
          <w:sz w:val="21"/>
        </w:rPr>
        <w:t xml:space="preserve">49.3 The Symmetry Review</w:t>
      </w:r>
    </w:p>
    <w:p>
      <w:pPr>
        <w:pStyle w:val="Normal"/>
      </w:pPr>
      <w:r>
        <w:rPr>
          <w:rFonts w:ascii="Cambria" w:hAnsi="Cambria"/>
          <w:color w:val="262626"/>
          <w:sz w:val="21"/>
        </w:rPr>
        <w:t xml:space="preserve">Where a party considers that another party's public characterization breaches this protocol, it raises the matter through the facilitation tier, which issues a symmetry note recording the agreed reading. Symmetry notes publish, and the pattern of their use forms part of the Reciprocity Record's dispute-conduct indicator.</w:t>
      </w:r>
    </w:p>
    <w:p>
      <w:pPr>
        <w:pStyle w:val="Heading3"/>
      </w:pPr>
      <w:r>
        <w:rPr>
          <w:rFonts w:ascii="Cambria" w:hAnsi="Cambria"/>
          <w:color w:val="262626"/>
          <w:sz w:val="21"/>
        </w:rPr>
        <w:t xml:space="preserve">49.4 Why the Protocol Exists</w:t>
      </w:r>
    </w:p>
    <w:p>
      <w:pPr>
        <w:pStyle w:val="Normal"/>
      </w:pPr>
      <w:r>
        <w:rPr>
          <w:rFonts w:ascii="Cambria" w:hAnsi="Cambria"/>
          <w:color w:val="262626"/>
          <w:sz w:val="21"/>
        </w:rPr>
        <w:t xml:space="preserve">The crisis of 2026 turned repeatedly on dueling public narratives: one capital's no charge read against another's services and costs, one capital's opening against another's administration. This protocol accepts that each party answers to its own public, and it prevents those answers from re-opening questions the architecture has already closed.</w:t>
      </w:r>
    </w:p>
    <w:p>
      <w:pPr>
        <w:pStyle w:val="Heading1"/>
      </w:pPr>
      <w:r>
        <w:rPr>
          <w:rFonts w:ascii="Cambria" w:hAnsi="Cambria"/>
          <w:color w:val="262626"/>
          <w:sz w:val="21"/>
        </w:rPr>
        <w:t xml:space="preserve">Part VIII: Activation, Continuity, Review, and Final Provisions</w:t>
      </w:r>
      <w:bookmarkStart w:id="560" w:name="_Toc26010061"/>
      <w:bookmarkEnd w:id="560"/>
    </w:p>
    <w:p>
      <w:pPr>
        <w:pStyle w:val="Heading2"/>
      </w:pPr>
      <w:r>
        <w:rPr>
          <w:rFonts w:ascii="Cambria" w:hAnsi="Cambria"/>
          <w:color w:val="262626"/>
          <w:sz w:val="21"/>
        </w:rPr>
        <w:t xml:space="preserve">Article 50: Phased Activation</w:t>
      </w:r>
      <w:bookmarkStart w:id="561" w:name="_Toc26010062"/>
      <w:bookmarkEnd w:id="561"/>
    </w:p>
    <w:p>
      <w:pPr>
        <w:pStyle w:val="Heading3"/>
      </w:pPr>
      <w:r>
        <w:rPr>
          <w:rFonts w:ascii="Cambria" w:hAnsi="Cambria"/>
          <w:color w:val="262626"/>
          <w:sz w:val="21"/>
        </w:rPr>
        <w:t xml:space="preserve">50.1 The Activation Sequence</w:t>
      </w:r>
    </w:p>
    <w:p>
      <w:pPr>
        <w:pStyle w:val="Normal"/>
      </w:pPr>
      <w:r>
        <w:rPr>
          <w:rFonts w:ascii="Cambria" w:hAnsi="Cambria"/>
          <w:color w:val="262626"/>
          <w:sz w:val="21"/>
        </w:rPr>
        <w:t xml:space="preserve">The Agreement activates on a published sequence of six phases, each with its entry criteria, its operational content, and its exit evidence. Annex L carries the full timeline and the activation checklists. The governing principle of the sequence: measure twice, open once. Every lane that opens, stays open.</w:t>
      </w:r>
    </w:p>
    <w:p>
      <w:pPr>
        <w:pStyle w:val="Heading3"/>
      </w:pPr>
      <w:r>
        <w:rPr>
          <w:rFonts w:ascii="Cambria" w:hAnsi="Cambria"/>
          <w:color w:val="262626"/>
          <w:sz w:val="21"/>
        </w:rPr>
        <w:t xml:space="preserve">50.2 Phase Zero: Immediate Stand-Down</w:t>
      </w:r>
    </w:p>
    <w:p>
      <w:pPr>
        <w:pStyle w:val="Normal"/>
      </w:pPr>
      <w:r>
        <w:rPr>
          <w:rFonts w:ascii="Cambria" w:hAnsi="Cambria"/>
          <w:color w:val="262626"/>
          <w:sz w:val="21"/>
        </w:rPr>
        <w:t xml:space="preserve">Phase Zero runs from signature through the first forty-eight hours. Military operations against commercial traffic cease in every direction; the framework's non-interdiction protocol takes effect immediately; the security channel of Article 38.2 activates and tests; the Desk convenes its first watch at the Doha seat; and the parties exchange their designated authority registrations under Article 2.5. The signing ceremony takes place at a neutral venue, and the depositary publishes the signed text the same day.</w:t>
      </w:r>
    </w:p>
    <w:p>
      <w:pPr>
        <w:pStyle w:val="Heading3"/>
      </w:pPr>
      <w:r>
        <w:rPr>
          <w:rFonts w:ascii="Cambria" w:hAnsi="Cambria"/>
          <w:color w:val="262626"/>
          <w:sz w:val="21"/>
        </w:rPr>
        <w:t xml:space="preserve">50.3 Phase One: Technical Clearance and Systems (Days 1-14)</w:t>
      </w:r>
    </w:p>
    <w:p>
      <w:pPr>
        <w:pStyle w:val="Normal"/>
      </w:pPr>
      <w:r>
        <w:rPr>
          <w:rFonts w:ascii="Cambria" w:hAnsi="Cambria"/>
          <w:color w:val="262626"/>
          <w:sz w:val="21"/>
        </w:rPr>
        <w:t xml:space="preserve">Phase One clears the water and builds the machine. The Joint Survey and Clearance Unit deploys and begins the clearance sequence of Article 11.2, central lane first, with the hazard register publishing daily. The processing center activates the satellite-validated tracking, the acoustic sensors install on the published map, and the Cell stands its first full watch by Day 7. The Desk registers the stranded-vessel fleet awaiting transit, opens the declaration system, and conducts a dry run with volunteer vessels between Days 8 and 14 to test data flows, objection procedures, and the arbitration simulation. The insurance interface transmits the first risk pack at Day 14.</w:t>
      </w:r>
    </w:p>
    <w:p>
      <w:pPr>
        <w:pStyle w:val="Heading3"/>
      </w:pPr>
      <w:r>
        <w:rPr>
          <w:rFonts w:ascii="Cambria" w:hAnsi="Cambria"/>
          <w:color w:val="262626"/>
          <w:sz w:val="21"/>
        </w:rPr>
        <w:t xml:space="preserve">50.4 Phase Two: Controlled Reopening (Days 15-30)</w:t>
      </w:r>
    </w:p>
    <w:p>
      <w:pPr>
        <w:pStyle w:val="Normal"/>
      </w:pPr>
      <w:r>
        <w:rPr>
          <w:rFonts w:ascii="Cambria" w:hAnsi="Cambria"/>
          <w:color w:val="262626"/>
          <w:sz w:val="21"/>
        </w:rPr>
        <w:t xml:space="preserve">Phase Two opens the Central Transit Corridor on certification, as the sole initial artery. All commercial vessels use the central lane under strict speed and routing parameters, with certified neutral pilots for vessels above 50,000 deadweight tons and transit free of all charges. The Desk sequences the stranded fleet by the published priority: energy and humanitarian cargoes first, essential goods second, general cargo third, within a staggered departure schedule. The corridor usage logs begin generating the objective metrics of the system, and the Day-30 confidence report closes the phase.</w:t>
      </w:r>
    </w:p>
    <w:p>
      <w:pPr>
        <w:pStyle w:val="Heading3"/>
      </w:pPr>
      <w:r>
        <w:rPr>
          <w:rFonts w:ascii="Cambria" w:hAnsi="Cambria"/>
          <w:color w:val="262626"/>
          <w:sz w:val="21"/>
        </w:rPr>
        <w:t xml:space="preserve">50.5 Phase Three: Full Corridor Operation (Days 31-50)</w:t>
      </w:r>
    </w:p>
    <w:p>
      <w:pPr>
        <w:pStyle w:val="Normal"/>
      </w:pPr>
      <w:r>
        <w:rPr>
          <w:rFonts w:ascii="Cambria" w:hAnsi="Cambria"/>
          <w:color w:val="262626"/>
          <w:sz w:val="21"/>
        </w:rPr>
        <w:t xml:space="preserve">Phase Three opens the Northern and Southern Alignment Corridors on their certifications. Free selection under Article 7.5 takes full effect; the coastal lanes deliver their services under the Catalog; and the reimbursement, contribution, and registry channels of Part IV run live. The self-executing milestones of Article 51 proceed on the ledger's arithmetic. The stranded-vessel backlog clears on the queue, and the insurance interface tracks premium normalization against the verified record.</w:t>
      </w:r>
    </w:p>
    <w:p>
      <w:pPr>
        <w:pStyle w:val="Heading3"/>
      </w:pPr>
      <w:r>
        <w:rPr>
          <w:rFonts w:ascii="Cambria" w:hAnsi="Cambria"/>
          <w:color w:val="262626"/>
          <w:sz w:val="21"/>
        </w:rPr>
        <w:t xml:space="preserve">50.6 Phase Four: Stabilization (Days 51-60)</w:t>
      </w:r>
    </w:p>
    <w:p>
      <w:pPr>
        <w:pStyle w:val="Normal"/>
      </w:pPr>
      <w:r>
        <w:rPr>
          <w:rFonts w:ascii="Cambria" w:hAnsi="Cambria"/>
          <w:color w:val="262626"/>
          <w:sz w:val="21"/>
        </w:rPr>
        <w:t xml:space="preserve">Phase Four normalizes operations toward the pre-conflict baseline of approximately sixty vessels per day through the system, stabilizes insurance pricing, completes the backlog clearance, and runs the pre-review working groups. The Day-50 confidence report publishes, and the depositary convenes the review conference. The financial settlement of the first period closes: reimbursements settle, the floor calculation runs, and the Bridge ledger's first accounting publishes.</w:t>
      </w:r>
    </w:p>
    <w:p>
      <w:pPr>
        <w:pStyle w:val="Heading3"/>
      </w:pPr>
      <w:r>
        <w:rPr>
          <w:rFonts w:ascii="Cambria" w:hAnsi="Cambria"/>
          <w:color w:val="262626"/>
          <w:sz w:val="21"/>
        </w:rPr>
        <w:t xml:space="preserve">50.7 Phase Five: Review and Forward Operation (Day 60 onward)</w:t>
      </w:r>
    </w:p>
    <w:p>
      <w:pPr>
        <w:pStyle w:val="Normal"/>
      </w:pPr>
      <w:r>
        <w:rPr>
          <w:rFonts w:ascii="Cambria" w:hAnsi="Cambria"/>
          <w:color w:val="262626"/>
          <w:sz w:val="21"/>
        </w:rPr>
        <w:t xml:space="preserve">Phase Five begins with the review conference of Article 53 and continues indefinitely under the Standing Continuity Rule. The system thereafter operates on its standing rhythms: quarterly settlements, quarterly reports, annual rate and budget processes, and the renewal reviews of Article 53.</w:t>
      </w:r>
    </w:p>
    <w:p>
      <w:pPr>
        <w:pStyle w:val="Heading2"/>
      </w:pPr>
      <w:r>
        <w:rPr>
          <w:rFonts w:ascii="Cambria" w:hAnsi="Cambria"/>
          <w:color w:val="262626"/>
          <w:sz w:val="21"/>
        </w:rPr>
        <w:t xml:space="preserve">Article 51: Self-Executing Milestones</w:t>
      </w:r>
      <w:bookmarkStart w:id="562" w:name="_Toc26010063"/>
      <w:bookmarkEnd w:id="562"/>
    </w:p>
    <w:p>
      <w:pPr>
        <w:pStyle w:val="Heading3"/>
      </w:pPr>
      <w:r>
        <w:rPr>
          <w:rFonts w:ascii="Cambria" w:hAnsi="Cambria"/>
          <w:color w:val="262626"/>
          <w:sz w:val="21"/>
        </w:rPr>
        <w:t xml:space="preserve">51.1 The Milestone Table</w:t>
      </w:r>
    </w:p>
    <w:p>
      <w:pPr>
        <w:pStyle w:val="Normal"/>
      </w:pPr>
      <w:r>
        <w:rPr>
          <w:rFonts w:ascii="Cambria" w:hAnsi="Cambria"/>
          <w:color w:val="262626"/>
          <w:sz w:val="21"/>
        </w:rPr>
        <w:t xml:space="preserve">The economic and political milestones of the activation sequence execute automatically on verified performance, through the Bridge ledger of Article 27 and the licensing pathway of Article 27.4. No milestone waits for a fresh political decision; the parties take the decisions once, here, and the architecture executes them.</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1500"/>
        <w:gridCol w:w="2850"/>
        <w:gridCol w:w="2400"/>
        <w:gridCol w:w="2276"/>
      </w:tblGrid>
      <w:tr>
        <w:trPr>
          <w:tblHeader/>
        </w:trPr>
        <w:tc>
          <w:tcPr>
            <w:tcW w:w="1500" w:type="dxa"/>
            <w:shd w:val="clear" w:fill="E9F1F3"/>
            <w:vAlign w:val="top"/>
          </w:tcPr>
          <w:p>
            <w:pPr>
              <w:spacing w:before="20" w:after="20" w:line="276" w:lineRule="auto"/>
              <w:jc w:val="left"/>
            </w:pPr>
            <w:r>
              <w:rPr>
                <w:rFonts w:ascii="Calibri" w:hAnsi="Calibri"/>
                <w:b/>
                <w:color w:val="16404E"/>
                <w:sz w:val="19"/>
              </w:rPr>
              <w:t xml:space="preserve">Gate</w:t>
            </w:r>
          </w:p>
        </w:tc>
        <w:tc>
          <w:tcPr>
            <w:tcW w:w="2850" w:type="dxa"/>
            <w:shd w:val="clear" w:fill="E9F1F3"/>
            <w:vAlign w:val="top"/>
          </w:tcPr>
          <w:p>
            <w:pPr>
              <w:spacing w:before="20" w:after="20" w:line="276" w:lineRule="auto"/>
              <w:jc w:val="left"/>
            </w:pPr>
            <w:r>
              <w:rPr>
                <w:rFonts w:ascii="Calibri" w:hAnsi="Calibri"/>
                <w:b/>
                <w:color w:val="16404E"/>
                <w:sz w:val="19"/>
              </w:rPr>
              <w:t xml:space="preserve">Trigger (Verified)</w:t>
            </w:r>
          </w:p>
        </w:tc>
        <w:tc>
          <w:tcPr>
            <w:tcW w:w="2400" w:type="dxa"/>
            <w:shd w:val="clear" w:fill="E9F1F3"/>
            <w:vAlign w:val="top"/>
          </w:tcPr>
          <w:p>
            <w:pPr>
              <w:spacing w:before="20" w:after="20" w:line="276" w:lineRule="auto"/>
              <w:jc w:val="left"/>
            </w:pPr>
            <w:r>
              <w:rPr>
                <w:rFonts w:ascii="Calibri" w:hAnsi="Calibri"/>
                <w:b/>
                <w:color w:val="16404E"/>
                <w:sz w:val="19"/>
              </w:rPr>
              <w:t xml:space="preserve">Economic Milestone</w:t>
            </w:r>
          </w:p>
        </w:tc>
        <w:tc>
          <w:tcPr>
            <w:tcW w:w="2276" w:type="dxa"/>
            <w:shd w:val="clear" w:fill="E9F1F3"/>
            <w:vAlign w:val="top"/>
          </w:tcPr>
          <w:p>
            <w:pPr>
              <w:spacing w:before="20" w:after="20" w:line="276" w:lineRule="auto"/>
              <w:jc w:val="left"/>
            </w:pPr>
            <w:r>
              <w:rPr>
                <w:rFonts w:ascii="Calibri" w:hAnsi="Calibri"/>
                <w:b/>
                <w:color w:val="16404E"/>
                <w:sz w:val="19"/>
              </w:rPr>
              <w:t xml:space="preserve">Executing Channel</w:t>
            </w:r>
          </w:p>
        </w:tc>
      </w:tr>
      <w:tr>
        <w:tc>
          <w:tcPr>
            <w:tcW w:w="1500" w:type="dxa"/>
            <w:vAlign w:val="top"/>
          </w:tcPr>
          <w:p>
            <w:pPr>
              <w:spacing w:before="20" w:after="20" w:line="276" w:lineRule="auto"/>
              <w:jc w:val="left"/>
            </w:pPr>
            <w:r>
              <w:rPr>
                <w:rFonts w:ascii="Calibri" w:hAnsi="Calibri"/>
                <w:color w:val="262626"/>
                <w:sz w:val="18"/>
              </w:rPr>
              <w:t xml:space="preserve">Gate One, Days 1-20</w:t>
            </w:r>
          </w:p>
        </w:tc>
        <w:tc>
          <w:tcPr>
            <w:tcW w:w="2850" w:type="dxa"/>
            <w:vAlign w:val="top"/>
          </w:tcPr>
          <w:p>
            <w:pPr>
              <w:spacing w:before="20" w:after="20" w:line="276" w:lineRule="auto"/>
              <w:jc w:val="left"/>
            </w:pPr>
            <w:r>
              <w:rPr>
                <w:rFonts w:ascii="Calibri" w:hAnsi="Calibri"/>
                <w:color w:val="262626"/>
                <w:sz w:val="18"/>
              </w:rPr>
              <w:t xml:space="preserve">All three corridors' clearance underway; central lane certified; zero Structural Breaches</w:t>
            </w:r>
          </w:p>
        </w:tc>
        <w:tc>
          <w:tcPr>
            <w:tcW w:w="2400" w:type="dxa"/>
            <w:vAlign w:val="top"/>
          </w:tcPr>
          <w:p>
            <w:pPr>
              <w:spacing w:before="20" w:after="20" w:line="276" w:lineRule="auto"/>
              <w:jc w:val="left"/>
            </w:pPr>
            <w:r>
              <w:rPr>
                <w:rFonts w:ascii="Calibri" w:hAnsi="Calibri"/>
                <w:color w:val="262626"/>
                <w:sz w:val="18"/>
              </w:rPr>
              <w:t xml:space="preserve">Administrative unfreezing of the designated humanitarian and commercial tranche, ten percent of the designated funds</w:t>
            </w:r>
          </w:p>
        </w:tc>
        <w:tc>
          <w:tcPr>
            <w:tcW w:w="2276" w:type="dxa"/>
            <w:vAlign w:val="top"/>
          </w:tcPr>
          <w:p>
            <w:pPr>
              <w:spacing w:before="20" w:after="20" w:line="276" w:lineRule="auto"/>
              <w:jc w:val="left"/>
            </w:pPr>
            <w:r>
              <w:rPr>
                <w:rFonts w:ascii="Calibri" w:hAnsi="Calibri"/>
                <w:color w:val="262626"/>
                <w:sz w:val="18"/>
              </w:rPr>
              <w:t xml:space="preserve">Bridge ledger, first tranche</w:t>
            </w:r>
          </w:p>
        </w:tc>
      </w:tr>
      <w:tr>
        <w:tc>
          <w:tcPr>
            <w:tcW w:w="1500" w:type="dxa"/>
            <w:vAlign w:val="top"/>
          </w:tcPr>
          <w:p>
            <w:pPr>
              <w:spacing w:before="20" w:after="20" w:line="276" w:lineRule="auto"/>
              <w:jc w:val="left"/>
            </w:pPr>
            <w:r>
              <w:rPr>
                <w:rFonts w:ascii="Calibri" w:hAnsi="Calibri"/>
                <w:color w:val="262626"/>
                <w:sz w:val="18"/>
              </w:rPr>
              <w:t xml:space="preserve">Gate Two, Days 21-40</w:t>
            </w:r>
          </w:p>
        </w:tc>
        <w:tc>
          <w:tcPr>
            <w:tcW w:w="2850" w:type="dxa"/>
            <w:vAlign w:val="top"/>
          </w:tcPr>
          <w:p>
            <w:pPr>
              <w:spacing w:before="20" w:after="20" w:line="276" w:lineRule="auto"/>
              <w:jc w:val="left"/>
            </w:pPr>
            <w:r>
              <w:rPr>
                <w:rFonts w:ascii="Calibri" w:hAnsi="Calibri"/>
                <w:color w:val="262626"/>
                <w:sz w:val="18"/>
              </w:rPr>
              <w:t xml:space="preserve">Uninterrupted central-corridor transit; incident-free count on schedule; filings above threshold</w:t>
            </w:r>
          </w:p>
        </w:tc>
        <w:tc>
          <w:tcPr>
            <w:tcW w:w="2400" w:type="dxa"/>
            <w:vAlign w:val="top"/>
          </w:tcPr>
          <w:p>
            <w:pPr>
              <w:spacing w:before="20" w:after="20" w:line="276" w:lineRule="auto"/>
              <w:jc w:val="left"/>
            </w:pPr>
            <w:r>
              <w:rPr>
                <w:rFonts w:ascii="Calibri" w:hAnsi="Calibri"/>
                <w:color w:val="262626"/>
                <w:sz w:val="18"/>
              </w:rPr>
              <w:t xml:space="preserve">Expanded operational waivers for non-sanctioned energy logistics, including insurance and reinsurance servicing</w:t>
            </w:r>
          </w:p>
        </w:tc>
        <w:tc>
          <w:tcPr>
            <w:tcW w:w="2276" w:type="dxa"/>
            <w:vAlign w:val="top"/>
          </w:tcPr>
          <w:p>
            <w:pPr>
              <w:spacing w:before="20" w:after="20" w:line="276" w:lineRule="auto"/>
              <w:jc w:val="left"/>
            </w:pPr>
            <w:r>
              <w:rPr>
                <w:rFonts w:ascii="Calibri" w:hAnsi="Calibri"/>
                <w:color w:val="262626"/>
                <w:sz w:val="18"/>
              </w:rPr>
              <w:t xml:space="preserve">Licensing pathway</w:t>
            </w:r>
          </w:p>
        </w:tc>
      </w:tr>
      <w:tr>
        <w:tc>
          <w:tcPr>
            <w:tcW w:w="1500" w:type="dxa"/>
            <w:vAlign w:val="top"/>
          </w:tcPr>
          <w:p>
            <w:pPr>
              <w:spacing w:before="20" w:after="20" w:line="276" w:lineRule="auto"/>
              <w:jc w:val="left"/>
            </w:pPr>
            <w:r>
              <w:rPr>
                <w:rFonts w:ascii="Calibri" w:hAnsi="Calibri"/>
                <w:color w:val="262626"/>
                <w:sz w:val="18"/>
              </w:rPr>
              <w:t xml:space="preserve">Gate Three, Days 41-60</w:t>
            </w:r>
          </w:p>
        </w:tc>
        <w:tc>
          <w:tcPr>
            <w:tcW w:w="2850" w:type="dxa"/>
            <w:vAlign w:val="top"/>
          </w:tcPr>
          <w:p>
            <w:pPr>
              <w:spacing w:before="20" w:after="20" w:line="276" w:lineRule="auto"/>
              <w:jc w:val="left"/>
            </w:pPr>
            <w:r>
              <w:rPr>
                <w:rFonts w:ascii="Calibri" w:hAnsi="Calibri"/>
                <w:color w:val="262626"/>
                <w:sz w:val="18"/>
              </w:rPr>
              <w:t xml:space="preserve">Sustained three-corridor operation; Day-50 report issued</w:t>
            </w:r>
          </w:p>
        </w:tc>
        <w:tc>
          <w:tcPr>
            <w:tcW w:w="2400" w:type="dxa"/>
            <w:vAlign w:val="top"/>
          </w:tcPr>
          <w:p>
            <w:pPr>
              <w:spacing w:before="20" w:after="20" w:line="276" w:lineRule="auto"/>
              <w:jc w:val="left"/>
            </w:pPr>
            <w:r>
              <w:rPr>
                <w:rFonts w:ascii="Calibri" w:hAnsi="Calibri"/>
                <w:color w:val="262626"/>
                <w:sz w:val="18"/>
              </w:rPr>
              <w:t xml:space="preserve">Waiver expansion on the registered schedule, tied to verified transit data, including select energy export logistics</w:t>
            </w:r>
          </w:p>
        </w:tc>
        <w:tc>
          <w:tcPr>
            <w:tcW w:w="2276" w:type="dxa"/>
            <w:vAlign w:val="top"/>
          </w:tcPr>
          <w:p>
            <w:pPr>
              <w:spacing w:before="20" w:after="20" w:line="276" w:lineRule="auto"/>
              <w:jc w:val="left"/>
            </w:pPr>
            <w:r>
              <w:rPr>
                <w:rFonts w:ascii="Calibri" w:hAnsi="Calibri"/>
                <w:color w:val="262626"/>
                <w:sz w:val="18"/>
              </w:rPr>
              <w:t xml:space="preserve">Licensing pathway and Bridge ledger</w:t>
            </w:r>
          </w:p>
        </w:tc>
      </w:tr>
      <w:tr>
        <w:tc>
          <w:tcPr>
            <w:tcW w:w="1500" w:type="dxa"/>
            <w:vAlign w:val="top"/>
          </w:tcPr>
          <w:p>
            <w:pPr>
              <w:spacing w:before="20" w:after="20" w:line="276" w:lineRule="auto"/>
              <w:jc w:val="left"/>
            </w:pPr>
            <w:r>
              <w:rPr>
                <w:rFonts w:ascii="Calibri" w:hAnsi="Calibri"/>
                <w:color w:val="262626"/>
                <w:sz w:val="18"/>
              </w:rPr>
              <w:t xml:space="preserve">Standing Gates, thereafter</w:t>
            </w:r>
          </w:p>
        </w:tc>
        <w:tc>
          <w:tcPr>
            <w:tcW w:w="2850" w:type="dxa"/>
            <w:vAlign w:val="top"/>
          </w:tcPr>
          <w:p>
            <w:pPr>
              <w:spacing w:before="20" w:after="20" w:line="276" w:lineRule="auto"/>
              <w:jc w:val="left"/>
            </w:pPr>
            <w:r>
              <w:rPr>
                <w:rFonts w:ascii="Calibri" w:hAnsi="Calibri"/>
                <w:color w:val="262626"/>
                <w:sz w:val="18"/>
              </w:rPr>
              <w:t xml:space="preserve">Each one thousand incident-free transit equivalents</w:t>
            </w:r>
          </w:p>
        </w:tc>
        <w:tc>
          <w:tcPr>
            <w:tcW w:w="2400" w:type="dxa"/>
            <w:vAlign w:val="top"/>
          </w:tcPr>
          <w:p>
            <w:pPr>
              <w:spacing w:before="20" w:after="20" w:line="276" w:lineRule="auto"/>
              <w:jc w:val="left"/>
            </w:pPr>
            <w:r>
              <w:rPr>
                <w:rFonts w:ascii="Calibri" w:hAnsi="Calibri"/>
                <w:color w:val="262626"/>
                <w:sz w:val="18"/>
              </w:rPr>
              <w:t xml:space="preserve">Successive tranches on the registered ladder</w:t>
            </w:r>
          </w:p>
        </w:tc>
        <w:tc>
          <w:tcPr>
            <w:tcW w:w="2276" w:type="dxa"/>
            <w:vAlign w:val="top"/>
          </w:tcPr>
          <w:p>
            <w:pPr>
              <w:spacing w:before="20" w:after="20" w:line="276" w:lineRule="auto"/>
              <w:jc w:val="left"/>
            </w:pPr>
            <w:r>
              <w:rPr>
                <w:rFonts w:ascii="Calibri" w:hAnsi="Calibri"/>
                <w:color w:val="262626"/>
                <w:sz w:val="18"/>
              </w:rPr>
              <w:t xml:space="preserve">Bridge ledger arithmetic</w:t>
            </w:r>
          </w:p>
        </w:tc>
      </w:tr>
    </w:tbl>
    <w:p>
      <w:pPr>
        <w:spacing w:before="60" w:after="120"/>
      </w:pPr>
    </w:p>
    <w:p>
      <w:pPr>
        <w:pStyle w:val="Heading3"/>
      </w:pPr>
      <w:r>
        <w:rPr>
          <w:rFonts w:ascii="Cambria" w:hAnsi="Cambria"/>
          <w:color w:val="262626"/>
          <w:sz w:val="21"/>
        </w:rPr>
        <w:t xml:space="preserve">51.2 Objectivity</w:t>
      </w:r>
    </w:p>
    <w:p>
      <w:pPr>
        <w:pStyle w:val="Normal"/>
      </w:pPr>
      <w:r>
        <w:rPr>
          <w:rFonts w:ascii="Cambria" w:hAnsi="Cambria"/>
          <w:color w:val="262626"/>
          <w:sz w:val="21"/>
        </w:rPr>
        <w:t xml:space="preserve">Every trigger reads from the custody data alone. No organ certifies a trigger by discretion, no party blocks a trigger by silence, and a disputed count routes to the technical panel of Article 35.4 while the undisputed remainder executes.</w:t>
      </w:r>
    </w:p>
    <w:p>
      <w:pPr>
        <w:pStyle w:val="Heading3"/>
      </w:pPr>
      <w:r>
        <w:rPr>
          <w:rFonts w:ascii="Cambria" w:hAnsi="Cambria"/>
          <w:color w:val="262626"/>
          <w:sz w:val="21"/>
        </w:rPr>
        <w:t xml:space="preserve">51.3 Symmetry of the Milestones</w:t>
      </w:r>
    </w:p>
    <w:p>
      <w:pPr>
        <w:pStyle w:val="Normal"/>
      </w:pPr>
      <w:r>
        <w:rPr>
          <w:rFonts w:ascii="Cambria" w:hAnsi="Cambria"/>
          <w:color w:val="262626"/>
          <w:sz w:val="21"/>
        </w:rPr>
        <w:t xml:space="preserve">The milestone architecture runs in both directions of the bargain: transit performance unlocks economic normalization, and the economic channels finance the service system that keeps transit safe. Each party watches the other's obligations execute on the same public ledger, so trust accumulates from arithmetic rather than from assurances.</w:t>
      </w:r>
    </w:p>
    <w:p>
      <w:pPr>
        <w:pStyle w:val="Heading2"/>
      </w:pPr>
      <w:r>
        <w:rPr>
          <w:rFonts w:ascii="Cambria" w:hAnsi="Cambria"/>
          <w:color w:val="262626"/>
          <w:sz w:val="21"/>
        </w:rPr>
        <w:t xml:space="preserve">Article 52: The Standing Continuity Rule</w:t>
      </w:r>
      <w:bookmarkStart w:id="563" w:name="_Toc26010064"/>
      <w:bookmarkEnd w:id="563"/>
    </w:p>
    <w:p>
      <w:pPr>
        <w:pStyle w:val="Heading3"/>
      </w:pPr>
      <w:r>
        <w:rPr>
          <w:rFonts w:ascii="Cambria" w:hAnsi="Cambria"/>
          <w:color w:val="262626"/>
          <w:sz w:val="21"/>
        </w:rPr>
        <w:t xml:space="preserve">52.1 No Silent Expiry</w:t>
      </w:r>
    </w:p>
    <w:p>
      <w:pPr>
        <w:pStyle w:val="Normal"/>
      </w:pPr>
      <w:r>
        <w:rPr>
          <w:rFonts w:ascii="Cambria" w:hAnsi="Cambria"/>
          <w:color w:val="262626"/>
          <w:sz w:val="21"/>
        </w:rPr>
        <w:t xml:space="preserve">The Agreement contains no sunset clause, no silent expiration, and no decaying obligation. It operates on a continuous horizon by design, because a commitment that expires is a commitment that plans to fail. Every phase boundary, review point, reporting deadline, and certification cycle functions as an administrative rhythm: at every boundary, the operational state carries forward by default.</w:t>
      </w:r>
    </w:p>
    <w:p>
      <w:pPr>
        <w:pStyle w:val="Heading3"/>
      </w:pPr>
      <w:r>
        <w:rPr>
          <w:rFonts w:ascii="Cambria" w:hAnsi="Cambria"/>
          <w:color w:val="262626"/>
          <w:sz w:val="21"/>
        </w:rPr>
        <w:t xml:space="preserve">52.2 No Fade of Commitments</w:t>
      </w:r>
    </w:p>
    <w:p>
      <w:pPr>
        <w:pStyle w:val="Normal"/>
      </w:pPr>
      <w:r>
        <w:rPr>
          <w:rFonts w:ascii="Cambria" w:hAnsi="Cambria"/>
          <w:color w:val="262626"/>
          <w:sz w:val="21"/>
        </w:rPr>
        <w:t xml:space="preserve">Every commitment persists at full strength from activation until the parties amend it in writing under Article 55. Time never dilutes an obligation; routine never weakens a verification right; political weather never erodes a standing rule. A change of government in any party changes nothing in this Agreement: the obligations attach to the state, and the succession rule of Article 56.4 binds every incoming administration from its first day.</w:t>
      </w:r>
    </w:p>
    <w:p>
      <w:pPr>
        <w:pStyle w:val="Heading3"/>
      </w:pPr>
      <w:r>
        <w:rPr>
          <w:rFonts w:ascii="Cambria" w:hAnsi="Cambria"/>
          <w:color w:val="262626"/>
          <w:sz w:val="21"/>
        </w:rPr>
        <w:t xml:space="preserve">52.3 No Fade of Earned Benefits</w:t>
      </w:r>
    </w:p>
    <w:p>
      <w:pPr>
        <w:pStyle w:val="Normal"/>
      </w:pPr>
      <w:r>
        <w:rPr>
          <w:rFonts w:ascii="Cambria" w:hAnsi="Cambria"/>
          <w:color w:val="262626"/>
          <w:sz w:val="21"/>
        </w:rPr>
        <w:t xml:space="preserve">Benefits earned through verified compliance persist. No earned benefit lapses through the passage of time, a change of government, or a change of mood. Banked performance survives every review cycle, every pause, and every transition, and carries forward into every successor instrument.</w:t>
      </w:r>
    </w:p>
    <w:p>
      <w:pPr>
        <w:pStyle w:val="Heading3"/>
      </w:pPr>
      <w:r>
        <w:rPr>
          <w:rFonts w:ascii="Cambria" w:hAnsi="Cambria"/>
          <w:color w:val="262626"/>
          <w:sz w:val="21"/>
        </w:rPr>
        <w:t xml:space="preserve">52.4 No Fade of Verification</w:t>
      </w:r>
    </w:p>
    <w:p>
      <w:pPr>
        <w:pStyle w:val="Normal"/>
      </w:pPr>
      <w:r>
        <w:rPr>
          <w:rFonts w:ascii="Cambria" w:hAnsi="Cambria"/>
          <w:color w:val="262626"/>
          <w:sz w:val="21"/>
        </w:rPr>
        <w:t xml:space="preserve">Verification intensity never declines by default. The observer presence, the reporting rhythms, the sensor network, the cross-verification, and the audit rights continue at full strength for the life of the instrument. Any reduction of verification intensity constitutes an amendment and takes effect only through Article 55.</w:t>
      </w:r>
    </w:p>
    <w:p>
      <w:pPr>
        <w:pStyle w:val="Heading3"/>
      </w:pPr>
      <w:r>
        <w:rPr>
          <w:rFonts w:ascii="Cambria" w:hAnsi="Cambria"/>
          <w:color w:val="262626"/>
          <w:sz w:val="21"/>
        </w:rPr>
        <w:t xml:space="preserve">52.5 No Fade of the Zero-Toll Covenant</w:t>
      </w:r>
    </w:p>
    <w:p>
      <w:pPr>
        <w:pStyle w:val="Normal"/>
      </w:pPr>
      <w:r>
        <w:rPr>
          <w:rFonts w:ascii="Cambria" w:hAnsi="Cambria"/>
          <w:color w:val="262626"/>
          <w:sz w:val="21"/>
        </w:rPr>
        <w:t xml:space="preserve">The Covenant of Article 20 stands permanently. No passage charge arises by inaction, by silence, by custom, by national legislation, or by reinterpretation. Where a party's domestic law advances a fee measure touching the Strait, Article 21 routes the reconciliation, and the Covenant governs the water throughout.</w:t>
      </w:r>
    </w:p>
    <w:p>
      <w:pPr>
        <w:pStyle w:val="Heading3"/>
      </w:pPr>
      <w:r>
        <w:rPr>
          <w:rFonts w:ascii="Cambria" w:hAnsi="Cambria"/>
          <w:color w:val="262626"/>
          <w:sz w:val="21"/>
        </w:rPr>
        <w:t xml:space="preserve">52.6 Renewal by Silence and Default Continuity</w:t>
      </w:r>
    </w:p>
    <w:p>
      <w:pPr>
        <w:pStyle w:val="Normal"/>
      </w:pPr>
      <w:r>
        <w:rPr>
          <w:rFonts w:ascii="Cambria" w:hAnsi="Cambria"/>
          <w:color w:val="262626"/>
          <w:sz w:val="21"/>
        </w:rPr>
        <w:t xml:space="preserve">Renewal occurs by silence: at every review point, continuation proceeds automatically unless a party tables a written amendment proposal within the review window. Where any question stalls, the default rule of Article 18.3 runs the system on its previous settings. No deadlock suspends, degrades, or re-prices any operation.</w:t>
      </w:r>
    </w:p>
    <w:p>
      <w:pPr>
        <w:pStyle w:val="Heading3"/>
      </w:pPr>
      <w:r>
        <w:rPr>
          <w:rFonts w:ascii="Cambria" w:hAnsi="Cambria"/>
          <w:color w:val="262626"/>
          <w:sz w:val="21"/>
        </w:rPr>
        <w:t xml:space="preserve">52.7 Exit Is an Act, Not a Fade</w:t>
      </w:r>
    </w:p>
    <w:p>
      <w:pPr>
        <w:pStyle w:val="Normal"/>
      </w:pPr>
      <w:r>
        <w:rPr>
          <w:rFonts w:ascii="Cambria" w:hAnsi="Cambria"/>
          <w:color w:val="262626"/>
          <w:sz w:val="21"/>
        </w:rPr>
        <w:t xml:space="preserve">Withdrawal under Article 56 constitutes a deliberate, notified, time-buffered sovereign act executed through the notice ladder, with the corridors operating at full standard throughout. Nothing in this Agreement drifts away; everything either persists at full force or changes by joint written instrument.</w:t>
      </w:r>
    </w:p>
    <w:p>
      <w:pPr>
        <w:pStyle w:val="Heading2"/>
      </w:pPr>
      <w:r>
        <w:rPr>
          <w:rFonts w:ascii="Cambria" w:hAnsi="Cambria"/>
          <w:color w:val="262626"/>
          <w:sz w:val="21"/>
        </w:rPr>
        <w:t xml:space="preserve">Article 53: Review and Renewal</w:t>
      </w:r>
      <w:bookmarkStart w:id="564" w:name="_Toc26010065"/>
      <w:bookmarkEnd w:id="564"/>
    </w:p>
    <w:p>
      <w:pPr>
        <w:pStyle w:val="Heading3"/>
      </w:pPr>
      <w:r>
        <w:rPr>
          <w:rFonts w:ascii="Cambria" w:hAnsi="Cambria"/>
          <w:color w:val="262626"/>
          <w:sz w:val="21"/>
        </w:rPr>
        <w:t xml:space="preserve">53.1 The Review Conference</w:t>
      </w:r>
    </w:p>
    <w:p>
      <w:pPr>
        <w:pStyle w:val="Normal"/>
      </w:pPr>
      <w:r>
        <w:rPr>
          <w:rFonts w:ascii="Cambria" w:hAnsi="Cambria"/>
          <w:color w:val="262626"/>
          <w:sz w:val="21"/>
        </w:rPr>
        <w:t xml:space="preserve">At Day 60 of the first operational period, and at every subsequent anniversary, the depositary convenes the review conference in Doha, with the four Parties, the facilitating states, the Littoral Liaison Group, the Industry Panel, and the technical observers in attendance, and the Non-Executing Security Observer seated under Article 17.1.</w:t>
      </w:r>
    </w:p>
    <w:p>
      <w:pPr>
        <w:pStyle w:val="Heading3"/>
      </w:pPr>
      <w:r>
        <w:rPr>
          <w:rFonts w:ascii="Cambria" w:hAnsi="Cambria"/>
          <w:color w:val="262626"/>
          <w:sz w:val="21"/>
        </w:rPr>
        <w:t xml:space="preserve">53.2 The Review Substance</w:t>
      </w:r>
    </w:p>
    <w:p>
      <w:pPr>
        <w:pStyle w:val="Normal"/>
      </w:pPr>
      <w:r>
        <w:rPr>
          <w:rFonts w:ascii="Cambria" w:hAnsi="Cambria"/>
          <w:color w:val="262626"/>
          <w:sz w:val="21"/>
        </w:rPr>
        <w:t xml:space="preserve">The conference reviews the traffic safety data, the security incident record, the verification system's performance against the accuracy standard of Article 37.2, the financial summaries of Part IV, the clearance status, the standing record, and the operation of every channel against its stated purpose. The conference reads the confidence reports as its factual basis and takes no decision on allegation.</w:t>
      </w:r>
    </w:p>
    <w:p>
      <w:pPr>
        <w:pStyle w:val="Heading3"/>
      </w:pPr>
      <w:r>
        <w:rPr>
          <w:rFonts w:ascii="Cambria" w:hAnsi="Cambria"/>
          <w:color w:val="262626"/>
          <w:sz w:val="21"/>
        </w:rPr>
        <w:t xml:space="preserve">53.3 Renewal Outcomes</w:t>
      </w:r>
    </w:p>
    <w:p>
      <w:pPr>
        <w:pStyle w:val="Normal"/>
      </w:pPr>
      <w:r>
        <w:rPr>
          <w:rFonts w:ascii="Cambria" w:hAnsi="Cambria"/>
          <w:color w:val="262626"/>
          <w:sz w:val="21"/>
        </w:rPr>
        <w:t xml:space="preserve">The conference closes in one of three states. Automatic renewal: the accuracy standard holds, no unresolved Structural Breach stands, and the financial channels settle on schedule, whereupon the Agreement continues for the next period without further act. Conditional renewal: the conference records deficiencies and the corrective schedule, whereupon the Agreement continues with the corrections running on their own clocks. Cooling-off: where consensus on renewal fails, the Agreement extends automatically for one additional thirty-day cooling-off period while the facilitation tier works, and it extends again by the same rule, without limit on repetitions, so the system never falls over a procedural cliff.</w:t>
      </w:r>
    </w:p>
    <w:p>
      <w:pPr>
        <w:pStyle w:val="Heading3"/>
      </w:pPr>
      <w:r>
        <w:rPr>
          <w:rFonts w:ascii="Cambria" w:hAnsi="Cambria"/>
          <w:color w:val="262626"/>
          <w:sz w:val="21"/>
        </w:rPr>
        <w:t xml:space="preserve">53.4 The First Renewal's Special Business</w:t>
      </w:r>
    </w:p>
    <w:p>
      <w:pPr>
        <w:pStyle w:val="Normal"/>
      </w:pPr>
      <w:r>
        <w:rPr>
          <w:rFonts w:ascii="Cambria" w:hAnsi="Cambria"/>
          <w:color w:val="262626"/>
          <w:sz w:val="21"/>
        </w:rPr>
        <w:t xml:space="preserve">The first review conference confirms the financial settlement of the first period, adopts the rate card for the second period, reviews the corridor geometry against the traffic record, and considers the accession instruments then pending under Article 54.</w:t>
      </w:r>
    </w:p>
    <w:p>
      <w:pPr>
        <w:pStyle w:val="Heading2"/>
      </w:pPr>
      <w:r>
        <w:rPr>
          <w:rFonts w:ascii="Cambria" w:hAnsi="Cambria"/>
          <w:color w:val="262626"/>
          <w:sz w:val="21"/>
        </w:rPr>
        <w:t xml:space="preserve">Article 54: Accession and Participation</w:t>
      </w:r>
      <w:bookmarkStart w:id="565" w:name="_Toc26010066"/>
      <w:bookmarkEnd w:id="565"/>
    </w:p>
    <w:p>
      <w:pPr>
        <w:pStyle w:val="Heading3"/>
      </w:pPr>
      <w:r>
        <w:rPr>
          <w:rFonts w:ascii="Cambria" w:hAnsi="Cambria"/>
          <w:color w:val="262626"/>
          <w:sz w:val="21"/>
        </w:rPr>
        <w:t xml:space="preserve">54.1 The Accession Path</w:t>
      </w:r>
    </w:p>
    <w:p>
      <w:pPr>
        <w:pStyle w:val="Normal"/>
      </w:pPr>
      <w:r>
        <w:rPr>
          <w:rFonts w:ascii="Cambria" w:hAnsi="Cambria"/>
          <w:color w:val="262626"/>
          <w:sz w:val="21"/>
        </w:rPr>
        <w:t xml:space="preserve">The Agreement opens to accession by the Gulf Cooperation Council states and Iraq as Adhering Littoral States, on the instruments of Annex M. An adhering state joins the Littoral Liaison Group with full agenda rights, subscribes to the Bulletin and the data products on the published terms, participates in the Fund's governance through the rotation the board adopts, and accepts the Zero-Toll Covenant, the Non-Interdiction Protocol, and the custody rules in respect of its own conduct.</w:t>
      </w:r>
    </w:p>
    <w:p>
      <w:pPr>
        <w:pStyle w:val="Heading3"/>
      </w:pPr>
      <w:r>
        <w:rPr>
          <w:rFonts w:ascii="Cambria" w:hAnsi="Cambria"/>
          <w:color w:val="262626"/>
          <w:sz w:val="21"/>
        </w:rPr>
        <w:t xml:space="preserve">54.2 Wider Participation</w:t>
      </w:r>
    </w:p>
    <w:p>
      <w:pPr>
        <w:pStyle w:val="Normal"/>
      </w:pPr>
      <w:r>
        <w:rPr>
          <w:rFonts w:ascii="Cambria" w:hAnsi="Cambria"/>
          <w:color w:val="262626"/>
          <w:sz w:val="21"/>
        </w:rPr>
        <w:t xml:space="preserve">Other states and international bodies participate through the registers of Annex M: as neutral participating states contributing officers, governors, or arbitrators; as technical observers; or as industry adherents through their representative bodies. The Council of the Parties admits by consensus, and every admission publishes.</w:t>
      </w:r>
    </w:p>
    <w:p>
      <w:pPr>
        <w:pStyle w:val="Heading3"/>
      </w:pPr>
      <w:r>
        <w:rPr>
          <w:rFonts w:ascii="Cambria" w:hAnsi="Cambria"/>
          <w:color w:val="262626"/>
          <w:sz w:val="21"/>
        </w:rPr>
        <w:t xml:space="preserve">54.3 The Collective Character</w:t>
      </w:r>
    </w:p>
    <w:p>
      <w:pPr>
        <w:pStyle w:val="Normal"/>
      </w:pPr>
      <w:r>
        <w:rPr>
          <w:rFonts w:ascii="Cambria" w:hAnsi="Cambria"/>
          <w:color w:val="262626"/>
          <w:sz w:val="21"/>
        </w:rPr>
        <w:t xml:space="preserve">The accession path institutionalizes the principle that the Strait's governance takes collective regional form. No bilateral arrangement between any two parties governs the Strait outside this framework, and any understanding between parties touching the Governance Area registers with the depositary and reads in conformity with this Agreement.</w:t>
      </w:r>
    </w:p>
    <w:p>
      <w:pPr>
        <w:pStyle w:val="Heading3"/>
      </w:pPr>
      <w:r>
        <w:rPr>
          <w:rFonts w:ascii="Cambria" w:hAnsi="Cambria"/>
          <w:color w:val="262626"/>
          <w:sz w:val="21"/>
        </w:rPr>
        <w:t xml:space="preserve">54.4 No Dilution</w:t>
      </w:r>
    </w:p>
    <w:p>
      <w:pPr>
        <w:pStyle w:val="Normal"/>
      </w:pPr>
      <w:r>
        <w:rPr>
          <w:rFonts w:ascii="Cambria" w:hAnsi="Cambria"/>
          <w:color w:val="262626"/>
          <w:sz w:val="21"/>
        </w:rPr>
        <w:t xml:space="preserve">Accession dilutes nothing: the four Parties' functions under this Agreement persist unchanged, new participants join the architecture as it stands, and the red lines of Article 5 bind every participant from its first day.</w:t>
      </w:r>
    </w:p>
    <w:p>
      <w:pPr>
        <w:pStyle w:val="Heading2"/>
      </w:pPr>
      <w:r>
        <w:rPr>
          <w:rFonts w:ascii="Cambria" w:hAnsi="Cambria"/>
          <w:color w:val="262626"/>
          <w:sz w:val="21"/>
        </w:rPr>
        <w:t xml:space="preserve">Article 55: Amendment</w:t>
      </w:r>
      <w:bookmarkStart w:id="566" w:name="_Toc26010067"/>
      <w:bookmarkEnd w:id="566"/>
    </w:p>
    <w:p>
      <w:pPr>
        <w:pStyle w:val="Heading3"/>
      </w:pPr>
      <w:r>
        <w:rPr>
          <w:rFonts w:ascii="Cambria" w:hAnsi="Cambria"/>
          <w:color w:val="262626"/>
          <w:sz w:val="21"/>
        </w:rPr>
        <w:t xml:space="preserve">55.1 The Amendment Instrument</w:t>
      </w:r>
    </w:p>
    <w:p>
      <w:pPr>
        <w:pStyle w:val="Normal"/>
      </w:pPr>
      <w:r>
        <w:rPr>
          <w:rFonts w:ascii="Cambria" w:hAnsi="Cambria"/>
          <w:color w:val="262626"/>
          <w:sz w:val="21"/>
        </w:rPr>
        <w:t xml:space="preserve">The Parties amend this Agreement only by a joint written instrument of all four Parties, prepared through the Council, tested against the Perimeter Test, and registered with the depositary. An amendment takes effect on the date the instrument states, and the depositary publishes the consolidated text within seven days.</w:t>
      </w:r>
    </w:p>
    <w:p>
      <w:pPr>
        <w:pStyle w:val="Heading3"/>
      </w:pPr>
      <w:r>
        <w:rPr>
          <w:rFonts w:ascii="Cambria" w:hAnsi="Cambria"/>
          <w:color w:val="262626"/>
          <w:sz w:val="21"/>
        </w:rPr>
        <w:t xml:space="preserve">55.2 Technical Amendments</w:t>
      </w:r>
    </w:p>
    <w:p>
      <w:pPr>
        <w:pStyle w:val="Normal"/>
      </w:pPr>
      <w:r>
        <w:rPr>
          <w:rFonts w:ascii="Cambria" w:hAnsi="Cambria"/>
          <w:color w:val="262626"/>
          <w:sz w:val="21"/>
        </w:rPr>
        <w:t xml:space="preserve">The Annexes' technical content, including coordinates, rates, thresholds, rosters, and schedules, amends through the Desk-level procedures each Annex states, with sixty days' public notice and the Perimeter Test, and never through the political channel. The Article text, the Red Lines Register, and this Article amend only under Article 55.1.</w:t>
      </w:r>
    </w:p>
    <w:p>
      <w:pPr>
        <w:pStyle w:val="Heading3"/>
      </w:pPr>
      <w:r>
        <w:rPr>
          <w:rFonts w:ascii="Cambria" w:hAnsi="Cambria"/>
          <w:color w:val="262626"/>
          <w:sz w:val="21"/>
        </w:rPr>
        <w:t xml:space="preserve">55.3 No Amendment by Conduct</w:t>
      </w:r>
    </w:p>
    <w:p>
      <w:pPr>
        <w:pStyle w:val="Normal"/>
      </w:pPr>
      <w:r>
        <w:rPr>
          <w:rFonts w:ascii="Cambria" w:hAnsi="Cambria"/>
          <w:color w:val="262626"/>
          <w:sz w:val="21"/>
        </w:rPr>
        <w:t xml:space="preserve">Practice never amends this Agreement. A deviation, however repeated, classifies under Part VII; it never matures into a rule. The text the parties wrote governs until the parties write again.</w:t>
      </w:r>
    </w:p>
    <w:p>
      <w:pPr>
        <w:pStyle w:val="Heading2"/>
      </w:pPr>
      <w:r>
        <w:rPr>
          <w:rFonts w:ascii="Cambria" w:hAnsi="Cambria"/>
          <w:color w:val="262626"/>
          <w:sz w:val="21"/>
        </w:rPr>
        <w:t xml:space="preserve">Article 56: Withdrawal, Suspension, Succession, and Reconstitution</w:t>
      </w:r>
      <w:bookmarkStart w:id="567" w:name="_Toc26010068"/>
      <w:bookmarkEnd w:id="567"/>
    </w:p>
    <w:p>
      <w:pPr>
        <w:pStyle w:val="Heading3"/>
      </w:pPr>
      <w:r>
        <w:rPr>
          <w:rFonts w:ascii="Cambria" w:hAnsi="Cambria"/>
          <w:color w:val="262626"/>
          <w:sz w:val="21"/>
        </w:rPr>
        <w:t xml:space="preserve">56.1 The Notice Ladder</w:t>
      </w:r>
    </w:p>
    <w:p>
      <w:pPr>
        <w:pStyle w:val="Normal"/>
      </w:pPr>
      <w:r>
        <w:rPr>
          <w:rFonts w:ascii="Cambria" w:hAnsi="Cambria"/>
          <w:color w:val="262626"/>
          <w:sz w:val="21"/>
        </w:rPr>
        <w:t xml:space="preserve">A party withdraws by written notice to the depositary through a three-step ladder: a notice of intent, published to the parties, opening a ninety-day facilitation window; a confirmation notice at the window's close, opening a further ninety-day operational buffer; and effect at the buffer's end. Throughout the ladder, the withdrawing party performs every function at full standard, and the corridors operate without degradation.</w:t>
      </w:r>
    </w:p>
    <w:p>
      <w:pPr>
        <w:pStyle w:val="Heading3"/>
      </w:pPr>
      <w:r>
        <w:rPr>
          <w:rFonts w:ascii="Cambria" w:hAnsi="Cambria"/>
          <w:color w:val="262626"/>
          <w:sz w:val="21"/>
        </w:rPr>
        <w:t xml:space="preserve">56.2 Financial Settlement on Withdrawal</w:t>
      </w:r>
    </w:p>
    <w:p>
      <w:pPr>
        <w:pStyle w:val="Normal"/>
      </w:pPr>
      <w:r>
        <w:rPr>
          <w:rFonts w:ascii="Cambria" w:hAnsi="Cambria"/>
          <w:color w:val="262626"/>
          <w:sz w:val="21"/>
        </w:rPr>
        <w:t xml:space="preserve">A withdrawing party's financial position settles on the audit trail: earned reimbursements pay, contributions made remain in the Fund, standing benefits banked under Article 46.4 persist to their natural application, and no withdrawal claws back a completed release or a settled account.</w:t>
      </w:r>
    </w:p>
    <w:p>
      <w:pPr>
        <w:pStyle w:val="Heading3"/>
      </w:pPr>
      <w:r>
        <w:rPr>
          <w:rFonts w:ascii="Cambria" w:hAnsi="Cambria"/>
          <w:color w:val="262626"/>
          <w:sz w:val="21"/>
        </w:rPr>
        <w:t xml:space="preserve">56.3 Reconstitution</w:t>
      </w:r>
    </w:p>
    <w:p>
      <w:pPr>
        <w:pStyle w:val="Normal"/>
      </w:pPr>
      <w:r>
        <w:rPr>
          <w:rFonts w:ascii="Cambria" w:hAnsi="Cambria"/>
          <w:color w:val="262626"/>
          <w:sz w:val="21"/>
        </w:rPr>
        <w:t xml:space="preserve">Where a party withdraws, the remaining parties reconstitute the affected functions within ninety days on the published continuity plan of Annex L: the Desk's contingent reshuffles, the custody fragments re-split under the fiduciary's supervision, and the system's operations continue on the default rule throughout. The Agreement survives the exit of any single party except as the Council of the remaining parties records otherwise in a joint instrument.</w:t>
      </w:r>
    </w:p>
    <w:p>
      <w:pPr>
        <w:pStyle w:val="Heading3"/>
      </w:pPr>
      <w:r>
        <w:rPr>
          <w:rFonts w:ascii="Cambria" w:hAnsi="Cambria"/>
          <w:color w:val="262626"/>
          <w:sz w:val="21"/>
        </w:rPr>
        <w:t xml:space="preserve">56.4 Succession</w:t>
      </w:r>
    </w:p>
    <w:p>
      <w:pPr>
        <w:pStyle w:val="Normal"/>
      </w:pPr>
      <w:r>
        <w:rPr>
          <w:rFonts w:ascii="Cambria" w:hAnsi="Cambria"/>
          <w:color w:val="262626"/>
          <w:sz w:val="21"/>
        </w:rPr>
        <w:t xml:space="preserve">The Agreement binds each state continuously across changes of government, administration, or leadership. Obligations attach to the state as an international person, and every incoming administration stands bound from its first day, without need of any confirmation act.</w:t>
      </w:r>
    </w:p>
    <w:p>
      <w:pPr>
        <w:pStyle w:val="Heading3"/>
      </w:pPr>
      <w:r>
        <w:rPr>
          <w:rFonts w:ascii="Cambria" w:hAnsi="Cambria"/>
          <w:color w:val="262626"/>
          <w:sz w:val="21"/>
        </w:rPr>
        <w:t xml:space="preserve">56.5 Institutional Failure Continuity</w:t>
      </w:r>
    </w:p>
    <w:p>
      <w:pPr>
        <w:pStyle w:val="Normal"/>
      </w:pPr>
      <w:r>
        <w:rPr>
          <w:rFonts w:ascii="Cambria" w:hAnsi="Cambria"/>
          <w:color w:val="262626"/>
          <w:sz w:val="21"/>
        </w:rPr>
        <w:t xml:space="preserve">Where any organ of the system fails to function for any reason, its functions transfer automatically to the next tier down the published succession table of Annex L: the Secretariat carries the Desk, the Sub-Desks carry the traffic services on the network procedures, and the fiduciary carries the Fund's payment rails. Safety and verification functions hold highest continuity priority, and no institutional failure closes a corridor by itself.</w:t>
      </w:r>
    </w:p>
    <w:p>
      <w:pPr>
        <w:pStyle w:val="Heading2"/>
      </w:pPr>
      <w:r>
        <w:rPr>
          <w:rFonts w:ascii="Cambria" w:hAnsi="Cambria"/>
          <w:color w:val="262626"/>
          <w:sz w:val="21"/>
        </w:rPr>
        <w:t xml:space="preserve">Article 57: Final Provisions</w:t>
      </w:r>
      <w:bookmarkStart w:id="568" w:name="_Toc26010069"/>
      <w:bookmarkEnd w:id="568"/>
    </w:p>
    <w:p>
      <w:pPr>
        <w:pStyle w:val="Heading3"/>
      </w:pPr>
      <w:r>
        <w:rPr>
          <w:rFonts w:ascii="Cambria" w:hAnsi="Cambria"/>
          <w:color w:val="262626"/>
          <w:sz w:val="21"/>
        </w:rPr>
        <w:t xml:space="preserve">57.1 Entry Into Effect</w:t>
      </w:r>
    </w:p>
    <w:p>
      <w:pPr>
        <w:pStyle w:val="Normal"/>
      </w:pPr>
      <w:r>
        <w:rPr>
          <w:rFonts w:ascii="Cambria" w:hAnsi="Cambria"/>
          <w:color w:val="262626"/>
          <w:sz w:val="21"/>
        </w:rPr>
        <w:t xml:space="preserve">The Agreement enters into effect upon signature by the four Parties and operates provisionally from that date in respect of every function, with Phase Zero of Article 50.2 commencing immediately.</w:t>
      </w:r>
    </w:p>
    <w:p>
      <w:pPr>
        <w:pStyle w:val="Heading3"/>
      </w:pPr>
      <w:r>
        <w:rPr>
          <w:rFonts w:ascii="Cambria" w:hAnsi="Cambria"/>
          <w:color w:val="262626"/>
          <w:sz w:val="21"/>
        </w:rPr>
        <w:t xml:space="preserve">57.2 Depositary</w:t>
      </w:r>
    </w:p>
    <w:p>
      <w:pPr>
        <w:pStyle w:val="Normal"/>
      </w:pPr>
      <w:r>
        <w:rPr>
          <w:rFonts w:ascii="Cambria" w:hAnsi="Cambria"/>
          <w:color w:val="262626"/>
          <w:sz w:val="21"/>
        </w:rPr>
        <w:t xml:space="preserve">The State of Qatar acts as depositary: it holds the master texts in the three languages of record, registers signatures, amendments, accessions, notices, and withdrawals, maintains the public revision log, and convenes the conferences this Agreement assigns to the depositary.</w:t>
      </w:r>
    </w:p>
    <w:p>
      <w:pPr>
        <w:pStyle w:val="Heading3"/>
      </w:pPr>
      <w:r>
        <w:rPr>
          <w:rFonts w:ascii="Cambria" w:hAnsi="Cambria"/>
          <w:color w:val="262626"/>
          <w:sz w:val="21"/>
        </w:rPr>
        <w:t xml:space="preserve">57.3 Languages</w:t>
      </w:r>
    </w:p>
    <w:p>
      <w:pPr>
        <w:pStyle w:val="Normal"/>
      </w:pPr>
      <w:r>
        <w:rPr>
          <w:rFonts w:ascii="Cambria" w:hAnsi="Cambria"/>
          <w:color w:val="262626"/>
          <w:sz w:val="21"/>
        </w:rPr>
        <w:t xml:space="preserve">The Agreement exists in English, Arabic, and Persian, each text equally authentic. The registered terminology of Annex N aligns the three texts' operational vocabulary, and a divergence between texts resolves by the facilitation tier's agreed reading, which then amends the register.</w:t>
      </w:r>
    </w:p>
    <w:p>
      <w:pPr>
        <w:pStyle w:val="Heading3"/>
      </w:pPr>
      <w:r>
        <w:rPr>
          <w:rFonts w:ascii="Cambria" w:hAnsi="Cambria"/>
          <w:color w:val="262626"/>
          <w:sz w:val="21"/>
        </w:rPr>
        <w:t xml:space="preserve">57.4 Annexes</w:t>
      </w:r>
    </w:p>
    <w:p>
      <w:pPr>
        <w:pStyle w:val="Normal"/>
      </w:pPr>
      <w:r>
        <w:rPr>
          <w:rFonts w:ascii="Cambria" w:hAnsi="Cambria"/>
          <w:color w:val="262626"/>
          <w:sz w:val="21"/>
        </w:rPr>
        <w:t xml:space="preserve">The Annexes A through S form an integral part of this Agreement. A reference to an Article includes the Annex provisions that execute it, and the amendment rules of Article 55.2 govern each part accordingly.</w:t>
      </w:r>
    </w:p>
    <w:p>
      <w:pPr>
        <w:pStyle w:val="Heading3"/>
      </w:pPr>
      <w:r>
        <w:rPr>
          <w:rFonts w:ascii="Cambria" w:hAnsi="Cambria"/>
          <w:color w:val="262626"/>
          <w:sz w:val="21"/>
        </w:rPr>
        <w:t xml:space="preserve">57.5 Relationship to Other Commitments</w:t>
      </w:r>
    </w:p>
    <w:p>
      <w:pPr>
        <w:pStyle w:val="Normal"/>
      </w:pPr>
      <w:r>
        <w:rPr>
          <w:rFonts w:ascii="Cambria" w:hAnsi="Cambria"/>
          <w:color w:val="262626"/>
          <w:sz w:val="21"/>
        </w:rPr>
        <w:t xml:space="preserve">This Agreement leaves every party's other international commitments exactly as they stand. A party's obligations under this Agreement and its obligations elsewhere coexist; where tension appears between them, the party reconciles through the channel of Article 21 or the political channel of Article 47.4, and corridor operations continue throughout.</w:t>
      </w:r>
    </w:p>
    <w:p>
      <w:pPr>
        <w:pStyle w:val="Heading3"/>
      </w:pPr>
      <w:r>
        <w:rPr>
          <w:rFonts w:ascii="Cambria" w:hAnsi="Cambria"/>
          <w:color w:val="262626"/>
          <w:sz w:val="21"/>
        </w:rPr>
        <w:t xml:space="preserve">57.6 Signature</w:t>
      </w:r>
    </w:p>
    <w:p>
      <w:pPr>
        <w:pStyle w:val="Normal"/>
      </w:pPr>
      <w:r>
        <w:rPr>
          <w:rFonts w:ascii="Cambria" w:hAnsi="Cambria"/>
          <w:color w:val="262626"/>
          <w:sz w:val="21"/>
        </w:rPr>
        <w:t xml:space="preserve">Signed at the place and on the date recorded by the depositary, in four originals in each language of record, one for each Party.</w:t>
      </w:r>
    </w:p>
    <w:p>
      <w:pPr>
        <w:pStyle w:val="Heading1"/>
      </w:pPr>
      <w:r>
        <w:rPr>
          <w:rFonts w:ascii="Cambria" w:hAnsi="Cambria"/>
          <w:color w:val="262626"/>
          <w:sz w:val="21"/>
        </w:rPr>
        <w:t xml:space="preserve">Annexes</w:t>
      </w:r>
      <w:bookmarkStart w:id="569" w:name="_Toc26010070"/>
      <w:bookmarkEnd w:id="569"/>
    </w:p>
    <w:p>
      <w:pPr>
        <w:pStyle w:val="Heading2"/>
      </w:pPr>
      <w:r>
        <w:rPr>
          <w:rFonts w:ascii="Cambria" w:hAnsi="Cambria"/>
          <w:color w:val="262626"/>
          <w:sz w:val="21"/>
        </w:rPr>
        <w:t xml:space="preserve">Annex A: Corridor Coordinates and Geometry Registry</w:t>
      </w:r>
      <w:bookmarkStart w:id="570" w:name="_Toc26010071"/>
      <w:bookmarkEnd w:id="570"/>
    </w:p>
    <w:p>
      <w:pPr>
        <w:pStyle w:val="Heading3"/>
      </w:pPr>
      <w:r>
        <w:rPr>
          <w:rFonts w:ascii="Cambria" w:hAnsi="Cambria"/>
          <w:color w:val="262626"/>
          <w:sz w:val="21"/>
        </w:rPr>
        <w:t xml:space="preserve">A.1 Status of This Registry</w:t>
      </w:r>
    </w:p>
    <w:p>
      <w:pPr>
        <w:pStyle w:val="Normal"/>
      </w:pPr>
      <w:r>
        <w:rPr>
          <w:rFonts w:ascii="Cambria" w:hAnsi="Cambria"/>
          <w:color w:val="262626"/>
          <w:sz w:val="21"/>
        </w:rPr>
        <w:t xml:space="preserve">The coordinates in this Annex are provisional operational coordinates pending the confirmatory hydrographic survey of Phase One. The Desk registers the final coordinates through the technical amendment procedure of Article 55.2, on the survey record, with sixty days' public notice and a Perimeter Test. No coordinate in this registry draws or implies a legal maritime boundary; Article 2.6 governs.</w:t>
      </w:r>
    </w:p>
    <w:p>
      <w:pPr>
        <w:pStyle w:val="Heading3"/>
      </w:pPr>
      <w:r>
        <w:rPr>
          <w:rFonts w:ascii="Cambria" w:hAnsi="Cambria"/>
          <w:color w:val="262626"/>
          <w:sz w:val="21"/>
        </w:rPr>
        <w:t xml:space="preserve">A.2 Outer Boundary</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700"/>
        <w:gridCol w:w="6326"/>
      </w:tblGrid>
      <w:tr>
        <w:trPr>
          <w:tblHeader/>
        </w:trPr>
        <w:tc>
          <w:tcPr>
            <w:tcW w:w="2700" w:type="dxa"/>
            <w:shd w:val="clear" w:fill="E9F1F3"/>
            <w:vAlign w:val="top"/>
          </w:tcPr>
          <w:p>
            <w:pPr>
              <w:spacing w:before="20" w:after="20" w:line="276" w:lineRule="auto"/>
              <w:jc w:val="left"/>
            </w:pPr>
            <w:r>
              <w:rPr>
                <w:rFonts w:ascii="Calibri" w:hAnsi="Calibri"/>
                <w:b/>
                <w:color w:val="16404E"/>
                <w:sz w:val="19"/>
              </w:rPr>
              <w:t xml:space="preserve">Line</w:t>
            </w:r>
          </w:p>
        </w:tc>
        <w:tc>
          <w:tcPr>
            <w:tcW w:w="6326" w:type="dxa"/>
            <w:shd w:val="clear" w:fill="E9F1F3"/>
            <w:vAlign w:val="top"/>
          </w:tcPr>
          <w:p>
            <w:pPr>
              <w:spacing w:before="20" w:after="20" w:line="276" w:lineRule="auto"/>
              <w:jc w:val="left"/>
            </w:pPr>
            <w:r>
              <w:rPr>
                <w:rFonts w:ascii="Calibri" w:hAnsi="Calibri"/>
                <w:b/>
                <w:color w:val="16404E"/>
                <w:sz w:val="19"/>
              </w:rPr>
              <w:t xml:space="preserve">Provisional Definition</w:t>
            </w:r>
          </w:p>
        </w:tc>
      </w:tr>
      <w:tr>
        <w:tc>
          <w:tcPr>
            <w:tcW w:w="2700" w:type="dxa"/>
            <w:vAlign w:val="top"/>
          </w:tcPr>
          <w:p>
            <w:pPr>
              <w:spacing w:before="20" w:after="20" w:line="276" w:lineRule="auto"/>
              <w:jc w:val="left"/>
            </w:pPr>
            <w:r>
              <w:rPr>
                <w:rFonts w:ascii="Calibri" w:hAnsi="Calibri"/>
                <w:color w:val="262626"/>
                <w:sz w:val="18"/>
              </w:rPr>
              <w:t xml:space="preserve">Western boundary line</w:t>
            </w:r>
          </w:p>
        </w:tc>
        <w:tc>
          <w:tcPr>
            <w:tcW w:w="6326" w:type="dxa"/>
            <w:vAlign w:val="top"/>
          </w:tcPr>
          <w:p>
            <w:pPr>
              <w:spacing w:before="20" w:after="20" w:line="276" w:lineRule="auto"/>
              <w:jc w:val="left"/>
            </w:pPr>
            <w:r>
              <w:rPr>
                <w:rFonts w:ascii="Calibri" w:hAnsi="Calibri"/>
                <w:color w:val="262626"/>
                <w:sz w:val="18"/>
              </w:rPr>
              <w:t xml:space="preserve">The line connecting the registered points off Ra's al Kuh and the Musandam approaches at the inner entrance of the Strait, as charted on the registered chart series</w:t>
            </w:r>
          </w:p>
        </w:tc>
      </w:tr>
      <w:tr>
        <w:tc>
          <w:tcPr>
            <w:tcW w:w="2700" w:type="dxa"/>
            <w:vAlign w:val="top"/>
          </w:tcPr>
          <w:p>
            <w:pPr>
              <w:spacing w:before="20" w:after="20" w:line="276" w:lineRule="auto"/>
              <w:jc w:val="left"/>
            </w:pPr>
            <w:r>
              <w:rPr>
                <w:rFonts w:ascii="Calibri" w:hAnsi="Calibri"/>
                <w:color w:val="262626"/>
                <w:sz w:val="18"/>
              </w:rPr>
              <w:t xml:space="preserve">Eastern boundary line</w:t>
            </w:r>
          </w:p>
        </w:tc>
        <w:tc>
          <w:tcPr>
            <w:tcW w:w="6326" w:type="dxa"/>
            <w:vAlign w:val="top"/>
          </w:tcPr>
          <w:p>
            <w:pPr>
              <w:spacing w:before="20" w:after="20" w:line="276" w:lineRule="auto"/>
              <w:jc w:val="left"/>
            </w:pPr>
            <w:r>
              <w:rPr>
                <w:rFonts w:ascii="Calibri" w:hAnsi="Calibri"/>
                <w:color w:val="262626"/>
                <w:sz w:val="18"/>
              </w:rPr>
              <w:t xml:space="preserve">The line connecting the registered points east of the Tunb and Abu Musa approaches toward the Gwatar direction at the outer entrance, as charted on the registered chart series</w:t>
            </w:r>
          </w:p>
        </w:tc>
      </w:tr>
      <w:tr>
        <w:tc>
          <w:tcPr>
            <w:tcW w:w="2700" w:type="dxa"/>
            <w:vAlign w:val="top"/>
          </w:tcPr>
          <w:p>
            <w:pPr>
              <w:spacing w:before="20" w:after="20" w:line="276" w:lineRule="auto"/>
              <w:jc w:val="left"/>
            </w:pPr>
            <w:r>
              <w:rPr>
                <w:rFonts w:ascii="Calibri" w:hAnsi="Calibri"/>
                <w:color w:val="262626"/>
                <w:sz w:val="18"/>
              </w:rPr>
              <w:t xml:space="preserve">Northern envelope</w:t>
            </w:r>
          </w:p>
        </w:tc>
        <w:tc>
          <w:tcPr>
            <w:tcW w:w="6326" w:type="dxa"/>
            <w:vAlign w:val="top"/>
          </w:tcPr>
          <w:p>
            <w:pPr>
              <w:spacing w:before="20" w:after="20" w:line="276" w:lineRule="auto"/>
              <w:jc w:val="left"/>
            </w:pPr>
            <w:r>
              <w:rPr>
                <w:rFonts w:ascii="Calibri" w:hAnsi="Calibri"/>
                <w:color w:val="262626"/>
                <w:sz w:val="18"/>
              </w:rPr>
              <w:t xml:space="preserve">The envelope adjacent to the Iranian coast encompassing the islands passages of the main Strait, per the registered chart series</w:t>
            </w:r>
          </w:p>
        </w:tc>
      </w:tr>
      <w:tr>
        <w:tc>
          <w:tcPr>
            <w:tcW w:w="2700" w:type="dxa"/>
            <w:vAlign w:val="top"/>
          </w:tcPr>
          <w:p>
            <w:pPr>
              <w:spacing w:before="20" w:after="20" w:line="276" w:lineRule="auto"/>
              <w:jc w:val="left"/>
            </w:pPr>
            <w:r>
              <w:rPr>
                <w:rFonts w:ascii="Calibri" w:hAnsi="Calibri"/>
                <w:color w:val="262626"/>
                <w:sz w:val="18"/>
              </w:rPr>
              <w:t xml:space="preserve">Southern envelope</w:t>
            </w:r>
          </w:p>
        </w:tc>
        <w:tc>
          <w:tcPr>
            <w:tcW w:w="6326" w:type="dxa"/>
            <w:vAlign w:val="top"/>
          </w:tcPr>
          <w:p>
            <w:pPr>
              <w:spacing w:before="20" w:after="20" w:line="276" w:lineRule="auto"/>
              <w:jc w:val="left"/>
            </w:pPr>
            <w:r>
              <w:rPr>
                <w:rFonts w:ascii="Calibri" w:hAnsi="Calibri"/>
                <w:color w:val="262626"/>
                <w:sz w:val="18"/>
              </w:rPr>
              <w:t xml:space="preserve">The envelope adjacent to the Omani coast of the Musandam Peninsula, per the registered chart series</w:t>
            </w:r>
          </w:p>
        </w:tc>
      </w:tr>
    </w:tbl>
    <w:p>
      <w:pPr>
        <w:spacing w:before="60" w:after="120"/>
      </w:pPr>
    </w:p>
    <w:p>
      <w:pPr>
        <w:pStyle w:val="Heading3"/>
      </w:pPr>
      <w:r>
        <w:rPr>
          <w:rFonts w:ascii="Cambria" w:hAnsi="Cambria"/>
          <w:color w:val="262626"/>
          <w:sz w:val="21"/>
        </w:rPr>
        <w:t xml:space="preserve">A.3 Corridor Geometry</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250"/>
        <w:gridCol w:w="2700"/>
        <w:gridCol w:w="4076"/>
      </w:tblGrid>
      <w:tr>
        <w:trPr>
          <w:tblHeader/>
        </w:trPr>
        <w:tc>
          <w:tcPr>
            <w:tcW w:w="2250" w:type="dxa"/>
            <w:shd w:val="clear" w:fill="E9F1F3"/>
            <w:vAlign w:val="top"/>
          </w:tcPr>
          <w:p>
            <w:pPr>
              <w:spacing w:before="20" w:after="20" w:line="276" w:lineRule="auto"/>
              <w:jc w:val="left"/>
            </w:pPr>
            <w:r>
              <w:rPr>
                <w:rFonts w:ascii="Calibri" w:hAnsi="Calibri"/>
                <w:b/>
                <w:color w:val="16404E"/>
                <w:sz w:val="19"/>
              </w:rPr>
              <w:t xml:space="preserve">Corridor</w:t>
            </w:r>
          </w:p>
        </w:tc>
        <w:tc>
          <w:tcPr>
            <w:tcW w:w="2700" w:type="dxa"/>
            <w:shd w:val="clear" w:fill="E9F1F3"/>
            <w:vAlign w:val="top"/>
          </w:tcPr>
          <w:p>
            <w:pPr>
              <w:spacing w:before="20" w:after="20" w:line="276" w:lineRule="auto"/>
              <w:jc w:val="left"/>
            </w:pPr>
            <w:r>
              <w:rPr>
                <w:rFonts w:ascii="Calibri" w:hAnsi="Calibri"/>
                <w:b/>
                <w:color w:val="16404E"/>
                <w:sz w:val="19"/>
              </w:rPr>
              <w:t xml:space="preserve">Baseline</w:t>
            </w:r>
          </w:p>
        </w:tc>
        <w:tc>
          <w:tcPr>
            <w:tcW w:w="4076" w:type="dxa"/>
            <w:shd w:val="clear" w:fill="E9F1F3"/>
            <w:vAlign w:val="top"/>
          </w:tcPr>
          <w:p>
            <w:pPr>
              <w:spacing w:before="20" w:after="20" w:line="276" w:lineRule="auto"/>
              <w:jc w:val="left"/>
            </w:pPr>
            <w:r>
              <w:rPr>
                <w:rFonts w:ascii="Calibri" w:hAnsi="Calibri"/>
                <w:b/>
                <w:color w:val="16404E"/>
                <w:sz w:val="19"/>
              </w:rPr>
              <w:t xml:space="preserve">Width (Provisional)</w:t>
            </w:r>
          </w:p>
        </w:tc>
      </w:tr>
      <w:tr>
        <w:tc>
          <w:tcPr>
            <w:tcW w:w="2250" w:type="dxa"/>
            <w:vAlign w:val="top"/>
          </w:tcPr>
          <w:p>
            <w:pPr>
              <w:spacing w:before="20" w:after="20" w:line="276" w:lineRule="auto"/>
              <w:jc w:val="left"/>
            </w:pPr>
            <w:r>
              <w:rPr>
                <w:rFonts w:ascii="Calibri" w:hAnsi="Calibri"/>
                <w:color w:val="262626"/>
                <w:sz w:val="18"/>
              </w:rPr>
              <w:t xml:space="preserve">Northern Alignment Corridor</w:t>
            </w:r>
          </w:p>
        </w:tc>
        <w:tc>
          <w:tcPr>
            <w:tcW w:w="2700" w:type="dxa"/>
            <w:vAlign w:val="top"/>
          </w:tcPr>
          <w:p>
            <w:pPr>
              <w:spacing w:before="20" w:after="20" w:line="276" w:lineRule="auto"/>
              <w:jc w:val="left"/>
            </w:pPr>
            <w:r>
              <w:rPr>
                <w:rFonts w:ascii="Calibri" w:hAnsi="Calibri"/>
                <w:color w:val="262626"/>
                <w:sz w:val="18"/>
              </w:rPr>
              <w:t xml:space="preserve">The northern routing serving Iranian port approaches and the island channels, regularized on the northern track's historical envelope</w:t>
            </w:r>
          </w:p>
        </w:tc>
        <w:tc>
          <w:tcPr>
            <w:tcW w:w="4076" w:type="dxa"/>
            <w:vAlign w:val="top"/>
          </w:tcPr>
          <w:p>
            <w:pPr>
              <w:spacing w:before="20" w:after="20" w:line="276" w:lineRule="auto"/>
              <w:jc w:val="left"/>
            </w:pPr>
            <w:r>
              <w:rPr>
                <w:rFonts w:ascii="Calibri" w:hAnsi="Calibri"/>
                <w:color w:val="262626"/>
                <w:sz w:val="18"/>
              </w:rPr>
              <w:t xml:space="preserve">Two nautical miles per direction of travel plus separation</w:t>
            </w:r>
          </w:p>
        </w:tc>
      </w:tr>
      <w:tr>
        <w:tc>
          <w:tcPr>
            <w:tcW w:w="2250" w:type="dxa"/>
            <w:vAlign w:val="top"/>
          </w:tcPr>
          <w:p>
            <w:pPr>
              <w:spacing w:before="20" w:after="20" w:line="276" w:lineRule="auto"/>
              <w:jc w:val="left"/>
            </w:pPr>
            <w:r>
              <w:rPr>
                <w:rFonts w:ascii="Calibri" w:hAnsi="Calibri"/>
                <w:color w:val="262626"/>
                <w:sz w:val="18"/>
              </w:rPr>
              <w:t xml:space="preserve">Central Transit Corridor</w:t>
            </w:r>
          </w:p>
        </w:tc>
        <w:tc>
          <w:tcPr>
            <w:tcW w:w="2700" w:type="dxa"/>
            <w:vAlign w:val="top"/>
          </w:tcPr>
          <w:p>
            <w:pPr>
              <w:spacing w:before="20" w:after="20" w:line="276" w:lineRule="auto"/>
              <w:jc w:val="left"/>
            </w:pPr>
            <w:r>
              <w:rPr>
                <w:rFonts w:ascii="Calibri" w:hAnsi="Calibri"/>
                <w:color w:val="262626"/>
                <w:sz w:val="18"/>
              </w:rPr>
              <w:t xml:space="preserve">The traffic separation scheme adopted through the International Maritime Organization in 1966 and maintained since, as the internationally recognized baseline</w:t>
            </w:r>
          </w:p>
        </w:tc>
        <w:tc>
          <w:tcPr>
            <w:tcW w:w="4076" w:type="dxa"/>
            <w:vAlign w:val="top"/>
          </w:tcPr>
          <w:p>
            <w:pPr>
              <w:spacing w:before="20" w:after="20" w:line="276" w:lineRule="auto"/>
              <w:jc w:val="left"/>
            </w:pPr>
            <w:r>
              <w:rPr>
                <w:rFonts w:ascii="Calibri" w:hAnsi="Calibri"/>
                <w:color w:val="262626"/>
                <w:sz w:val="18"/>
              </w:rPr>
              <w:t xml:space="preserve">Two nautical miles per direction of travel plus a two-mile separation zone</w:t>
            </w:r>
          </w:p>
        </w:tc>
      </w:tr>
      <w:tr>
        <w:tc>
          <w:tcPr>
            <w:tcW w:w="2250" w:type="dxa"/>
            <w:vAlign w:val="top"/>
          </w:tcPr>
          <w:p>
            <w:pPr>
              <w:spacing w:before="20" w:after="20" w:line="276" w:lineRule="auto"/>
              <w:jc w:val="left"/>
            </w:pPr>
            <w:r>
              <w:rPr>
                <w:rFonts w:ascii="Calibri" w:hAnsi="Calibri"/>
                <w:color w:val="262626"/>
                <w:sz w:val="18"/>
              </w:rPr>
              <w:t xml:space="preserve">Southern Alignment Corridor</w:t>
            </w:r>
          </w:p>
        </w:tc>
        <w:tc>
          <w:tcPr>
            <w:tcW w:w="2700" w:type="dxa"/>
            <w:vAlign w:val="top"/>
          </w:tcPr>
          <w:p>
            <w:pPr>
              <w:spacing w:before="20" w:after="20" w:line="276" w:lineRule="auto"/>
              <w:jc w:val="left"/>
            </w:pPr>
            <w:r>
              <w:rPr>
                <w:rFonts w:ascii="Calibri" w:hAnsi="Calibri"/>
                <w:color w:val="262626"/>
                <w:sz w:val="18"/>
              </w:rPr>
              <w:t xml:space="preserve">The southern routing adjacent to the Musandam coast, aligned with the coordinates announced through the International Maritime Organization and the competent Omani authorities in June 2026</w:t>
            </w:r>
          </w:p>
        </w:tc>
        <w:tc>
          <w:tcPr>
            <w:tcW w:w="4076" w:type="dxa"/>
            <w:vAlign w:val="top"/>
          </w:tcPr>
          <w:p>
            <w:pPr>
              <w:spacing w:before="20" w:after="20" w:line="276" w:lineRule="auto"/>
              <w:jc w:val="left"/>
            </w:pPr>
            <w:r>
              <w:rPr>
                <w:rFonts w:ascii="Calibri" w:hAnsi="Calibri"/>
                <w:color w:val="262626"/>
                <w:sz w:val="18"/>
              </w:rPr>
              <w:t xml:space="preserve">Two nautical miles per direction of travel plus separation</w:t>
            </w:r>
          </w:p>
        </w:tc>
      </w:tr>
    </w:tbl>
    <w:p>
      <w:pPr>
        <w:spacing w:before="60" w:after="120"/>
      </w:pPr>
    </w:p>
    <w:p>
      <w:pPr>
        <w:pStyle w:val="Heading3"/>
      </w:pPr>
      <w:r>
        <w:rPr>
          <w:rFonts w:ascii="Cambria" w:hAnsi="Cambria"/>
          <w:color w:val="262626"/>
          <w:sz w:val="21"/>
        </w:rPr>
        <w:t xml:space="preserve">A.4 Registered Points and Installations</w:t>
      </w:r>
    </w:p>
    <w:p>
      <w:pPr>
        <w:pStyle w:val="Normal"/>
      </w:pPr>
      <w:r>
        <w:rPr>
          <w:rFonts w:ascii="Cambria" w:hAnsi="Cambria"/>
          <w:color w:val="262626"/>
          <w:sz w:val="21"/>
        </w:rPr>
        <w:t xml:space="preserve">The registry carries: the pilot boarding stations for each corridor; the precautionary areas at the junctions; the approach anchorages and their capacities; the small-craft routing and crossing windows; the places of refuge with their access parameters; the protected environmental zones; the standoff geometry buffers of Article 38.3; and the caution zone templates for clearance operations. Each entry states its coordinates, its purpose, its activation rule, and its review cycle.</w:t>
      </w:r>
    </w:p>
    <w:p>
      <w:pPr>
        <w:pStyle w:val="Heading3"/>
      </w:pPr>
      <w:r>
        <w:rPr>
          <w:rFonts w:ascii="Cambria" w:hAnsi="Cambria"/>
          <w:color w:val="262626"/>
          <w:sz w:val="21"/>
        </w:rPr>
        <w:t xml:space="preserve">A.5 Chart Series</w:t>
      </w:r>
    </w:p>
    <w:p>
      <w:pPr>
        <w:pStyle w:val="Normal"/>
      </w:pPr>
      <w:r>
        <w:rPr>
          <w:rFonts w:ascii="Cambria" w:hAnsi="Cambria"/>
          <w:color w:val="262626"/>
          <w:sz w:val="21"/>
        </w:rPr>
        <w:t xml:space="preserve">The Desk maintains the registered chart series through the hydrographic work strand, publishes updates on the Bulletin schedule, and transmits every update to the technical observer and the insurance interface on publication day.</w:t>
      </w:r>
    </w:p>
    <w:p>
      <w:pPr>
        <w:pStyle w:val="Heading2"/>
      </w:pPr>
      <w:r>
        <w:rPr>
          <w:rFonts w:ascii="Cambria" w:hAnsi="Cambria"/>
          <w:color w:val="262626"/>
          <w:sz w:val="21"/>
        </w:rPr>
        <w:t xml:space="preserve">Annex B: Vessel Classification and Treatment Matrix</w:t>
      </w:r>
      <w:bookmarkStart w:id="571" w:name="_Toc26010072"/>
      <w:bookmarkEnd w:id="571"/>
    </w:p>
    <w:p>
      <w:pPr>
        <w:pStyle w:val="Heading3"/>
      </w:pPr>
      <w:r>
        <w:rPr>
          <w:rFonts w:ascii="Cambria" w:hAnsi="Cambria"/>
          <w:color w:val="262626"/>
          <w:sz w:val="21"/>
        </w:rPr>
        <w:t xml:space="preserve">B.1 Classification Bands</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1500"/>
        <w:gridCol w:w="2850"/>
        <w:gridCol w:w="2400"/>
        <w:gridCol w:w="2276"/>
      </w:tblGrid>
      <w:tr>
        <w:trPr>
          <w:tblHeader/>
        </w:trPr>
        <w:tc>
          <w:tcPr>
            <w:tcW w:w="1500" w:type="dxa"/>
            <w:shd w:val="clear" w:fill="E9F1F3"/>
            <w:vAlign w:val="top"/>
          </w:tcPr>
          <w:p>
            <w:pPr>
              <w:spacing w:before="20" w:after="20" w:line="276" w:lineRule="auto"/>
              <w:jc w:val="left"/>
            </w:pPr>
            <w:r>
              <w:rPr>
                <w:rFonts w:ascii="Calibri" w:hAnsi="Calibri"/>
                <w:b/>
                <w:color w:val="16404E"/>
                <w:sz w:val="19"/>
              </w:rPr>
              <w:t xml:space="preserve">Class</w:t>
            </w:r>
          </w:p>
        </w:tc>
        <w:tc>
          <w:tcPr>
            <w:tcW w:w="2850" w:type="dxa"/>
            <w:shd w:val="clear" w:fill="E9F1F3"/>
            <w:vAlign w:val="top"/>
          </w:tcPr>
          <w:p>
            <w:pPr>
              <w:spacing w:before="20" w:after="20" w:line="276" w:lineRule="auto"/>
              <w:jc w:val="left"/>
            </w:pPr>
            <w:r>
              <w:rPr>
                <w:rFonts w:ascii="Calibri" w:hAnsi="Calibri"/>
                <w:b/>
                <w:color w:val="16404E"/>
                <w:sz w:val="19"/>
              </w:rPr>
              <w:t xml:space="preserve">Band</w:t>
            </w:r>
          </w:p>
        </w:tc>
        <w:tc>
          <w:tcPr>
            <w:tcW w:w="2400" w:type="dxa"/>
            <w:shd w:val="clear" w:fill="E9F1F3"/>
            <w:vAlign w:val="top"/>
          </w:tcPr>
          <w:p>
            <w:pPr>
              <w:spacing w:before="20" w:after="20" w:line="276" w:lineRule="auto"/>
              <w:jc w:val="left"/>
            </w:pPr>
            <w:r>
              <w:rPr>
                <w:rFonts w:ascii="Calibri" w:hAnsi="Calibri"/>
                <w:b/>
                <w:color w:val="16404E"/>
                <w:sz w:val="19"/>
              </w:rPr>
              <w:t xml:space="preserve">Pilotage Posture</w:t>
            </w:r>
          </w:p>
        </w:tc>
        <w:tc>
          <w:tcPr>
            <w:tcW w:w="2276" w:type="dxa"/>
            <w:shd w:val="clear" w:fill="E9F1F3"/>
            <w:vAlign w:val="top"/>
          </w:tcPr>
          <w:p>
            <w:pPr>
              <w:spacing w:before="20" w:after="20" w:line="276" w:lineRule="auto"/>
              <w:jc w:val="left"/>
            </w:pPr>
            <w:r>
              <w:rPr>
                <w:rFonts w:ascii="Calibri" w:hAnsi="Calibri"/>
                <w:b/>
                <w:color w:val="16404E"/>
                <w:sz w:val="19"/>
              </w:rPr>
              <w:t xml:space="preserve">Parameters</w:t>
            </w:r>
          </w:p>
        </w:tc>
      </w:tr>
      <w:tr>
        <w:tc>
          <w:tcPr>
            <w:tcW w:w="1500" w:type="dxa"/>
            <w:vAlign w:val="top"/>
          </w:tcPr>
          <w:p>
            <w:pPr>
              <w:spacing w:before="20" w:after="20" w:line="276" w:lineRule="auto"/>
              <w:jc w:val="left"/>
            </w:pPr>
            <w:r>
              <w:rPr>
                <w:rFonts w:ascii="Calibri" w:hAnsi="Calibri"/>
                <w:color w:val="262626"/>
                <w:sz w:val="18"/>
              </w:rPr>
              <w:t xml:space="preserve">A</w:t>
            </w:r>
          </w:p>
        </w:tc>
        <w:tc>
          <w:tcPr>
            <w:tcW w:w="2850" w:type="dxa"/>
            <w:vAlign w:val="top"/>
          </w:tcPr>
          <w:p>
            <w:pPr>
              <w:spacing w:before="20" w:after="20" w:line="276" w:lineRule="auto"/>
              <w:jc w:val="left"/>
            </w:pPr>
            <w:r>
              <w:rPr>
                <w:rFonts w:ascii="Calibri" w:hAnsi="Calibri"/>
                <w:color w:val="262626"/>
                <w:sz w:val="18"/>
              </w:rPr>
              <w:t xml:space="preserve">Very large crude carriers and ultra-large crude carriers, loaded</w:t>
            </w:r>
          </w:p>
        </w:tc>
        <w:tc>
          <w:tcPr>
            <w:tcW w:w="2400" w:type="dxa"/>
            <w:vAlign w:val="top"/>
          </w:tcPr>
          <w:p>
            <w:pPr>
              <w:spacing w:before="20" w:after="20" w:line="276" w:lineRule="auto"/>
              <w:jc w:val="left"/>
            </w:pPr>
            <w:r>
              <w:rPr>
                <w:rFonts w:ascii="Calibri" w:hAnsi="Calibri"/>
                <w:color w:val="262626"/>
                <w:sz w:val="18"/>
              </w:rPr>
              <w:t xml:space="preserve">Certified pilot mandatory in every corridor</w:t>
            </w:r>
          </w:p>
        </w:tc>
        <w:tc>
          <w:tcPr>
            <w:tcW w:w="2276" w:type="dxa"/>
            <w:vAlign w:val="top"/>
          </w:tcPr>
          <w:p>
            <w:pPr>
              <w:spacing w:before="20" w:after="20" w:line="276" w:lineRule="auto"/>
              <w:jc w:val="left"/>
            </w:pPr>
            <w:r>
              <w:rPr>
                <w:rFonts w:ascii="Calibri" w:hAnsi="Calibri"/>
                <w:color w:val="262626"/>
                <w:sz w:val="18"/>
              </w:rPr>
              <w:t xml:space="preserve">Enhanced spacing; published slots; escorted window on request</w:t>
            </w:r>
          </w:p>
        </w:tc>
      </w:tr>
      <w:tr>
        <w:tc>
          <w:tcPr>
            <w:tcW w:w="1500" w:type="dxa"/>
            <w:vAlign w:val="top"/>
          </w:tcPr>
          <w:p>
            <w:pPr>
              <w:spacing w:before="20" w:after="20" w:line="276" w:lineRule="auto"/>
              <w:jc w:val="left"/>
            </w:pPr>
            <w:r>
              <w:rPr>
                <w:rFonts w:ascii="Calibri" w:hAnsi="Calibri"/>
                <w:color w:val="262626"/>
                <w:sz w:val="18"/>
              </w:rPr>
              <w:t xml:space="preserve">B</w:t>
            </w:r>
          </w:p>
        </w:tc>
        <w:tc>
          <w:tcPr>
            <w:tcW w:w="2850" w:type="dxa"/>
            <w:vAlign w:val="top"/>
          </w:tcPr>
          <w:p>
            <w:pPr>
              <w:spacing w:before="20" w:after="20" w:line="276" w:lineRule="auto"/>
              <w:jc w:val="left"/>
            </w:pPr>
            <w:r>
              <w:rPr>
                <w:rFonts w:ascii="Calibri" w:hAnsi="Calibri"/>
                <w:color w:val="262626"/>
                <w:sz w:val="18"/>
              </w:rPr>
              <w:t xml:space="preserve">Liquefied natural gas and liquefied petroleum gas carriers</w:t>
            </w:r>
          </w:p>
        </w:tc>
        <w:tc>
          <w:tcPr>
            <w:tcW w:w="2400" w:type="dxa"/>
            <w:vAlign w:val="top"/>
          </w:tcPr>
          <w:p>
            <w:pPr>
              <w:spacing w:before="20" w:after="20" w:line="276" w:lineRule="auto"/>
              <w:jc w:val="left"/>
            </w:pPr>
            <w:r>
              <w:rPr>
                <w:rFonts w:ascii="Calibri" w:hAnsi="Calibri"/>
                <w:color w:val="262626"/>
                <w:sz w:val="18"/>
              </w:rPr>
              <w:t xml:space="preserve">Certified pilot mandatory in every corridor</w:t>
            </w:r>
          </w:p>
        </w:tc>
        <w:tc>
          <w:tcPr>
            <w:tcW w:w="2276" w:type="dxa"/>
            <w:vAlign w:val="top"/>
          </w:tcPr>
          <w:p>
            <w:pPr>
              <w:spacing w:before="20" w:after="20" w:line="276" w:lineRule="auto"/>
              <w:jc w:val="left"/>
            </w:pPr>
            <w:r>
              <w:rPr>
                <w:rFonts w:ascii="Calibri" w:hAnsi="Calibri"/>
                <w:color w:val="262626"/>
                <w:sz w:val="18"/>
              </w:rPr>
              <w:t xml:space="preserve">Enhanced spacing; published slots; rescue standby notice</w:t>
            </w:r>
          </w:p>
        </w:tc>
      </w:tr>
      <w:tr>
        <w:tc>
          <w:tcPr>
            <w:tcW w:w="1500" w:type="dxa"/>
            <w:vAlign w:val="top"/>
          </w:tcPr>
          <w:p>
            <w:pPr>
              <w:spacing w:before="20" w:after="20" w:line="276" w:lineRule="auto"/>
              <w:jc w:val="left"/>
            </w:pPr>
            <w:r>
              <w:rPr>
                <w:rFonts w:ascii="Calibri" w:hAnsi="Calibri"/>
                <w:color w:val="262626"/>
                <w:sz w:val="18"/>
              </w:rPr>
              <w:t xml:space="preserve">C</w:t>
            </w:r>
          </w:p>
        </w:tc>
        <w:tc>
          <w:tcPr>
            <w:tcW w:w="2850" w:type="dxa"/>
            <w:vAlign w:val="top"/>
          </w:tcPr>
          <w:p>
            <w:pPr>
              <w:spacing w:before="20" w:after="20" w:line="276" w:lineRule="auto"/>
              <w:jc w:val="left"/>
            </w:pPr>
            <w:r>
              <w:rPr>
                <w:rFonts w:ascii="Calibri" w:hAnsi="Calibri"/>
                <w:color w:val="262626"/>
                <w:sz w:val="18"/>
              </w:rPr>
              <w:t xml:space="preserve">Tankers above 50,000 deadweight tons, other</w:t>
            </w:r>
          </w:p>
        </w:tc>
        <w:tc>
          <w:tcPr>
            <w:tcW w:w="2400" w:type="dxa"/>
            <w:vAlign w:val="top"/>
          </w:tcPr>
          <w:p>
            <w:pPr>
              <w:spacing w:before="20" w:after="20" w:line="276" w:lineRule="auto"/>
              <w:jc w:val="left"/>
            </w:pPr>
            <w:r>
              <w:rPr>
                <w:rFonts w:ascii="Calibri" w:hAnsi="Calibri"/>
                <w:color w:val="262626"/>
                <w:sz w:val="18"/>
              </w:rPr>
              <w:t xml:space="preserve">Certified pilot mandatory</w:t>
            </w:r>
          </w:p>
        </w:tc>
        <w:tc>
          <w:tcPr>
            <w:tcW w:w="2276" w:type="dxa"/>
            <w:vAlign w:val="top"/>
          </w:tcPr>
          <w:p>
            <w:pPr>
              <w:spacing w:before="20" w:after="20" w:line="276" w:lineRule="auto"/>
              <w:jc w:val="left"/>
            </w:pPr>
            <w:r>
              <w:rPr>
                <w:rFonts w:ascii="Calibri" w:hAnsi="Calibri"/>
                <w:color w:val="262626"/>
                <w:sz w:val="18"/>
              </w:rPr>
              <w:t xml:space="preserve">Standard spacing</w:t>
            </w:r>
          </w:p>
        </w:tc>
      </w:tr>
      <w:tr>
        <w:tc>
          <w:tcPr>
            <w:tcW w:w="1500" w:type="dxa"/>
            <w:vAlign w:val="top"/>
          </w:tcPr>
          <w:p>
            <w:pPr>
              <w:spacing w:before="20" w:after="20" w:line="276" w:lineRule="auto"/>
              <w:jc w:val="left"/>
            </w:pPr>
            <w:r>
              <w:rPr>
                <w:rFonts w:ascii="Calibri" w:hAnsi="Calibri"/>
                <w:color w:val="262626"/>
                <w:sz w:val="18"/>
              </w:rPr>
              <w:t xml:space="preserve">D</w:t>
            </w:r>
          </w:p>
        </w:tc>
        <w:tc>
          <w:tcPr>
            <w:tcW w:w="2850" w:type="dxa"/>
            <w:vAlign w:val="top"/>
          </w:tcPr>
          <w:p>
            <w:pPr>
              <w:spacing w:before="20" w:after="20" w:line="276" w:lineRule="auto"/>
              <w:jc w:val="left"/>
            </w:pPr>
            <w:r>
              <w:rPr>
                <w:rFonts w:ascii="Calibri" w:hAnsi="Calibri"/>
                <w:color w:val="262626"/>
                <w:sz w:val="18"/>
              </w:rPr>
              <w:t xml:space="preserve">Bulk carriers and container vessels above 50,000 deadweight tons</w:t>
            </w:r>
          </w:p>
        </w:tc>
        <w:tc>
          <w:tcPr>
            <w:tcW w:w="2400" w:type="dxa"/>
            <w:vAlign w:val="top"/>
          </w:tcPr>
          <w:p>
            <w:pPr>
              <w:spacing w:before="20" w:after="20" w:line="276" w:lineRule="auto"/>
              <w:jc w:val="left"/>
            </w:pPr>
            <w:r>
              <w:rPr>
                <w:rFonts w:ascii="Calibri" w:hAnsi="Calibri"/>
                <w:color w:val="262626"/>
                <w:sz w:val="18"/>
              </w:rPr>
              <w:t xml:space="preserve">Certified pilot mandatory</w:t>
            </w:r>
          </w:p>
        </w:tc>
        <w:tc>
          <w:tcPr>
            <w:tcW w:w="2276" w:type="dxa"/>
            <w:vAlign w:val="top"/>
          </w:tcPr>
          <w:p>
            <w:pPr>
              <w:spacing w:before="20" w:after="20" w:line="276" w:lineRule="auto"/>
              <w:jc w:val="left"/>
            </w:pPr>
            <w:r>
              <w:rPr>
                <w:rFonts w:ascii="Calibri" w:hAnsi="Calibri"/>
                <w:color w:val="262626"/>
                <w:sz w:val="18"/>
              </w:rPr>
              <w:t xml:space="preserve">Standard spacing</w:t>
            </w:r>
          </w:p>
        </w:tc>
      </w:tr>
      <w:tr>
        <w:tc>
          <w:tcPr>
            <w:tcW w:w="1500" w:type="dxa"/>
            <w:vAlign w:val="top"/>
          </w:tcPr>
          <w:p>
            <w:pPr>
              <w:spacing w:before="20" w:after="20" w:line="276" w:lineRule="auto"/>
              <w:jc w:val="left"/>
            </w:pPr>
            <w:r>
              <w:rPr>
                <w:rFonts w:ascii="Calibri" w:hAnsi="Calibri"/>
                <w:color w:val="262626"/>
                <w:sz w:val="18"/>
              </w:rPr>
              <w:t xml:space="preserve">E</w:t>
            </w:r>
          </w:p>
        </w:tc>
        <w:tc>
          <w:tcPr>
            <w:tcW w:w="2850" w:type="dxa"/>
            <w:vAlign w:val="top"/>
          </w:tcPr>
          <w:p>
            <w:pPr>
              <w:spacing w:before="20" w:after="20" w:line="276" w:lineRule="auto"/>
              <w:jc w:val="left"/>
            </w:pPr>
            <w:r>
              <w:rPr>
                <w:rFonts w:ascii="Calibri" w:hAnsi="Calibri"/>
                <w:color w:val="262626"/>
                <w:sz w:val="18"/>
              </w:rPr>
              <w:t xml:space="preserve">Vessels between 10,000 and 50,000 deadweight tons</w:t>
            </w:r>
          </w:p>
        </w:tc>
        <w:tc>
          <w:tcPr>
            <w:tcW w:w="2400" w:type="dxa"/>
            <w:vAlign w:val="top"/>
          </w:tcPr>
          <w:p>
            <w:pPr>
              <w:spacing w:before="20" w:after="20" w:line="276" w:lineRule="auto"/>
              <w:jc w:val="left"/>
            </w:pPr>
            <w:r>
              <w:rPr>
                <w:rFonts w:ascii="Calibri" w:hAnsi="Calibri"/>
                <w:color w:val="262626"/>
                <w:sz w:val="18"/>
              </w:rPr>
              <w:t xml:space="preserve">Advisory pilotage on request</w:t>
            </w:r>
          </w:p>
        </w:tc>
        <w:tc>
          <w:tcPr>
            <w:tcW w:w="2276" w:type="dxa"/>
            <w:vAlign w:val="top"/>
          </w:tcPr>
          <w:p>
            <w:pPr>
              <w:spacing w:before="20" w:after="20" w:line="276" w:lineRule="auto"/>
              <w:jc w:val="left"/>
            </w:pPr>
            <w:r>
              <w:rPr>
                <w:rFonts w:ascii="Calibri" w:hAnsi="Calibri"/>
                <w:color w:val="262626"/>
                <w:sz w:val="18"/>
              </w:rPr>
              <w:t xml:space="preserve">Standard spacing</w:t>
            </w:r>
          </w:p>
        </w:tc>
      </w:tr>
      <w:tr>
        <w:tc>
          <w:tcPr>
            <w:tcW w:w="1500" w:type="dxa"/>
            <w:vAlign w:val="top"/>
          </w:tcPr>
          <w:p>
            <w:pPr>
              <w:spacing w:before="20" w:after="20" w:line="276" w:lineRule="auto"/>
              <w:jc w:val="left"/>
            </w:pPr>
            <w:r>
              <w:rPr>
                <w:rFonts w:ascii="Calibri" w:hAnsi="Calibri"/>
                <w:color w:val="262626"/>
                <w:sz w:val="18"/>
              </w:rPr>
              <w:t xml:space="preserve">F</w:t>
            </w:r>
          </w:p>
        </w:tc>
        <w:tc>
          <w:tcPr>
            <w:tcW w:w="2850" w:type="dxa"/>
            <w:vAlign w:val="top"/>
          </w:tcPr>
          <w:p>
            <w:pPr>
              <w:spacing w:before="20" w:after="20" w:line="276" w:lineRule="auto"/>
              <w:jc w:val="left"/>
            </w:pPr>
            <w:r>
              <w:rPr>
                <w:rFonts w:ascii="Calibri" w:hAnsi="Calibri"/>
                <w:color w:val="262626"/>
                <w:sz w:val="18"/>
              </w:rPr>
              <w:t xml:space="preserve">Vessels between 300 and 10,000 gross tonnage</w:t>
            </w:r>
          </w:p>
        </w:tc>
        <w:tc>
          <w:tcPr>
            <w:tcW w:w="2400" w:type="dxa"/>
            <w:vAlign w:val="top"/>
          </w:tcPr>
          <w:p>
            <w:pPr>
              <w:spacing w:before="20" w:after="20" w:line="276" w:lineRule="auto"/>
              <w:jc w:val="left"/>
            </w:pPr>
            <w:r>
              <w:rPr>
                <w:rFonts w:ascii="Calibri" w:hAnsi="Calibri"/>
                <w:color w:val="262626"/>
                <w:sz w:val="18"/>
              </w:rPr>
              <w:t xml:space="preserve">Advisory pilotage on request</w:t>
            </w:r>
          </w:p>
        </w:tc>
        <w:tc>
          <w:tcPr>
            <w:tcW w:w="2276" w:type="dxa"/>
            <w:vAlign w:val="top"/>
          </w:tcPr>
          <w:p>
            <w:pPr>
              <w:spacing w:before="20" w:after="20" w:line="276" w:lineRule="auto"/>
              <w:jc w:val="left"/>
            </w:pPr>
            <w:r>
              <w:rPr>
                <w:rFonts w:ascii="Calibri" w:hAnsi="Calibri"/>
                <w:color w:val="262626"/>
                <w:sz w:val="18"/>
              </w:rPr>
              <w:t xml:space="preserve">Standard filing; standard spacing</w:t>
            </w:r>
          </w:p>
        </w:tc>
      </w:tr>
      <w:tr>
        <w:tc>
          <w:tcPr>
            <w:tcW w:w="1500" w:type="dxa"/>
            <w:vAlign w:val="top"/>
          </w:tcPr>
          <w:p>
            <w:pPr>
              <w:spacing w:before="20" w:after="20" w:line="276" w:lineRule="auto"/>
              <w:jc w:val="left"/>
            </w:pPr>
            <w:r>
              <w:rPr>
                <w:rFonts w:ascii="Calibri" w:hAnsi="Calibri"/>
                <w:color w:val="262626"/>
                <w:sz w:val="18"/>
              </w:rPr>
              <w:t xml:space="preserve">G</w:t>
            </w:r>
          </w:p>
        </w:tc>
        <w:tc>
          <w:tcPr>
            <w:tcW w:w="2850" w:type="dxa"/>
            <w:vAlign w:val="top"/>
          </w:tcPr>
          <w:p>
            <w:pPr>
              <w:spacing w:before="20" w:after="20" w:line="276" w:lineRule="auto"/>
              <w:jc w:val="left"/>
            </w:pPr>
            <w:r>
              <w:rPr>
                <w:rFonts w:ascii="Calibri" w:hAnsi="Calibri"/>
                <w:color w:val="262626"/>
                <w:sz w:val="18"/>
              </w:rPr>
              <w:t xml:space="preserve">Passenger vessels of any size</w:t>
            </w:r>
          </w:p>
        </w:tc>
        <w:tc>
          <w:tcPr>
            <w:tcW w:w="2400" w:type="dxa"/>
            <w:vAlign w:val="top"/>
          </w:tcPr>
          <w:p>
            <w:pPr>
              <w:spacing w:before="20" w:after="20" w:line="276" w:lineRule="auto"/>
              <w:jc w:val="left"/>
            </w:pPr>
            <w:r>
              <w:rPr>
                <w:rFonts w:ascii="Calibri" w:hAnsi="Calibri"/>
                <w:color w:val="262626"/>
                <w:sz w:val="18"/>
              </w:rPr>
              <w:t xml:space="preserve">Certified pilot mandatory</w:t>
            </w:r>
          </w:p>
        </w:tc>
        <w:tc>
          <w:tcPr>
            <w:tcW w:w="2276" w:type="dxa"/>
            <w:vAlign w:val="top"/>
          </w:tcPr>
          <w:p>
            <w:pPr>
              <w:spacing w:before="20" w:after="20" w:line="276" w:lineRule="auto"/>
              <w:jc w:val="left"/>
            </w:pPr>
            <w:r>
              <w:rPr>
                <w:rFonts w:ascii="Calibri" w:hAnsi="Calibri"/>
                <w:color w:val="262626"/>
                <w:sz w:val="18"/>
              </w:rPr>
              <w:t xml:space="preserve">Priority handling under Article 9.4</w:t>
            </w:r>
          </w:p>
        </w:tc>
      </w:tr>
      <w:tr>
        <w:tc>
          <w:tcPr>
            <w:tcW w:w="1500" w:type="dxa"/>
            <w:vAlign w:val="top"/>
          </w:tcPr>
          <w:p>
            <w:pPr>
              <w:spacing w:before="20" w:after="20" w:line="276" w:lineRule="auto"/>
              <w:jc w:val="left"/>
            </w:pPr>
            <w:r>
              <w:rPr>
                <w:rFonts w:ascii="Calibri" w:hAnsi="Calibri"/>
                <w:color w:val="262626"/>
                <w:sz w:val="18"/>
              </w:rPr>
              <w:t xml:space="preserve">H</w:t>
            </w:r>
          </w:p>
        </w:tc>
        <w:tc>
          <w:tcPr>
            <w:tcW w:w="2850" w:type="dxa"/>
            <w:vAlign w:val="top"/>
          </w:tcPr>
          <w:p>
            <w:pPr>
              <w:spacing w:before="20" w:after="20" w:line="276" w:lineRule="auto"/>
              <w:jc w:val="left"/>
            </w:pPr>
            <w:r>
              <w:rPr>
                <w:rFonts w:ascii="Calibri" w:hAnsi="Calibri"/>
                <w:color w:val="262626"/>
                <w:sz w:val="18"/>
              </w:rPr>
              <w:t xml:space="preserve">Humanitarian cargo vessels of any class</w:t>
            </w:r>
          </w:p>
        </w:tc>
        <w:tc>
          <w:tcPr>
            <w:tcW w:w="2400" w:type="dxa"/>
            <w:vAlign w:val="top"/>
          </w:tcPr>
          <w:p>
            <w:pPr>
              <w:spacing w:before="20" w:after="20" w:line="276" w:lineRule="auto"/>
              <w:jc w:val="left"/>
            </w:pPr>
            <w:r>
              <w:rPr>
                <w:rFonts w:ascii="Calibri" w:hAnsi="Calibri"/>
                <w:color w:val="262626"/>
                <w:sz w:val="18"/>
              </w:rPr>
              <w:t xml:space="preserve">Per class, plus priority</w:t>
            </w:r>
          </w:p>
        </w:tc>
        <w:tc>
          <w:tcPr>
            <w:tcW w:w="2276" w:type="dxa"/>
            <w:vAlign w:val="top"/>
          </w:tcPr>
          <w:p>
            <w:pPr>
              <w:spacing w:before="20" w:after="20" w:line="276" w:lineRule="auto"/>
              <w:jc w:val="left"/>
            </w:pPr>
            <w:r>
              <w:rPr>
                <w:rFonts w:ascii="Calibri" w:hAnsi="Calibri"/>
                <w:color w:val="262626"/>
                <w:sz w:val="18"/>
              </w:rPr>
              <w:t xml:space="preserve">Priority handling under Article 9.4</w:t>
            </w:r>
          </w:p>
        </w:tc>
      </w:tr>
      <w:tr>
        <w:tc>
          <w:tcPr>
            <w:tcW w:w="1500" w:type="dxa"/>
            <w:vAlign w:val="top"/>
          </w:tcPr>
          <w:p>
            <w:pPr>
              <w:spacing w:before="20" w:after="20" w:line="276" w:lineRule="auto"/>
              <w:jc w:val="left"/>
            </w:pPr>
            <w:r>
              <w:rPr>
                <w:rFonts w:ascii="Calibri" w:hAnsi="Calibri"/>
                <w:color w:val="262626"/>
                <w:sz w:val="18"/>
              </w:rPr>
              <w:t xml:space="preserve">I</w:t>
            </w:r>
          </w:p>
        </w:tc>
        <w:tc>
          <w:tcPr>
            <w:tcW w:w="2850" w:type="dxa"/>
            <w:vAlign w:val="top"/>
          </w:tcPr>
          <w:p>
            <w:pPr>
              <w:spacing w:before="20" w:after="20" w:line="276" w:lineRule="auto"/>
              <w:jc w:val="left"/>
            </w:pPr>
            <w:r>
              <w:rPr>
                <w:rFonts w:ascii="Calibri" w:hAnsi="Calibri"/>
                <w:color w:val="262626"/>
                <w:sz w:val="18"/>
              </w:rPr>
              <w:t xml:space="preserve">Small craft below 300 gross tonnage</w:t>
            </w:r>
          </w:p>
        </w:tc>
        <w:tc>
          <w:tcPr>
            <w:tcW w:w="2400" w:type="dxa"/>
            <w:vAlign w:val="top"/>
          </w:tcPr>
          <w:p>
            <w:pPr>
              <w:spacing w:before="20" w:after="20" w:line="276" w:lineRule="auto"/>
              <w:jc w:val="left"/>
            </w:pPr>
            <w:r>
              <w:rPr>
                <w:rFonts w:ascii="Calibri" w:hAnsi="Calibri"/>
                <w:color w:val="262626"/>
                <w:sz w:val="18"/>
              </w:rPr>
              <w:t xml:space="preserve">Outside filing system</w:t>
            </w:r>
          </w:p>
        </w:tc>
        <w:tc>
          <w:tcPr>
            <w:tcW w:w="2276" w:type="dxa"/>
            <w:vAlign w:val="top"/>
          </w:tcPr>
          <w:p>
            <w:pPr>
              <w:spacing w:before="20" w:after="20" w:line="276" w:lineRule="auto"/>
              <w:jc w:val="left"/>
            </w:pPr>
            <w:r>
              <w:rPr>
                <w:rFonts w:ascii="Calibri" w:hAnsi="Calibri"/>
                <w:color w:val="262626"/>
                <w:sz w:val="18"/>
              </w:rPr>
              <w:t xml:space="preserve">Small-craft routing of Annex A</w:t>
            </w:r>
          </w:p>
        </w:tc>
      </w:tr>
    </w:tbl>
    <w:p>
      <w:pPr>
        <w:spacing w:before="60" w:after="120"/>
      </w:pPr>
    </w:p>
    <w:p>
      <w:pPr>
        <w:pStyle w:val="Heading3"/>
      </w:pPr>
      <w:r>
        <w:rPr>
          <w:rFonts w:ascii="Cambria" w:hAnsi="Cambria"/>
          <w:color w:val="262626"/>
          <w:sz w:val="21"/>
        </w:rPr>
        <w:t xml:space="preserve">B.2 Treatment Rules</w:t>
      </w:r>
    </w:p>
    <w:p>
      <w:pPr>
        <w:pStyle w:val="Normal"/>
      </w:pPr>
      <w:r>
        <w:rPr>
          <w:rFonts w:ascii="Cambria" w:hAnsi="Cambria"/>
          <w:color w:val="262626"/>
          <w:sz w:val="21"/>
        </w:rPr>
        <w:t xml:space="preserve">Within each class, every vessel faces identical published terms. The matrix prices services through the Catalog, sequences traffic through the queue rules, and targets readiness through the rescue plan. It never classifies by flag, ownership, destination, cargo ownership, charterer, insurer, or political relationship.</w:t>
      </w:r>
    </w:p>
    <w:p>
      <w:pPr>
        <w:pStyle w:val="Heading3"/>
      </w:pPr>
      <w:r>
        <w:rPr>
          <w:rFonts w:ascii="Cambria" w:hAnsi="Cambria"/>
          <w:color w:val="262626"/>
          <w:sz w:val="21"/>
        </w:rPr>
        <w:t xml:space="preserve">B.3 Annual Review</w:t>
      </w:r>
    </w:p>
    <w:p>
      <w:pPr>
        <w:pStyle w:val="Normal"/>
      </w:pPr>
      <w:r>
        <w:rPr>
          <w:rFonts w:ascii="Cambria" w:hAnsi="Cambria"/>
          <w:color w:val="262626"/>
          <w:sz w:val="21"/>
        </w:rPr>
        <w:t xml:space="preserve">The Desk reviews the matrix annually against the traffic record and the Industry Panel's written positions, and revisions pass the Perimeter Test before publication.</w:t>
      </w:r>
    </w:p>
    <w:p>
      <w:pPr>
        <w:pStyle w:val="Heading2"/>
      </w:pPr>
      <w:r>
        <w:rPr>
          <w:rFonts w:ascii="Cambria" w:hAnsi="Cambria"/>
          <w:color w:val="262626"/>
          <w:sz w:val="21"/>
        </w:rPr>
        <w:t xml:space="preserve">Annex C: The Cooperative Fund Charter</w:t>
      </w:r>
      <w:bookmarkStart w:id="572" w:name="_Toc26010073"/>
      <w:bookmarkEnd w:id="572"/>
    </w:p>
    <w:p>
      <w:pPr>
        <w:pStyle w:val="Heading3"/>
      </w:pPr>
      <w:r>
        <w:rPr>
          <w:rFonts w:ascii="Cambria" w:hAnsi="Cambria"/>
          <w:color w:val="262626"/>
          <w:sz w:val="21"/>
        </w:rPr>
        <w:t xml:space="preserve">C.1 Legal Form and Accounts</w:t>
      </w:r>
    </w:p>
    <w:p>
      <w:pPr>
        <w:pStyle w:val="Normal"/>
      </w:pPr>
      <w:r>
        <w:rPr>
          <w:rFonts w:ascii="Cambria" w:hAnsi="Cambria"/>
          <w:color w:val="262626"/>
          <w:sz w:val="21"/>
        </w:rPr>
        <w:t xml:space="preserve">The Fund operates as a multilateral fiduciary facility under Swiss law, administered by the Secretariat, with its principal account in Switzerland and its settlement mirror in Doha. The Fund maintains six accounts: the operations account, the reimbursement settlement account, the readiness account, the compensation account, the endowment account, and the capacity account. Each channel of Part IV maps to its account, and no account lends to another without a board decision published in advance.</w:t>
      </w:r>
    </w:p>
    <w:p>
      <w:pPr>
        <w:pStyle w:val="Heading3"/>
      </w:pPr>
      <w:r>
        <w:rPr>
          <w:rFonts w:ascii="Cambria" w:hAnsi="Cambria"/>
          <w:color w:val="262626"/>
          <w:sz w:val="21"/>
        </w:rPr>
        <w:t xml:space="preserve">C.2 The Priority Order</w:t>
      </w:r>
    </w:p>
    <w:p>
      <w:pPr>
        <w:pStyle w:val="Normal"/>
      </w:pPr>
      <w:r>
        <w:rPr>
          <w:rFonts w:ascii="Cambria" w:hAnsi="Cambria"/>
          <w:color w:val="262626"/>
          <w:sz w:val="21"/>
        </w:rPr>
        <w:t xml:space="preserve">The Fund applies resources in the fixed order of Article 22.4: institutions first, reimbursement second, readiness third, compensation fourth, capacity fifth. The liquidity lock holds a standing reserve of six months of institutional costs, and the board reports any approach to the lock to the Council immediately.</w:t>
      </w:r>
    </w:p>
    <w:p>
      <w:pPr>
        <w:pStyle w:val="Heading3"/>
      </w:pPr>
      <w:r>
        <w:rPr>
          <w:rFonts w:ascii="Cambria" w:hAnsi="Cambria"/>
          <w:color w:val="262626"/>
          <w:sz w:val="21"/>
        </w:rPr>
        <w:t xml:space="preserve">C.3 Endowment Formula</w:t>
      </w:r>
    </w:p>
    <w:p>
      <w:pPr>
        <w:pStyle w:val="Normal"/>
      </w:pPr>
      <w:r>
        <w:rPr>
          <w:rFonts w:ascii="Cambria" w:hAnsi="Cambria"/>
          <w:color w:val="262626"/>
          <w:sz w:val="21"/>
        </w:rPr>
        <w:t xml:space="preserve">The endowment capitalizes from: initial state contributions on the published accession scale; twenty percent of voluntary channel net revenue; investment window surpluses; and any voluntary state contribution at any time. The initial accession scale apportions contributions among the Parties and adhering states on a published blend of gross domestic product, fleet tonnage, and coastal length, and the scale publishes with the first budget.</w:t>
      </w:r>
    </w:p>
    <w:p>
      <w:pPr>
        <w:pStyle w:val="Heading3"/>
      </w:pPr>
      <w:r>
        <w:rPr>
          <w:rFonts w:ascii="Cambria" w:hAnsi="Cambria"/>
          <w:color w:val="262626"/>
          <w:sz w:val="21"/>
        </w:rPr>
        <w:t xml:space="preserve">C.4 Distribution Formulas</w:t>
      </w:r>
    </w:p>
    <w:p>
      <w:pPr>
        <w:pStyle w:val="Normal"/>
      </w:pPr>
      <w:r>
        <w:rPr>
          <w:rFonts w:ascii="Cambria" w:hAnsi="Cambria"/>
          <w:color w:val="262626"/>
          <w:sz w:val="21"/>
        </w:rPr>
        <w:t xml:space="preserve">The service-development shares of Articles 25.3 and 28.3 distribute within the bands there stated: the Northern Corridor Authority between forty and fifty percent, the Southern Corridor Authority between twenty-five and thirty-five percent, and the central maintenance account between fifteen and twenty-five percent, set annually by the board against the verified service record. The floor of Article 30 tops up each Coastal Party's aggregate receipts to the floor amount on the year's final settlement.</w:t>
      </w:r>
    </w:p>
    <w:p>
      <w:pPr>
        <w:pStyle w:val="Heading3"/>
      </w:pPr>
      <w:r>
        <w:rPr>
          <w:rFonts w:ascii="Cambria" w:hAnsi="Cambria"/>
          <w:color w:val="262626"/>
          <w:sz w:val="21"/>
        </w:rPr>
        <w:t xml:space="preserve">C.5 The Incident-Free Unit</w:t>
      </w:r>
    </w:p>
    <w:p>
      <w:pPr>
        <w:pStyle w:val="Normal"/>
      </w:pPr>
      <w:r>
        <w:rPr>
          <w:rFonts w:ascii="Cambria" w:hAnsi="Cambria"/>
          <w:color w:val="262626"/>
          <w:sz w:val="21"/>
        </w:rPr>
        <w:t xml:space="preserve">For the Bridge ledger of Article 27, one incident-free transit equivalent means one completed transit of any corridor with no classified event of Material Disruption or Structural Breach, weighted by the vessel bands of Annex B as published. The ledger's arithmetic, the weighting table, and every tranche release publish on the dashboard.</w:t>
      </w:r>
    </w:p>
    <w:p>
      <w:pPr>
        <w:pStyle w:val="Heading3"/>
      </w:pPr>
      <w:r>
        <w:rPr>
          <w:rFonts w:ascii="Cambria" w:hAnsi="Cambria"/>
          <w:color w:val="262626"/>
          <w:sz w:val="21"/>
        </w:rPr>
        <w:t xml:space="preserve">C.6 Compensation Scale</w:t>
      </w:r>
    </w:p>
    <w:p>
      <w:pPr>
        <w:pStyle w:val="Normal"/>
      </w:pPr>
      <w:r>
        <w:rPr>
          <w:rFonts w:ascii="Cambria" w:hAnsi="Cambria"/>
          <w:color w:val="262626"/>
          <w:sz w:val="21"/>
        </w:rPr>
        <w:t xml:space="preserve">The compensation window pays certified disruption losses on the published scale: demurrage-equivalent day rates by vessel band for certified closure days, documented rerouting cost differentials, and documented spoilage or degradation losses for perishable and time-critical cargoes, each capped as the scale states and each payable on certification of the disruption facts alone.</w:t>
      </w:r>
    </w:p>
    <w:p>
      <w:pPr>
        <w:pStyle w:val="Heading3"/>
      </w:pPr>
      <w:r>
        <w:rPr>
          <w:rFonts w:ascii="Cambria" w:hAnsi="Cambria"/>
          <w:color w:val="262626"/>
          <w:sz w:val="21"/>
        </w:rPr>
        <w:t xml:space="preserve">C.7 Procurement Rules</w:t>
      </w:r>
    </w:p>
    <w:p>
      <w:pPr>
        <w:pStyle w:val="Normal"/>
      </w:pPr>
      <w:r>
        <w:rPr>
          <w:rFonts w:ascii="Cambria" w:hAnsi="Cambria"/>
          <w:color w:val="262626"/>
          <w:sz w:val="21"/>
        </w:rPr>
        <w:t xml:space="preserve">The Secretariat procures for the system under published rules: open tender above the published threshold, three-quote competition below it, conflict-of-interest declarations for every officer, and publication of every award with its evaluation summary.</w:t>
      </w:r>
    </w:p>
    <w:p>
      <w:pPr>
        <w:pStyle w:val="Heading3"/>
      </w:pPr>
      <w:r>
        <w:rPr>
          <w:rFonts w:ascii="Cambria" w:hAnsi="Cambria"/>
          <w:color w:val="262626"/>
          <w:sz w:val="21"/>
        </w:rPr>
        <w:t xml:space="preserve">C.8 Currencies and Settlement</w:t>
      </w:r>
    </w:p>
    <w:p>
      <w:pPr>
        <w:pStyle w:val="Normal"/>
      </w:pPr>
      <w:r>
        <w:rPr>
          <w:rFonts w:ascii="Cambria" w:hAnsi="Cambria"/>
          <w:color w:val="262626"/>
          <w:sz w:val="21"/>
        </w:rPr>
        <w:t xml:space="preserve">The Fund settles in United States dollars as the unit of account, with settlement execution in the currencies the fiduciary's compliance screening clears, and the board publishes the execution currency schedule annually.</w:t>
      </w:r>
    </w:p>
    <w:p>
      <w:pPr>
        <w:pStyle w:val="Heading2"/>
      </w:pPr>
      <w:r>
        <w:rPr>
          <w:rFonts w:ascii="Cambria" w:hAnsi="Cambria"/>
          <w:color w:val="262626"/>
          <w:sz w:val="21"/>
        </w:rPr>
        <w:t xml:space="preserve">Annex D: The Verified Services Catalog and Rate Card</w:t>
      </w:r>
      <w:bookmarkStart w:id="573" w:name="_Toc26010074"/>
      <w:bookmarkEnd w:id="573"/>
    </w:p>
    <w:p>
      <w:pPr>
        <w:pStyle w:val="Heading3"/>
      </w:pPr>
      <w:r>
        <w:rPr>
          <w:rFonts w:ascii="Cambria" w:hAnsi="Cambria"/>
          <w:color w:val="262626"/>
          <w:sz w:val="21"/>
        </w:rPr>
        <w:t xml:space="preserve">D.1 The Catalog</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250"/>
        <w:gridCol w:w="2700"/>
        <w:gridCol w:w="4076"/>
      </w:tblGrid>
      <w:tr>
        <w:trPr>
          <w:tblHeader/>
        </w:trPr>
        <w:tc>
          <w:tcPr>
            <w:tcW w:w="2250" w:type="dxa"/>
            <w:shd w:val="clear" w:fill="E9F1F3"/>
            <w:vAlign w:val="top"/>
          </w:tcPr>
          <w:p>
            <w:pPr>
              <w:spacing w:before="20" w:after="20" w:line="276" w:lineRule="auto"/>
              <w:jc w:val="left"/>
            </w:pPr>
            <w:r>
              <w:rPr>
                <w:rFonts w:ascii="Calibri" w:hAnsi="Calibri"/>
                <w:b/>
                <w:color w:val="16404E"/>
                <w:sz w:val="19"/>
              </w:rPr>
              <w:t xml:space="preserve">Service Line</w:t>
            </w:r>
          </w:p>
        </w:tc>
        <w:tc>
          <w:tcPr>
            <w:tcW w:w="2700" w:type="dxa"/>
            <w:shd w:val="clear" w:fill="E9F1F3"/>
            <w:vAlign w:val="top"/>
          </w:tcPr>
          <w:p>
            <w:pPr>
              <w:spacing w:before="20" w:after="20" w:line="276" w:lineRule="auto"/>
              <w:jc w:val="left"/>
            </w:pPr>
            <w:r>
              <w:rPr>
                <w:rFonts w:ascii="Calibri" w:hAnsi="Calibri"/>
                <w:b/>
                <w:color w:val="16404E"/>
                <w:sz w:val="19"/>
              </w:rPr>
              <w:t xml:space="preserve">Delivery Standard</w:t>
            </w:r>
          </w:p>
        </w:tc>
        <w:tc>
          <w:tcPr>
            <w:tcW w:w="4076" w:type="dxa"/>
            <w:shd w:val="clear" w:fill="E9F1F3"/>
            <w:vAlign w:val="top"/>
          </w:tcPr>
          <w:p>
            <w:pPr>
              <w:spacing w:before="20" w:after="20" w:line="276" w:lineRule="auto"/>
              <w:jc w:val="left"/>
            </w:pPr>
            <w:r>
              <w:rPr>
                <w:rFonts w:ascii="Calibri" w:hAnsi="Calibri"/>
                <w:b/>
                <w:color w:val="16404E"/>
                <w:sz w:val="19"/>
              </w:rPr>
              <w:t xml:space="preserve">Rate (Initial)</w:t>
            </w:r>
          </w:p>
        </w:tc>
      </w:tr>
      <w:tr>
        <w:tc>
          <w:tcPr>
            <w:tcW w:w="2250" w:type="dxa"/>
            <w:vAlign w:val="top"/>
          </w:tcPr>
          <w:p>
            <w:pPr>
              <w:spacing w:before="20" w:after="20" w:line="276" w:lineRule="auto"/>
              <w:jc w:val="left"/>
            </w:pPr>
            <w:r>
              <w:rPr>
                <w:rFonts w:ascii="Calibri" w:hAnsi="Calibri"/>
                <w:color w:val="262626"/>
                <w:sz w:val="18"/>
              </w:rPr>
              <w:t xml:space="preserve">Vessel traffic service operation, per lane-day</w:t>
            </w:r>
          </w:p>
        </w:tc>
        <w:tc>
          <w:tcPr>
            <w:tcW w:w="2700" w:type="dxa"/>
            <w:vAlign w:val="top"/>
          </w:tcPr>
          <w:p>
            <w:pPr>
              <w:spacing w:before="20" w:after="20" w:line="276" w:lineRule="auto"/>
              <w:jc w:val="left"/>
            </w:pPr>
            <w:r>
              <w:rPr>
                <w:rFonts w:ascii="Calibri" w:hAnsi="Calibri"/>
                <w:color w:val="262626"/>
                <w:sz w:val="18"/>
              </w:rPr>
              <w:t xml:space="preserve">Continuous certified watch, published parameters</w:t>
            </w:r>
          </w:p>
        </w:tc>
        <w:tc>
          <w:tcPr>
            <w:tcW w:w="4076" w:type="dxa"/>
            <w:vAlign w:val="top"/>
          </w:tcPr>
          <w:p>
            <w:pPr>
              <w:spacing w:before="20" w:after="20" w:line="276" w:lineRule="auto"/>
              <w:jc w:val="left"/>
            </w:pPr>
            <w:r>
              <w:rPr>
                <w:rFonts w:ascii="Calibri" w:hAnsi="Calibri"/>
                <w:color w:val="262626"/>
                <w:sz w:val="18"/>
              </w:rPr>
              <w:t xml:space="preserve">Cost-based annual rate per lane, published with the budget</w:t>
            </w:r>
          </w:p>
        </w:tc>
      </w:tr>
      <w:tr>
        <w:tc>
          <w:tcPr>
            <w:tcW w:w="2250" w:type="dxa"/>
            <w:vAlign w:val="top"/>
          </w:tcPr>
          <w:p>
            <w:pPr>
              <w:spacing w:before="20" w:after="20" w:line="276" w:lineRule="auto"/>
              <w:jc w:val="left"/>
            </w:pPr>
            <w:r>
              <w:rPr>
                <w:rFonts w:ascii="Calibri" w:hAnsi="Calibri"/>
                <w:color w:val="262626"/>
                <w:sz w:val="18"/>
              </w:rPr>
              <w:t xml:space="preserve">Pilotage, main passage, vessel above 50,000 deadweight tons</w:t>
            </w:r>
          </w:p>
        </w:tc>
        <w:tc>
          <w:tcPr>
            <w:tcW w:w="2700" w:type="dxa"/>
            <w:vAlign w:val="top"/>
          </w:tcPr>
          <w:p>
            <w:pPr>
              <w:spacing w:before="20" w:after="20" w:line="276" w:lineRule="auto"/>
              <w:jc w:val="left"/>
            </w:pPr>
            <w:r>
              <w:rPr>
                <w:rFonts w:ascii="Calibri" w:hAnsi="Calibri"/>
                <w:color w:val="262626"/>
                <w:sz w:val="18"/>
              </w:rPr>
              <w:t xml:space="preserve">Certified pilot, joint program standard</w:t>
            </w:r>
          </w:p>
        </w:tc>
        <w:tc>
          <w:tcPr>
            <w:tcW w:w="4076" w:type="dxa"/>
            <w:vAlign w:val="top"/>
          </w:tcPr>
          <w:p>
            <w:pPr>
              <w:spacing w:before="20" w:after="20" w:line="276" w:lineRule="auto"/>
              <w:jc w:val="left"/>
            </w:pPr>
            <w:r>
              <w:rPr>
                <w:rFonts w:ascii="Calibri" w:hAnsi="Calibri"/>
                <w:color w:val="262626"/>
                <w:sz w:val="18"/>
              </w:rPr>
              <w:t xml:space="preserve">2,000 to 10,000 dollars per transit by tonnage band</w:t>
            </w:r>
          </w:p>
        </w:tc>
      </w:tr>
      <w:tr>
        <w:tc>
          <w:tcPr>
            <w:tcW w:w="2250" w:type="dxa"/>
            <w:vAlign w:val="top"/>
          </w:tcPr>
          <w:p>
            <w:pPr>
              <w:spacing w:before="20" w:after="20" w:line="276" w:lineRule="auto"/>
              <w:jc w:val="left"/>
            </w:pPr>
            <w:r>
              <w:rPr>
                <w:rFonts w:ascii="Calibri" w:hAnsi="Calibri"/>
                <w:color w:val="262626"/>
                <w:sz w:val="18"/>
              </w:rPr>
              <w:t xml:space="preserve">Pilotage, advisory, vessel at or below 50,000 deadweight tons</w:t>
            </w:r>
          </w:p>
        </w:tc>
        <w:tc>
          <w:tcPr>
            <w:tcW w:w="2700" w:type="dxa"/>
            <w:vAlign w:val="top"/>
          </w:tcPr>
          <w:p>
            <w:pPr>
              <w:spacing w:before="20" w:after="20" w:line="276" w:lineRule="auto"/>
              <w:jc w:val="left"/>
            </w:pPr>
            <w:r>
              <w:rPr>
                <w:rFonts w:ascii="Calibri" w:hAnsi="Calibri"/>
                <w:color w:val="262626"/>
                <w:sz w:val="18"/>
              </w:rPr>
              <w:t xml:space="preserve">Certified pilot on request</w:t>
            </w:r>
          </w:p>
        </w:tc>
        <w:tc>
          <w:tcPr>
            <w:tcW w:w="4076" w:type="dxa"/>
            <w:vAlign w:val="top"/>
          </w:tcPr>
          <w:p>
            <w:pPr>
              <w:spacing w:before="20" w:after="20" w:line="276" w:lineRule="auto"/>
              <w:jc w:val="left"/>
            </w:pPr>
            <w:r>
              <w:rPr>
                <w:rFonts w:ascii="Calibri" w:hAnsi="Calibri"/>
                <w:color w:val="262626"/>
                <w:sz w:val="18"/>
              </w:rPr>
              <w:t xml:space="preserve">Rate card by tonnage band</w:t>
            </w:r>
          </w:p>
        </w:tc>
      </w:tr>
      <w:tr>
        <w:tc>
          <w:tcPr>
            <w:tcW w:w="2250" w:type="dxa"/>
            <w:vAlign w:val="top"/>
          </w:tcPr>
          <w:p>
            <w:pPr>
              <w:spacing w:before="20" w:after="20" w:line="276" w:lineRule="auto"/>
              <w:jc w:val="left"/>
            </w:pPr>
            <w:r>
              <w:rPr>
                <w:rFonts w:ascii="Calibri" w:hAnsi="Calibri"/>
                <w:color w:val="262626"/>
                <w:sz w:val="18"/>
              </w:rPr>
              <w:t xml:space="preserve">Escorted window coordination</w:t>
            </w:r>
          </w:p>
        </w:tc>
        <w:tc>
          <w:tcPr>
            <w:tcW w:w="2700" w:type="dxa"/>
            <w:vAlign w:val="top"/>
          </w:tcPr>
          <w:p>
            <w:pPr>
              <w:spacing w:before="20" w:after="20" w:line="276" w:lineRule="auto"/>
              <w:jc w:val="left"/>
            </w:pPr>
            <w:r>
              <w:rPr>
                <w:rFonts w:ascii="Calibri" w:hAnsi="Calibri"/>
                <w:color w:val="262626"/>
                <w:sz w:val="18"/>
              </w:rPr>
              <w:t xml:space="preserve">Scheduled window, joint monitoring</w:t>
            </w:r>
          </w:p>
        </w:tc>
        <w:tc>
          <w:tcPr>
            <w:tcW w:w="4076" w:type="dxa"/>
            <w:vAlign w:val="top"/>
          </w:tcPr>
          <w:p>
            <w:pPr>
              <w:spacing w:before="20" w:after="20" w:line="276" w:lineRule="auto"/>
              <w:jc w:val="left"/>
            </w:pPr>
            <w:r>
              <w:rPr>
                <w:rFonts w:ascii="Calibri" w:hAnsi="Calibri"/>
                <w:color w:val="262626"/>
                <w:sz w:val="18"/>
              </w:rPr>
              <w:t xml:space="preserve">Rate card by vessel band</w:t>
            </w:r>
          </w:p>
        </w:tc>
      </w:tr>
      <w:tr>
        <w:tc>
          <w:tcPr>
            <w:tcW w:w="2250" w:type="dxa"/>
            <w:vAlign w:val="top"/>
          </w:tcPr>
          <w:p>
            <w:pPr>
              <w:spacing w:before="20" w:after="20" w:line="276" w:lineRule="auto"/>
              <w:jc w:val="left"/>
            </w:pPr>
            <w:r>
              <w:rPr>
                <w:rFonts w:ascii="Calibri" w:hAnsi="Calibri"/>
                <w:color w:val="262626"/>
                <w:sz w:val="18"/>
              </w:rPr>
              <w:t xml:space="preserve">Hydrographic survey</w:t>
            </w:r>
          </w:p>
        </w:tc>
        <w:tc>
          <w:tcPr>
            <w:tcW w:w="2700" w:type="dxa"/>
            <w:vAlign w:val="top"/>
          </w:tcPr>
          <w:p>
            <w:pPr>
              <w:spacing w:before="20" w:after="20" w:line="276" w:lineRule="auto"/>
              <w:jc w:val="left"/>
            </w:pPr>
            <w:r>
              <w:rPr>
                <w:rFonts w:ascii="Calibri" w:hAnsi="Calibri"/>
                <w:color w:val="262626"/>
                <w:sz w:val="18"/>
              </w:rPr>
              <w:t xml:space="preserve">Published survey cycle per lane</w:t>
            </w:r>
          </w:p>
        </w:tc>
        <w:tc>
          <w:tcPr>
            <w:tcW w:w="4076" w:type="dxa"/>
            <w:vAlign w:val="top"/>
          </w:tcPr>
          <w:p>
            <w:pPr>
              <w:spacing w:before="20" w:after="20" w:line="276" w:lineRule="auto"/>
              <w:jc w:val="left"/>
            </w:pPr>
            <w:r>
              <w:rPr>
                <w:rFonts w:ascii="Calibri" w:hAnsi="Calibri"/>
                <w:color w:val="262626"/>
                <w:sz w:val="18"/>
              </w:rPr>
              <w:t xml:space="preserve">Annual program rate</w:t>
            </w:r>
          </w:p>
        </w:tc>
      </w:tr>
      <w:tr>
        <w:tc>
          <w:tcPr>
            <w:tcW w:w="2250" w:type="dxa"/>
            <w:vAlign w:val="top"/>
          </w:tcPr>
          <w:p>
            <w:pPr>
              <w:spacing w:before="20" w:after="20" w:line="276" w:lineRule="auto"/>
              <w:jc w:val="left"/>
            </w:pPr>
            <w:r>
              <w:rPr>
                <w:rFonts w:ascii="Calibri" w:hAnsi="Calibri"/>
                <w:color w:val="262626"/>
                <w:sz w:val="18"/>
              </w:rPr>
              <w:t xml:space="preserve">Aids to navigation maintenance</w:t>
            </w:r>
          </w:p>
        </w:tc>
        <w:tc>
          <w:tcPr>
            <w:tcW w:w="2700" w:type="dxa"/>
            <w:vAlign w:val="top"/>
          </w:tcPr>
          <w:p>
            <w:pPr>
              <w:spacing w:before="20" w:after="20" w:line="276" w:lineRule="auto"/>
              <w:jc w:val="left"/>
            </w:pPr>
            <w:r>
              <w:rPr>
                <w:rFonts w:ascii="Calibri" w:hAnsi="Calibri"/>
                <w:color w:val="262626"/>
                <w:sz w:val="18"/>
              </w:rPr>
              <w:t xml:space="preserve">Availability standard of 99.5 percent</w:t>
            </w:r>
          </w:p>
        </w:tc>
        <w:tc>
          <w:tcPr>
            <w:tcW w:w="4076" w:type="dxa"/>
            <w:vAlign w:val="top"/>
          </w:tcPr>
          <w:p>
            <w:pPr>
              <w:spacing w:before="20" w:after="20" w:line="276" w:lineRule="auto"/>
              <w:jc w:val="left"/>
            </w:pPr>
            <w:r>
              <w:rPr>
                <w:rFonts w:ascii="Calibri" w:hAnsi="Calibri"/>
                <w:color w:val="262626"/>
                <w:sz w:val="18"/>
              </w:rPr>
              <w:t xml:space="preserve">Annual program rate per lane</w:t>
            </w:r>
          </w:p>
        </w:tc>
      </w:tr>
      <w:tr>
        <w:tc>
          <w:tcPr>
            <w:tcW w:w="2250" w:type="dxa"/>
            <w:vAlign w:val="top"/>
          </w:tcPr>
          <w:p>
            <w:pPr>
              <w:spacing w:before="20" w:after="20" w:line="276" w:lineRule="auto"/>
              <w:jc w:val="left"/>
            </w:pPr>
            <w:r>
              <w:rPr>
                <w:rFonts w:ascii="Calibri" w:hAnsi="Calibri"/>
                <w:color w:val="262626"/>
                <w:sz w:val="18"/>
              </w:rPr>
              <w:t xml:space="preserve">Search and rescue standby</w:t>
            </w:r>
          </w:p>
        </w:tc>
        <w:tc>
          <w:tcPr>
            <w:tcW w:w="2700" w:type="dxa"/>
            <w:vAlign w:val="top"/>
          </w:tcPr>
          <w:p>
            <w:pPr>
              <w:spacing w:before="20" w:after="20" w:line="276" w:lineRule="auto"/>
              <w:jc w:val="left"/>
            </w:pPr>
            <w:r>
              <w:rPr>
                <w:rFonts w:ascii="Calibri" w:hAnsi="Calibri"/>
                <w:color w:val="262626"/>
                <w:sz w:val="18"/>
              </w:rPr>
              <w:t xml:space="preserve">Roster readiness under Annex K</w:t>
            </w:r>
          </w:p>
        </w:tc>
        <w:tc>
          <w:tcPr>
            <w:tcW w:w="4076" w:type="dxa"/>
            <w:vAlign w:val="top"/>
          </w:tcPr>
          <w:p>
            <w:pPr>
              <w:spacing w:before="20" w:after="20" w:line="276" w:lineRule="auto"/>
              <w:jc w:val="left"/>
            </w:pPr>
            <w:r>
              <w:rPr>
                <w:rFonts w:ascii="Calibri" w:hAnsi="Calibri"/>
                <w:color w:val="262626"/>
                <w:sz w:val="18"/>
              </w:rPr>
              <w:t xml:space="preserve">Annual standby rate per lane</w:t>
            </w:r>
          </w:p>
        </w:tc>
      </w:tr>
      <w:tr>
        <w:tc>
          <w:tcPr>
            <w:tcW w:w="2250" w:type="dxa"/>
            <w:vAlign w:val="top"/>
          </w:tcPr>
          <w:p>
            <w:pPr>
              <w:spacing w:before="20" w:after="20" w:line="276" w:lineRule="auto"/>
              <w:jc w:val="left"/>
            </w:pPr>
            <w:r>
              <w:rPr>
                <w:rFonts w:ascii="Calibri" w:hAnsi="Calibri"/>
                <w:color w:val="262626"/>
                <w:sz w:val="18"/>
              </w:rPr>
              <w:t xml:space="preserve">Pollution response standby</w:t>
            </w:r>
          </w:p>
        </w:tc>
        <w:tc>
          <w:tcPr>
            <w:tcW w:w="2700" w:type="dxa"/>
            <w:vAlign w:val="top"/>
          </w:tcPr>
          <w:p>
            <w:pPr>
              <w:spacing w:before="20" w:after="20" w:line="276" w:lineRule="auto"/>
              <w:jc w:val="left"/>
            </w:pPr>
            <w:r>
              <w:rPr>
                <w:rFonts w:ascii="Calibri" w:hAnsi="Calibri"/>
                <w:color w:val="262626"/>
                <w:sz w:val="18"/>
              </w:rPr>
              <w:t xml:space="preserve">Tier-one response within four hours</w:t>
            </w:r>
          </w:p>
        </w:tc>
        <w:tc>
          <w:tcPr>
            <w:tcW w:w="4076" w:type="dxa"/>
            <w:vAlign w:val="top"/>
          </w:tcPr>
          <w:p>
            <w:pPr>
              <w:spacing w:before="20" w:after="20" w:line="276" w:lineRule="auto"/>
              <w:jc w:val="left"/>
            </w:pPr>
            <w:r>
              <w:rPr>
                <w:rFonts w:ascii="Calibri" w:hAnsi="Calibri"/>
                <w:color w:val="262626"/>
                <w:sz w:val="18"/>
              </w:rPr>
              <w:t xml:space="preserve">Annual standby rate</w:t>
            </w:r>
          </w:p>
        </w:tc>
      </w:tr>
      <w:tr>
        <w:tc>
          <w:tcPr>
            <w:tcW w:w="2250" w:type="dxa"/>
            <w:vAlign w:val="top"/>
          </w:tcPr>
          <w:p>
            <w:pPr>
              <w:spacing w:before="20" w:after="20" w:line="276" w:lineRule="auto"/>
              <w:jc w:val="left"/>
            </w:pPr>
            <w:r>
              <w:rPr>
                <w:rFonts w:ascii="Calibri" w:hAnsi="Calibri"/>
                <w:color w:val="262626"/>
                <w:sz w:val="18"/>
              </w:rPr>
              <w:t xml:space="preserve">Tug availability</w:t>
            </w:r>
          </w:p>
        </w:tc>
        <w:tc>
          <w:tcPr>
            <w:tcW w:w="2700" w:type="dxa"/>
            <w:vAlign w:val="top"/>
          </w:tcPr>
          <w:p>
            <w:pPr>
              <w:spacing w:before="20" w:after="20" w:line="276" w:lineRule="auto"/>
              <w:jc w:val="left"/>
            </w:pPr>
            <w:r>
              <w:rPr>
                <w:rFonts w:ascii="Calibri" w:hAnsi="Calibri"/>
                <w:color w:val="262626"/>
                <w:sz w:val="18"/>
              </w:rPr>
              <w:t xml:space="preserve">Stationed availability at registered points</w:t>
            </w:r>
          </w:p>
        </w:tc>
        <w:tc>
          <w:tcPr>
            <w:tcW w:w="4076" w:type="dxa"/>
            <w:vAlign w:val="top"/>
          </w:tcPr>
          <w:p>
            <w:pPr>
              <w:spacing w:before="20" w:after="20" w:line="276" w:lineRule="auto"/>
              <w:jc w:val="left"/>
            </w:pPr>
            <w:r>
              <w:rPr>
                <w:rFonts w:ascii="Calibri" w:hAnsi="Calibri"/>
                <w:color w:val="262626"/>
                <w:sz w:val="18"/>
              </w:rPr>
              <w:t xml:space="preserve">Availability rate plus call-out rate</w:t>
            </w:r>
          </w:p>
        </w:tc>
      </w:tr>
      <w:tr>
        <w:tc>
          <w:tcPr>
            <w:tcW w:w="2250" w:type="dxa"/>
            <w:vAlign w:val="top"/>
          </w:tcPr>
          <w:p>
            <w:pPr>
              <w:spacing w:before="20" w:after="20" w:line="276" w:lineRule="auto"/>
              <w:jc w:val="left"/>
            </w:pPr>
            <w:r>
              <w:rPr>
                <w:rFonts w:ascii="Calibri" w:hAnsi="Calibri"/>
                <w:color w:val="262626"/>
                <w:sz w:val="18"/>
              </w:rPr>
              <w:t xml:space="preserve">Clearance operations</w:t>
            </w:r>
          </w:p>
        </w:tc>
        <w:tc>
          <w:tcPr>
            <w:tcW w:w="2700" w:type="dxa"/>
            <w:vAlign w:val="top"/>
          </w:tcPr>
          <w:p>
            <w:pPr>
              <w:spacing w:before="20" w:after="20" w:line="276" w:lineRule="auto"/>
              <w:jc w:val="left"/>
            </w:pPr>
            <w:r>
              <w:rPr>
                <w:rFonts w:ascii="Calibri" w:hAnsi="Calibri"/>
                <w:color w:val="262626"/>
                <w:sz w:val="18"/>
              </w:rPr>
              <w:t xml:space="preserve">Annex G clearance standard</w:t>
            </w:r>
          </w:p>
        </w:tc>
        <w:tc>
          <w:tcPr>
            <w:tcW w:w="4076" w:type="dxa"/>
            <w:vAlign w:val="top"/>
          </w:tcPr>
          <w:p>
            <w:pPr>
              <w:spacing w:before="20" w:after="20" w:line="276" w:lineRule="auto"/>
              <w:jc w:val="left"/>
            </w:pPr>
            <w:r>
              <w:rPr>
                <w:rFonts w:ascii="Calibri" w:hAnsi="Calibri"/>
                <w:color w:val="262626"/>
                <w:sz w:val="18"/>
              </w:rPr>
              <w:t xml:space="preserve">Program rate with neutral supervision</w:t>
            </w:r>
          </w:p>
        </w:tc>
      </w:tr>
      <w:tr>
        <w:tc>
          <w:tcPr>
            <w:tcW w:w="2250" w:type="dxa"/>
            <w:vAlign w:val="top"/>
          </w:tcPr>
          <w:p>
            <w:pPr>
              <w:spacing w:before="20" w:after="20" w:line="276" w:lineRule="auto"/>
              <w:jc w:val="left"/>
            </w:pPr>
            <w:r>
              <w:rPr>
                <w:rFonts w:ascii="Calibri" w:hAnsi="Calibri"/>
                <w:color w:val="262626"/>
                <w:sz w:val="18"/>
              </w:rPr>
              <w:t xml:space="preserve">Service bundle, operator-elected</w:t>
            </w:r>
          </w:p>
        </w:tc>
        <w:tc>
          <w:tcPr>
            <w:tcW w:w="2700" w:type="dxa"/>
            <w:vAlign w:val="top"/>
          </w:tcPr>
          <w:p>
            <w:pPr>
              <w:spacing w:before="20" w:after="20" w:line="276" w:lineRule="auto"/>
              <w:jc w:val="left"/>
            </w:pPr>
            <w:r>
              <w:rPr>
                <w:rFonts w:ascii="Calibri" w:hAnsi="Calibri"/>
                <w:color w:val="262626"/>
                <w:sz w:val="18"/>
              </w:rPr>
              <w:t xml:space="preserve">Pilotage, tug, berth coordination, weather and tracking package</w:t>
            </w:r>
          </w:p>
        </w:tc>
        <w:tc>
          <w:tcPr>
            <w:tcW w:w="4076" w:type="dxa"/>
            <w:vAlign w:val="top"/>
          </w:tcPr>
          <w:p>
            <w:pPr>
              <w:spacing w:before="20" w:after="20" w:line="276" w:lineRule="auto"/>
              <w:jc w:val="left"/>
            </w:pPr>
            <w:r>
              <w:rPr>
                <w:rFonts w:ascii="Calibri" w:hAnsi="Calibri"/>
                <w:color w:val="262626"/>
                <w:sz w:val="18"/>
              </w:rPr>
              <w:t xml:space="preserve">8,000 to 12,000 dollars per transit by vessel band, at approximately twenty percent below unbundled rates</w:t>
            </w:r>
          </w:p>
        </w:tc>
      </w:tr>
      <w:tr>
        <w:tc>
          <w:tcPr>
            <w:tcW w:w="2250" w:type="dxa"/>
            <w:vAlign w:val="top"/>
          </w:tcPr>
          <w:p>
            <w:pPr>
              <w:spacing w:before="20" w:after="20" w:line="276" w:lineRule="auto"/>
              <w:jc w:val="left"/>
            </w:pPr>
            <w:r>
              <w:rPr>
                <w:rFonts w:ascii="Calibri" w:hAnsi="Calibri"/>
                <w:color w:val="262626"/>
                <w:sz w:val="18"/>
              </w:rPr>
              <w:t xml:space="preserve">Information service subscription</w:t>
            </w:r>
          </w:p>
        </w:tc>
        <w:tc>
          <w:tcPr>
            <w:tcW w:w="2700" w:type="dxa"/>
            <w:vAlign w:val="top"/>
          </w:tcPr>
          <w:p>
            <w:pPr>
              <w:spacing w:before="20" w:after="20" w:line="276" w:lineRule="auto"/>
              <w:jc w:val="left"/>
            </w:pPr>
            <w:r>
              <w:rPr>
                <w:rFonts w:ascii="Calibri" w:hAnsi="Calibri"/>
                <w:color w:val="262626"/>
                <w:sz w:val="18"/>
              </w:rPr>
              <w:t xml:space="preserve">Anonymized analytics, quarterly and real-time tiers</w:t>
            </w:r>
          </w:p>
        </w:tc>
        <w:tc>
          <w:tcPr>
            <w:tcW w:w="4076" w:type="dxa"/>
            <w:vAlign w:val="top"/>
          </w:tcPr>
          <w:p>
            <w:pPr>
              <w:spacing w:before="20" w:after="20" w:line="276" w:lineRule="auto"/>
              <w:jc w:val="left"/>
            </w:pPr>
            <w:r>
              <w:rPr>
                <w:rFonts w:ascii="Calibri" w:hAnsi="Calibri"/>
                <w:color w:val="262626"/>
                <w:sz w:val="18"/>
              </w:rPr>
              <w:t xml:space="preserve">Annual subscription on the published tier table</w:t>
            </w:r>
          </w:p>
        </w:tc>
      </w:tr>
    </w:tbl>
    <w:p>
      <w:pPr>
        <w:spacing w:before="60" w:after="120"/>
      </w:pPr>
    </w:p>
    <w:p>
      <w:pPr>
        <w:pStyle w:val="Heading3"/>
      </w:pPr>
      <w:r>
        <w:rPr>
          <w:rFonts w:ascii="Cambria" w:hAnsi="Cambria"/>
          <w:color w:val="262626"/>
          <w:sz w:val="21"/>
        </w:rPr>
        <w:t xml:space="preserve">D.2 The Voluntary Channels' Published Scales</w:t>
      </w:r>
    </w:p>
    <w:p>
      <w:pPr>
        <w:pStyle w:val="Normal"/>
      </w:pPr>
      <w:r>
        <w:rPr>
          <w:rFonts w:ascii="Cambria" w:hAnsi="Cambria"/>
          <w:color w:val="262626"/>
          <w:sz w:val="21"/>
        </w:rPr>
        <w:t xml:space="preserve">The Voluntary Transit Contribution's suggested scale: five thousand to fifteen thousand dollars per transit by vessel band, or the annual fleet option. The Annual Navigation Pass: two hundred and fifty thousand dollars per vessel per year, fleet discounts to fifteen percent for fleets of ten vessels or more. The environmental assurance deposit: one hundred thousand dollars per transit, refundable, administration fee five hundred dollars; standing annual deposit scale for regular traders as published. The quality premium on reimbursement for standing level four and above: five percent, per Article 46.3.</w:t>
      </w:r>
    </w:p>
    <w:p>
      <w:pPr>
        <w:pStyle w:val="Heading3"/>
      </w:pPr>
      <w:r>
        <w:rPr>
          <w:rFonts w:ascii="Cambria" w:hAnsi="Cambria"/>
          <w:color w:val="262626"/>
          <w:sz w:val="21"/>
        </w:rPr>
        <w:t xml:space="preserve">D.3 Rate Discipline</w:t>
      </w:r>
    </w:p>
    <w:p>
      <w:pPr>
        <w:pStyle w:val="Normal"/>
      </w:pPr>
      <w:r>
        <w:rPr>
          <w:rFonts w:ascii="Cambria" w:hAnsi="Cambria"/>
          <w:color w:val="262626"/>
          <w:sz w:val="21"/>
        </w:rPr>
        <w:t xml:space="preserve">Every rate attaches to a service line with a delivery standard and an audit trail. No rate attaches to passage, to queue position, to safety certification, or to bulletin access. The annual rate process of Article 23.6 reviews this Annex, and a stalled process runs the previous rates under Article 18.3.</w:t>
      </w:r>
    </w:p>
    <w:p>
      <w:pPr>
        <w:pStyle w:val="Heading2"/>
      </w:pPr>
      <w:r>
        <w:rPr>
          <w:rFonts w:ascii="Cambria" w:hAnsi="Cambria"/>
          <w:color w:val="262626"/>
          <w:sz w:val="21"/>
        </w:rPr>
        <w:t xml:space="preserve">Annex E: The Deviation Classification and Graduated Response Schedule</w:t>
      </w:r>
      <w:bookmarkStart w:id="574" w:name="_Toc26010075"/>
      <w:bookmarkEnd w:id="574"/>
    </w:p>
    <w:p>
      <w:pPr>
        <w:pStyle w:val="Heading3"/>
      </w:pPr>
      <w:r>
        <w:rPr>
          <w:rFonts w:ascii="Cambria" w:hAnsi="Cambria"/>
          <w:color w:val="262626"/>
          <w:sz w:val="21"/>
        </w:rPr>
        <w:t xml:space="preserve">E.1 Classification Schedule</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1500"/>
        <w:gridCol w:w="2850"/>
        <w:gridCol w:w="2400"/>
        <w:gridCol w:w="2276"/>
      </w:tblGrid>
      <w:tr>
        <w:trPr>
          <w:tblHeader/>
        </w:trPr>
        <w:tc>
          <w:tcPr>
            <w:tcW w:w="1500" w:type="dxa"/>
            <w:shd w:val="clear" w:fill="E9F1F3"/>
            <w:vAlign w:val="top"/>
          </w:tcPr>
          <w:p>
            <w:pPr>
              <w:spacing w:before="20" w:after="20" w:line="276" w:lineRule="auto"/>
              <w:jc w:val="left"/>
            </w:pPr>
            <w:r>
              <w:rPr>
                <w:rFonts w:ascii="Calibri" w:hAnsi="Calibri"/>
                <w:b/>
                <w:color w:val="16404E"/>
                <w:sz w:val="19"/>
              </w:rPr>
              <w:t xml:space="preserve">Category</w:t>
            </w:r>
          </w:p>
        </w:tc>
        <w:tc>
          <w:tcPr>
            <w:tcW w:w="2850" w:type="dxa"/>
            <w:shd w:val="clear" w:fill="E9F1F3"/>
            <w:vAlign w:val="top"/>
          </w:tcPr>
          <w:p>
            <w:pPr>
              <w:spacing w:before="20" w:after="20" w:line="276" w:lineRule="auto"/>
              <w:jc w:val="left"/>
            </w:pPr>
            <w:r>
              <w:rPr>
                <w:rFonts w:ascii="Calibri" w:hAnsi="Calibri"/>
                <w:b/>
                <w:color w:val="16404E"/>
                <w:sz w:val="19"/>
              </w:rPr>
              <w:t xml:space="preserve">Definition</w:t>
            </w:r>
          </w:p>
        </w:tc>
        <w:tc>
          <w:tcPr>
            <w:tcW w:w="2400" w:type="dxa"/>
            <w:shd w:val="clear" w:fill="E9F1F3"/>
            <w:vAlign w:val="top"/>
          </w:tcPr>
          <w:p>
            <w:pPr>
              <w:spacing w:before="20" w:after="20" w:line="276" w:lineRule="auto"/>
              <w:jc w:val="left"/>
            </w:pPr>
            <w:r>
              <w:rPr>
                <w:rFonts w:ascii="Calibri" w:hAnsi="Calibri"/>
                <w:b/>
                <w:color w:val="16404E"/>
                <w:sz w:val="19"/>
              </w:rPr>
              <w:t xml:space="preserve">Examples</w:t>
            </w:r>
          </w:p>
        </w:tc>
        <w:tc>
          <w:tcPr>
            <w:tcW w:w="2276" w:type="dxa"/>
            <w:shd w:val="clear" w:fill="E9F1F3"/>
            <w:vAlign w:val="top"/>
          </w:tcPr>
          <w:p>
            <w:pPr>
              <w:spacing w:before="20" w:after="20" w:line="276" w:lineRule="auto"/>
              <w:jc w:val="left"/>
            </w:pPr>
            <w:r>
              <w:rPr>
                <w:rFonts w:ascii="Calibri" w:hAnsi="Calibri"/>
                <w:b/>
                <w:color w:val="16404E"/>
                <w:sz w:val="19"/>
              </w:rPr>
              <w:t xml:space="preserve">Automatic Response</w:t>
            </w:r>
          </w:p>
        </w:tc>
      </w:tr>
      <w:tr>
        <w:tc>
          <w:tcPr>
            <w:tcW w:w="1500" w:type="dxa"/>
            <w:vAlign w:val="top"/>
          </w:tcPr>
          <w:p>
            <w:pPr>
              <w:spacing w:before="20" w:after="20" w:line="276" w:lineRule="auto"/>
              <w:jc w:val="left"/>
            </w:pPr>
            <w:r>
              <w:rPr>
                <w:rFonts w:ascii="Calibri" w:hAnsi="Calibri"/>
                <w:color w:val="262626"/>
                <w:sz w:val="18"/>
              </w:rPr>
              <w:t xml:space="preserve">Operational Variance</w:t>
            </w:r>
          </w:p>
        </w:tc>
        <w:tc>
          <w:tcPr>
            <w:tcW w:w="2850" w:type="dxa"/>
            <w:vAlign w:val="top"/>
          </w:tcPr>
          <w:p>
            <w:pPr>
              <w:spacing w:before="20" w:after="20" w:line="276" w:lineRule="auto"/>
              <w:jc w:val="left"/>
            </w:pPr>
            <w:r>
              <w:rPr>
                <w:rFonts w:ascii="Calibri" w:hAnsi="Calibri"/>
                <w:color w:val="262626"/>
                <w:sz w:val="18"/>
              </w:rPr>
              <w:t xml:space="preserve">Isolated, non-pattern deviation from a procedural rule, cured or curable without third-party loss</w:t>
            </w:r>
          </w:p>
        </w:tc>
        <w:tc>
          <w:tcPr>
            <w:tcW w:w="2400" w:type="dxa"/>
            <w:vAlign w:val="top"/>
          </w:tcPr>
          <w:p>
            <w:pPr>
              <w:spacing w:before="20" w:after="20" w:line="276" w:lineRule="auto"/>
              <w:jc w:val="left"/>
            </w:pPr>
            <w:r>
              <w:rPr>
                <w:rFonts w:ascii="Calibri" w:hAnsi="Calibri"/>
                <w:color w:val="262626"/>
                <w:sz w:val="18"/>
              </w:rPr>
              <w:t xml:space="preserve">Late filing cured before entry; one-off spacing breach logged and acknowledged; a missing countersignature corrected on notice</w:t>
            </w:r>
          </w:p>
        </w:tc>
        <w:tc>
          <w:tcPr>
            <w:tcW w:w="2276" w:type="dxa"/>
            <w:vAlign w:val="top"/>
          </w:tcPr>
          <w:p>
            <w:pPr>
              <w:spacing w:before="20" w:after="20" w:line="276" w:lineRule="auto"/>
              <w:jc w:val="left"/>
            </w:pPr>
            <w:r>
              <w:rPr>
                <w:rFonts w:ascii="Calibri" w:hAnsi="Calibri"/>
                <w:color w:val="262626"/>
                <w:sz w:val="18"/>
              </w:rPr>
              <w:t xml:space="preserve">Notice and cure within seven days; closes on cure</w:t>
            </w:r>
          </w:p>
        </w:tc>
      </w:tr>
      <w:tr>
        <w:tc>
          <w:tcPr>
            <w:tcW w:w="1500" w:type="dxa"/>
            <w:vAlign w:val="top"/>
          </w:tcPr>
          <w:p>
            <w:pPr>
              <w:spacing w:before="20" w:after="20" w:line="276" w:lineRule="auto"/>
              <w:jc w:val="left"/>
            </w:pPr>
            <w:r>
              <w:rPr>
                <w:rFonts w:ascii="Calibri" w:hAnsi="Calibri"/>
                <w:color w:val="262626"/>
                <w:sz w:val="18"/>
              </w:rPr>
              <w:t xml:space="preserve">Material Disruption</w:t>
            </w:r>
          </w:p>
        </w:tc>
        <w:tc>
          <w:tcPr>
            <w:tcW w:w="2850" w:type="dxa"/>
            <w:vAlign w:val="top"/>
          </w:tcPr>
          <w:p>
            <w:pPr>
              <w:spacing w:before="20" w:after="20" w:line="276" w:lineRule="auto"/>
              <w:jc w:val="left"/>
            </w:pPr>
            <w:r>
              <w:rPr>
                <w:rFonts w:ascii="Calibri" w:hAnsi="Calibri"/>
                <w:color w:val="262626"/>
                <w:sz w:val="18"/>
              </w:rPr>
              <w:t xml:space="preserve">Deviation producing third-party loss, repeating after notice, or touching a service, safety, or financial standard</w:t>
            </w:r>
          </w:p>
        </w:tc>
        <w:tc>
          <w:tcPr>
            <w:tcW w:w="2400" w:type="dxa"/>
            <w:vAlign w:val="top"/>
          </w:tcPr>
          <w:p>
            <w:pPr>
              <w:spacing w:before="20" w:after="20" w:line="276" w:lineRule="auto"/>
              <w:jc w:val="left"/>
            </w:pPr>
            <w:r>
              <w:rPr>
                <w:rFonts w:ascii="Calibri" w:hAnsi="Calibri"/>
                <w:color w:val="262626"/>
                <w:sz w:val="18"/>
              </w:rPr>
              <w:t xml:space="preserve">Pattern of late acknowledgments; double recovery; obstruction of a scheduled inspection; unexcused roster gap</w:t>
            </w:r>
          </w:p>
        </w:tc>
        <w:tc>
          <w:tcPr>
            <w:tcW w:w="2276" w:type="dxa"/>
            <w:vAlign w:val="top"/>
          </w:tcPr>
          <w:p>
            <w:pPr>
              <w:spacing w:before="20" w:after="20" w:line="276" w:lineRule="auto"/>
              <w:jc w:val="left"/>
            </w:pPr>
            <w:r>
              <w:rPr>
                <w:rFonts w:ascii="Calibri" w:hAnsi="Calibri"/>
                <w:color w:val="262626"/>
                <w:sz w:val="18"/>
              </w:rPr>
              <w:t xml:space="preserve">Graduated ladder of Article 44, steps one through five</w:t>
            </w:r>
          </w:p>
        </w:tc>
      </w:tr>
      <w:tr>
        <w:tc>
          <w:tcPr>
            <w:tcW w:w="1500" w:type="dxa"/>
            <w:vAlign w:val="top"/>
          </w:tcPr>
          <w:p>
            <w:pPr>
              <w:spacing w:before="20" w:after="20" w:line="276" w:lineRule="auto"/>
              <w:jc w:val="left"/>
            </w:pPr>
            <w:r>
              <w:rPr>
                <w:rFonts w:ascii="Calibri" w:hAnsi="Calibri"/>
                <w:color w:val="262626"/>
                <w:sz w:val="18"/>
              </w:rPr>
              <w:t xml:space="preserve">Structural Breach</w:t>
            </w:r>
          </w:p>
        </w:tc>
        <w:tc>
          <w:tcPr>
            <w:tcW w:w="2850" w:type="dxa"/>
            <w:vAlign w:val="top"/>
          </w:tcPr>
          <w:p>
            <w:pPr>
              <w:spacing w:before="20" w:after="20" w:line="276" w:lineRule="auto"/>
              <w:jc w:val="left"/>
            </w:pPr>
            <w:r>
              <w:rPr>
                <w:rFonts w:ascii="Calibri" w:hAnsi="Calibri"/>
                <w:color w:val="262626"/>
                <w:sz w:val="18"/>
              </w:rPr>
              <w:t xml:space="preserve">Deviation touching a registered red line, the distress absolute, the liquidity lock, or the Non-Interdiction Protocol</w:t>
            </w:r>
          </w:p>
        </w:tc>
        <w:tc>
          <w:tcPr>
            <w:tcW w:w="2400" w:type="dxa"/>
            <w:vAlign w:val="top"/>
          </w:tcPr>
          <w:p>
            <w:pPr>
              <w:spacing w:before="20" w:after="20" w:line="276" w:lineRule="auto"/>
              <w:jc w:val="left"/>
            </w:pPr>
            <w:r>
              <w:rPr>
                <w:rFonts w:ascii="Calibri" w:hAnsi="Calibri"/>
                <w:color w:val="262626"/>
                <w:sz w:val="18"/>
              </w:rPr>
              <w:t xml:space="preserve">A charge collected on passage; interdiction inside a corridor; a delayed distress response; conversion of a voluntary channel to mandatory</w:t>
            </w:r>
          </w:p>
        </w:tc>
        <w:tc>
          <w:tcPr>
            <w:tcW w:w="2276" w:type="dxa"/>
            <w:vAlign w:val="top"/>
          </w:tcPr>
          <w:p>
            <w:pPr>
              <w:spacing w:before="20" w:after="20" w:line="276" w:lineRule="auto"/>
              <w:jc w:val="left"/>
            </w:pPr>
            <w:r>
              <w:rPr>
                <w:rFonts w:ascii="Calibri" w:hAnsi="Calibri"/>
                <w:color w:val="262626"/>
                <w:sz w:val="18"/>
              </w:rPr>
              <w:t xml:space="preserve">Emergency Brake of Article 45 on request; facilitation tier convenes within forty-eight hours</w:t>
            </w:r>
          </w:p>
        </w:tc>
      </w:tr>
    </w:tbl>
    <w:p>
      <w:pPr>
        <w:spacing w:before="60" w:after="120"/>
      </w:pPr>
    </w:p>
    <w:p>
      <w:pPr>
        <w:pStyle w:val="Heading3"/>
      </w:pPr>
      <w:r>
        <w:rPr>
          <w:rFonts w:ascii="Cambria" w:hAnsi="Cambria"/>
          <w:color w:val="262626"/>
          <w:sz w:val="21"/>
        </w:rPr>
        <w:t xml:space="preserve">E.2 Standing Thresholds</w:t>
      </w:r>
    </w:p>
    <w:p>
      <w:pPr>
        <w:pStyle w:val="Normal"/>
      </w:pPr>
      <w:r>
        <w:rPr>
          <w:rFonts w:ascii="Cambria" w:hAnsi="Cambria"/>
          <w:color w:val="262626"/>
          <w:sz w:val="21"/>
        </w:rPr>
        <w:t xml:space="preserve">The Reciprocity Record's five standing levels derive from the published indicators: transit continuity, service delivery, filing discipline, financial participation, clearance progress, drill performance, and dispute conduct. Each indicator publishes its formula, its data source in the custody system, and its threshold table. A party's level computes automatically from the data, and the computation publishes with the Record each quarter.</w:t>
      </w:r>
    </w:p>
    <w:p>
      <w:pPr>
        <w:pStyle w:val="Heading3"/>
      </w:pPr>
      <w:r>
        <w:rPr>
          <w:rFonts w:ascii="Cambria" w:hAnsi="Cambria"/>
          <w:color w:val="262626"/>
          <w:sz w:val="21"/>
        </w:rPr>
        <w:t xml:space="preserve">E.3 Point Schedule for Verified Deviations</w:t>
      </w:r>
    </w:p>
    <w:p>
      <w:pPr>
        <w:pStyle w:val="Normal"/>
      </w:pPr>
      <w:r>
        <w:rPr>
          <w:rFonts w:ascii="Cambria" w:hAnsi="Cambria"/>
          <w:color w:val="262626"/>
          <w:sz w:val="21"/>
        </w:rPr>
        <w:t xml:space="preserve">Verified deviations score on the published point schedule: an Operational Variance scores one point, expiring on cure; a Material Disruption scores five points, expiring on earn-back; a Structural Breach suspends the scoring and routes to Article 45. Accumulated unexpired points above the published threshold in any quarter lower the standing computation by one level, and the schedule publishes with the Record.</w:t>
      </w:r>
    </w:p>
    <w:p>
      <w:pPr>
        <w:pStyle w:val="Heading2"/>
      </w:pPr>
      <w:r>
        <w:rPr>
          <w:rFonts w:ascii="Cambria" w:hAnsi="Cambria"/>
          <w:color w:val="262626"/>
          <w:sz w:val="21"/>
        </w:rPr>
        <w:t xml:space="preserve">Annex F: Communications, Voice Plan, and Hotline Matrix</w:t>
      </w:r>
      <w:bookmarkStart w:id="575" w:name="_Toc26010076"/>
      <w:bookmarkEnd w:id="575"/>
    </w:p>
    <w:p>
      <w:pPr>
        <w:pStyle w:val="Heading3"/>
      </w:pPr>
      <w:r>
        <w:rPr>
          <w:rFonts w:ascii="Cambria" w:hAnsi="Cambria"/>
          <w:color w:val="262626"/>
          <w:sz w:val="21"/>
        </w:rPr>
        <w:t xml:space="preserve">F.1 Working Channels</w:t>
      </w:r>
    </w:p>
    <w:p>
      <w:pPr>
        <w:pStyle w:val="Normal"/>
      </w:pPr>
      <w:r>
        <w:rPr>
          <w:rFonts w:ascii="Cambria" w:hAnsi="Cambria"/>
          <w:color w:val="262626"/>
          <w:sz w:val="21"/>
        </w:rPr>
        <w:t xml:space="preserve">The system operates on the registered voice plan: a common working channel for traffic management across all three services, calling and distress on the international distress frequencies, a coordination channel between the three traffic services, and a pilot working channel per corridor. The channel map registers with the international telecommunications authorities through the normal maritime process, and every vessel receives the plan with the Bulletin subscription at no charge.</w:t>
      </w:r>
    </w:p>
    <w:p>
      <w:pPr>
        <w:pStyle w:val="Heading3"/>
      </w:pPr>
      <w:r>
        <w:rPr>
          <w:rFonts w:ascii="Cambria" w:hAnsi="Cambria"/>
          <w:color w:val="262626"/>
          <w:sz w:val="21"/>
        </w:rPr>
        <w:t xml:space="preserve">F.2 Language</w:t>
      </w:r>
    </w:p>
    <w:p>
      <w:pPr>
        <w:pStyle w:val="Normal"/>
      </w:pPr>
      <w:r>
        <w:rPr>
          <w:rFonts w:ascii="Cambria" w:hAnsi="Cambria"/>
          <w:color w:val="262626"/>
          <w:sz w:val="21"/>
        </w:rPr>
        <w:t xml:space="preserve">The working language of the traffic services is English, with the standard marine communication phrases as the primary vocabulary. Interpretation support for shore-side coordination registers through the Secretariat in Arabic and Persian.</w:t>
      </w:r>
    </w:p>
    <w:p>
      <w:pPr>
        <w:pStyle w:val="Heading3"/>
      </w:pPr>
      <w:r>
        <w:rPr>
          <w:rFonts w:ascii="Cambria" w:hAnsi="Cambria"/>
          <w:color w:val="262626"/>
          <w:sz w:val="21"/>
        </w:rPr>
        <w:t xml:space="preserve">F.3 The Hotline Matrix</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250"/>
        <w:gridCol w:w="2700"/>
        <w:gridCol w:w="4076"/>
      </w:tblGrid>
      <w:tr>
        <w:trPr>
          <w:tblHeader/>
        </w:trPr>
        <w:tc>
          <w:tcPr>
            <w:tcW w:w="2250" w:type="dxa"/>
            <w:shd w:val="clear" w:fill="E9F1F3"/>
            <w:vAlign w:val="top"/>
          </w:tcPr>
          <w:p>
            <w:pPr>
              <w:spacing w:before="20" w:after="20" w:line="276" w:lineRule="auto"/>
              <w:jc w:val="left"/>
            </w:pPr>
            <w:r>
              <w:rPr>
                <w:rFonts w:ascii="Calibri" w:hAnsi="Calibri"/>
                <w:b/>
                <w:color w:val="16404E"/>
                <w:sz w:val="19"/>
              </w:rPr>
              <w:t xml:space="preserve">Link</w:t>
            </w:r>
          </w:p>
        </w:tc>
        <w:tc>
          <w:tcPr>
            <w:tcW w:w="2700" w:type="dxa"/>
            <w:shd w:val="clear" w:fill="E9F1F3"/>
            <w:vAlign w:val="top"/>
          </w:tcPr>
          <w:p>
            <w:pPr>
              <w:spacing w:before="20" w:after="20" w:line="276" w:lineRule="auto"/>
              <w:jc w:val="left"/>
            </w:pPr>
            <w:r>
              <w:rPr>
                <w:rFonts w:ascii="Calibri" w:hAnsi="Calibri"/>
                <w:b/>
                <w:color w:val="16404E"/>
                <w:sz w:val="19"/>
              </w:rPr>
              <w:t xml:space="preserve">Parties</w:t>
            </w:r>
          </w:p>
        </w:tc>
        <w:tc>
          <w:tcPr>
            <w:tcW w:w="4076" w:type="dxa"/>
            <w:shd w:val="clear" w:fill="E9F1F3"/>
            <w:vAlign w:val="top"/>
          </w:tcPr>
          <w:p>
            <w:pPr>
              <w:spacing w:before="20" w:after="20" w:line="276" w:lineRule="auto"/>
              <w:jc w:val="left"/>
            </w:pPr>
            <w:r>
              <w:rPr>
                <w:rFonts w:ascii="Calibri" w:hAnsi="Calibri"/>
                <w:b/>
                <w:color w:val="16404E"/>
                <w:sz w:val="19"/>
              </w:rPr>
              <w:t xml:space="preserve">Availability and Test Rhythm</w:t>
            </w:r>
          </w:p>
        </w:tc>
      </w:tr>
      <w:tr>
        <w:tc>
          <w:tcPr>
            <w:tcW w:w="2250" w:type="dxa"/>
            <w:vAlign w:val="top"/>
          </w:tcPr>
          <w:p>
            <w:pPr>
              <w:spacing w:before="20" w:after="20" w:line="276" w:lineRule="auto"/>
              <w:jc w:val="left"/>
            </w:pPr>
            <w:r>
              <w:rPr>
                <w:rFonts w:ascii="Calibri" w:hAnsi="Calibri"/>
                <w:color w:val="262626"/>
                <w:sz w:val="18"/>
              </w:rPr>
              <w:t xml:space="preserve">Rescue hotlink</w:t>
            </w:r>
          </w:p>
        </w:tc>
        <w:tc>
          <w:tcPr>
            <w:tcW w:w="2700" w:type="dxa"/>
            <w:vAlign w:val="top"/>
          </w:tcPr>
          <w:p>
            <w:pPr>
              <w:spacing w:before="20" w:after="20" w:line="276" w:lineRule="auto"/>
              <w:jc w:val="left"/>
            </w:pPr>
            <w:r>
              <w:rPr>
                <w:rFonts w:ascii="Calibri" w:hAnsi="Calibri"/>
                <w:color w:val="262626"/>
                <w:sz w:val="18"/>
              </w:rPr>
              <w:t xml:space="preserve">Bandar Abbas, Muscat, Doha rescue interfaces</w:t>
            </w:r>
          </w:p>
        </w:tc>
        <w:tc>
          <w:tcPr>
            <w:tcW w:w="4076" w:type="dxa"/>
            <w:vAlign w:val="top"/>
          </w:tcPr>
          <w:p>
            <w:pPr>
              <w:spacing w:before="20" w:after="20" w:line="276" w:lineRule="auto"/>
              <w:jc w:val="left"/>
            </w:pPr>
            <w:r>
              <w:rPr>
                <w:rFonts w:ascii="Calibri" w:hAnsi="Calibri"/>
                <w:color w:val="262626"/>
                <w:sz w:val="18"/>
              </w:rPr>
              <w:t xml:space="preserve">Continuous; tested daily</w:t>
            </w:r>
          </w:p>
        </w:tc>
      </w:tr>
      <w:tr>
        <w:tc>
          <w:tcPr>
            <w:tcW w:w="2250" w:type="dxa"/>
            <w:vAlign w:val="top"/>
          </w:tcPr>
          <w:p>
            <w:pPr>
              <w:spacing w:before="20" w:after="20" w:line="276" w:lineRule="auto"/>
              <w:jc w:val="left"/>
            </w:pPr>
            <w:r>
              <w:rPr>
                <w:rFonts w:ascii="Calibri" w:hAnsi="Calibri"/>
                <w:color w:val="262626"/>
                <w:sz w:val="18"/>
              </w:rPr>
              <w:t xml:space="preserve">Security channel</w:t>
            </w:r>
          </w:p>
        </w:tc>
        <w:tc>
          <w:tcPr>
            <w:tcW w:w="2700" w:type="dxa"/>
            <w:vAlign w:val="top"/>
          </w:tcPr>
          <w:p>
            <w:pPr>
              <w:spacing w:before="20" w:after="20" w:line="276" w:lineRule="auto"/>
              <w:jc w:val="left"/>
            </w:pPr>
            <w:r>
              <w:rPr>
                <w:rFonts w:ascii="Calibri" w:hAnsi="Calibri"/>
                <w:color w:val="262626"/>
                <w:sz w:val="18"/>
              </w:rPr>
              <w:t xml:space="preserve">Defense establishments of Iran, Oman, Qatar, and the United States</w:t>
            </w:r>
          </w:p>
        </w:tc>
        <w:tc>
          <w:tcPr>
            <w:tcW w:w="4076" w:type="dxa"/>
            <w:vAlign w:val="top"/>
          </w:tcPr>
          <w:p>
            <w:pPr>
              <w:spacing w:before="20" w:after="20" w:line="276" w:lineRule="auto"/>
              <w:jc w:val="left"/>
            </w:pPr>
            <w:r>
              <w:rPr>
                <w:rFonts w:ascii="Calibri" w:hAnsi="Calibri"/>
                <w:color w:val="262626"/>
                <w:sz w:val="18"/>
              </w:rPr>
              <w:t xml:space="preserve">Continuous; tested weekly; written notice format registered</w:t>
            </w:r>
          </w:p>
        </w:tc>
      </w:tr>
      <w:tr>
        <w:tc>
          <w:tcPr>
            <w:tcW w:w="2250" w:type="dxa"/>
            <w:vAlign w:val="top"/>
          </w:tcPr>
          <w:p>
            <w:pPr>
              <w:spacing w:before="20" w:after="20" w:line="276" w:lineRule="auto"/>
              <w:jc w:val="left"/>
            </w:pPr>
            <w:r>
              <w:rPr>
                <w:rFonts w:ascii="Calibri" w:hAnsi="Calibri"/>
                <w:color w:val="262626"/>
                <w:sz w:val="18"/>
              </w:rPr>
              <w:t xml:space="preserve">Desk liaison loop</w:t>
            </w:r>
          </w:p>
        </w:tc>
        <w:tc>
          <w:tcPr>
            <w:tcW w:w="2700" w:type="dxa"/>
            <w:vAlign w:val="top"/>
          </w:tcPr>
          <w:p>
            <w:pPr>
              <w:spacing w:before="20" w:after="20" w:line="276" w:lineRule="auto"/>
              <w:jc w:val="left"/>
            </w:pPr>
            <w:r>
              <w:rPr>
                <w:rFonts w:ascii="Calibri" w:hAnsi="Calibri"/>
                <w:color w:val="262626"/>
                <w:sz w:val="18"/>
              </w:rPr>
              <w:t xml:space="preserve">Desk and the two Sub-Desks</w:t>
            </w:r>
          </w:p>
        </w:tc>
        <w:tc>
          <w:tcPr>
            <w:tcW w:w="4076" w:type="dxa"/>
            <w:vAlign w:val="top"/>
          </w:tcPr>
          <w:p>
            <w:pPr>
              <w:spacing w:before="20" w:after="20" w:line="276" w:lineRule="auto"/>
              <w:jc w:val="left"/>
            </w:pPr>
            <w:r>
              <w:rPr>
                <w:rFonts w:ascii="Calibri" w:hAnsi="Calibri"/>
                <w:color w:val="262626"/>
                <w:sz w:val="18"/>
              </w:rPr>
              <w:t xml:space="preserve">Continuous in working hours; tested daily</w:t>
            </w:r>
          </w:p>
        </w:tc>
      </w:tr>
      <w:tr>
        <w:tc>
          <w:tcPr>
            <w:tcW w:w="2250" w:type="dxa"/>
            <w:vAlign w:val="top"/>
          </w:tcPr>
          <w:p>
            <w:pPr>
              <w:spacing w:before="20" w:after="20" w:line="276" w:lineRule="auto"/>
              <w:jc w:val="left"/>
            </w:pPr>
            <w:r>
              <w:rPr>
                <w:rFonts w:ascii="Calibri" w:hAnsi="Calibri"/>
                <w:color w:val="262626"/>
                <w:sz w:val="18"/>
              </w:rPr>
              <w:t xml:space="preserve">Fiduciary line</w:t>
            </w:r>
          </w:p>
        </w:tc>
        <w:tc>
          <w:tcPr>
            <w:tcW w:w="2700" w:type="dxa"/>
            <w:vAlign w:val="top"/>
          </w:tcPr>
          <w:p>
            <w:pPr>
              <w:spacing w:before="20" w:after="20" w:line="276" w:lineRule="auto"/>
              <w:jc w:val="left"/>
            </w:pPr>
            <w:r>
              <w:rPr>
                <w:rFonts w:ascii="Calibri" w:hAnsi="Calibri"/>
                <w:color w:val="262626"/>
                <w:sz w:val="18"/>
              </w:rPr>
              <w:t xml:space="preserve">Secretariat, escrow bank, environmental trust</w:t>
            </w:r>
          </w:p>
        </w:tc>
        <w:tc>
          <w:tcPr>
            <w:tcW w:w="4076" w:type="dxa"/>
            <w:vAlign w:val="top"/>
          </w:tcPr>
          <w:p>
            <w:pPr>
              <w:spacing w:before="20" w:after="20" w:line="276" w:lineRule="auto"/>
              <w:jc w:val="left"/>
            </w:pPr>
            <w:r>
              <w:rPr>
                <w:rFonts w:ascii="Calibri" w:hAnsi="Calibri"/>
                <w:color w:val="262626"/>
                <w:sz w:val="18"/>
              </w:rPr>
              <w:t xml:space="preserve">Continuous in banking hours; tested weekly</w:t>
            </w:r>
          </w:p>
        </w:tc>
      </w:tr>
    </w:tbl>
    <w:p>
      <w:pPr>
        <w:spacing w:before="60" w:after="120"/>
      </w:pPr>
    </w:p>
    <w:p>
      <w:pPr>
        <w:pStyle w:val="Heading3"/>
      </w:pPr>
      <w:r>
        <w:rPr>
          <w:rFonts w:ascii="Cambria" w:hAnsi="Cambria"/>
          <w:color w:val="262626"/>
          <w:sz w:val="21"/>
        </w:rPr>
        <w:t xml:space="preserve">F.4 Failure Protocol</w:t>
      </w:r>
    </w:p>
    <w:p>
      <w:pPr>
        <w:pStyle w:val="Normal"/>
      </w:pPr>
      <w:r>
        <w:rPr>
          <w:rFonts w:ascii="Cambria" w:hAnsi="Cambria"/>
          <w:color w:val="262626"/>
          <w:sz w:val="21"/>
        </w:rPr>
        <w:t xml:space="preserve">A channel failure activates the fallback ladder: secondary channel, then satellite voice, then the public notice procedure. Every failure and every activation logs, and the confidence reports state the channels' availability statistics.</w:t>
      </w:r>
    </w:p>
    <w:p>
      <w:pPr>
        <w:pStyle w:val="Heading2"/>
      </w:pPr>
      <w:r>
        <w:rPr>
          <w:rFonts w:ascii="Cambria" w:hAnsi="Cambria"/>
          <w:color w:val="262626"/>
          <w:sz w:val="21"/>
        </w:rPr>
        <w:t xml:space="preserve">Annex G: Verification Methods Manual</w:t>
      </w:r>
      <w:bookmarkStart w:id="576" w:name="_Toc26010077"/>
      <w:bookmarkEnd w:id="576"/>
    </w:p>
    <w:p>
      <w:pPr>
        <w:pStyle w:val="Heading3"/>
      </w:pPr>
      <w:r>
        <w:rPr>
          <w:rFonts w:ascii="Cambria" w:hAnsi="Cambria"/>
          <w:color w:val="262626"/>
          <w:sz w:val="21"/>
        </w:rPr>
        <w:t xml:space="preserve">G.1 The Technical Baseline</w:t>
      </w:r>
    </w:p>
    <w:p>
      <w:pPr>
        <w:pStyle w:val="Normal"/>
      </w:pPr>
      <w:r>
        <w:rPr>
          <w:rFonts w:ascii="Cambria" w:hAnsi="Cambria"/>
          <w:color w:val="262626"/>
          <w:sz w:val="21"/>
        </w:rPr>
        <w:t xml:space="preserve">This manual states the technical baseline of every verification method in the system: the satellite revisit rhythm and imagery classes; the identification receiver network and its coverage map; the acoustic sensor specifications, deployment map, and detection thresholds; the hashing and timestamping standard; the clock synchronization standard; and the custody data model with its field dictionary. The technical observer reviews this manual annually and files a public review note.</w:t>
      </w:r>
    </w:p>
    <w:p>
      <w:pPr>
        <w:pStyle w:val="Heading3"/>
      </w:pPr>
      <w:r>
        <w:rPr>
          <w:rFonts w:ascii="Cambria" w:hAnsi="Cambria"/>
          <w:color w:val="262626"/>
          <w:sz w:val="21"/>
        </w:rPr>
        <w:t xml:space="preserve">G.2 The Clearance Standard</w:t>
      </w:r>
    </w:p>
    <w:p>
      <w:pPr>
        <w:pStyle w:val="Normal"/>
      </w:pPr>
      <w:r>
        <w:rPr>
          <w:rFonts w:ascii="Cambria" w:hAnsi="Cambria"/>
          <w:color w:val="262626"/>
          <w:sz w:val="21"/>
        </w:rPr>
        <w:t xml:space="preserve">The clearance standard states the survey density, the detection equipment classes, the sweep widths, the residual risk classes, and the certification format for lane reopening. The standard tracks the international mine clearance benchmarks, and the accredited neutral supervisor applies it identically in every lane.</w:t>
      </w:r>
    </w:p>
    <w:p>
      <w:pPr>
        <w:pStyle w:val="Heading3"/>
      </w:pPr>
      <w:r>
        <w:rPr>
          <w:rFonts w:ascii="Cambria" w:hAnsi="Cambria"/>
          <w:color w:val="262626"/>
          <w:sz w:val="21"/>
        </w:rPr>
        <w:t xml:space="preserve">G.3 Cross-Verification Protocol</w:t>
      </w:r>
    </w:p>
    <w:p>
      <w:pPr>
        <w:pStyle w:val="Normal"/>
      </w:pPr>
      <w:r>
        <w:rPr>
          <w:rFonts w:ascii="Cambria" w:hAnsi="Cambria"/>
          <w:color w:val="262626"/>
          <w:sz w:val="21"/>
        </w:rPr>
        <w:t xml:space="preserve">The independent cross-verification function operates on this protocol: a monthly random sample of transited vessels drawn by algorithm; manifest reconciliation against declarations under confidentiality; sensor recalibration checks on the published cycle; service record reconciliation against logs; and the two-percent discrepancy trigger of Article 35.5. The function reports to the Secretariat and publishes its methodology and its aggregate results.</w:t>
      </w:r>
    </w:p>
    <w:p>
      <w:pPr>
        <w:pStyle w:val="Heading3"/>
      </w:pPr>
      <w:r>
        <w:rPr>
          <w:rFonts w:ascii="Cambria" w:hAnsi="Cambria"/>
          <w:color w:val="262626"/>
          <w:sz w:val="21"/>
        </w:rPr>
        <w:t xml:space="preserve">G.4 Data Protection Schedule</w:t>
      </w:r>
    </w:p>
    <w:p>
      <w:pPr>
        <w:pStyle w:val="Normal"/>
      </w:pPr>
      <w:r>
        <w:rPr>
          <w:rFonts w:ascii="Cambria" w:hAnsi="Cambria"/>
          <w:color w:val="262626"/>
          <w:sz w:val="21"/>
        </w:rPr>
        <w:t xml:space="preserve">The custody system's protection schedule states: retention periods by data class; the redaction rules for personal data; the access tiers and the access matrix; the anonymization standard for the information service; and the destruction protocol for expired data, which executes under three-fragment control and logs every destruction.</w:t>
      </w:r>
    </w:p>
    <w:p>
      <w:pPr>
        <w:pStyle w:val="Heading3"/>
      </w:pPr>
      <w:r>
        <w:rPr>
          <w:rFonts w:ascii="Cambria" w:hAnsi="Cambria"/>
          <w:color w:val="262626"/>
          <w:sz w:val="21"/>
        </w:rPr>
        <w:t xml:space="preserve">G.5 Cybersecurity Annex Protocols</w:t>
      </w:r>
    </w:p>
    <w:p>
      <w:pPr>
        <w:pStyle w:val="Normal"/>
      </w:pPr>
      <w:r>
        <w:rPr>
          <w:rFonts w:ascii="Cambria" w:hAnsi="Cambria"/>
          <w:color w:val="262626"/>
          <w:sz w:val="21"/>
        </w:rPr>
        <w:t xml:space="preserve">The cybersecurity protocols state: the integrity engineering standard of Article 36.1; the incident classification and response runbook; the fallback procedures that keep traffic operations running on voice and visual methods during a cyber event; and the annual external penetration test with its published summary.</w:t>
      </w:r>
    </w:p>
    <w:p>
      <w:pPr>
        <w:pStyle w:val="Heading3"/>
      </w:pPr>
      <w:r>
        <w:rPr>
          <w:rFonts w:ascii="Cambria" w:hAnsi="Cambria"/>
          <w:color w:val="262626"/>
          <w:sz w:val="21"/>
        </w:rPr>
        <w:t xml:space="preserve">G.6 Boundary Criteria</w:t>
      </w:r>
    </w:p>
    <w:p>
      <w:pPr>
        <w:pStyle w:val="Normal"/>
      </w:pPr>
      <w:r>
        <w:rPr>
          <w:rFonts w:ascii="Cambria" w:hAnsi="Cambria"/>
          <w:color w:val="262626"/>
          <w:sz w:val="21"/>
        </w:rPr>
        <w:t xml:space="preserve">The transparency boundary criteria of Article 28.4 state which fields publish, which aggregate, and which never leave the vault, with the Desk's resolution format for boundary questions and its publication rule.</w:t>
      </w:r>
    </w:p>
    <w:p>
      <w:pPr>
        <w:pStyle w:val="Heading2"/>
      </w:pPr>
      <w:r>
        <w:rPr>
          <w:rFonts w:ascii="Cambria" w:hAnsi="Cambria"/>
          <w:color w:val="262626"/>
          <w:sz w:val="21"/>
        </w:rPr>
        <w:t xml:space="preserve">Annex H: Model Forms and Certificates</w:t>
      </w:r>
      <w:bookmarkStart w:id="577" w:name="_Toc26010078"/>
      <w:bookmarkEnd w:id="577"/>
    </w:p>
    <w:p>
      <w:pPr>
        <w:pStyle w:val="Heading3"/>
      </w:pPr>
      <w:r>
        <w:rPr>
          <w:rFonts w:ascii="Cambria" w:hAnsi="Cambria"/>
          <w:color w:val="262626"/>
          <w:sz w:val="21"/>
        </w:rPr>
        <w:t xml:space="preserve">H.1 The Transit Declaration Form</w:t>
      </w:r>
    </w:p>
    <w:p>
      <w:pPr>
        <w:pStyle w:val="Normal"/>
      </w:pPr>
      <w:r>
        <w:rPr>
          <w:rFonts w:ascii="Cambria" w:hAnsi="Cambria"/>
          <w:color w:val="262626"/>
          <w:sz w:val="21"/>
        </w:rPr>
        <w:t xml:space="preserve">The TDF carries exactly twelve fields: vessel name and international identifier; flag; gross tonnage and deadweight; vessel class under Annex B; cargo category; last port and next port; selected corridor; estimated entry window; pilotage election; assurance registry reference; agent identity; and a standing declaration that the filing informs and requests nothing. The form completes in under five minutes through the digital interface, and the acknowledgment issues instantly.</w:t>
      </w:r>
    </w:p>
    <w:p>
      <w:pPr>
        <w:pStyle w:val="Heading3"/>
      </w:pPr>
      <w:r>
        <w:rPr>
          <w:rFonts w:ascii="Cambria" w:hAnsi="Cambria"/>
          <w:color w:val="262626"/>
          <w:sz w:val="21"/>
        </w:rPr>
        <w:t xml:space="preserve">H.2 Notice Formats</w:t>
      </w:r>
    </w:p>
    <w:p>
      <w:pPr>
        <w:pStyle w:val="Normal"/>
      </w:pPr>
      <w:r>
        <w:rPr>
          <w:rFonts w:ascii="Cambria" w:hAnsi="Cambria"/>
          <w:color w:val="262626"/>
          <w:sz w:val="21"/>
        </w:rPr>
        <w:t xml:space="preserve">The registered notice formats cover: the forty-eight-hour clearance operation notice; the safety direction format with reason, scope, and expiry; the Flow State declaration; the emergency brake notice with its verified-facts annex; the withdrawal ladder notices; and the legislative reconciliation notice of Article 21.2. Each format states its fields, its channel, and its acknowledgment rule.</w:t>
      </w:r>
    </w:p>
    <w:p>
      <w:pPr>
        <w:pStyle w:val="Heading3"/>
      </w:pPr>
      <w:r>
        <w:rPr>
          <w:rFonts w:ascii="Cambria" w:hAnsi="Cambria"/>
          <w:color w:val="262626"/>
          <w:sz w:val="21"/>
        </w:rPr>
        <w:t xml:space="preserve">H.3 Certificates</w:t>
      </w:r>
    </w:p>
    <w:p>
      <w:pPr>
        <w:pStyle w:val="Normal"/>
      </w:pPr>
      <w:r>
        <w:rPr>
          <w:rFonts w:ascii="Cambria" w:hAnsi="Cambria"/>
          <w:color w:val="262626"/>
          <w:sz w:val="21"/>
        </w:rPr>
        <w:t xml:space="preserve">The registered certificates cover: the lane clearance certification; the pilot certificate of the joint program; the service record countersignature; the insurance recognition certificate of Article 26.4; and the cross-verification sample notice. Each certificate carries its hash for custody registration.</w:t>
      </w:r>
    </w:p>
    <w:p>
      <w:pPr>
        <w:pStyle w:val="Heading3"/>
      </w:pPr>
      <w:r>
        <w:rPr>
          <w:rFonts w:ascii="Cambria" w:hAnsi="Cambria"/>
          <w:color w:val="262626"/>
          <w:sz w:val="21"/>
        </w:rPr>
        <w:t xml:space="preserve">H.4 The Single Window</w:t>
      </w:r>
    </w:p>
    <w:p>
      <w:pPr>
        <w:pStyle w:val="Normal"/>
      </w:pPr>
      <w:r>
        <w:rPr>
          <w:rFonts w:ascii="Cambria" w:hAnsi="Cambria"/>
          <w:color w:val="262626"/>
          <w:sz w:val="21"/>
        </w:rPr>
        <w:t xml:space="preserve">Every form files through the system's single digital window, operated by the Secretariat in the three languages of record plus the working language, with automatic translation of the registered terminology and no fee for any filing.</w:t>
      </w:r>
    </w:p>
    <w:p>
      <w:pPr>
        <w:pStyle w:val="Heading2"/>
      </w:pPr>
      <w:r>
        <w:rPr>
          <w:rFonts w:ascii="Cambria" w:hAnsi="Cambria"/>
          <w:color w:val="262626"/>
          <w:sz w:val="21"/>
        </w:rPr>
        <w:t xml:space="preserve">Annex I: The Red Lines Register (Full Operative Text)</w:t>
      </w:r>
      <w:bookmarkStart w:id="578" w:name="_Toc26010079"/>
      <w:bookmarkEnd w:id="578"/>
    </w:p>
    <w:p>
      <w:pPr>
        <w:pStyle w:val="Heading3"/>
      </w:pPr>
      <w:r>
        <w:rPr>
          <w:rFonts w:ascii="Cambria" w:hAnsi="Cambria"/>
          <w:color w:val="262626"/>
          <w:sz w:val="21"/>
        </w:rPr>
        <w:t xml:space="preserve">I.1 Reading This Register</w:t>
      </w:r>
    </w:p>
    <w:p>
      <w:pPr>
        <w:pStyle w:val="Normal"/>
      </w:pPr>
      <w:r>
        <w:rPr>
          <w:rFonts w:ascii="Cambria" w:hAnsi="Cambria"/>
          <w:color w:val="262626"/>
          <w:sz w:val="21"/>
        </w:rPr>
        <w:t xml:space="preserve">Each entry states the line in neutral terms, the interest it protects, the safeguard that holds it, and the party or parties that registered it. Registration identifies the interest, not ownership of the safeguard: every safeguard binds the whole architecture equally.</w:t>
      </w:r>
    </w:p>
    <w:p>
      <w:pPr>
        <w:pStyle w:val="Heading3"/>
      </w:pPr>
      <w:r>
        <w:rPr>
          <w:rFonts w:ascii="Cambria" w:hAnsi="Cambria"/>
          <w:color w:val="262626"/>
          <w:sz w:val="21"/>
        </w:rPr>
        <w:t xml:space="preserve">I.2 The Entries</w:t>
      </w:r>
    </w:p>
    <w:p>
      <w:pPr>
        <w:pStyle w:val="Normal"/>
      </w:pPr>
      <w:r>
        <w:rPr>
          <w:rFonts w:ascii="Cambria" w:hAnsi="Cambria"/>
          <w:color w:val="262626"/>
          <w:sz w:val="21"/>
        </w:rPr>
        <w:t xml:space="preserve">RL-1. No charge of any kind attaches to the act of transit, under any label, in any corridor, ever. Interest: freedom of navigation and the integrity of the international waterway. Safeguard: the Zero-Toll Covenant, Article 20, with the functional test of Article 20.2 and the permanence rule of Article 52.5. Registered by the United States of America and the Sultanate of Oman.</w:t>
      </w:r>
    </w:p>
    <w:p>
      <w:pPr>
        <w:pStyle w:val="Normal"/>
      </w:pPr>
      <w:r>
        <w:rPr>
          <w:rFonts w:ascii="Cambria" w:hAnsi="Cambria"/>
          <w:color w:val="262626"/>
          <w:sz w:val="21"/>
        </w:rPr>
        <w:t xml:space="preserve">RL-2. No permission regime operates anywhere in the system. Interest: transit free of any party's veto. Safeguard: the Notification-Only Rule, Article 8.2, with the conversion ban of Article 24.4. Registered by the United States of America.</w:t>
      </w:r>
    </w:p>
    <w:p>
      <w:pPr>
        <w:pStyle w:val="Normal"/>
      </w:pPr>
      <w:r>
        <w:rPr>
          <w:rFonts w:ascii="Cambria" w:hAnsi="Cambria"/>
          <w:color w:val="262626"/>
          <w:sz w:val="21"/>
        </w:rPr>
        <w:t xml:space="preserve">RL-3. The northern littoral holds a recognized, formal, continuing management role. Interest: dignity, institutional continuity, and operational presence of Iran. Safeguard: Articles 7.2 and 16.1, the designation rule of Article 2.5, and the co-equal seats of Article 13.2. Registered by the Islamic Republic of Iran.</w:t>
      </w:r>
    </w:p>
    <w:p>
      <w:pPr>
        <w:pStyle w:val="Normal"/>
      </w:pPr>
      <w:r>
        <w:rPr>
          <w:rFonts w:ascii="Cambria" w:hAnsi="Cambria"/>
          <w:color w:val="262626"/>
          <w:sz w:val="21"/>
        </w:rPr>
        <w:t xml:space="preserve">RL-4. The southern littoral holds a recognized, formal, continuing management role. Interest: Oman's coastal role and mediator standing. Safeguard: Articles 7.3 and 16.2, with the parity rule of Article 16.3. Registered by the Sultanate of Oman.</w:t>
      </w:r>
    </w:p>
    <w:p>
      <w:pPr>
        <w:pStyle w:val="Normal"/>
      </w:pPr>
      <w:r>
        <w:rPr>
          <w:rFonts w:ascii="Cambria" w:hAnsi="Cambria"/>
          <w:color w:val="262626"/>
          <w:sz w:val="21"/>
        </w:rPr>
        <w:t xml:space="preserve">RL-5. No vessel faces boarding, diversion, seizure, or inspection inside a corridor. Interest: safety of crews and commerce. Safeguard: the Non-Interdiction Protocol, Article 10, with the Structural Breach classification of Article 43. Registered by all four Parties jointly.</w:t>
      </w:r>
    </w:p>
    <w:p>
      <w:pPr>
        <w:pStyle w:val="Normal"/>
      </w:pPr>
      <w:r>
        <w:rPr>
          <w:rFonts w:ascii="Cambria" w:hAnsi="Cambria"/>
          <w:color w:val="262626"/>
          <w:sz w:val="21"/>
        </w:rPr>
        <w:t xml:space="preserve">RL-6. No shipper, owner, operator, or insurer pays any party directly for anything connected with the Governance Area. Interest: no payment system reading as acknowledgment of control. Safeguard: the Payments Firewall, Article 31. Registered by the United States of America.</w:t>
      </w:r>
    </w:p>
    <w:p>
      <w:pPr>
        <w:pStyle w:val="Normal"/>
      </w:pPr>
      <w:r>
        <w:rPr>
          <w:rFonts w:ascii="Cambria" w:hAnsi="Cambria"/>
          <w:color w:val="262626"/>
          <w:sz w:val="21"/>
        </w:rPr>
        <w:t xml:space="preserve">RL-7. Every operational body remains civilian; no foreign military personnel serve in any lane. Interest: Iran's exclusion of foreign military presence near its coast, and the civilian credibility of the system. Safeguard: the Civilian Character Clause, Articles 3.5 and 13.7. Registered by the Islamic Republic of Iran.</w:t>
      </w:r>
    </w:p>
    <w:p>
      <w:pPr>
        <w:pStyle w:val="Normal"/>
      </w:pPr>
      <w:r>
        <w:rPr>
          <w:rFonts w:ascii="Cambria" w:hAnsi="Cambria"/>
          <w:color w:val="262626"/>
          <w:sz w:val="21"/>
        </w:rPr>
        <w:t xml:space="preserve">RL-8. Each party's legal positions on sovereignty, treaties, and maritime status stand untouched. Interest: every party's reserved legal claims. Safeguard: the No-Prejudice Rule, Article 2. Registered by all four Parties jointly.</w:t>
      </w:r>
    </w:p>
    <w:p>
      <w:pPr>
        <w:pStyle w:val="Normal"/>
      </w:pPr>
      <w:r>
        <w:rPr>
          <w:rFonts w:ascii="Cambria" w:hAnsi="Cambria"/>
          <w:color w:val="262626"/>
          <w:sz w:val="21"/>
        </w:rPr>
        <w:t xml:space="preserve">RL-9. The arrangement takes collective regional form; no bilateral fait accompli governs the Strait. Interest: regional legitimacy and the Gulf states' stake in the waterway. Safeguard: the Council structure of Article 18.5, the Littoral Liaison Group of Article 17.2, and the accession path of Article 54. Registered by the State of Qatar.</w:t>
      </w:r>
    </w:p>
    <w:p>
      <w:pPr>
        <w:pStyle w:val="Normal"/>
      </w:pPr>
      <w:r>
        <w:rPr>
          <w:rFonts w:ascii="Cambria" w:hAnsi="Cambria"/>
          <w:color w:val="262626"/>
          <w:sz w:val="21"/>
        </w:rPr>
        <w:t xml:space="preserve">RL-10. Energy infrastructure, crews, and commercial shipping stay outside every regional dispute. Interest: Qatar's liquefied natural gas system, the region's energy economy, and seafarers' safety. Safeguard: the Protection Covenant, Article 48. Registered by the State of Qatar.</w:t>
      </w:r>
    </w:p>
    <w:p>
      <w:pPr>
        <w:pStyle w:val="Normal"/>
      </w:pPr>
      <w:r>
        <w:rPr>
          <w:rFonts w:ascii="Cambria" w:hAnsi="Cambria"/>
          <w:color w:val="262626"/>
          <w:sz w:val="21"/>
        </w:rPr>
        <w:t xml:space="preserve">RL-11. No party's domestic politics empties the system of content; continuity runs by default. Interest: durability of the settlement against political cycles. Safeguard: the Standing Continuity Rule, Article 52, and the default rule of Article 18.3. Registered by all four Parties jointly.</w:t>
      </w:r>
    </w:p>
    <w:p>
      <w:pPr>
        <w:pStyle w:val="Normal"/>
      </w:pPr>
      <w:r>
        <w:rPr>
          <w:rFonts w:ascii="Cambria" w:hAnsi="Cambria"/>
          <w:color w:val="262626"/>
          <w:sz w:val="21"/>
        </w:rPr>
        <w:t xml:space="preserve">RL-12. Data about transits never becomes a weapon, a bargaining chip, or a unilateral narrative. Interest: every party's confidence in the record. Safeguard: the custody and key-fragment rules of Article 35. Registered by all four Parties jointly.</w:t>
      </w:r>
    </w:p>
    <w:p>
      <w:pPr>
        <w:pStyle w:val="Heading3"/>
      </w:pPr>
      <w:r>
        <w:rPr>
          <w:rFonts w:ascii="Cambria" w:hAnsi="Cambria"/>
          <w:color w:val="262626"/>
          <w:sz w:val="21"/>
        </w:rPr>
        <w:t xml:space="preserve">I.3 The Perimeter Test Procedure</w:t>
      </w:r>
    </w:p>
    <w:p>
      <w:pPr>
        <w:pStyle w:val="Normal"/>
      </w:pPr>
      <w:r>
        <w:rPr>
          <w:rFonts w:ascii="Cambria" w:hAnsi="Cambria"/>
          <w:color w:val="262626"/>
          <w:sz w:val="21"/>
        </w:rPr>
        <w:t xml:space="preserve">The Secretariat runs the Perimeter Test on every measure before adoption: it maps the measure against each entry, states the result in writing, and publishes the test record with the measure. A party's invocation of Article 5.3 halts the measure for seventy-two hours of review, and the review outcome publishes.</w:t>
      </w:r>
    </w:p>
    <w:p>
      <w:pPr>
        <w:pStyle w:val="Heading2"/>
      </w:pPr>
      <w:r>
        <w:rPr>
          <w:rFonts w:ascii="Cambria" w:hAnsi="Cambria"/>
          <w:color w:val="262626"/>
          <w:sz w:val="21"/>
        </w:rPr>
        <w:t xml:space="preserve">Annex J: Environmental Standards and Pollution Response Plan</w:t>
      </w:r>
      <w:bookmarkStart w:id="579" w:name="_Toc26010080"/>
      <w:bookmarkEnd w:id="579"/>
    </w:p>
    <w:p>
      <w:pPr>
        <w:pStyle w:val="Heading3"/>
      </w:pPr>
      <w:r>
        <w:rPr>
          <w:rFonts w:ascii="Cambria" w:hAnsi="Cambria"/>
          <w:color w:val="262626"/>
          <w:sz w:val="21"/>
        </w:rPr>
        <w:t xml:space="preserve">J.1 Standards</w:t>
      </w:r>
    </w:p>
    <w:p>
      <w:pPr>
        <w:pStyle w:val="Normal"/>
      </w:pPr>
      <w:r>
        <w:rPr>
          <w:rFonts w:ascii="Cambria" w:hAnsi="Cambria"/>
          <w:color w:val="262626"/>
          <w:sz w:val="21"/>
        </w:rPr>
        <w:t xml:space="preserve">The Governance Area operates under the pollution prevention standards each party applies domestically, plus the system's enhancements: discharge monitoring through the sensor network; the assurance registry; the protected zones of Annex A; and ballast water management aligned with the international convention as each party applies it.</w:t>
      </w:r>
    </w:p>
    <w:p>
      <w:pPr>
        <w:pStyle w:val="Heading3"/>
      </w:pPr>
      <w:r>
        <w:rPr>
          <w:rFonts w:ascii="Cambria" w:hAnsi="Cambria"/>
          <w:color w:val="262626"/>
          <w:sz w:val="21"/>
        </w:rPr>
        <w:t xml:space="preserve">J.2 Response Tiers</w:t>
      </w:r>
    </w:p>
    <w:p>
      <w:pPr>
        <w:pStyle w:val="Normal"/>
      </w:pPr>
      <w:r>
        <w:rPr>
          <w:rFonts w:ascii="Cambria" w:hAnsi="Cambria"/>
          <w:color w:val="262626"/>
          <w:sz w:val="21"/>
        </w:rPr>
        <w:t xml:space="preserve">Tier one, on-water containment: the nearest response unit deploys within four hours of a verified release. Tier two, salvage interface: the salvage plan activates within twelve hours. Tier three, claims: the channel of Article 26.3 processes documented losses on the incident record. The joint roster carries pollution standby on the same turns as rescue, and the Fund finances the standby under its third priority.</w:t>
      </w:r>
    </w:p>
    <w:p>
      <w:pPr>
        <w:pStyle w:val="Heading3"/>
      </w:pPr>
      <w:r>
        <w:rPr>
          <w:rFonts w:ascii="Cambria" w:hAnsi="Cambria"/>
          <w:color w:val="262626"/>
          <w:sz w:val="21"/>
        </w:rPr>
        <w:t xml:space="preserve">J.3 Reporting</w:t>
      </w:r>
    </w:p>
    <w:p>
      <w:pPr>
        <w:pStyle w:val="Normal"/>
      </w:pPr>
      <w:r>
        <w:rPr>
          <w:rFonts w:ascii="Cambria" w:hAnsi="Cambria"/>
          <w:color w:val="262626"/>
          <w:sz w:val="21"/>
        </w:rPr>
        <w:t xml:space="preserve">Every release, however small, logs in the incident system; every Tier Two or Tier Three release publishes in the Bulletin; and the environmental chapter of the confidence reports states the indicators: releases by class, response times, recovery rates, and protected zone status.</w:t>
      </w:r>
    </w:p>
    <w:p>
      <w:pPr>
        <w:pStyle w:val="Heading3"/>
      </w:pPr>
      <w:r>
        <w:rPr>
          <w:rFonts w:ascii="Cambria" w:hAnsi="Cambria"/>
          <w:color w:val="262626"/>
          <w:sz w:val="21"/>
        </w:rPr>
        <w:t xml:space="preserve">J.4 Sensitive Areas</w:t>
      </w:r>
    </w:p>
    <w:p>
      <w:pPr>
        <w:pStyle w:val="Normal"/>
      </w:pPr>
      <w:r>
        <w:rPr>
          <w:rFonts w:ascii="Cambria" w:hAnsi="Cambria"/>
          <w:color w:val="262626"/>
          <w:sz w:val="21"/>
        </w:rPr>
        <w:t xml:space="preserve">The registry of Annex A marks the coral and fishery areas, the desalination intakes, and the island shores of the Strait as sensitive areas, with routing advice and response priority published for each.</w:t>
      </w:r>
    </w:p>
    <w:p>
      <w:pPr>
        <w:pStyle w:val="Heading2"/>
      </w:pPr>
      <w:r>
        <w:rPr>
          <w:rFonts w:ascii="Cambria" w:hAnsi="Cambria"/>
          <w:color w:val="262626"/>
          <w:sz w:val="21"/>
        </w:rPr>
        <w:t xml:space="preserve">Annex K: Search and Rescue Operations Plan</w:t>
      </w:r>
      <w:bookmarkStart w:id="580" w:name="_Toc26010081"/>
      <w:bookmarkEnd w:id="580"/>
    </w:p>
    <w:p>
      <w:pPr>
        <w:pStyle w:val="Heading3"/>
      </w:pPr>
      <w:r>
        <w:rPr>
          <w:rFonts w:ascii="Cambria" w:hAnsi="Cambria"/>
          <w:color w:val="262626"/>
          <w:sz w:val="21"/>
        </w:rPr>
        <w:t xml:space="preserve">K.1 Network Structure</w:t>
      </w:r>
    </w:p>
    <w:p>
      <w:pPr>
        <w:pStyle w:val="Normal"/>
      </w:pPr>
      <w:r>
        <w:rPr>
          <w:rFonts w:ascii="Cambria" w:hAnsi="Cambria"/>
          <w:color w:val="262626"/>
          <w:sz w:val="21"/>
        </w:rPr>
        <w:t xml:space="preserve">The rescue network comprises: the northern interface at Bandar Abbas under the Northern Corridor Authority; the southern interface at Muscat under the Southern Corridor Authority; the central coordination interface at the Desk's Doha seat; and the joint roster for the central lane, crewed by Iran, Oman, and Qatar in equal monthly turns, with vessels and aircraft contributed on the published contribution table.</w:t>
      </w:r>
    </w:p>
    <w:p>
      <w:pPr>
        <w:pStyle w:val="Heading3"/>
      </w:pPr>
      <w:r>
        <w:rPr>
          <w:rFonts w:ascii="Cambria" w:hAnsi="Cambria"/>
          <w:color w:val="262626"/>
          <w:sz w:val="21"/>
        </w:rPr>
        <w:t xml:space="preserve">K.2 Response Standards</w:t>
      </w:r>
    </w:p>
    <w:p>
      <w:pPr>
        <w:pStyle w:val="Normal"/>
      </w:pPr>
      <w:r>
        <w:rPr>
          <w:rFonts w:ascii="Cambria" w:hAnsi="Cambria"/>
          <w:color w:val="262626"/>
          <w:sz w:val="21"/>
        </w:rPr>
        <w:t xml:space="preserve">The network holds the published readiness states: immediate departure for the designated rescue units on alert, thirty-minute departure for the second echelon, and one-hour activation for the full network. Distress alerts reach all three interfaces simultaneously over the hotlink, and the first unit on scene coordinates until relieved.</w:t>
      </w:r>
    </w:p>
    <w:p>
      <w:pPr>
        <w:pStyle w:val="Heading3"/>
      </w:pPr>
      <w:r>
        <w:rPr>
          <w:rFonts w:ascii="Cambria" w:hAnsi="Cambria"/>
          <w:color w:val="262626"/>
          <w:sz w:val="21"/>
        </w:rPr>
        <w:t xml:space="preserve">K.3 Exercise Program</w:t>
      </w:r>
    </w:p>
    <w:p>
      <w:pPr>
        <w:pStyle w:val="Normal"/>
      </w:pPr>
      <w:r>
        <w:rPr>
          <w:rFonts w:ascii="Cambria" w:hAnsi="Cambria"/>
          <w:color w:val="262626"/>
          <w:sz w:val="21"/>
        </w:rPr>
        <w:t xml:space="preserve">The network drills quarterly: one tabletop, one communications drill, one live exercise per year, rotating the lead among the three interfaces, with the technical observer invited to every live exercise and the results published.</w:t>
      </w:r>
    </w:p>
    <w:p>
      <w:pPr>
        <w:pStyle w:val="Heading3"/>
      </w:pPr>
      <w:r>
        <w:rPr>
          <w:rFonts w:ascii="Cambria" w:hAnsi="Cambria"/>
          <w:color w:val="262626"/>
          <w:sz w:val="21"/>
        </w:rPr>
        <w:t xml:space="preserve">K.4 Mass Rescue</w:t>
      </w:r>
    </w:p>
    <w:p>
      <w:pPr>
        <w:pStyle w:val="Normal"/>
      </w:pPr>
      <w:r>
        <w:rPr>
          <w:rFonts w:ascii="Cambria" w:hAnsi="Cambria"/>
          <w:color w:val="262626"/>
          <w:sz w:val="21"/>
        </w:rPr>
        <w:t xml:space="preserve">The mass rescue plan covers passenger vessel incidents: surge capacity agreements with the ports of the region, medical reception points on both coasts, and the priority handling rule of Article 12.3.</w:t>
      </w:r>
    </w:p>
    <w:p>
      <w:pPr>
        <w:pStyle w:val="Heading3"/>
      </w:pPr>
      <w:r>
        <w:rPr>
          <w:rFonts w:ascii="Cambria" w:hAnsi="Cambria"/>
          <w:color w:val="262626"/>
          <w:sz w:val="21"/>
        </w:rPr>
        <w:t xml:space="preserve">K.5 Records</w:t>
      </w:r>
    </w:p>
    <w:p>
      <w:pPr>
        <w:pStyle w:val="Normal"/>
      </w:pPr>
      <w:r>
        <w:rPr>
          <w:rFonts w:ascii="Cambria" w:hAnsi="Cambria"/>
          <w:color w:val="262626"/>
          <w:sz w:val="21"/>
        </w:rPr>
        <w:t xml:space="preserve">Every alert, response, and outcome logs in the custody system, and the rescue chapter of the confidence reports states the alert counts, response times, and lives assisted, as the network's public account of itself.</w:t>
      </w:r>
    </w:p>
    <w:p>
      <w:pPr>
        <w:pStyle w:val="Heading2"/>
      </w:pPr>
      <w:r>
        <w:rPr>
          <w:rFonts w:ascii="Cambria" w:hAnsi="Cambria"/>
          <w:color w:val="262626"/>
          <w:sz w:val="21"/>
        </w:rPr>
        <w:t xml:space="preserve">Annex L: Activation Timeline and Checklists</w:t>
      </w:r>
      <w:bookmarkStart w:id="581" w:name="_Toc26010082"/>
      <w:bookmarkEnd w:id="581"/>
    </w:p>
    <w:p>
      <w:pPr>
        <w:pStyle w:val="Heading3"/>
      </w:pPr>
      <w:r>
        <w:rPr>
          <w:rFonts w:ascii="Cambria" w:hAnsi="Cambria"/>
          <w:color w:val="262626"/>
          <w:sz w:val="21"/>
        </w:rPr>
        <w:t xml:space="preserve">L.1 The Master Timeline</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250"/>
        <w:gridCol w:w="2700"/>
        <w:gridCol w:w="4076"/>
      </w:tblGrid>
      <w:tr>
        <w:trPr>
          <w:tblHeader/>
        </w:trPr>
        <w:tc>
          <w:tcPr>
            <w:tcW w:w="2250" w:type="dxa"/>
            <w:shd w:val="clear" w:fill="E9F1F3"/>
            <w:vAlign w:val="top"/>
          </w:tcPr>
          <w:p>
            <w:pPr>
              <w:spacing w:before="20" w:after="20" w:line="276" w:lineRule="auto"/>
              <w:jc w:val="left"/>
            </w:pPr>
            <w:r>
              <w:rPr>
                <w:rFonts w:ascii="Calibri" w:hAnsi="Calibri"/>
                <w:b/>
                <w:color w:val="16404E"/>
                <w:sz w:val="19"/>
              </w:rPr>
              <w:t xml:space="preserve">Window</w:t>
            </w:r>
          </w:p>
        </w:tc>
        <w:tc>
          <w:tcPr>
            <w:tcW w:w="2700" w:type="dxa"/>
            <w:shd w:val="clear" w:fill="E9F1F3"/>
            <w:vAlign w:val="top"/>
          </w:tcPr>
          <w:p>
            <w:pPr>
              <w:spacing w:before="20" w:after="20" w:line="276" w:lineRule="auto"/>
              <w:jc w:val="left"/>
            </w:pPr>
            <w:r>
              <w:rPr>
                <w:rFonts w:ascii="Calibri" w:hAnsi="Calibri"/>
                <w:b/>
                <w:color w:val="16404E"/>
                <w:sz w:val="19"/>
              </w:rPr>
              <w:t xml:space="preserve">Milestones</w:t>
            </w:r>
          </w:p>
        </w:tc>
        <w:tc>
          <w:tcPr>
            <w:tcW w:w="4076" w:type="dxa"/>
            <w:shd w:val="clear" w:fill="E9F1F3"/>
            <w:vAlign w:val="top"/>
          </w:tcPr>
          <w:p>
            <w:pPr>
              <w:spacing w:before="20" w:after="20" w:line="276" w:lineRule="auto"/>
              <w:jc w:val="left"/>
            </w:pPr>
            <w:r>
              <w:rPr>
                <w:rFonts w:ascii="Calibri" w:hAnsi="Calibri"/>
                <w:b/>
                <w:color w:val="16404E"/>
                <w:sz w:val="19"/>
              </w:rPr>
              <w:t xml:space="preserve">Exit Evidence</w:t>
            </w:r>
          </w:p>
        </w:tc>
      </w:tr>
      <w:tr>
        <w:tc>
          <w:tcPr>
            <w:tcW w:w="2250" w:type="dxa"/>
            <w:vAlign w:val="top"/>
          </w:tcPr>
          <w:p>
            <w:pPr>
              <w:spacing w:before="20" w:after="20" w:line="276" w:lineRule="auto"/>
              <w:jc w:val="left"/>
            </w:pPr>
            <w:r>
              <w:rPr>
                <w:rFonts w:ascii="Calibri" w:hAnsi="Calibri"/>
                <w:color w:val="262626"/>
                <w:sz w:val="18"/>
              </w:rPr>
              <w:t xml:space="preserve">Phase Zero, Days 0-2</w:t>
            </w:r>
          </w:p>
        </w:tc>
        <w:tc>
          <w:tcPr>
            <w:tcW w:w="2700" w:type="dxa"/>
            <w:vAlign w:val="top"/>
          </w:tcPr>
          <w:p>
            <w:pPr>
              <w:spacing w:before="20" w:after="20" w:line="276" w:lineRule="auto"/>
              <w:jc w:val="left"/>
            </w:pPr>
            <w:r>
              <w:rPr>
                <w:rFonts w:ascii="Calibri" w:hAnsi="Calibri"/>
                <w:color w:val="262626"/>
                <w:sz w:val="18"/>
              </w:rPr>
              <w:t xml:space="preserve">Signature; stand-down effective; security channel tested; Desk first watch; authority registrations exchanged</w:t>
            </w:r>
          </w:p>
        </w:tc>
        <w:tc>
          <w:tcPr>
            <w:tcW w:w="4076" w:type="dxa"/>
            <w:vAlign w:val="top"/>
          </w:tcPr>
          <w:p>
            <w:pPr>
              <w:spacing w:before="20" w:after="20" w:line="276" w:lineRule="auto"/>
              <w:jc w:val="left"/>
            </w:pPr>
            <w:r>
              <w:rPr>
                <w:rFonts w:ascii="Calibri" w:hAnsi="Calibri"/>
                <w:color w:val="262626"/>
                <w:sz w:val="18"/>
              </w:rPr>
              <w:t xml:space="preserve">First Bulletin published; channel test record</w:t>
            </w:r>
          </w:p>
        </w:tc>
      </w:tr>
      <w:tr>
        <w:tc>
          <w:tcPr>
            <w:tcW w:w="2250" w:type="dxa"/>
            <w:vAlign w:val="top"/>
          </w:tcPr>
          <w:p>
            <w:pPr>
              <w:spacing w:before="20" w:after="20" w:line="276" w:lineRule="auto"/>
              <w:jc w:val="left"/>
            </w:pPr>
            <w:r>
              <w:rPr>
                <w:rFonts w:ascii="Calibri" w:hAnsi="Calibri"/>
                <w:color w:val="262626"/>
                <w:sz w:val="18"/>
              </w:rPr>
              <w:t xml:space="preserve">Days 1-7</w:t>
            </w:r>
          </w:p>
        </w:tc>
        <w:tc>
          <w:tcPr>
            <w:tcW w:w="2700" w:type="dxa"/>
            <w:vAlign w:val="top"/>
          </w:tcPr>
          <w:p>
            <w:pPr>
              <w:spacing w:before="20" w:after="20" w:line="276" w:lineRule="auto"/>
              <w:jc w:val="left"/>
            </w:pPr>
            <w:r>
              <w:rPr>
                <w:rFonts w:ascii="Calibri" w:hAnsi="Calibri"/>
                <w:color w:val="262626"/>
                <w:sz w:val="18"/>
              </w:rPr>
              <w:t xml:space="preserve">Clearance Unit deployed; processing center live; Cell first full watch; stranded fleet registered</w:t>
            </w:r>
          </w:p>
        </w:tc>
        <w:tc>
          <w:tcPr>
            <w:tcW w:w="4076" w:type="dxa"/>
            <w:vAlign w:val="top"/>
          </w:tcPr>
          <w:p>
            <w:pPr>
              <w:spacing w:before="20" w:after="20" w:line="276" w:lineRule="auto"/>
              <w:jc w:val="left"/>
            </w:pPr>
            <w:r>
              <w:rPr>
                <w:rFonts w:ascii="Calibri" w:hAnsi="Calibri"/>
                <w:color w:val="262626"/>
                <w:sz w:val="18"/>
              </w:rPr>
              <w:t xml:space="preserve">Watch roster complete; tracking validation report</w:t>
            </w:r>
          </w:p>
        </w:tc>
      </w:tr>
      <w:tr>
        <w:tc>
          <w:tcPr>
            <w:tcW w:w="2250" w:type="dxa"/>
            <w:vAlign w:val="top"/>
          </w:tcPr>
          <w:p>
            <w:pPr>
              <w:spacing w:before="20" w:after="20" w:line="276" w:lineRule="auto"/>
              <w:jc w:val="left"/>
            </w:pPr>
            <w:r>
              <w:rPr>
                <w:rFonts w:ascii="Calibri" w:hAnsi="Calibri"/>
                <w:color w:val="262626"/>
                <w:sz w:val="18"/>
              </w:rPr>
              <w:t xml:space="preserve">Days 8-14</w:t>
            </w:r>
          </w:p>
        </w:tc>
        <w:tc>
          <w:tcPr>
            <w:tcW w:w="2700" w:type="dxa"/>
            <w:vAlign w:val="top"/>
          </w:tcPr>
          <w:p>
            <w:pPr>
              <w:spacing w:before="20" w:after="20" w:line="276" w:lineRule="auto"/>
              <w:jc w:val="left"/>
            </w:pPr>
            <w:r>
              <w:rPr>
                <w:rFonts w:ascii="Calibri" w:hAnsi="Calibri"/>
                <w:color w:val="262626"/>
                <w:sz w:val="18"/>
              </w:rPr>
              <w:t xml:space="preserve">Sensor installation; dry run with volunteer vessels; arbitration simulation; first insurance risk pack</w:t>
            </w:r>
          </w:p>
        </w:tc>
        <w:tc>
          <w:tcPr>
            <w:tcW w:w="4076" w:type="dxa"/>
            <w:vAlign w:val="top"/>
          </w:tcPr>
          <w:p>
            <w:pPr>
              <w:spacing w:before="20" w:after="20" w:line="276" w:lineRule="auto"/>
              <w:jc w:val="left"/>
            </w:pPr>
            <w:r>
              <w:rPr>
                <w:rFonts w:ascii="Calibri" w:hAnsi="Calibri"/>
                <w:color w:val="262626"/>
                <w:sz w:val="18"/>
              </w:rPr>
              <w:t xml:space="preserve">Dry run report; simulation record</w:t>
            </w:r>
          </w:p>
        </w:tc>
      </w:tr>
      <w:tr>
        <w:tc>
          <w:tcPr>
            <w:tcW w:w="2250" w:type="dxa"/>
            <w:vAlign w:val="top"/>
          </w:tcPr>
          <w:p>
            <w:pPr>
              <w:spacing w:before="20" w:after="20" w:line="276" w:lineRule="auto"/>
              <w:jc w:val="left"/>
            </w:pPr>
            <w:r>
              <w:rPr>
                <w:rFonts w:ascii="Calibri" w:hAnsi="Calibri"/>
                <w:color w:val="262626"/>
                <w:sz w:val="18"/>
              </w:rPr>
              <w:t xml:space="preserve">Days 15-30</w:t>
            </w:r>
          </w:p>
        </w:tc>
        <w:tc>
          <w:tcPr>
            <w:tcW w:w="2700" w:type="dxa"/>
            <w:vAlign w:val="top"/>
          </w:tcPr>
          <w:p>
            <w:pPr>
              <w:spacing w:before="20" w:after="20" w:line="276" w:lineRule="auto"/>
              <w:jc w:val="left"/>
            </w:pPr>
            <w:r>
              <w:rPr>
                <w:rFonts w:ascii="Calibri" w:hAnsi="Calibri"/>
                <w:color w:val="262626"/>
                <w:sz w:val="18"/>
              </w:rPr>
              <w:t xml:space="preserve">Central corridor certified and opened; queue operating; priority schedule running</w:t>
            </w:r>
          </w:p>
        </w:tc>
        <w:tc>
          <w:tcPr>
            <w:tcW w:w="4076" w:type="dxa"/>
            <w:vAlign w:val="top"/>
          </w:tcPr>
          <w:p>
            <w:pPr>
              <w:spacing w:before="20" w:after="20" w:line="276" w:lineRule="auto"/>
              <w:jc w:val="left"/>
            </w:pPr>
            <w:r>
              <w:rPr>
                <w:rFonts w:ascii="Calibri" w:hAnsi="Calibri"/>
                <w:color w:val="262626"/>
                <w:sz w:val="18"/>
              </w:rPr>
              <w:t xml:space="preserve">Day-30 confidence report</w:t>
            </w:r>
          </w:p>
        </w:tc>
      </w:tr>
      <w:tr>
        <w:tc>
          <w:tcPr>
            <w:tcW w:w="2250" w:type="dxa"/>
            <w:vAlign w:val="top"/>
          </w:tcPr>
          <w:p>
            <w:pPr>
              <w:spacing w:before="20" w:after="20" w:line="276" w:lineRule="auto"/>
              <w:jc w:val="left"/>
            </w:pPr>
            <w:r>
              <w:rPr>
                <w:rFonts w:ascii="Calibri" w:hAnsi="Calibri"/>
                <w:color w:val="262626"/>
                <w:sz w:val="18"/>
              </w:rPr>
              <w:t xml:space="preserve">Days 31-50</w:t>
            </w:r>
          </w:p>
        </w:tc>
        <w:tc>
          <w:tcPr>
            <w:tcW w:w="2700" w:type="dxa"/>
            <w:vAlign w:val="top"/>
          </w:tcPr>
          <w:p>
            <w:pPr>
              <w:spacing w:before="20" w:after="20" w:line="276" w:lineRule="auto"/>
              <w:jc w:val="left"/>
            </w:pPr>
            <w:r>
              <w:rPr>
                <w:rFonts w:ascii="Calibri" w:hAnsi="Calibri"/>
                <w:color w:val="262626"/>
                <w:sz w:val="18"/>
              </w:rPr>
              <w:t xml:space="preserve">Coastal corridors certified and opened; financial channels live; milestones executing</w:t>
            </w:r>
          </w:p>
        </w:tc>
        <w:tc>
          <w:tcPr>
            <w:tcW w:w="4076" w:type="dxa"/>
            <w:vAlign w:val="top"/>
          </w:tcPr>
          <w:p>
            <w:pPr>
              <w:spacing w:before="20" w:after="20" w:line="276" w:lineRule="auto"/>
              <w:jc w:val="left"/>
            </w:pPr>
            <w:r>
              <w:rPr>
                <w:rFonts w:ascii="Calibri" w:hAnsi="Calibri"/>
                <w:color w:val="262626"/>
                <w:sz w:val="18"/>
              </w:rPr>
              <w:t xml:space="preserve">Certifications; settlement record; Bridge ledger accounting</w:t>
            </w:r>
          </w:p>
        </w:tc>
      </w:tr>
      <w:tr>
        <w:tc>
          <w:tcPr>
            <w:tcW w:w="2250" w:type="dxa"/>
            <w:vAlign w:val="top"/>
          </w:tcPr>
          <w:p>
            <w:pPr>
              <w:spacing w:before="20" w:after="20" w:line="276" w:lineRule="auto"/>
              <w:jc w:val="left"/>
            </w:pPr>
            <w:r>
              <w:rPr>
                <w:rFonts w:ascii="Calibri" w:hAnsi="Calibri"/>
                <w:color w:val="262626"/>
                <w:sz w:val="18"/>
              </w:rPr>
              <w:t xml:space="preserve">Days 51-60</w:t>
            </w:r>
          </w:p>
        </w:tc>
        <w:tc>
          <w:tcPr>
            <w:tcW w:w="2700" w:type="dxa"/>
            <w:vAlign w:val="top"/>
          </w:tcPr>
          <w:p>
            <w:pPr>
              <w:spacing w:before="20" w:after="20" w:line="276" w:lineRule="auto"/>
              <w:jc w:val="left"/>
            </w:pPr>
            <w:r>
              <w:rPr>
                <w:rFonts w:ascii="Calibri" w:hAnsi="Calibri"/>
                <w:color w:val="262626"/>
                <w:sz w:val="18"/>
              </w:rPr>
              <w:t xml:space="preserve">Normalization; pre-review working groups; first period financial close</w:t>
            </w:r>
          </w:p>
        </w:tc>
        <w:tc>
          <w:tcPr>
            <w:tcW w:w="4076" w:type="dxa"/>
            <w:vAlign w:val="top"/>
          </w:tcPr>
          <w:p>
            <w:pPr>
              <w:spacing w:before="20" w:after="20" w:line="276" w:lineRule="auto"/>
              <w:jc w:val="left"/>
            </w:pPr>
            <w:r>
              <w:rPr>
                <w:rFonts w:ascii="Calibri" w:hAnsi="Calibri"/>
                <w:color w:val="262626"/>
                <w:sz w:val="18"/>
              </w:rPr>
              <w:t xml:space="preserve">Day-50 confidence report; period close statement</w:t>
            </w:r>
          </w:p>
        </w:tc>
      </w:tr>
      <w:tr>
        <w:tc>
          <w:tcPr>
            <w:tcW w:w="2250" w:type="dxa"/>
            <w:vAlign w:val="top"/>
          </w:tcPr>
          <w:p>
            <w:pPr>
              <w:spacing w:before="20" w:after="20" w:line="276" w:lineRule="auto"/>
              <w:jc w:val="left"/>
            </w:pPr>
            <w:r>
              <w:rPr>
                <w:rFonts w:ascii="Calibri" w:hAnsi="Calibri"/>
                <w:color w:val="262626"/>
                <w:sz w:val="18"/>
              </w:rPr>
              <w:t xml:space="preserve">Day 60 onward</w:t>
            </w:r>
          </w:p>
        </w:tc>
        <w:tc>
          <w:tcPr>
            <w:tcW w:w="2700" w:type="dxa"/>
            <w:vAlign w:val="top"/>
          </w:tcPr>
          <w:p>
            <w:pPr>
              <w:spacing w:before="20" w:after="20" w:line="276" w:lineRule="auto"/>
              <w:jc w:val="left"/>
            </w:pPr>
            <w:r>
              <w:rPr>
                <w:rFonts w:ascii="Calibri" w:hAnsi="Calibri"/>
                <w:color w:val="262626"/>
                <w:sz w:val="18"/>
              </w:rPr>
              <w:t xml:space="preserve">Review conference; standing operation</w:t>
            </w:r>
          </w:p>
        </w:tc>
        <w:tc>
          <w:tcPr>
            <w:tcW w:w="4076" w:type="dxa"/>
            <w:vAlign w:val="top"/>
          </w:tcPr>
          <w:p>
            <w:pPr>
              <w:spacing w:before="20" w:after="20" w:line="276" w:lineRule="auto"/>
              <w:jc w:val="left"/>
            </w:pPr>
            <w:r>
              <w:rPr>
                <w:rFonts w:ascii="Calibri" w:hAnsi="Calibri"/>
                <w:color w:val="262626"/>
                <w:sz w:val="18"/>
              </w:rPr>
              <w:t xml:space="preserve">Conference record; renewal state</w:t>
            </w:r>
          </w:p>
        </w:tc>
      </w:tr>
    </w:tbl>
    <w:p>
      <w:pPr>
        <w:spacing w:before="60" w:after="120"/>
      </w:pPr>
    </w:p>
    <w:p>
      <w:pPr>
        <w:pStyle w:val="Heading3"/>
      </w:pPr>
      <w:r>
        <w:rPr>
          <w:rFonts w:ascii="Cambria" w:hAnsi="Cambria"/>
          <w:color w:val="262626"/>
          <w:sz w:val="21"/>
        </w:rPr>
        <w:t xml:space="preserve">L.2 Activation Checklists</w:t>
      </w:r>
    </w:p>
    <w:p>
      <w:pPr>
        <w:pStyle w:val="Normal"/>
      </w:pPr>
      <w:r>
        <w:rPr>
          <w:rFonts w:ascii="Cambria" w:hAnsi="Cambria"/>
          <w:color w:val="262626"/>
          <w:sz w:val="21"/>
        </w:rPr>
        <w:t xml:space="preserve">The checklists for each organ state its activation tasks in order: staffing, premises, systems, credentials, first watch, first publication, and first report. The Secretariat maintains the checklists, tracks completion publicly, and flags any slippage to the Council with a recovery plan.</w:t>
      </w:r>
    </w:p>
    <w:p>
      <w:pPr>
        <w:pStyle w:val="Heading3"/>
      </w:pPr>
      <w:r>
        <w:rPr>
          <w:rFonts w:ascii="Cambria" w:hAnsi="Cambria"/>
          <w:color w:val="262626"/>
          <w:sz w:val="21"/>
        </w:rPr>
        <w:t xml:space="preserve">L.3 The Continuity Plan</w:t>
      </w:r>
    </w:p>
    <w:p>
      <w:pPr>
        <w:pStyle w:val="Normal"/>
      </w:pPr>
      <w:r>
        <w:rPr>
          <w:rFonts w:ascii="Cambria" w:hAnsi="Cambria"/>
          <w:color w:val="262626"/>
          <w:sz w:val="21"/>
        </w:rPr>
        <w:t xml:space="preserve">The institutional succession table of Article 56.5 states, for every organ, the receiving tier, the transfer trigger, the transfer procedure, and the maximum transfer time, with safety and verification functions holding highest priority.</w:t>
      </w:r>
    </w:p>
    <w:p>
      <w:pPr>
        <w:pStyle w:val="Heading2"/>
      </w:pPr>
      <w:r>
        <w:rPr>
          <w:rFonts w:ascii="Cambria" w:hAnsi="Cambria"/>
          <w:color w:val="262626"/>
          <w:sz w:val="21"/>
        </w:rPr>
        <w:t xml:space="preserve">Annex M: Accession, Adherence, and Participation Registers</w:t>
      </w:r>
      <w:bookmarkStart w:id="582" w:name="_Toc26010083"/>
      <w:bookmarkEnd w:id="582"/>
    </w:p>
    <w:p>
      <w:pPr>
        <w:pStyle w:val="Heading3"/>
      </w:pPr>
      <w:r>
        <w:rPr>
          <w:rFonts w:ascii="Cambria" w:hAnsi="Cambria"/>
          <w:color w:val="262626"/>
          <w:sz w:val="21"/>
        </w:rPr>
        <w:t xml:space="preserve">M.1 The Accession Instrument</w:t>
      </w:r>
    </w:p>
    <w:p>
      <w:pPr>
        <w:pStyle w:val="Normal"/>
      </w:pPr>
      <w:r>
        <w:rPr>
          <w:rFonts w:ascii="Cambria" w:hAnsi="Cambria"/>
          <w:color w:val="262626"/>
          <w:sz w:val="21"/>
        </w:rPr>
        <w:t xml:space="preserve">The instrument of accession for an Adhering Littoral State carries: acceptance of the Zero-Toll Covenant, the Non-Interdiction Protocol, the custody rules, and the Red Lines Register in respect of the acceding state's own conduct; designation of its liaison officer; its contribution election under Annex C.3; and its registration date. The depositary publishes every instrument.</w:t>
      </w:r>
    </w:p>
    <w:p>
      <w:pPr>
        <w:pStyle w:val="Heading3"/>
      </w:pPr>
      <w:r>
        <w:rPr>
          <w:rFonts w:ascii="Cambria" w:hAnsi="Cambria"/>
          <w:color w:val="262626"/>
          <w:sz w:val="21"/>
        </w:rPr>
        <w:t xml:space="preserve">M.2 The Neutral Participating States Register</w:t>
      </w:r>
    </w:p>
    <w:p>
      <w:pPr>
        <w:pStyle w:val="Normal"/>
      </w:pPr>
      <w:r>
        <w:rPr>
          <w:rFonts w:ascii="Cambria" w:hAnsi="Cambria"/>
          <w:color w:val="262626"/>
          <w:sz w:val="21"/>
        </w:rPr>
        <w:t xml:space="preserve">The register of neutral participating states records the states contributing officers, governors, arbitrators, or fiduciary services, initially: the Swiss Confederation (fiduciary), the Republic of Singapore (vault hosting and Cell officers), and the Kingdom of Norway (Cell officers and Fund governor). The Council of the Parties admits further neutral participants by consensus.</w:t>
      </w:r>
    </w:p>
    <w:p>
      <w:pPr>
        <w:pStyle w:val="Heading3"/>
      </w:pPr>
      <w:r>
        <w:rPr>
          <w:rFonts w:ascii="Cambria" w:hAnsi="Cambria"/>
          <w:color w:val="262626"/>
          <w:sz w:val="21"/>
        </w:rPr>
        <w:t xml:space="preserve">M.3 The Arbitration List</w:t>
      </w:r>
    </w:p>
    <w:p>
      <w:pPr>
        <w:pStyle w:val="Normal"/>
      </w:pPr>
      <w:r>
        <w:rPr>
          <w:rFonts w:ascii="Cambria" w:hAnsi="Cambria"/>
          <w:color w:val="262626"/>
          <w:sz w:val="21"/>
        </w:rPr>
        <w:t xml:space="preserve">The list of financial arbitrators under Article 47.5 comprises nine names proposed by the facilitating states and confirmed by the Council, serving in rotation, with no arbitrator hearing two consecutive cases involving the same party.</w:t>
      </w:r>
    </w:p>
    <w:p>
      <w:pPr>
        <w:pStyle w:val="Heading3"/>
      </w:pPr>
      <w:r>
        <w:rPr>
          <w:rFonts w:ascii="Cambria" w:hAnsi="Cambria"/>
          <w:color w:val="262626"/>
          <w:sz w:val="21"/>
        </w:rPr>
        <w:t xml:space="preserve">M.4 The Industry Panel Formula</w:t>
      </w:r>
    </w:p>
    <w:p>
      <w:pPr>
        <w:pStyle w:val="Normal"/>
      </w:pPr>
      <w:r>
        <w:rPr>
          <w:rFonts w:ascii="Cambria" w:hAnsi="Cambria"/>
          <w:color w:val="262626"/>
          <w:sz w:val="21"/>
        </w:rPr>
        <w:t xml:space="preserve">The Industry Panel's ten seats allocate as follows: two seats to international shipowners' associations; two to tanker and gas carrier operators; one to container lines; one to classification societies; two to protection and indemnity clubs and war-risk underwriters jointly; and two to seafarers' representatives. The panel adopts its own procedure and publishes its positions.</w:t>
      </w:r>
    </w:p>
    <w:p>
      <w:pPr>
        <w:pStyle w:val="Heading3"/>
      </w:pPr>
      <w:r>
        <w:rPr>
          <w:rFonts w:ascii="Cambria" w:hAnsi="Cambria"/>
          <w:color w:val="262626"/>
          <w:sz w:val="21"/>
        </w:rPr>
        <w:t xml:space="preserve">M.5 The Technical Observers Register</w:t>
      </w:r>
    </w:p>
    <w:p>
      <w:pPr>
        <w:pStyle w:val="Normal"/>
      </w:pPr>
      <w:r>
        <w:rPr>
          <w:rFonts w:ascii="Cambria" w:hAnsi="Cambria"/>
          <w:color w:val="262626"/>
          <w:sz w:val="21"/>
        </w:rPr>
        <w:t xml:space="preserve">The register records the International Maritime Organization as lead technical observer, with the accredited clearance supervisor and the pilot standards interface named in the register. Further technical bodies accede by consensus of the Parties.</w:t>
      </w:r>
    </w:p>
    <w:p>
      <w:pPr>
        <w:pStyle w:val="Heading2"/>
      </w:pPr>
      <w:r>
        <w:rPr>
          <w:rFonts w:ascii="Cambria" w:hAnsi="Cambria"/>
          <w:color w:val="262626"/>
          <w:sz w:val="21"/>
        </w:rPr>
        <w:t xml:space="preserve">Annex N: The Neutral Terminology Register</w:t>
      </w:r>
      <w:bookmarkStart w:id="583" w:name="_Toc26010084"/>
      <w:bookmarkEnd w:id="583"/>
    </w:p>
    <w:p>
      <w:pPr>
        <w:pStyle w:val="Heading3"/>
      </w:pPr>
      <w:r>
        <w:rPr>
          <w:rFonts w:ascii="Cambria" w:hAnsi="Cambria"/>
          <w:color w:val="262626"/>
          <w:sz w:val="21"/>
        </w:rPr>
        <w:t xml:space="preserve">N.1 The Register</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700"/>
        <w:gridCol w:w="6326"/>
      </w:tblGrid>
      <w:tr>
        <w:trPr>
          <w:tblHeader/>
        </w:trPr>
        <w:tc>
          <w:tcPr>
            <w:tcW w:w="2700" w:type="dxa"/>
            <w:shd w:val="clear" w:fill="E9F1F3"/>
            <w:vAlign w:val="top"/>
          </w:tcPr>
          <w:p>
            <w:pPr>
              <w:spacing w:before="20" w:after="20" w:line="276" w:lineRule="auto"/>
              <w:jc w:val="left"/>
            </w:pPr>
            <w:r>
              <w:rPr>
                <w:rFonts w:ascii="Calibri" w:hAnsi="Calibri"/>
                <w:b/>
                <w:color w:val="16404E"/>
                <w:sz w:val="19"/>
              </w:rPr>
              <w:t xml:space="preserve">Registered Term</w:t>
            </w:r>
          </w:p>
        </w:tc>
        <w:tc>
          <w:tcPr>
            <w:tcW w:w="6326" w:type="dxa"/>
            <w:shd w:val="clear" w:fill="E9F1F3"/>
            <w:vAlign w:val="top"/>
          </w:tcPr>
          <w:p>
            <w:pPr>
              <w:spacing w:before="20" w:after="20" w:line="276" w:lineRule="auto"/>
              <w:jc w:val="left"/>
            </w:pPr>
            <w:r>
              <w:rPr>
                <w:rFonts w:ascii="Calibri" w:hAnsi="Calibri"/>
                <w:b/>
                <w:color w:val="16404E"/>
                <w:sz w:val="19"/>
              </w:rPr>
              <w:t xml:space="preserve">Terminology the System Never Uses</w:t>
            </w:r>
          </w:p>
        </w:tc>
      </w:tr>
      <w:tr>
        <w:tc>
          <w:tcPr>
            <w:tcW w:w="2700" w:type="dxa"/>
            <w:vAlign w:val="top"/>
          </w:tcPr>
          <w:p>
            <w:pPr>
              <w:spacing w:before="20" w:after="20" w:line="276" w:lineRule="auto"/>
              <w:jc w:val="left"/>
            </w:pPr>
            <w:r>
              <w:rPr>
                <w:rFonts w:ascii="Calibri" w:hAnsi="Calibri"/>
                <w:color w:val="262626"/>
                <w:sz w:val="18"/>
              </w:rPr>
              <w:t xml:space="preserve">Corridor; lane</w:t>
            </w:r>
          </w:p>
        </w:tc>
        <w:tc>
          <w:tcPr>
            <w:tcW w:w="6326" w:type="dxa"/>
            <w:vAlign w:val="top"/>
          </w:tcPr>
          <w:p>
            <w:pPr>
              <w:spacing w:before="20" w:after="20" w:line="276" w:lineRule="auto"/>
              <w:jc w:val="left"/>
            </w:pPr>
            <w:r>
              <w:rPr>
                <w:rFonts w:ascii="Calibri" w:hAnsi="Calibri"/>
                <w:color w:val="262626"/>
                <w:sz w:val="18"/>
              </w:rPr>
              <w:t xml:space="preserve">routes under control; national channel; exclusive lane</w:t>
            </w:r>
          </w:p>
        </w:tc>
      </w:tr>
      <w:tr>
        <w:tc>
          <w:tcPr>
            <w:tcW w:w="2700" w:type="dxa"/>
            <w:vAlign w:val="top"/>
          </w:tcPr>
          <w:p>
            <w:pPr>
              <w:spacing w:before="20" w:after="20" w:line="276" w:lineRule="auto"/>
              <w:jc w:val="left"/>
            </w:pPr>
            <w:r>
              <w:rPr>
                <w:rFonts w:ascii="Calibri" w:hAnsi="Calibri"/>
                <w:color w:val="262626"/>
                <w:sz w:val="18"/>
              </w:rPr>
              <w:t xml:space="preserve">Service reimbursement; compensation follows delivery</w:t>
            </w:r>
          </w:p>
        </w:tc>
        <w:tc>
          <w:tcPr>
            <w:tcW w:w="6326" w:type="dxa"/>
            <w:vAlign w:val="top"/>
          </w:tcPr>
          <w:p>
            <w:pPr>
              <w:spacing w:before="20" w:after="20" w:line="276" w:lineRule="auto"/>
              <w:jc w:val="left"/>
            </w:pPr>
            <w:r>
              <w:rPr>
                <w:rFonts w:ascii="Calibri" w:hAnsi="Calibri"/>
                <w:color w:val="262626"/>
                <w:sz w:val="18"/>
              </w:rPr>
              <w:t xml:space="preserve">toll; fee for passage; transit charge; dues</w:t>
            </w:r>
          </w:p>
        </w:tc>
      </w:tr>
      <w:tr>
        <w:tc>
          <w:tcPr>
            <w:tcW w:w="2700" w:type="dxa"/>
            <w:vAlign w:val="top"/>
          </w:tcPr>
          <w:p>
            <w:pPr>
              <w:spacing w:before="20" w:after="20" w:line="276" w:lineRule="auto"/>
              <w:jc w:val="left"/>
            </w:pPr>
            <w:r>
              <w:rPr>
                <w:rFonts w:ascii="Calibri" w:hAnsi="Calibri"/>
                <w:color w:val="262626"/>
                <w:sz w:val="18"/>
              </w:rPr>
              <w:t xml:space="preserve">Voluntary Transit Contribution</w:t>
            </w:r>
          </w:p>
        </w:tc>
        <w:tc>
          <w:tcPr>
            <w:tcW w:w="6326" w:type="dxa"/>
            <w:vAlign w:val="top"/>
          </w:tcPr>
          <w:p>
            <w:pPr>
              <w:spacing w:before="20" w:after="20" w:line="276" w:lineRule="auto"/>
              <w:jc w:val="left"/>
            </w:pPr>
            <w:r>
              <w:rPr>
                <w:rFonts w:ascii="Calibri" w:hAnsi="Calibri"/>
                <w:color w:val="262626"/>
                <w:sz w:val="18"/>
              </w:rPr>
              <w:t xml:space="preserve">mandatory levy; payment for transit</w:t>
            </w:r>
          </w:p>
        </w:tc>
      </w:tr>
      <w:tr>
        <w:tc>
          <w:tcPr>
            <w:tcW w:w="2700" w:type="dxa"/>
            <w:vAlign w:val="top"/>
          </w:tcPr>
          <w:p>
            <w:pPr>
              <w:spacing w:before="20" w:after="20" w:line="276" w:lineRule="auto"/>
              <w:jc w:val="left"/>
            </w:pPr>
            <w:r>
              <w:rPr>
                <w:rFonts w:ascii="Calibri" w:hAnsi="Calibri"/>
                <w:color w:val="262626"/>
                <w:sz w:val="18"/>
              </w:rPr>
              <w:t xml:space="preserve">Transit Declaration; notification informs</w:t>
            </w:r>
          </w:p>
        </w:tc>
        <w:tc>
          <w:tcPr>
            <w:tcW w:w="6326" w:type="dxa"/>
            <w:vAlign w:val="top"/>
          </w:tcPr>
          <w:p>
            <w:pPr>
              <w:spacing w:before="20" w:after="20" w:line="276" w:lineRule="auto"/>
              <w:jc w:val="left"/>
            </w:pPr>
            <w:r>
              <w:rPr>
                <w:rFonts w:ascii="Calibri" w:hAnsi="Calibri"/>
                <w:color w:val="262626"/>
                <w:sz w:val="18"/>
              </w:rPr>
              <w:t xml:space="preserve">permit application; permission request; clearance grant</w:t>
            </w:r>
          </w:p>
        </w:tc>
      </w:tr>
      <w:tr>
        <w:tc>
          <w:tcPr>
            <w:tcW w:w="2700" w:type="dxa"/>
            <w:vAlign w:val="top"/>
          </w:tcPr>
          <w:p>
            <w:pPr>
              <w:spacing w:before="20" w:after="20" w:line="276" w:lineRule="auto"/>
              <w:jc w:val="left"/>
            </w:pPr>
            <w:r>
              <w:rPr>
                <w:rFonts w:ascii="Calibri" w:hAnsi="Calibri"/>
                <w:color w:val="262626"/>
                <w:sz w:val="18"/>
              </w:rPr>
              <w:t xml:space="preserve">Northern and Southern Corridor Authorities</w:t>
            </w:r>
          </w:p>
        </w:tc>
        <w:tc>
          <w:tcPr>
            <w:tcW w:w="6326" w:type="dxa"/>
            <w:vAlign w:val="top"/>
          </w:tcPr>
          <w:p>
            <w:pPr>
              <w:spacing w:before="20" w:after="20" w:line="276" w:lineRule="auto"/>
              <w:jc w:val="left"/>
            </w:pPr>
            <w:r>
              <w:rPr>
                <w:rFonts w:ascii="Calibri" w:hAnsi="Calibri"/>
                <w:color w:val="262626"/>
                <w:sz w:val="18"/>
              </w:rPr>
              <w:t xml:space="preserve">strait controller; gatekeeper</w:t>
            </w:r>
          </w:p>
        </w:tc>
      </w:tr>
      <w:tr>
        <w:tc>
          <w:tcPr>
            <w:tcW w:w="2700" w:type="dxa"/>
            <w:vAlign w:val="top"/>
          </w:tcPr>
          <w:p>
            <w:pPr>
              <w:spacing w:before="20" w:after="20" w:line="276" w:lineRule="auto"/>
              <w:jc w:val="left"/>
            </w:pPr>
            <w:r>
              <w:rPr>
                <w:rFonts w:ascii="Calibri" w:hAnsi="Calibri"/>
                <w:color w:val="262626"/>
                <w:sz w:val="18"/>
              </w:rPr>
              <w:t xml:space="preserve">The Desk; the Cell; the Secretariat</w:t>
            </w:r>
          </w:p>
        </w:tc>
        <w:tc>
          <w:tcPr>
            <w:tcW w:w="6326" w:type="dxa"/>
            <w:vAlign w:val="top"/>
          </w:tcPr>
          <w:p>
            <w:pPr>
              <w:spacing w:before="20" w:after="20" w:line="276" w:lineRule="auto"/>
              <w:jc w:val="left"/>
            </w:pPr>
            <w:r>
              <w:rPr>
                <w:rFonts w:ascii="Calibri" w:hAnsi="Calibri"/>
                <w:color w:val="262626"/>
                <w:sz w:val="18"/>
              </w:rPr>
              <w:t xml:space="preserve">international administration; foreign oversight</w:t>
            </w:r>
          </w:p>
        </w:tc>
      </w:tr>
      <w:tr>
        <w:tc>
          <w:tcPr>
            <w:tcW w:w="2700" w:type="dxa"/>
            <w:vAlign w:val="top"/>
          </w:tcPr>
          <w:p>
            <w:pPr>
              <w:spacing w:before="20" w:after="20" w:line="276" w:lineRule="auto"/>
              <w:jc w:val="left"/>
            </w:pPr>
            <w:r>
              <w:rPr>
                <w:rFonts w:ascii="Calibri" w:hAnsi="Calibri"/>
                <w:color w:val="262626"/>
                <w:sz w:val="18"/>
              </w:rPr>
              <w:t xml:space="preserve">Verification; custody; shared picture</w:t>
            </w:r>
          </w:p>
        </w:tc>
        <w:tc>
          <w:tcPr>
            <w:tcW w:w="6326" w:type="dxa"/>
            <w:vAlign w:val="top"/>
          </w:tcPr>
          <w:p>
            <w:pPr>
              <w:spacing w:before="20" w:after="20" w:line="276" w:lineRule="auto"/>
              <w:jc w:val="left"/>
            </w:pPr>
            <w:r>
              <w:rPr>
                <w:rFonts w:ascii="Calibri" w:hAnsi="Calibri"/>
                <w:color w:val="262626"/>
                <w:sz w:val="18"/>
              </w:rPr>
              <w:t xml:space="preserve">inspection regime; surveillance</w:t>
            </w:r>
          </w:p>
        </w:tc>
      </w:tr>
      <w:tr>
        <w:tc>
          <w:tcPr>
            <w:tcW w:w="2700" w:type="dxa"/>
            <w:vAlign w:val="top"/>
          </w:tcPr>
          <w:p>
            <w:pPr>
              <w:spacing w:before="20" w:after="20" w:line="276" w:lineRule="auto"/>
              <w:jc w:val="left"/>
            </w:pPr>
            <w:r>
              <w:rPr>
                <w:rFonts w:ascii="Calibri" w:hAnsi="Calibri"/>
                <w:color w:val="262626"/>
                <w:sz w:val="18"/>
              </w:rPr>
              <w:t xml:space="preserve">Emergency Brake; status quo ante</w:t>
            </w:r>
          </w:p>
        </w:tc>
        <w:tc>
          <w:tcPr>
            <w:tcW w:w="6326" w:type="dxa"/>
            <w:vAlign w:val="top"/>
          </w:tcPr>
          <w:p>
            <w:pPr>
              <w:spacing w:before="20" w:after="20" w:line="276" w:lineRule="auto"/>
              <w:jc w:val="left"/>
            </w:pPr>
            <w:r>
              <w:rPr>
                <w:rFonts w:ascii="Calibri" w:hAnsi="Calibri"/>
                <w:color w:val="262626"/>
                <w:sz w:val="18"/>
              </w:rPr>
              <w:t xml:space="preserve">punishment; suspension of rights</w:t>
            </w:r>
          </w:p>
        </w:tc>
      </w:tr>
      <w:tr>
        <w:tc>
          <w:tcPr>
            <w:tcW w:w="2700" w:type="dxa"/>
            <w:vAlign w:val="top"/>
          </w:tcPr>
          <w:p>
            <w:pPr>
              <w:spacing w:before="20" w:after="20" w:line="276" w:lineRule="auto"/>
              <w:jc w:val="left"/>
            </w:pPr>
            <w:r>
              <w:rPr>
                <w:rFonts w:ascii="Calibri" w:hAnsi="Calibri"/>
                <w:color w:val="262626"/>
                <w:sz w:val="18"/>
              </w:rPr>
              <w:t xml:space="preserve">Functional coexistence without prejudice</w:t>
            </w:r>
          </w:p>
        </w:tc>
        <w:tc>
          <w:tcPr>
            <w:tcW w:w="6326" w:type="dxa"/>
            <w:vAlign w:val="top"/>
          </w:tcPr>
          <w:p>
            <w:pPr>
              <w:spacing w:before="20" w:after="20" w:line="276" w:lineRule="auto"/>
              <w:jc w:val="left"/>
            </w:pPr>
            <w:r>
              <w:rPr>
                <w:rFonts w:ascii="Calibri" w:hAnsi="Calibri"/>
                <w:color w:val="262626"/>
                <w:sz w:val="18"/>
              </w:rPr>
              <w:t xml:space="preserve">interim recognition; provisional sovereignty</w:t>
            </w:r>
          </w:p>
        </w:tc>
      </w:tr>
    </w:tbl>
    <w:p>
      <w:pPr>
        <w:spacing w:before="60" w:after="120"/>
      </w:pPr>
    </w:p>
    <w:p>
      <w:pPr>
        <w:pStyle w:val="Heading3"/>
      </w:pPr>
      <w:r>
        <w:rPr>
          <w:rFonts w:ascii="Cambria" w:hAnsi="Cambria"/>
          <w:color w:val="262626"/>
          <w:sz w:val="21"/>
        </w:rPr>
        <w:t xml:space="preserve">N.2 Use</w:t>
      </w:r>
    </w:p>
    <w:p>
      <w:pPr>
        <w:pStyle w:val="Normal"/>
      </w:pPr>
      <w:r>
        <w:rPr>
          <w:rFonts w:ascii="Cambria" w:hAnsi="Cambria"/>
          <w:color w:val="262626"/>
          <w:sz w:val="21"/>
        </w:rPr>
        <w:t xml:space="preserve">Every organ, publication, form, map, and public statement of the system uses the registered terms. The register aligns across the three languages of record, and the depositary maintains the aligned tables. Article 49.2 governs the coexistence of domestic vocabulary with the shared register.</w:t>
      </w:r>
    </w:p>
    <w:p>
      <w:pPr>
        <w:pStyle w:val="Heading3"/>
      </w:pPr>
      <w:r>
        <w:rPr>
          <w:rFonts w:ascii="Cambria" w:hAnsi="Cambria"/>
          <w:color w:val="262626"/>
          <w:sz w:val="21"/>
        </w:rPr>
        <w:t xml:space="preserve">N.3 Maintenance</w:t>
      </w:r>
    </w:p>
    <w:p>
      <w:pPr>
        <w:pStyle w:val="Normal"/>
      </w:pPr>
      <w:r>
        <w:rPr>
          <w:rFonts w:ascii="Cambria" w:hAnsi="Cambria"/>
          <w:color w:val="262626"/>
          <w:sz w:val="21"/>
        </w:rPr>
        <w:t xml:space="preserve">The Desk reviews the register annually; additions pass the Perimeter Test; and every revision publishes with the consolidated text.</w:t>
      </w:r>
    </w:p>
    <w:p>
      <w:pPr>
        <w:pStyle w:val="Heading2"/>
      </w:pPr>
      <w:r>
        <w:rPr>
          <w:rFonts w:ascii="Cambria" w:hAnsi="Cambria"/>
          <w:color w:val="262626"/>
          <w:sz w:val="21"/>
        </w:rPr>
        <w:t xml:space="preserve">Annex O: The Tolls Settlement Reference Matrix and Proposal History Map</w:t>
      </w:r>
      <w:bookmarkStart w:id="584" w:name="_Toc26010085"/>
      <w:bookmarkEnd w:id="584"/>
    </w:p>
    <w:p>
      <w:pPr>
        <w:pStyle w:val="Heading3"/>
      </w:pPr>
      <w:r>
        <w:rPr>
          <w:rFonts w:ascii="Cambria" w:hAnsi="Cambria"/>
          <w:color w:val="262626"/>
          <w:sz w:val="21"/>
        </w:rPr>
        <w:t xml:space="preserve">O.1 Purpose</w:t>
      </w:r>
    </w:p>
    <w:p>
      <w:pPr>
        <w:pStyle w:val="Normal"/>
      </w:pPr>
      <w:r>
        <w:rPr>
          <w:rFonts w:ascii="Cambria" w:hAnsi="Cambria"/>
          <w:color w:val="262626"/>
          <w:sz w:val="21"/>
        </w:rPr>
        <w:t xml:space="preserve">This Annex maps the settlement of Part IV against the proposals that the negotiation history produced, so that every delegation locates its own contribution inside the final architecture. The map records provenance; it assigns no authorship credit in the operative text, and Article 49 protects every delegation's domestic account of the outcome.</w:t>
      </w:r>
    </w:p>
    <w:p>
      <w:pPr>
        <w:pStyle w:val="Heading3"/>
      </w:pPr>
      <w:r>
        <w:rPr>
          <w:rFonts w:ascii="Cambria" w:hAnsi="Cambria"/>
          <w:color w:val="262626"/>
          <w:sz w:val="21"/>
        </w:rPr>
        <w:t xml:space="preserve">O.2 The Map</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250"/>
        <w:gridCol w:w="2700"/>
        <w:gridCol w:w="4076"/>
      </w:tblGrid>
      <w:tr>
        <w:trPr>
          <w:tblHeader/>
        </w:trPr>
        <w:tc>
          <w:tcPr>
            <w:tcW w:w="2250" w:type="dxa"/>
            <w:shd w:val="clear" w:fill="E9F1F3"/>
            <w:vAlign w:val="top"/>
          </w:tcPr>
          <w:p>
            <w:pPr>
              <w:spacing w:before="20" w:after="20" w:line="276" w:lineRule="auto"/>
              <w:jc w:val="left"/>
            </w:pPr>
            <w:r>
              <w:rPr>
                <w:rFonts w:ascii="Calibri" w:hAnsi="Calibri"/>
                <w:b/>
                <w:color w:val="16404E"/>
                <w:sz w:val="19"/>
              </w:rPr>
              <w:t xml:space="preserve">Settlement Channel</w:t>
            </w:r>
          </w:p>
        </w:tc>
        <w:tc>
          <w:tcPr>
            <w:tcW w:w="2700" w:type="dxa"/>
            <w:shd w:val="clear" w:fill="E9F1F3"/>
            <w:vAlign w:val="top"/>
          </w:tcPr>
          <w:p>
            <w:pPr>
              <w:spacing w:before="20" w:after="20" w:line="276" w:lineRule="auto"/>
              <w:jc w:val="left"/>
            </w:pPr>
            <w:r>
              <w:rPr>
                <w:rFonts w:ascii="Calibri" w:hAnsi="Calibri"/>
                <w:b/>
                <w:color w:val="16404E"/>
                <w:sz w:val="19"/>
              </w:rPr>
              <w:t xml:space="preserve">Negotiation Provenance</w:t>
            </w:r>
          </w:p>
        </w:tc>
        <w:tc>
          <w:tcPr>
            <w:tcW w:w="4076" w:type="dxa"/>
            <w:shd w:val="clear" w:fill="E9F1F3"/>
            <w:vAlign w:val="top"/>
          </w:tcPr>
          <w:p>
            <w:pPr>
              <w:spacing w:before="20" w:after="20" w:line="276" w:lineRule="auto"/>
              <w:jc w:val="left"/>
            </w:pPr>
            <w:r>
              <w:rPr>
                <w:rFonts w:ascii="Calibri" w:hAnsi="Calibri"/>
                <w:b/>
                <w:color w:val="16404E"/>
                <w:sz w:val="19"/>
              </w:rPr>
              <w:t xml:space="preserve">What the Channel Preserves</w:t>
            </w:r>
          </w:p>
        </w:tc>
      </w:tr>
      <w:tr>
        <w:tc>
          <w:tcPr>
            <w:tcW w:w="2250" w:type="dxa"/>
            <w:vAlign w:val="top"/>
          </w:tcPr>
          <w:p>
            <w:pPr>
              <w:spacing w:before="20" w:after="20" w:line="276" w:lineRule="auto"/>
              <w:jc w:val="left"/>
            </w:pPr>
            <w:r>
              <w:rPr>
                <w:rFonts w:ascii="Calibri" w:hAnsi="Calibri"/>
                <w:color w:val="262626"/>
                <w:sz w:val="18"/>
              </w:rPr>
              <w:t xml:space="preserve">Zero-Toll Covenant (Art. 20)</w:t>
            </w:r>
          </w:p>
        </w:tc>
        <w:tc>
          <w:tcPr>
            <w:tcW w:w="2700" w:type="dxa"/>
            <w:vAlign w:val="top"/>
          </w:tcPr>
          <w:p>
            <w:pPr>
              <w:spacing w:before="20" w:after="20" w:line="276" w:lineRule="auto"/>
              <w:jc w:val="left"/>
            </w:pPr>
            <w:r>
              <w:rPr>
                <w:rFonts w:ascii="Calibri" w:hAnsi="Calibri"/>
                <w:color w:val="262626"/>
                <w:sz w:val="18"/>
              </w:rPr>
              <w:t xml:space="preserve">The charge-free window of the 17 June memorandum; the permanent toll-free position stated at the Evian summit; Oman's 24 June and 1 July declarations that transit fees do not stand under international law</w:t>
            </w:r>
          </w:p>
        </w:tc>
        <w:tc>
          <w:tcPr>
            <w:tcW w:w="4076" w:type="dxa"/>
            <w:vAlign w:val="top"/>
          </w:tcPr>
          <w:p>
            <w:pPr>
              <w:spacing w:before="20" w:after="20" w:line="276" w:lineRule="auto"/>
              <w:jc w:val="left"/>
            </w:pPr>
            <w:r>
              <w:rPr>
                <w:rFonts w:ascii="Calibri" w:hAnsi="Calibri"/>
                <w:color w:val="262626"/>
                <w:sz w:val="18"/>
              </w:rPr>
              <w:t xml:space="preserve">Permanence and functional breadth: no relabeled charge survives</w:t>
            </w:r>
          </w:p>
        </w:tc>
      </w:tr>
      <w:tr>
        <w:tc>
          <w:tcPr>
            <w:tcW w:w="2250" w:type="dxa"/>
            <w:vAlign w:val="top"/>
          </w:tcPr>
          <w:p>
            <w:pPr>
              <w:spacing w:before="20" w:after="20" w:line="276" w:lineRule="auto"/>
              <w:jc w:val="left"/>
            </w:pPr>
            <w:r>
              <w:rPr>
                <w:rFonts w:ascii="Calibri" w:hAnsi="Calibri"/>
                <w:color w:val="262626"/>
                <w:sz w:val="18"/>
              </w:rPr>
              <w:t xml:space="preserve">Service Reimbursement (Art. 23)</w:t>
            </w:r>
          </w:p>
        </w:tc>
        <w:tc>
          <w:tcPr>
            <w:tcW w:w="2700" w:type="dxa"/>
            <w:vAlign w:val="top"/>
          </w:tcPr>
          <w:p>
            <w:pPr>
              <w:spacing w:before="20" w:after="20" w:line="276" w:lineRule="auto"/>
              <w:jc w:val="left"/>
            </w:pPr>
            <w:r>
              <w:rPr>
                <w:rFonts w:ascii="Calibri" w:hAnsi="Calibri"/>
                <w:color w:val="262626"/>
                <w:sz w:val="18"/>
              </w:rPr>
              <w:t xml:space="preserve">The Oman-Iran joint working group on services and their costs; the Malacca model referenced in the 20 July mediators' proposal; the principle that the provider of safe passage earns compensation</w:t>
            </w:r>
          </w:p>
        </w:tc>
        <w:tc>
          <w:tcPr>
            <w:tcW w:w="4076" w:type="dxa"/>
            <w:vAlign w:val="top"/>
          </w:tcPr>
          <w:p>
            <w:pPr>
              <w:spacing w:before="20" w:after="20" w:line="276" w:lineRule="auto"/>
              <w:jc w:val="left"/>
            </w:pPr>
            <w:r>
              <w:rPr>
                <w:rFonts w:ascii="Calibri" w:hAnsi="Calibri"/>
                <w:color w:val="262626"/>
                <w:sz w:val="18"/>
              </w:rPr>
              <w:t xml:space="preserve">Compensation for documented services, priced transparently, paid by the Fund and never by the ship</w:t>
            </w:r>
          </w:p>
        </w:tc>
      </w:tr>
      <w:tr>
        <w:tc>
          <w:tcPr>
            <w:tcW w:w="2250" w:type="dxa"/>
            <w:vAlign w:val="top"/>
          </w:tcPr>
          <w:p>
            <w:pPr>
              <w:spacing w:before="20" w:after="20" w:line="276" w:lineRule="auto"/>
              <w:jc w:val="left"/>
            </w:pPr>
            <w:r>
              <w:rPr>
                <w:rFonts w:ascii="Calibri" w:hAnsi="Calibri"/>
                <w:color w:val="262626"/>
                <w:sz w:val="18"/>
              </w:rPr>
              <w:t xml:space="preserve">Voluntary Transit Contribution (Art. 24)</w:t>
            </w:r>
          </w:p>
        </w:tc>
        <w:tc>
          <w:tcPr>
            <w:tcW w:w="2700" w:type="dxa"/>
            <w:vAlign w:val="top"/>
          </w:tcPr>
          <w:p>
            <w:pPr>
              <w:spacing w:before="20" w:after="20" w:line="276" w:lineRule="auto"/>
              <w:jc w:val="left"/>
            </w:pPr>
            <w:r>
              <w:rPr>
                <w:rFonts w:ascii="Calibri" w:hAnsi="Calibri"/>
                <w:color w:val="262626"/>
                <w:sz w:val="18"/>
              </w:rPr>
              <w:t xml:space="preserve">The Omani plan presented in Tehran on 28 July 2026: voluntary fees, no sole control, Gulf-supported</w:t>
            </w:r>
          </w:p>
        </w:tc>
        <w:tc>
          <w:tcPr>
            <w:tcW w:w="4076" w:type="dxa"/>
            <w:vAlign w:val="top"/>
          </w:tcPr>
          <w:p>
            <w:pPr>
              <w:spacing w:before="20" w:after="20" w:line="276" w:lineRule="auto"/>
              <w:jc w:val="left"/>
            </w:pPr>
            <w:r>
              <w:rPr>
                <w:rFonts w:ascii="Calibri" w:hAnsi="Calibri"/>
                <w:color w:val="262626"/>
                <w:sz w:val="18"/>
              </w:rPr>
              <w:t xml:space="preserve">Voluntariness with identical treatment for non-contributors</w:t>
            </w:r>
          </w:p>
        </w:tc>
      </w:tr>
      <w:tr>
        <w:tc>
          <w:tcPr>
            <w:tcW w:w="2250" w:type="dxa"/>
            <w:vAlign w:val="top"/>
          </w:tcPr>
          <w:p>
            <w:pPr>
              <w:spacing w:before="20" w:after="20" w:line="276" w:lineRule="auto"/>
              <w:jc w:val="left"/>
            </w:pPr>
            <w:r>
              <w:rPr>
                <w:rFonts w:ascii="Calibri" w:hAnsi="Calibri"/>
                <w:color w:val="262626"/>
                <w:sz w:val="18"/>
              </w:rPr>
              <w:t xml:space="preserve">Annual Navigation Pass (Art. 25)</w:t>
            </w:r>
          </w:p>
        </w:tc>
        <w:tc>
          <w:tcPr>
            <w:tcW w:w="2700" w:type="dxa"/>
            <w:vAlign w:val="top"/>
          </w:tcPr>
          <w:p>
            <w:pPr>
              <w:spacing w:before="20" w:after="20" w:line="276" w:lineRule="auto"/>
              <w:jc w:val="left"/>
            </w:pPr>
            <w:r>
              <w:rPr>
                <w:rFonts w:ascii="Calibri" w:hAnsi="Calibri"/>
                <w:color w:val="262626"/>
                <w:sz w:val="18"/>
              </w:rPr>
              <w:t xml:space="preserve">Administrative-streamlining concepts from the negotiation's technical rounds</w:t>
            </w:r>
          </w:p>
        </w:tc>
        <w:tc>
          <w:tcPr>
            <w:tcW w:w="4076" w:type="dxa"/>
            <w:vAlign w:val="top"/>
          </w:tcPr>
          <w:p>
            <w:pPr>
              <w:spacing w:before="20" w:after="20" w:line="276" w:lineRule="auto"/>
              <w:jc w:val="left"/>
            </w:pPr>
            <w:r>
              <w:rPr>
                <w:rFonts w:ascii="Calibri" w:hAnsi="Calibri"/>
                <w:color w:val="262626"/>
                <w:sz w:val="18"/>
              </w:rPr>
              <w:t xml:space="preserve">Predictable revenue without operational effect</w:t>
            </w:r>
          </w:p>
        </w:tc>
      </w:tr>
      <w:tr>
        <w:tc>
          <w:tcPr>
            <w:tcW w:w="2250" w:type="dxa"/>
            <w:vAlign w:val="top"/>
          </w:tcPr>
          <w:p>
            <w:pPr>
              <w:spacing w:before="20" w:after="20" w:line="276" w:lineRule="auto"/>
              <w:jc w:val="left"/>
            </w:pPr>
            <w:r>
              <w:rPr>
                <w:rFonts w:ascii="Calibri" w:hAnsi="Calibri"/>
                <w:color w:val="262626"/>
                <w:sz w:val="18"/>
              </w:rPr>
              <w:t xml:space="preserve">Environmental Assurance Registry (Art. 26)</w:t>
            </w:r>
          </w:p>
        </w:tc>
        <w:tc>
          <w:tcPr>
            <w:tcW w:w="2700" w:type="dxa"/>
            <w:vAlign w:val="top"/>
          </w:tcPr>
          <w:p>
            <w:pPr>
              <w:spacing w:before="20" w:after="20" w:line="276" w:lineRule="auto"/>
              <w:jc w:val="left"/>
            </w:pPr>
            <w:r>
              <w:rPr>
                <w:rFonts w:ascii="Calibri" w:hAnsi="Calibri"/>
                <w:color w:val="262626"/>
                <w:sz w:val="18"/>
              </w:rPr>
              <w:t xml:space="preserve">Iran's stated environmental protection rationale for charges</w:t>
            </w:r>
          </w:p>
        </w:tc>
        <w:tc>
          <w:tcPr>
            <w:tcW w:w="4076" w:type="dxa"/>
            <w:vAlign w:val="top"/>
          </w:tcPr>
          <w:p>
            <w:pPr>
              <w:spacing w:before="20" w:after="20" w:line="276" w:lineRule="auto"/>
              <w:jc w:val="left"/>
            </w:pPr>
            <w:r>
              <w:rPr>
                <w:rFonts w:ascii="Calibri" w:hAnsi="Calibri"/>
                <w:color w:val="262626"/>
                <w:sz w:val="18"/>
              </w:rPr>
              <w:t xml:space="preserve">Environmental readiness financed lawfully, with the deposit refundable</w:t>
            </w:r>
          </w:p>
        </w:tc>
      </w:tr>
      <w:tr>
        <w:tc>
          <w:tcPr>
            <w:tcW w:w="2250" w:type="dxa"/>
            <w:vAlign w:val="top"/>
          </w:tcPr>
          <w:p>
            <w:pPr>
              <w:spacing w:before="20" w:after="20" w:line="276" w:lineRule="auto"/>
              <w:jc w:val="left"/>
            </w:pPr>
            <w:r>
              <w:rPr>
                <w:rFonts w:ascii="Calibri" w:hAnsi="Calibri"/>
                <w:color w:val="262626"/>
                <w:sz w:val="18"/>
              </w:rPr>
              <w:t xml:space="preserve">Economic Bridge (Art. 27)</w:t>
            </w:r>
          </w:p>
        </w:tc>
        <w:tc>
          <w:tcPr>
            <w:tcW w:w="2700" w:type="dxa"/>
            <w:vAlign w:val="top"/>
          </w:tcPr>
          <w:p>
            <w:pPr>
              <w:spacing w:before="20" w:after="20" w:line="276" w:lineRule="auto"/>
              <w:jc w:val="left"/>
            </w:pPr>
            <w:r>
              <w:rPr>
                <w:rFonts w:ascii="Calibri" w:hAnsi="Calibri"/>
                <w:color w:val="262626"/>
                <w:sz w:val="18"/>
              </w:rPr>
              <w:t xml:space="preserve">Iran's negotiating demands on frozen assets and sanctions relief; the phased relief architecture of the June memorandum</w:t>
            </w:r>
          </w:p>
        </w:tc>
        <w:tc>
          <w:tcPr>
            <w:tcW w:w="4076" w:type="dxa"/>
            <w:vAlign w:val="top"/>
          </w:tcPr>
          <w:p>
            <w:pPr>
              <w:spacing w:before="20" w:after="20" w:line="276" w:lineRule="auto"/>
              <w:jc w:val="left"/>
            </w:pPr>
            <w:r>
              <w:rPr>
                <w:rFonts w:ascii="Calibri" w:hAnsi="Calibri"/>
                <w:color w:val="262626"/>
                <w:sz w:val="18"/>
              </w:rPr>
              <w:t xml:space="preserve">Performance-unlocked normalization on an automatic track</w:t>
            </w:r>
          </w:p>
        </w:tc>
      </w:tr>
      <w:tr>
        <w:tc>
          <w:tcPr>
            <w:tcW w:w="2250" w:type="dxa"/>
            <w:vAlign w:val="top"/>
          </w:tcPr>
          <w:p>
            <w:pPr>
              <w:spacing w:before="20" w:after="20" w:line="276" w:lineRule="auto"/>
              <w:jc w:val="left"/>
            </w:pPr>
            <w:r>
              <w:rPr>
                <w:rFonts w:ascii="Calibri" w:hAnsi="Calibri"/>
                <w:color w:val="262626"/>
                <w:sz w:val="18"/>
              </w:rPr>
              <w:t xml:space="preserve">Information Service (Art. 28)</w:t>
            </w:r>
          </w:p>
        </w:tc>
        <w:tc>
          <w:tcPr>
            <w:tcW w:w="2700" w:type="dxa"/>
            <w:vAlign w:val="top"/>
          </w:tcPr>
          <w:p>
            <w:pPr>
              <w:spacing w:before="20" w:after="20" w:line="276" w:lineRule="auto"/>
              <w:jc w:val="left"/>
            </w:pPr>
            <w:r>
              <w:rPr>
                <w:rFonts w:ascii="Calibri" w:hAnsi="Calibri"/>
                <w:color w:val="262626"/>
                <w:sz w:val="18"/>
              </w:rPr>
              <w:t xml:space="preserve">Technical-round concepts for monetizing transit data lawfully</w:t>
            </w:r>
          </w:p>
        </w:tc>
        <w:tc>
          <w:tcPr>
            <w:tcW w:w="4076" w:type="dxa"/>
            <w:vAlign w:val="top"/>
          </w:tcPr>
          <w:p>
            <w:pPr>
              <w:spacing w:before="20" w:after="20" w:line="276" w:lineRule="auto"/>
              <w:jc w:val="left"/>
            </w:pPr>
            <w:r>
              <w:rPr>
                <w:rFonts w:ascii="Calibri" w:hAnsi="Calibri"/>
                <w:color w:val="262626"/>
                <w:sz w:val="18"/>
              </w:rPr>
              <w:t xml:space="preserve">Revenue from transparency, never from passage</w:t>
            </w:r>
          </w:p>
        </w:tc>
      </w:tr>
      <w:tr>
        <w:tc>
          <w:tcPr>
            <w:tcW w:w="2250" w:type="dxa"/>
            <w:vAlign w:val="top"/>
          </w:tcPr>
          <w:p>
            <w:pPr>
              <w:spacing w:before="20" w:after="20" w:line="276" w:lineRule="auto"/>
              <w:jc w:val="left"/>
            </w:pPr>
            <w:r>
              <w:rPr>
                <w:rFonts w:ascii="Calibri" w:hAnsi="Calibri"/>
                <w:color w:val="262626"/>
                <w:sz w:val="18"/>
              </w:rPr>
              <w:t xml:space="preserve">Infrastructure Window (Art. 29)</w:t>
            </w:r>
          </w:p>
        </w:tc>
        <w:tc>
          <w:tcPr>
            <w:tcW w:w="2700" w:type="dxa"/>
            <w:vAlign w:val="top"/>
          </w:tcPr>
          <w:p>
            <w:pPr>
              <w:spacing w:before="20" w:after="20" w:line="276" w:lineRule="auto"/>
              <w:jc w:val="left"/>
            </w:pPr>
            <w:r>
              <w:rPr>
                <w:rFonts w:ascii="Calibri" w:hAnsi="Calibri"/>
                <w:color w:val="262626"/>
                <w:sz w:val="18"/>
              </w:rPr>
              <w:t xml:space="preserve">Regional reconstruction and development commitments of the June memorandum</w:t>
            </w:r>
          </w:p>
        </w:tc>
        <w:tc>
          <w:tcPr>
            <w:tcW w:w="4076" w:type="dxa"/>
            <w:vAlign w:val="top"/>
          </w:tcPr>
          <w:p>
            <w:pPr>
              <w:spacing w:before="20" w:after="20" w:line="276" w:lineRule="auto"/>
              <w:jc w:val="left"/>
            </w:pPr>
            <w:r>
              <w:rPr>
                <w:rFonts w:ascii="Calibri" w:hAnsi="Calibri"/>
                <w:color w:val="262626"/>
                <w:sz w:val="18"/>
              </w:rPr>
              <w:t xml:space="preserve">Long-term capital for the waterway's shared infrastructure</w:t>
            </w:r>
          </w:p>
        </w:tc>
      </w:tr>
      <w:tr>
        <w:tc>
          <w:tcPr>
            <w:tcW w:w="2250" w:type="dxa"/>
            <w:vAlign w:val="top"/>
          </w:tcPr>
          <w:p>
            <w:pPr>
              <w:spacing w:before="20" w:after="20" w:line="276" w:lineRule="auto"/>
              <w:jc w:val="left"/>
            </w:pPr>
            <w:r>
              <w:rPr>
                <w:rFonts w:ascii="Calibri" w:hAnsi="Calibri"/>
                <w:color w:val="262626"/>
                <w:sz w:val="18"/>
              </w:rPr>
              <w:t xml:space="preserve">Service Revenue Floor (Art. 30)</w:t>
            </w:r>
          </w:p>
        </w:tc>
        <w:tc>
          <w:tcPr>
            <w:tcW w:w="2700" w:type="dxa"/>
            <w:vAlign w:val="top"/>
          </w:tcPr>
          <w:p>
            <w:pPr>
              <w:spacing w:before="20" w:after="20" w:line="276" w:lineRule="auto"/>
              <w:jc w:val="left"/>
            </w:pPr>
            <w:r>
              <w:rPr>
                <w:rFonts w:ascii="Calibri" w:hAnsi="Calibri"/>
                <w:color w:val="262626"/>
                <w:sz w:val="18"/>
              </w:rPr>
              <w:t xml:space="preserve">The mediators' search for predictability in place of leverage</w:t>
            </w:r>
          </w:p>
        </w:tc>
        <w:tc>
          <w:tcPr>
            <w:tcW w:w="4076" w:type="dxa"/>
            <w:vAlign w:val="top"/>
          </w:tcPr>
          <w:p>
            <w:pPr>
              <w:spacing w:before="20" w:after="20" w:line="276" w:lineRule="auto"/>
              <w:jc w:val="left"/>
            </w:pPr>
            <w:r>
              <w:rPr>
                <w:rFonts w:ascii="Calibri" w:hAnsi="Calibri"/>
                <w:color w:val="262626"/>
                <w:sz w:val="18"/>
              </w:rPr>
              <w:t xml:space="preserve">Guaranteed minimum service revenue, decoupled from politics</w:t>
            </w:r>
          </w:p>
        </w:tc>
      </w:tr>
    </w:tbl>
    <w:p>
      <w:pPr>
        <w:spacing w:before="60" w:after="120"/>
      </w:pPr>
    </w:p>
    <w:p>
      <w:pPr>
        <w:pStyle w:val="Heading3"/>
      </w:pPr>
      <w:r>
        <w:rPr>
          <w:rFonts w:ascii="Cambria" w:hAnsi="Cambria"/>
          <w:color w:val="262626"/>
          <w:sz w:val="21"/>
        </w:rPr>
        <w:t xml:space="preserve">O.3 The Ten Candidate Solutions and Their Fate</w:t>
      </w:r>
    </w:p>
    <w:p>
      <w:pPr>
        <w:pStyle w:val="Normal"/>
      </w:pPr>
      <w:r>
        <w:rPr>
          <w:rFonts w:ascii="Cambria" w:hAnsi="Cambria"/>
          <w:color w:val="262626"/>
          <w:sz w:val="21"/>
        </w:rPr>
        <w:t xml:space="preserve">The negotiation's technical rounds produced ten candidate fee mechanisms. The settlement absorbs them as follows: the voluntary safety contribution and the environmental bond concepts live in Articles 24 and 26; the prepaid pass and service bundling concepts live in Articles 25 and Annex D; the pilotage mandate concept lives in Article 12.2 and the Catalog; the asset release linkage lives in Article 27; the international cost-recovery concept lives in Article 23 with the Fund as collector instead of any single state; the data marketplace concept lives in Article 28; the infrastructure bond concept lives in Article 29; and the in-kind service swap concept lives in the capacity account of Annex C. Every candidate survives in lawful form; none survives as a charge on passage.</w:t>
      </w:r>
    </w:p>
    <w:p>
      <w:pPr>
        <w:pStyle w:val="Heading2"/>
      </w:pPr>
      <w:r>
        <w:rPr>
          <w:rFonts w:ascii="Cambria" w:hAnsi="Cambria"/>
          <w:color w:val="262626"/>
          <w:sz w:val="21"/>
        </w:rPr>
        <w:t xml:space="preserve">Annex P: The Risk Register and Spoiler Management</w:t>
      </w:r>
      <w:bookmarkStart w:id="585" w:name="_Toc26010086"/>
      <w:bookmarkEnd w:id="585"/>
    </w:p>
    <w:p>
      <w:pPr>
        <w:pStyle w:val="Heading3"/>
      </w:pPr>
      <w:r>
        <w:rPr>
          <w:rFonts w:ascii="Cambria" w:hAnsi="Cambria"/>
          <w:color w:val="262626"/>
          <w:sz w:val="21"/>
        </w:rPr>
        <w:t xml:space="preserve">P.1 The Register</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250"/>
        <w:gridCol w:w="2700"/>
        <w:gridCol w:w="4076"/>
      </w:tblGrid>
      <w:tr>
        <w:trPr>
          <w:tblHeader/>
        </w:trPr>
        <w:tc>
          <w:tcPr>
            <w:tcW w:w="2250" w:type="dxa"/>
            <w:shd w:val="clear" w:fill="E9F1F3"/>
            <w:vAlign w:val="top"/>
          </w:tcPr>
          <w:p>
            <w:pPr>
              <w:spacing w:before="20" w:after="20" w:line="276" w:lineRule="auto"/>
              <w:jc w:val="left"/>
            </w:pPr>
            <w:r>
              <w:rPr>
                <w:rFonts w:ascii="Calibri" w:hAnsi="Calibri"/>
                <w:b/>
                <w:color w:val="16404E"/>
                <w:sz w:val="19"/>
              </w:rPr>
              <w:t xml:space="preserve">Risk</w:t>
            </w:r>
          </w:p>
        </w:tc>
        <w:tc>
          <w:tcPr>
            <w:tcW w:w="2700" w:type="dxa"/>
            <w:shd w:val="clear" w:fill="E9F1F3"/>
            <w:vAlign w:val="top"/>
          </w:tcPr>
          <w:p>
            <w:pPr>
              <w:spacing w:before="20" w:after="20" w:line="276" w:lineRule="auto"/>
              <w:jc w:val="left"/>
            </w:pPr>
            <w:r>
              <w:rPr>
                <w:rFonts w:ascii="Calibri" w:hAnsi="Calibri"/>
                <w:b/>
                <w:color w:val="16404E"/>
                <w:sz w:val="19"/>
              </w:rPr>
              <w:t xml:space="preserve">Early Indicator</w:t>
            </w:r>
          </w:p>
        </w:tc>
        <w:tc>
          <w:tcPr>
            <w:tcW w:w="4076" w:type="dxa"/>
            <w:shd w:val="clear" w:fill="E9F1F3"/>
            <w:vAlign w:val="top"/>
          </w:tcPr>
          <w:p>
            <w:pPr>
              <w:spacing w:before="20" w:after="20" w:line="276" w:lineRule="auto"/>
              <w:jc w:val="left"/>
            </w:pPr>
            <w:r>
              <w:rPr>
                <w:rFonts w:ascii="Calibri" w:hAnsi="Calibri"/>
                <w:b/>
                <w:color w:val="16404E"/>
                <w:sz w:val="19"/>
              </w:rPr>
              <w:t xml:space="preserve">Architecture's Answer</w:t>
            </w:r>
          </w:p>
        </w:tc>
      </w:tr>
      <w:tr>
        <w:tc>
          <w:tcPr>
            <w:tcW w:w="2250" w:type="dxa"/>
            <w:vAlign w:val="top"/>
          </w:tcPr>
          <w:p>
            <w:pPr>
              <w:spacing w:before="20" w:after="20" w:line="276" w:lineRule="auto"/>
              <w:jc w:val="left"/>
            </w:pPr>
            <w:r>
              <w:rPr>
                <w:rFonts w:ascii="Calibri" w:hAnsi="Calibri"/>
                <w:color w:val="262626"/>
                <w:sz w:val="18"/>
              </w:rPr>
              <w:t xml:space="preserve">Clearance delays beyond Phase One</w:t>
            </w:r>
          </w:p>
        </w:tc>
        <w:tc>
          <w:tcPr>
            <w:tcW w:w="2700" w:type="dxa"/>
            <w:vAlign w:val="top"/>
          </w:tcPr>
          <w:p>
            <w:pPr>
              <w:spacing w:before="20" w:after="20" w:line="276" w:lineRule="auto"/>
              <w:jc w:val="left"/>
            </w:pPr>
            <w:r>
              <w:rPr>
                <w:rFonts w:ascii="Calibri" w:hAnsi="Calibri"/>
                <w:color w:val="262626"/>
                <w:sz w:val="18"/>
              </w:rPr>
              <w:t xml:space="preserve">Unit's daily hazard register</w:t>
            </w:r>
          </w:p>
        </w:tc>
        <w:tc>
          <w:tcPr>
            <w:tcW w:w="4076" w:type="dxa"/>
            <w:vAlign w:val="top"/>
          </w:tcPr>
          <w:p>
            <w:pPr>
              <w:spacing w:before="20" w:after="20" w:line="276" w:lineRule="auto"/>
              <w:jc w:val="left"/>
            </w:pPr>
            <w:r>
              <w:rPr>
                <w:rFonts w:ascii="Calibri" w:hAnsi="Calibri"/>
                <w:color w:val="262626"/>
                <w:sz w:val="18"/>
              </w:rPr>
              <w:t xml:space="preserve">Sequenced opening; central lane first; certification before any commercial opening</w:t>
            </w:r>
          </w:p>
        </w:tc>
      </w:tr>
      <w:tr>
        <w:tc>
          <w:tcPr>
            <w:tcW w:w="2250" w:type="dxa"/>
            <w:vAlign w:val="top"/>
          </w:tcPr>
          <w:p>
            <w:pPr>
              <w:spacing w:before="20" w:after="20" w:line="276" w:lineRule="auto"/>
              <w:jc w:val="left"/>
            </w:pPr>
            <w:r>
              <w:rPr>
                <w:rFonts w:ascii="Calibri" w:hAnsi="Calibri"/>
                <w:color w:val="262626"/>
                <w:sz w:val="18"/>
              </w:rPr>
              <w:t xml:space="preserve">Insurance hesitancy persists</w:t>
            </w:r>
          </w:p>
        </w:tc>
        <w:tc>
          <w:tcPr>
            <w:tcW w:w="2700" w:type="dxa"/>
            <w:vAlign w:val="top"/>
          </w:tcPr>
          <w:p>
            <w:pPr>
              <w:spacing w:before="20" w:after="20" w:line="276" w:lineRule="auto"/>
              <w:jc w:val="left"/>
            </w:pPr>
            <w:r>
              <w:rPr>
                <w:rFonts w:ascii="Calibri" w:hAnsi="Calibri"/>
                <w:color w:val="262626"/>
                <w:sz w:val="18"/>
              </w:rPr>
              <w:t xml:space="preserve">Premium tracker of Article 42</w:t>
            </w:r>
          </w:p>
        </w:tc>
        <w:tc>
          <w:tcPr>
            <w:tcW w:w="4076" w:type="dxa"/>
            <w:vAlign w:val="top"/>
          </w:tcPr>
          <w:p>
            <w:pPr>
              <w:spacing w:before="20" w:after="20" w:line="276" w:lineRule="auto"/>
              <w:jc w:val="left"/>
            </w:pPr>
            <w:r>
              <w:rPr>
                <w:rFonts w:ascii="Calibri" w:hAnsi="Calibri"/>
                <w:color w:val="262626"/>
                <w:sz w:val="18"/>
              </w:rPr>
              <w:t xml:space="preserve">Verified evidence packs; the premium ladder; compensation window backstop</w:t>
            </w:r>
          </w:p>
        </w:tc>
      </w:tr>
      <w:tr>
        <w:tc>
          <w:tcPr>
            <w:tcW w:w="2250" w:type="dxa"/>
            <w:vAlign w:val="top"/>
          </w:tcPr>
          <w:p>
            <w:pPr>
              <w:spacing w:before="20" w:after="20" w:line="276" w:lineRule="auto"/>
              <w:jc w:val="left"/>
            </w:pPr>
            <w:r>
              <w:rPr>
                <w:rFonts w:ascii="Calibri" w:hAnsi="Calibri"/>
                <w:color w:val="262626"/>
                <w:sz w:val="18"/>
              </w:rPr>
              <w:t xml:space="preserve">Domestic legislation advances a fee measure</w:t>
            </w:r>
          </w:p>
        </w:tc>
        <w:tc>
          <w:tcPr>
            <w:tcW w:w="2700" w:type="dxa"/>
            <w:vAlign w:val="top"/>
          </w:tcPr>
          <w:p>
            <w:pPr>
              <w:spacing w:before="20" w:after="20" w:line="276" w:lineRule="auto"/>
              <w:jc w:val="left"/>
            </w:pPr>
            <w:r>
              <w:rPr>
                <w:rFonts w:ascii="Calibri" w:hAnsi="Calibri"/>
                <w:color w:val="262626"/>
                <w:sz w:val="18"/>
              </w:rPr>
              <w:t xml:space="preserve">Reconciliation notice</w:t>
            </w:r>
          </w:p>
        </w:tc>
        <w:tc>
          <w:tcPr>
            <w:tcW w:w="4076" w:type="dxa"/>
            <w:vAlign w:val="top"/>
          </w:tcPr>
          <w:p>
            <w:pPr>
              <w:spacing w:before="20" w:after="20" w:line="276" w:lineRule="auto"/>
              <w:jc w:val="left"/>
            </w:pPr>
            <w:r>
              <w:rPr>
                <w:rFonts w:ascii="Calibri" w:hAnsi="Calibri"/>
                <w:color w:val="262626"/>
                <w:sz w:val="18"/>
              </w:rPr>
              <w:t xml:space="preserve">Legislative Reconciliation Channel, Article 21; operations untouched</w:t>
            </w:r>
          </w:p>
        </w:tc>
      </w:tr>
      <w:tr>
        <w:tc>
          <w:tcPr>
            <w:tcW w:w="2250" w:type="dxa"/>
            <w:vAlign w:val="top"/>
          </w:tcPr>
          <w:p>
            <w:pPr>
              <w:spacing w:before="20" w:after="20" w:line="276" w:lineRule="auto"/>
              <w:jc w:val="left"/>
            </w:pPr>
            <w:r>
              <w:rPr>
                <w:rFonts w:ascii="Calibri" w:hAnsi="Calibri"/>
                <w:color w:val="262626"/>
                <w:sz w:val="18"/>
              </w:rPr>
              <w:t xml:space="preserve">Fee pressure at the close of the first period</w:t>
            </w:r>
          </w:p>
        </w:tc>
        <w:tc>
          <w:tcPr>
            <w:tcW w:w="2700" w:type="dxa"/>
            <w:vAlign w:val="top"/>
          </w:tcPr>
          <w:p>
            <w:pPr>
              <w:spacing w:before="20" w:after="20" w:line="276" w:lineRule="auto"/>
              <w:jc w:val="left"/>
            </w:pPr>
            <w:r>
              <w:rPr>
                <w:rFonts w:ascii="Calibri" w:hAnsi="Calibri"/>
                <w:color w:val="262626"/>
                <w:sz w:val="18"/>
              </w:rPr>
              <w:t xml:space="preserve">Public statements tracked by the facilitation tier</w:t>
            </w:r>
          </w:p>
        </w:tc>
        <w:tc>
          <w:tcPr>
            <w:tcW w:w="4076" w:type="dxa"/>
            <w:vAlign w:val="top"/>
          </w:tcPr>
          <w:p>
            <w:pPr>
              <w:spacing w:before="20" w:after="20" w:line="276" w:lineRule="auto"/>
              <w:jc w:val="left"/>
            </w:pPr>
            <w:r>
              <w:rPr>
                <w:rFonts w:ascii="Calibri" w:hAnsi="Calibri"/>
                <w:color w:val="262626"/>
                <w:sz w:val="18"/>
              </w:rPr>
              <w:t xml:space="preserve">The full Part IV settlement live before Day 60; revenue floor and first settlements published</w:t>
            </w:r>
          </w:p>
        </w:tc>
      </w:tr>
      <w:tr>
        <w:tc>
          <w:tcPr>
            <w:tcW w:w="2250" w:type="dxa"/>
            <w:vAlign w:val="top"/>
          </w:tcPr>
          <w:p>
            <w:pPr>
              <w:spacing w:before="20" w:after="20" w:line="276" w:lineRule="auto"/>
              <w:jc w:val="left"/>
            </w:pPr>
            <w:r>
              <w:rPr>
                <w:rFonts w:ascii="Calibri" w:hAnsi="Calibri"/>
                <w:color w:val="262626"/>
                <w:sz w:val="18"/>
              </w:rPr>
              <w:t xml:space="preserve">Accidental military incident</w:t>
            </w:r>
          </w:p>
        </w:tc>
        <w:tc>
          <w:tcPr>
            <w:tcW w:w="2700" w:type="dxa"/>
            <w:vAlign w:val="top"/>
          </w:tcPr>
          <w:p>
            <w:pPr>
              <w:spacing w:before="20" w:after="20" w:line="276" w:lineRule="auto"/>
              <w:jc w:val="left"/>
            </w:pPr>
            <w:r>
              <w:rPr>
                <w:rFonts w:ascii="Calibri" w:hAnsi="Calibri"/>
                <w:color w:val="262626"/>
                <w:sz w:val="18"/>
              </w:rPr>
              <w:t xml:space="preserve">Security channel traffic</w:t>
            </w:r>
          </w:p>
        </w:tc>
        <w:tc>
          <w:tcPr>
            <w:tcW w:w="4076" w:type="dxa"/>
            <w:vAlign w:val="top"/>
          </w:tcPr>
          <w:p>
            <w:pPr>
              <w:spacing w:before="20" w:after="20" w:line="276" w:lineRule="auto"/>
              <w:jc w:val="left"/>
            </w:pPr>
            <w:r>
              <w:rPr>
                <w:rFonts w:ascii="Calibri" w:hAnsi="Calibri"/>
                <w:color w:val="262626"/>
                <w:sz w:val="18"/>
              </w:rPr>
              <w:t xml:space="preserve">Standoff geometry; forty-eight-hour notice culture; Brake with no fault presumption</w:t>
            </w:r>
          </w:p>
        </w:tc>
      </w:tr>
      <w:tr>
        <w:tc>
          <w:tcPr>
            <w:tcW w:w="2250" w:type="dxa"/>
            <w:vAlign w:val="top"/>
          </w:tcPr>
          <w:p>
            <w:pPr>
              <w:spacing w:before="20" w:after="20" w:line="276" w:lineRule="auto"/>
              <w:jc w:val="left"/>
            </w:pPr>
            <w:r>
              <w:rPr>
                <w:rFonts w:ascii="Calibri" w:hAnsi="Calibri"/>
                <w:color w:val="262626"/>
                <w:sz w:val="18"/>
              </w:rPr>
              <w:t xml:space="preserve">Congestion from the stranded backlog</w:t>
            </w:r>
          </w:p>
        </w:tc>
        <w:tc>
          <w:tcPr>
            <w:tcW w:w="2700" w:type="dxa"/>
            <w:vAlign w:val="top"/>
          </w:tcPr>
          <w:p>
            <w:pPr>
              <w:spacing w:before="20" w:after="20" w:line="276" w:lineRule="auto"/>
              <w:jc w:val="left"/>
            </w:pPr>
            <w:r>
              <w:rPr>
                <w:rFonts w:ascii="Calibri" w:hAnsi="Calibri"/>
                <w:color w:val="262626"/>
                <w:sz w:val="18"/>
              </w:rPr>
              <w:t xml:space="preserve">Queue metrics</w:t>
            </w:r>
          </w:p>
        </w:tc>
        <w:tc>
          <w:tcPr>
            <w:tcW w:w="4076" w:type="dxa"/>
            <w:vAlign w:val="top"/>
          </w:tcPr>
          <w:p>
            <w:pPr>
              <w:spacing w:before="20" w:after="20" w:line="276" w:lineRule="auto"/>
              <w:jc w:val="left"/>
            </w:pPr>
            <w:r>
              <w:rPr>
                <w:rFonts w:ascii="Calibri" w:hAnsi="Calibri"/>
                <w:color w:val="262626"/>
                <w:sz w:val="18"/>
              </w:rPr>
              <w:t xml:space="preserve">Priority classes; staggered schedule; transparent queue</w:t>
            </w:r>
          </w:p>
        </w:tc>
      </w:tr>
      <w:tr>
        <w:tc>
          <w:tcPr>
            <w:tcW w:w="2250" w:type="dxa"/>
            <w:vAlign w:val="top"/>
          </w:tcPr>
          <w:p>
            <w:pPr>
              <w:spacing w:before="20" w:after="20" w:line="276" w:lineRule="auto"/>
              <w:jc w:val="left"/>
            </w:pPr>
            <w:r>
              <w:rPr>
                <w:rFonts w:ascii="Calibri" w:hAnsi="Calibri"/>
                <w:color w:val="262626"/>
                <w:sz w:val="18"/>
              </w:rPr>
              <w:t xml:space="preserve">Data dispute escalates politically</w:t>
            </w:r>
          </w:p>
        </w:tc>
        <w:tc>
          <w:tcPr>
            <w:tcW w:w="2700" w:type="dxa"/>
            <w:vAlign w:val="top"/>
          </w:tcPr>
          <w:p>
            <w:pPr>
              <w:spacing w:before="20" w:after="20" w:line="276" w:lineRule="auto"/>
              <w:jc w:val="left"/>
            </w:pPr>
            <w:r>
              <w:rPr>
                <w:rFonts w:ascii="Calibri" w:hAnsi="Calibri"/>
                <w:color w:val="262626"/>
                <w:sz w:val="18"/>
              </w:rPr>
              <w:t xml:space="preserve">Objection log frequency</w:t>
            </w:r>
          </w:p>
        </w:tc>
        <w:tc>
          <w:tcPr>
            <w:tcW w:w="4076" w:type="dxa"/>
            <w:vAlign w:val="top"/>
          </w:tcPr>
          <w:p>
            <w:pPr>
              <w:spacing w:before="20" w:after="20" w:line="276" w:lineRule="auto"/>
              <w:jc w:val="left"/>
            </w:pPr>
            <w:r>
              <w:rPr>
                <w:rFonts w:ascii="Calibri" w:hAnsi="Calibri"/>
                <w:color w:val="262626"/>
                <w:sz w:val="18"/>
              </w:rPr>
              <w:t xml:space="preserve">Seventy-two-hour technical arbitration; facts separated from law</w:t>
            </w:r>
          </w:p>
        </w:tc>
      </w:tr>
      <w:tr>
        <w:tc>
          <w:tcPr>
            <w:tcW w:w="2250" w:type="dxa"/>
            <w:vAlign w:val="top"/>
          </w:tcPr>
          <w:p>
            <w:pPr>
              <w:spacing w:before="20" w:after="20" w:line="276" w:lineRule="auto"/>
              <w:jc w:val="left"/>
            </w:pPr>
            <w:r>
              <w:rPr>
                <w:rFonts w:ascii="Calibri" w:hAnsi="Calibri"/>
                <w:color w:val="262626"/>
                <w:sz w:val="18"/>
              </w:rPr>
              <w:t xml:space="preserve">Spoiler faction spreads conflicting signals</w:t>
            </w:r>
          </w:p>
        </w:tc>
        <w:tc>
          <w:tcPr>
            <w:tcW w:w="2700" w:type="dxa"/>
            <w:vAlign w:val="top"/>
          </w:tcPr>
          <w:p>
            <w:pPr>
              <w:spacing w:before="20" w:after="20" w:line="276" w:lineRule="auto"/>
              <w:jc w:val="left"/>
            </w:pPr>
            <w:r>
              <w:rPr>
                <w:rFonts w:ascii="Calibri" w:hAnsi="Calibri"/>
                <w:color w:val="262626"/>
                <w:sz w:val="18"/>
              </w:rPr>
              <w:t xml:space="preserve">Narrative tracking</w:t>
            </w:r>
          </w:p>
        </w:tc>
        <w:tc>
          <w:tcPr>
            <w:tcW w:w="4076" w:type="dxa"/>
            <w:vAlign w:val="top"/>
          </w:tcPr>
          <w:p>
            <w:pPr>
              <w:spacing w:before="20" w:after="20" w:line="276" w:lineRule="auto"/>
              <w:jc w:val="left"/>
            </w:pPr>
            <w:r>
              <w:rPr>
                <w:rFonts w:ascii="Calibri" w:hAnsi="Calibri"/>
                <w:color w:val="262626"/>
                <w:sz w:val="18"/>
              </w:rPr>
              <w:t xml:space="preserve">Narrative Symmetry Protocol; single public reference text; symmetry notes</w:t>
            </w:r>
          </w:p>
        </w:tc>
      </w:tr>
      <w:tr>
        <w:tc>
          <w:tcPr>
            <w:tcW w:w="2250" w:type="dxa"/>
            <w:vAlign w:val="top"/>
          </w:tcPr>
          <w:p>
            <w:pPr>
              <w:spacing w:before="20" w:after="20" w:line="276" w:lineRule="auto"/>
              <w:jc w:val="left"/>
            </w:pPr>
            <w:r>
              <w:rPr>
                <w:rFonts w:ascii="Calibri" w:hAnsi="Calibri"/>
                <w:color w:val="262626"/>
                <w:sz w:val="18"/>
              </w:rPr>
              <w:t xml:space="preserve">A party pauses the arrangement</w:t>
            </w:r>
          </w:p>
        </w:tc>
        <w:tc>
          <w:tcPr>
            <w:tcW w:w="2700" w:type="dxa"/>
            <w:vAlign w:val="top"/>
          </w:tcPr>
          <w:p>
            <w:pPr>
              <w:spacing w:before="20" w:after="20" w:line="276" w:lineRule="auto"/>
              <w:jc w:val="left"/>
            </w:pPr>
            <w:r>
              <w:rPr>
                <w:rFonts w:ascii="Calibri" w:hAnsi="Calibri"/>
                <w:color w:val="262626"/>
                <w:sz w:val="18"/>
              </w:rPr>
              <w:t xml:space="preserve">Brake notice</w:t>
            </w:r>
          </w:p>
        </w:tc>
        <w:tc>
          <w:tcPr>
            <w:tcW w:w="4076" w:type="dxa"/>
            <w:vAlign w:val="top"/>
          </w:tcPr>
          <w:p>
            <w:pPr>
              <w:spacing w:before="20" w:after="20" w:line="276" w:lineRule="auto"/>
              <w:jc w:val="left"/>
            </w:pPr>
            <w:r>
              <w:rPr>
                <w:rFonts w:ascii="Calibri" w:hAnsi="Calibri"/>
                <w:color w:val="262626"/>
                <w:sz w:val="18"/>
              </w:rPr>
              <w:t xml:space="preserve">Thirty-day cooling-off; four functions never pause; facilitation within forty-eight hours</w:t>
            </w:r>
          </w:p>
        </w:tc>
      </w:tr>
      <w:tr>
        <w:tc>
          <w:tcPr>
            <w:tcW w:w="2250" w:type="dxa"/>
            <w:vAlign w:val="top"/>
          </w:tcPr>
          <w:p>
            <w:pPr>
              <w:spacing w:before="20" w:after="20" w:line="276" w:lineRule="auto"/>
              <w:jc w:val="left"/>
            </w:pPr>
            <w:r>
              <w:rPr>
                <w:rFonts w:ascii="Calibri" w:hAnsi="Calibri"/>
                <w:color w:val="262626"/>
                <w:sz w:val="18"/>
              </w:rPr>
              <w:t xml:space="preserve">Regional escalation elsewhere</w:t>
            </w:r>
          </w:p>
        </w:tc>
        <w:tc>
          <w:tcPr>
            <w:tcW w:w="2700" w:type="dxa"/>
            <w:vAlign w:val="top"/>
          </w:tcPr>
          <w:p>
            <w:pPr>
              <w:spacing w:before="20" w:after="20" w:line="276" w:lineRule="auto"/>
              <w:jc w:val="left"/>
            </w:pPr>
            <w:r>
              <w:rPr>
                <w:rFonts w:ascii="Calibri" w:hAnsi="Calibri"/>
                <w:color w:val="262626"/>
                <w:sz w:val="18"/>
              </w:rPr>
              <w:t xml:space="preserve">Political channel references</w:t>
            </w:r>
          </w:p>
        </w:tc>
        <w:tc>
          <w:tcPr>
            <w:tcW w:w="4076" w:type="dxa"/>
            <w:vAlign w:val="top"/>
          </w:tcPr>
          <w:p>
            <w:pPr>
              <w:spacing w:before="20" w:after="20" w:line="276" w:lineRule="auto"/>
              <w:jc w:val="left"/>
            </w:pPr>
            <w:r>
              <w:rPr>
                <w:rFonts w:ascii="Calibri" w:hAnsi="Calibri"/>
                <w:color w:val="262626"/>
                <w:sz w:val="18"/>
              </w:rPr>
              <w:t xml:space="preserve">Protection Covenant; Separated Tracks Rule</w:t>
            </w:r>
          </w:p>
        </w:tc>
      </w:tr>
    </w:tbl>
    <w:p>
      <w:pPr>
        <w:spacing w:before="60" w:after="120"/>
      </w:pPr>
    </w:p>
    <w:p>
      <w:pPr>
        <w:pStyle w:val="Heading3"/>
      </w:pPr>
      <w:r>
        <w:rPr>
          <w:rFonts w:ascii="Cambria" w:hAnsi="Cambria"/>
          <w:color w:val="262626"/>
          <w:sz w:val="21"/>
        </w:rPr>
        <w:t xml:space="preserve">P.2 Spoiler Management Method</w:t>
      </w:r>
    </w:p>
    <w:p>
      <w:pPr>
        <w:pStyle w:val="Normal"/>
      </w:pPr>
      <w:r>
        <w:rPr>
          <w:rFonts w:ascii="Cambria" w:hAnsi="Cambria"/>
          <w:color w:val="262626"/>
          <w:sz w:val="21"/>
        </w:rPr>
        <w:t xml:space="preserve">The architecture assumes spoilers. It therefore holds three properties: every critical function runs on default continuity rather than on daily consent; every fact lives in neutral custody rather than in national press offices; and every party's red lines stand guarded by the framework rather than by that party's forbearance. A spoiler's strongest move, the manufactured ambiguity, dies against the custody record, and its second strongest, the deadline cliff, dies against Article 53.3's unlimited cooling-off extensions.</w:t>
      </w:r>
    </w:p>
    <w:p>
      <w:pPr>
        <w:pStyle w:val="Heading3"/>
      </w:pPr>
      <w:r>
        <w:rPr>
          <w:rFonts w:ascii="Cambria" w:hAnsi="Cambria"/>
          <w:color w:val="262626"/>
          <w:sz w:val="21"/>
        </w:rPr>
        <w:t xml:space="preserve">P.3 Review</w:t>
      </w:r>
    </w:p>
    <w:p>
      <w:pPr>
        <w:pStyle w:val="Normal"/>
      </w:pPr>
      <w:r>
        <w:rPr>
          <w:rFonts w:ascii="Cambria" w:hAnsi="Cambria"/>
          <w:color w:val="262626"/>
          <w:sz w:val="21"/>
        </w:rPr>
        <w:t xml:space="preserve">The Council reviews this register quarterly, adds emerging risks on any party's proposal, and publishes the updated register with the confidence reports.</w:t>
      </w:r>
    </w:p>
    <w:p>
      <w:pPr>
        <w:pStyle w:val="Heading2"/>
      </w:pPr>
      <w:r>
        <w:rPr>
          <w:rFonts w:ascii="Cambria" w:hAnsi="Cambria"/>
          <w:color w:val="262626"/>
          <w:sz w:val="21"/>
        </w:rPr>
        <w:t xml:space="preserve">Annex Q: Stress-Test Scenarios</w:t>
      </w:r>
      <w:bookmarkStart w:id="586" w:name="_Toc26010087"/>
      <w:bookmarkEnd w:id="586"/>
    </w:p>
    <w:p>
      <w:pPr>
        <w:pStyle w:val="Heading3"/>
      </w:pPr>
      <w:r>
        <w:rPr>
          <w:rFonts w:ascii="Cambria" w:hAnsi="Cambria"/>
          <w:color w:val="262626"/>
          <w:sz w:val="21"/>
        </w:rPr>
        <w:t xml:space="preserve">Q.1 Method</w:t>
      </w:r>
    </w:p>
    <w:p>
      <w:pPr>
        <w:pStyle w:val="Normal"/>
      </w:pPr>
      <w:r>
        <w:rPr>
          <w:rFonts w:ascii="Cambria" w:hAnsi="Cambria"/>
          <w:color w:val="262626"/>
          <w:sz w:val="21"/>
        </w:rPr>
        <w:t xml:space="preserve">The system stress-tests annually against the scenarios of this Annex, and the Secretariat publishes the test record: the scenario, the timeline the architecture produces, the functions that hold, and the improvements adopted. The scenarios are hypothetical planning instruments, not predictions.</w:t>
      </w:r>
    </w:p>
    <w:p>
      <w:pPr>
        <w:pStyle w:val="Heading3"/>
      </w:pPr>
      <w:r>
        <w:rPr>
          <w:rFonts w:ascii="Cambria" w:hAnsi="Cambria"/>
          <w:color w:val="262626"/>
          <w:sz w:val="21"/>
        </w:rPr>
        <w:t xml:space="preserve">Q.2 Scenario One: A Vessel Strike in a Coastal Lane</w:t>
      </w:r>
    </w:p>
    <w:p>
      <w:pPr>
        <w:pStyle w:val="Normal"/>
      </w:pPr>
      <w:r>
        <w:rPr>
          <w:rFonts w:ascii="Cambria" w:hAnsi="Cambria"/>
          <w:color w:val="262626"/>
          <w:sz w:val="21"/>
        </w:rPr>
        <w:t xml:space="preserve">A commercial vessel suffers a strike in a coastal lane during a regional spike. The system responds: distress absolute activates; the incident tiers classify; the affected lane moves to Restricted while the other two lanes absorb traffic on the fallback procedures; the Brake triggers on request with four functions running; the technical panel rules on the facts within seventy-two hours; the compensation window pays certified losses; and restoration proceeds on verified clearance. The test verifies: no total closure occurs, and the record never becomes contested property.</w:t>
      </w:r>
    </w:p>
    <w:p>
      <w:pPr>
        <w:pStyle w:val="Heading3"/>
      </w:pPr>
      <w:r>
        <w:rPr>
          <w:rFonts w:ascii="Cambria" w:hAnsi="Cambria"/>
          <w:color w:val="262626"/>
          <w:sz w:val="21"/>
        </w:rPr>
        <w:t xml:space="preserve">Q.3 Scenario Two: A Domestic Fee Law Advances</w:t>
      </w:r>
    </w:p>
    <w:p>
      <w:pPr>
        <w:pStyle w:val="Normal"/>
      </w:pPr>
      <w:r>
        <w:rPr>
          <w:rFonts w:ascii="Cambria" w:hAnsi="Cambria"/>
          <w:color w:val="262626"/>
          <w:sz w:val="21"/>
        </w:rPr>
        <w:t xml:space="preserve">A legislature advances a passage-fee measure. The system responds: the Covenant governs the water; the reconciliation channel opens; the ninety-day process runs; operations continue identically; and the public reporting notes the status. The test verifies: legislation never touches the water, and the channel closes in an agreed reading.</w:t>
      </w:r>
    </w:p>
    <w:p>
      <w:pPr>
        <w:pStyle w:val="Heading3"/>
      </w:pPr>
      <w:r>
        <w:rPr>
          <w:rFonts w:ascii="Cambria" w:hAnsi="Cambria"/>
          <w:color w:val="262626"/>
          <w:sz w:val="21"/>
        </w:rPr>
        <w:t xml:space="preserve">Q.4 Scenario Three: A Cyber Event Degrades the Tracking Layer</w:t>
      </w:r>
    </w:p>
    <w:p>
      <w:pPr>
        <w:pStyle w:val="Normal"/>
      </w:pPr>
      <w:r>
        <w:rPr>
          <w:rFonts w:ascii="Cambria" w:hAnsi="Cambria"/>
          <w:color w:val="262626"/>
          <w:sz w:val="21"/>
        </w:rPr>
        <w:t xml:space="preserve">A cyber incident degrades satellite-validated tracking. The system responds: the response runbook isolates the affected tier; traffic continues on voice and visual fallback; the Cell's human layer becomes the primary record temporarily; restoration follows the fourteen-day report. The test verifies: no corridor closes, and the integrity alarms reach every party simultaneously.</w:t>
      </w:r>
    </w:p>
    <w:p>
      <w:pPr>
        <w:pStyle w:val="Heading3"/>
      </w:pPr>
      <w:r>
        <w:rPr>
          <w:rFonts w:ascii="Cambria" w:hAnsi="Cambria"/>
          <w:color w:val="262626"/>
          <w:sz w:val="21"/>
        </w:rPr>
        <w:t xml:space="preserve">Q.5 Scenario Four: A Voluntary Channel Underperforms</w:t>
      </w:r>
    </w:p>
    <w:p>
      <w:pPr>
        <w:pStyle w:val="Normal"/>
      </w:pPr>
      <w:r>
        <w:rPr>
          <w:rFonts w:ascii="Cambria" w:hAnsi="Cambria"/>
          <w:color w:val="262626"/>
          <w:sz w:val="21"/>
        </w:rPr>
        <w:t xml:space="preserve">Industry contributions fall below the year's planning figure. The system responds: the budget's default rule holds institutional funding; the floor tops up the Coastal Parties; the board reviews the suggested scale against the market; and no operational parameter changes. The test verifies: revenue volatility never becomes service volatility.</w:t>
      </w:r>
    </w:p>
    <w:p>
      <w:pPr>
        <w:pStyle w:val="Heading3"/>
      </w:pPr>
      <w:r>
        <w:rPr>
          <w:rFonts w:ascii="Cambria" w:hAnsi="Cambria"/>
          <w:color w:val="262626"/>
          <w:sz w:val="21"/>
        </w:rPr>
        <w:t xml:space="preserve">Q.6 Scenario Five: Two Consecutive Brakes</w:t>
      </w:r>
    </w:p>
    <w:p>
      <w:pPr>
        <w:pStyle w:val="Normal"/>
      </w:pPr>
      <w:r>
        <w:rPr>
          <w:rFonts w:ascii="Cambria" w:hAnsi="Cambria"/>
          <w:color w:val="262626"/>
          <w:sz w:val="21"/>
        </w:rPr>
        <w:t xml:space="preserve">Two pauses arrive within one hundred and eighty days. The system responds: the review conference convenes early; the four never-pause functions sustain safety and the record; the facilitation tier works continuously; and the cooling-off extensions prevent any procedural cliff. The test verifies: the system bends and returns, and never breaks silently.</w:t>
      </w:r>
    </w:p>
    <w:p>
      <w:pPr>
        <w:pStyle w:val="Heading2"/>
      </w:pPr>
      <w:r>
        <w:rPr>
          <w:rFonts w:ascii="Cambria" w:hAnsi="Cambria"/>
          <w:color w:val="262626"/>
          <w:sz w:val="21"/>
        </w:rPr>
        <w:t xml:space="preserve">Annex R: Performance Metrics and Publication Schedule</w:t>
      </w:r>
      <w:bookmarkStart w:id="587" w:name="_Toc26010088"/>
      <w:bookmarkEnd w:id="587"/>
    </w:p>
    <w:p>
      <w:pPr>
        <w:pStyle w:val="Heading3"/>
      </w:pPr>
      <w:r>
        <w:rPr>
          <w:rFonts w:ascii="Cambria" w:hAnsi="Cambria"/>
          <w:color w:val="262626"/>
          <w:sz w:val="21"/>
        </w:rPr>
        <w:t xml:space="preserve">R.1 The Metric Set</w:t>
      </w:r>
    </w:p>
    <w:p>
      <w:pPr>
        <w:pStyle w:val="Normal"/>
      </w:pPr>
      <w:r>
        <w:rPr>
          <w:rFonts w:ascii="Cambria" w:hAnsi="Cambria"/>
          <w:color w:val="262626"/>
          <w:sz w:val="21"/>
        </w:rPr>
        <w:t xml:space="preserve">The system measures itself publicly on the following set: daily transits by corridor against the pre-conflict baseline; Central Transit Corridor continuity percentage; Flow State history; queue times by class; classification accuracy against the cross-verification sample; objection counts and resolution times; arbitration ruling times against the seventy-two-hour standard; distress response times; clearance progress against the sequence; reimbursement settlement times; dashboard currency; premium tracker readings; and energy-continuity indicators for crude, condensate, and liquefied natural gas.</w:t>
      </w:r>
    </w:p>
    <w:p>
      <w:pPr>
        <w:pStyle w:val="Heading3"/>
      </w:pPr>
      <w:r>
        <w:rPr>
          <w:rFonts w:ascii="Cambria" w:hAnsi="Cambria"/>
          <w:color w:val="262626"/>
          <w:sz w:val="21"/>
        </w:rPr>
        <w:t xml:space="preserve">R.2 The Publication Schedule</w:t>
      </w:r>
    </w:p>
    <w:tbl>
      <w:tblPr>
        <w:tblW w:w="5000" w:type="pct"/>
        <w:tblBorders>
          <w:top w:val="single" w:color="1F4E5F" w:sz="12"/>
          <w:left w:val="nil"/>
          <w:bottom w:val="single" w:color="1F4E5F" w:sz="12"/>
          <w:right w:val="nil"/>
          <w:insideH w:val="single" w:color="9FB8C0" w:sz="4"/>
          <w:insideV w:val="nil"/>
        </w:tblBorders>
        <w:tblCellMar>
          <w:top w:w="50" w:type="dxa"/>
          <w:left w:w="90" w:type="dxa"/>
          <w:bottom w:w="50" w:type="dxa"/>
          <w:right w:w="90" w:type="dxa"/>
        </w:tblCellMar>
      </w:tblPr>
      <w:tblGrid>
        <w:gridCol w:w="2250"/>
        <w:gridCol w:w="2700"/>
        <w:gridCol w:w="4076"/>
      </w:tblGrid>
      <w:tr>
        <w:trPr>
          <w:tblHeader/>
        </w:trPr>
        <w:tc>
          <w:tcPr>
            <w:tcW w:w="2250" w:type="dxa"/>
            <w:shd w:val="clear" w:fill="E9F1F3"/>
            <w:vAlign w:val="top"/>
          </w:tcPr>
          <w:p>
            <w:pPr>
              <w:spacing w:before="20" w:after="20" w:line="276" w:lineRule="auto"/>
              <w:jc w:val="left"/>
            </w:pPr>
            <w:r>
              <w:rPr>
                <w:rFonts w:ascii="Calibri" w:hAnsi="Calibri"/>
                <w:b/>
                <w:color w:val="16404E"/>
                <w:sz w:val="19"/>
              </w:rPr>
              <w:t xml:space="preserve">Publication</w:t>
            </w:r>
          </w:p>
        </w:tc>
        <w:tc>
          <w:tcPr>
            <w:tcW w:w="2700" w:type="dxa"/>
            <w:shd w:val="clear" w:fill="E9F1F3"/>
            <w:vAlign w:val="top"/>
          </w:tcPr>
          <w:p>
            <w:pPr>
              <w:spacing w:before="20" w:after="20" w:line="276" w:lineRule="auto"/>
              <w:jc w:val="left"/>
            </w:pPr>
            <w:r>
              <w:rPr>
                <w:rFonts w:ascii="Calibri" w:hAnsi="Calibri"/>
                <w:b/>
                <w:color w:val="16404E"/>
                <w:sz w:val="19"/>
              </w:rPr>
              <w:t xml:space="preserve">Rhythm</w:t>
            </w:r>
          </w:p>
        </w:tc>
        <w:tc>
          <w:tcPr>
            <w:tcW w:w="4076" w:type="dxa"/>
            <w:shd w:val="clear" w:fill="E9F1F3"/>
            <w:vAlign w:val="top"/>
          </w:tcPr>
          <w:p>
            <w:pPr>
              <w:spacing w:before="20" w:after="20" w:line="276" w:lineRule="auto"/>
              <w:jc w:val="left"/>
            </w:pPr>
            <w:r>
              <w:rPr>
                <w:rFonts w:ascii="Calibri" w:hAnsi="Calibri"/>
                <w:b/>
                <w:color w:val="16404E"/>
                <w:sz w:val="19"/>
              </w:rPr>
              <w:t xml:space="preserve">Owner</w:t>
            </w:r>
          </w:p>
        </w:tc>
      </w:tr>
      <w:tr>
        <w:tc>
          <w:tcPr>
            <w:tcW w:w="2250" w:type="dxa"/>
            <w:vAlign w:val="top"/>
          </w:tcPr>
          <w:p>
            <w:pPr>
              <w:spacing w:before="20" w:after="20" w:line="276" w:lineRule="auto"/>
              <w:jc w:val="left"/>
            </w:pPr>
            <w:r>
              <w:rPr>
                <w:rFonts w:ascii="Calibri" w:hAnsi="Calibri"/>
                <w:color w:val="262626"/>
                <w:sz w:val="18"/>
              </w:rPr>
              <w:t xml:space="preserve">Strait Conditions Bulletin</w:t>
            </w:r>
          </w:p>
        </w:tc>
        <w:tc>
          <w:tcPr>
            <w:tcW w:w="2700" w:type="dxa"/>
            <w:vAlign w:val="top"/>
          </w:tcPr>
          <w:p>
            <w:pPr>
              <w:spacing w:before="20" w:after="20" w:line="276" w:lineRule="auto"/>
              <w:jc w:val="left"/>
            </w:pPr>
            <w:r>
              <w:rPr>
                <w:rFonts w:ascii="Calibri" w:hAnsi="Calibri"/>
                <w:color w:val="262626"/>
                <w:sz w:val="18"/>
              </w:rPr>
              <w:t xml:space="preserve">Every six hours and on material change</w:t>
            </w:r>
          </w:p>
        </w:tc>
        <w:tc>
          <w:tcPr>
            <w:tcW w:w="4076" w:type="dxa"/>
            <w:vAlign w:val="top"/>
          </w:tcPr>
          <w:p>
            <w:pPr>
              <w:spacing w:before="20" w:after="20" w:line="276" w:lineRule="auto"/>
              <w:jc w:val="left"/>
            </w:pPr>
            <w:r>
              <w:rPr>
                <w:rFonts w:ascii="Calibri" w:hAnsi="Calibri"/>
                <w:color w:val="262626"/>
                <w:sz w:val="18"/>
              </w:rPr>
              <w:t xml:space="preserve">The Desk</w:t>
            </w:r>
          </w:p>
        </w:tc>
      </w:tr>
      <w:tr>
        <w:tc>
          <w:tcPr>
            <w:tcW w:w="2250" w:type="dxa"/>
            <w:vAlign w:val="top"/>
          </w:tcPr>
          <w:p>
            <w:pPr>
              <w:spacing w:before="20" w:after="20" w:line="276" w:lineRule="auto"/>
              <w:jc w:val="left"/>
            </w:pPr>
            <w:r>
              <w:rPr>
                <w:rFonts w:ascii="Calibri" w:hAnsi="Calibri"/>
                <w:color w:val="262626"/>
                <w:sz w:val="18"/>
              </w:rPr>
              <w:t xml:space="preserve">Fund dashboard</w:t>
            </w:r>
          </w:p>
        </w:tc>
        <w:tc>
          <w:tcPr>
            <w:tcW w:w="2700" w:type="dxa"/>
            <w:vAlign w:val="top"/>
          </w:tcPr>
          <w:p>
            <w:pPr>
              <w:spacing w:before="20" w:after="20" w:line="276" w:lineRule="auto"/>
              <w:jc w:val="left"/>
            </w:pPr>
            <w:r>
              <w:rPr>
                <w:rFonts w:ascii="Calibri" w:hAnsi="Calibri"/>
                <w:color w:val="262626"/>
                <w:sz w:val="18"/>
              </w:rPr>
              <w:t xml:space="preserve">Real time, refreshed continuously</w:t>
            </w:r>
          </w:p>
        </w:tc>
        <w:tc>
          <w:tcPr>
            <w:tcW w:w="4076" w:type="dxa"/>
            <w:vAlign w:val="top"/>
          </w:tcPr>
          <w:p>
            <w:pPr>
              <w:spacing w:before="20" w:after="20" w:line="276" w:lineRule="auto"/>
              <w:jc w:val="left"/>
            </w:pPr>
            <w:r>
              <w:rPr>
                <w:rFonts w:ascii="Calibri" w:hAnsi="Calibri"/>
                <w:color w:val="262626"/>
                <w:sz w:val="18"/>
              </w:rPr>
              <w:t xml:space="preserve">The Secretariat</w:t>
            </w:r>
          </w:p>
        </w:tc>
      </w:tr>
      <w:tr>
        <w:tc>
          <w:tcPr>
            <w:tcW w:w="2250" w:type="dxa"/>
            <w:vAlign w:val="top"/>
          </w:tcPr>
          <w:p>
            <w:pPr>
              <w:spacing w:before="20" w:after="20" w:line="276" w:lineRule="auto"/>
              <w:jc w:val="left"/>
            </w:pPr>
            <w:r>
              <w:rPr>
                <w:rFonts w:ascii="Calibri" w:hAnsi="Calibri"/>
                <w:color w:val="262626"/>
                <w:sz w:val="18"/>
              </w:rPr>
              <w:t xml:space="preserve">Incident notices</w:t>
            </w:r>
          </w:p>
        </w:tc>
        <w:tc>
          <w:tcPr>
            <w:tcW w:w="2700" w:type="dxa"/>
            <w:vAlign w:val="top"/>
          </w:tcPr>
          <w:p>
            <w:pPr>
              <w:spacing w:before="20" w:after="20" w:line="276" w:lineRule="auto"/>
              <w:jc w:val="left"/>
            </w:pPr>
            <w:r>
              <w:rPr>
                <w:rFonts w:ascii="Calibri" w:hAnsi="Calibri"/>
                <w:color w:val="262626"/>
                <w:sz w:val="18"/>
              </w:rPr>
              <w:t xml:space="preserve">Next Bulletin edition</w:t>
            </w:r>
          </w:p>
        </w:tc>
        <w:tc>
          <w:tcPr>
            <w:tcW w:w="4076" w:type="dxa"/>
            <w:vAlign w:val="top"/>
          </w:tcPr>
          <w:p>
            <w:pPr>
              <w:spacing w:before="20" w:after="20" w:line="276" w:lineRule="auto"/>
              <w:jc w:val="left"/>
            </w:pPr>
            <w:r>
              <w:rPr>
                <w:rFonts w:ascii="Calibri" w:hAnsi="Calibri"/>
                <w:color w:val="262626"/>
                <w:sz w:val="18"/>
              </w:rPr>
              <w:t xml:space="preserve">The Desk</w:t>
            </w:r>
          </w:p>
        </w:tc>
      </w:tr>
      <w:tr>
        <w:tc>
          <w:tcPr>
            <w:tcW w:w="2250" w:type="dxa"/>
            <w:vAlign w:val="top"/>
          </w:tcPr>
          <w:p>
            <w:pPr>
              <w:spacing w:before="20" w:after="20" w:line="276" w:lineRule="auto"/>
              <w:jc w:val="left"/>
            </w:pPr>
            <w:r>
              <w:rPr>
                <w:rFonts w:ascii="Calibri" w:hAnsi="Calibri"/>
                <w:color w:val="262626"/>
                <w:sz w:val="18"/>
              </w:rPr>
              <w:t xml:space="preserve">Confidence reports</w:t>
            </w:r>
          </w:p>
        </w:tc>
        <w:tc>
          <w:tcPr>
            <w:tcW w:w="2700" w:type="dxa"/>
            <w:vAlign w:val="top"/>
          </w:tcPr>
          <w:p>
            <w:pPr>
              <w:spacing w:before="20" w:after="20" w:line="276" w:lineRule="auto"/>
              <w:jc w:val="left"/>
            </w:pPr>
            <w:r>
              <w:rPr>
                <w:rFonts w:ascii="Calibri" w:hAnsi="Calibri"/>
                <w:color w:val="262626"/>
                <w:sz w:val="18"/>
              </w:rPr>
              <w:t xml:space="preserve">Day 30, Day 50, then quarterly</w:t>
            </w:r>
          </w:p>
        </w:tc>
        <w:tc>
          <w:tcPr>
            <w:tcW w:w="4076" w:type="dxa"/>
            <w:vAlign w:val="top"/>
          </w:tcPr>
          <w:p>
            <w:pPr>
              <w:spacing w:before="20" w:after="20" w:line="276" w:lineRule="auto"/>
              <w:jc w:val="left"/>
            </w:pPr>
            <w:r>
              <w:rPr>
                <w:rFonts w:ascii="Calibri" w:hAnsi="Calibri"/>
                <w:color w:val="262626"/>
                <w:sz w:val="18"/>
              </w:rPr>
              <w:t xml:space="preserve">The Desk with the Cell and the Secretariat</w:t>
            </w:r>
          </w:p>
        </w:tc>
      </w:tr>
      <w:tr>
        <w:tc>
          <w:tcPr>
            <w:tcW w:w="2250" w:type="dxa"/>
            <w:vAlign w:val="top"/>
          </w:tcPr>
          <w:p>
            <w:pPr>
              <w:spacing w:before="20" w:after="20" w:line="276" w:lineRule="auto"/>
              <w:jc w:val="left"/>
            </w:pPr>
            <w:r>
              <w:rPr>
                <w:rFonts w:ascii="Calibri" w:hAnsi="Calibri"/>
                <w:color w:val="262626"/>
                <w:sz w:val="18"/>
              </w:rPr>
              <w:t xml:space="preserve">Financial statements and audits</w:t>
            </w:r>
          </w:p>
        </w:tc>
        <w:tc>
          <w:tcPr>
            <w:tcW w:w="2700" w:type="dxa"/>
            <w:vAlign w:val="top"/>
          </w:tcPr>
          <w:p>
            <w:pPr>
              <w:spacing w:before="20" w:after="20" w:line="276" w:lineRule="auto"/>
              <w:jc w:val="left"/>
            </w:pPr>
            <w:r>
              <w:rPr>
                <w:rFonts w:ascii="Calibri" w:hAnsi="Calibri"/>
                <w:color w:val="262626"/>
                <w:sz w:val="18"/>
              </w:rPr>
              <w:t xml:space="preserve">Quarterly and annually</w:t>
            </w:r>
          </w:p>
        </w:tc>
        <w:tc>
          <w:tcPr>
            <w:tcW w:w="4076" w:type="dxa"/>
            <w:vAlign w:val="top"/>
          </w:tcPr>
          <w:p>
            <w:pPr>
              <w:spacing w:before="20" w:after="20" w:line="276" w:lineRule="auto"/>
              <w:jc w:val="left"/>
            </w:pPr>
            <w:r>
              <w:rPr>
                <w:rFonts w:ascii="Calibri" w:hAnsi="Calibri"/>
                <w:color w:val="262626"/>
                <w:sz w:val="18"/>
              </w:rPr>
              <w:t xml:space="preserve">The Secretariat and the external auditor</w:t>
            </w:r>
          </w:p>
        </w:tc>
      </w:tr>
      <w:tr>
        <w:tc>
          <w:tcPr>
            <w:tcW w:w="2250" w:type="dxa"/>
            <w:vAlign w:val="top"/>
          </w:tcPr>
          <w:p>
            <w:pPr>
              <w:spacing w:before="20" w:after="20" w:line="276" w:lineRule="auto"/>
              <w:jc w:val="left"/>
            </w:pPr>
            <w:r>
              <w:rPr>
                <w:rFonts w:ascii="Calibri" w:hAnsi="Calibri"/>
                <w:color w:val="262626"/>
                <w:sz w:val="18"/>
              </w:rPr>
              <w:t xml:space="preserve">Reciprocity Record</w:t>
            </w:r>
          </w:p>
        </w:tc>
        <w:tc>
          <w:tcPr>
            <w:tcW w:w="2700" w:type="dxa"/>
            <w:vAlign w:val="top"/>
          </w:tcPr>
          <w:p>
            <w:pPr>
              <w:spacing w:before="20" w:after="20" w:line="276" w:lineRule="auto"/>
              <w:jc w:val="left"/>
            </w:pPr>
            <w:r>
              <w:rPr>
                <w:rFonts w:ascii="Calibri" w:hAnsi="Calibri"/>
                <w:color w:val="262626"/>
                <w:sz w:val="18"/>
              </w:rPr>
              <w:t xml:space="preserve">Quarterly</w:t>
            </w:r>
          </w:p>
        </w:tc>
        <w:tc>
          <w:tcPr>
            <w:tcW w:w="4076" w:type="dxa"/>
            <w:vAlign w:val="top"/>
          </w:tcPr>
          <w:p>
            <w:pPr>
              <w:spacing w:before="20" w:after="20" w:line="276" w:lineRule="auto"/>
              <w:jc w:val="left"/>
            </w:pPr>
            <w:r>
              <w:rPr>
                <w:rFonts w:ascii="Calibri" w:hAnsi="Calibri"/>
                <w:color w:val="262626"/>
                <w:sz w:val="18"/>
              </w:rPr>
              <w:t xml:space="preserve">The Secretariat</w:t>
            </w:r>
          </w:p>
        </w:tc>
      </w:tr>
      <w:tr>
        <w:tc>
          <w:tcPr>
            <w:tcW w:w="2250" w:type="dxa"/>
            <w:vAlign w:val="top"/>
          </w:tcPr>
          <w:p>
            <w:pPr>
              <w:spacing w:before="20" w:after="20" w:line="276" w:lineRule="auto"/>
              <w:jc w:val="left"/>
            </w:pPr>
            <w:r>
              <w:rPr>
                <w:rFonts w:ascii="Calibri" w:hAnsi="Calibri"/>
                <w:color w:val="262626"/>
                <w:sz w:val="18"/>
              </w:rPr>
              <w:t xml:space="preserve">Dispute statistics</w:t>
            </w:r>
          </w:p>
        </w:tc>
        <w:tc>
          <w:tcPr>
            <w:tcW w:w="2700" w:type="dxa"/>
            <w:vAlign w:val="top"/>
          </w:tcPr>
          <w:p>
            <w:pPr>
              <w:spacing w:before="20" w:after="20" w:line="276" w:lineRule="auto"/>
              <w:jc w:val="left"/>
            </w:pPr>
            <w:r>
              <w:rPr>
                <w:rFonts w:ascii="Calibri" w:hAnsi="Calibri"/>
                <w:color w:val="262626"/>
                <w:sz w:val="18"/>
              </w:rPr>
              <w:t xml:space="preserve">Quarterly</w:t>
            </w:r>
          </w:p>
        </w:tc>
        <w:tc>
          <w:tcPr>
            <w:tcW w:w="4076" w:type="dxa"/>
            <w:vAlign w:val="top"/>
          </w:tcPr>
          <w:p>
            <w:pPr>
              <w:spacing w:before="20" w:after="20" w:line="276" w:lineRule="auto"/>
              <w:jc w:val="left"/>
            </w:pPr>
            <w:r>
              <w:rPr>
                <w:rFonts w:ascii="Calibri" w:hAnsi="Calibri"/>
                <w:color w:val="262626"/>
                <w:sz w:val="18"/>
              </w:rPr>
              <w:t xml:space="preserve">The Secretariat</w:t>
            </w:r>
          </w:p>
        </w:tc>
      </w:tr>
      <w:tr>
        <w:tc>
          <w:tcPr>
            <w:tcW w:w="2250" w:type="dxa"/>
            <w:vAlign w:val="top"/>
          </w:tcPr>
          <w:p>
            <w:pPr>
              <w:spacing w:before="20" w:after="20" w:line="276" w:lineRule="auto"/>
              <w:jc w:val="left"/>
            </w:pPr>
            <w:r>
              <w:rPr>
                <w:rFonts w:ascii="Calibri" w:hAnsi="Calibri"/>
                <w:color w:val="262626"/>
                <w:sz w:val="18"/>
              </w:rPr>
              <w:t xml:space="preserve">Risk register review</w:t>
            </w:r>
          </w:p>
        </w:tc>
        <w:tc>
          <w:tcPr>
            <w:tcW w:w="2700" w:type="dxa"/>
            <w:vAlign w:val="top"/>
          </w:tcPr>
          <w:p>
            <w:pPr>
              <w:spacing w:before="20" w:after="20" w:line="276" w:lineRule="auto"/>
              <w:jc w:val="left"/>
            </w:pPr>
            <w:r>
              <w:rPr>
                <w:rFonts w:ascii="Calibri" w:hAnsi="Calibri"/>
                <w:color w:val="262626"/>
                <w:sz w:val="18"/>
              </w:rPr>
              <w:t xml:space="preserve">Quarterly</w:t>
            </w:r>
          </w:p>
        </w:tc>
        <w:tc>
          <w:tcPr>
            <w:tcW w:w="4076" w:type="dxa"/>
            <w:vAlign w:val="top"/>
          </w:tcPr>
          <w:p>
            <w:pPr>
              <w:spacing w:before="20" w:after="20" w:line="276" w:lineRule="auto"/>
              <w:jc w:val="left"/>
            </w:pPr>
            <w:r>
              <w:rPr>
                <w:rFonts w:ascii="Calibri" w:hAnsi="Calibri"/>
                <w:color w:val="262626"/>
                <w:sz w:val="18"/>
              </w:rPr>
              <w:t xml:space="preserve">The Council</w:t>
            </w:r>
          </w:p>
        </w:tc>
      </w:tr>
      <w:tr>
        <w:tc>
          <w:tcPr>
            <w:tcW w:w="2250" w:type="dxa"/>
            <w:vAlign w:val="top"/>
          </w:tcPr>
          <w:p>
            <w:pPr>
              <w:spacing w:before="20" w:after="20" w:line="276" w:lineRule="auto"/>
              <w:jc w:val="left"/>
            </w:pPr>
            <w:r>
              <w:rPr>
                <w:rFonts w:ascii="Calibri" w:hAnsi="Calibri"/>
                <w:color w:val="262626"/>
                <w:sz w:val="18"/>
              </w:rPr>
              <w:t xml:space="preserve">Rate card and budget</w:t>
            </w:r>
          </w:p>
        </w:tc>
        <w:tc>
          <w:tcPr>
            <w:tcW w:w="2700" w:type="dxa"/>
            <w:vAlign w:val="top"/>
          </w:tcPr>
          <w:p>
            <w:pPr>
              <w:spacing w:before="20" w:after="20" w:line="276" w:lineRule="auto"/>
              <w:jc w:val="left"/>
            </w:pPr>
            <w:r>
              <w:rPr>
                <w:rFonts w:ascii="Calibri" w:hAnsi="Calibri"/>
                <w:color w:val="262626"/>
                <w:sz w:val="18"/>
              </w:rPr>
              <w:t xml:space="preserve">Annually, sixty days before effect</w:t>
            </w:r>
          </w:p>
        </w:tc>
        <w:tc>
          <w:tcPr>
            <w:tcW w:w="4076" w:type="dxa"/>
            <w:vAlign w:val="top"/>
          </w:tcPr>
          <w:p>
            <w:pPr>
              <w:spacing w:before="20" w:after="20" w:line="276" w:lineRule="auto"/>
              <w:jc w:val="left"/>
            </w:pPr>
            <w:r>
              <w:rPr>
                <w:rFonts w:ascii="Calibri" w:hAnsi="Calibri"/>
                <w:color w:val="262626"/>
                <w:sz w:val="18"/>
              </w:rPr>
              <w:t xml:space="preserve">The Desk and the board</w:t>
            </w:r>
          </w:p>
        </w:tc>
      </w:tr>
      <w:tr>
        <w:tc>
          <w:tcPr>
            <w:tcW w:w="2250" w:type="dxa"/>
            <w:vAlign w:val="top"/>
          </w:tcPr>
          <w:p>
            <w:pPr>
              <w:spacing w:before="20" w:after="20" w:line="276" w:lineRule="auto"/>
              <w:jc w:val="left"/>
            </w:pPr>
            <w:r>
              <w:rPr>
                <w:rFonts w:ascii="Calibri" w:hAnsi="Calibri"/>
                <w:color w:val="262626"/>
                <w:sz w:val="18"/>
              </w:rPr>
              <w:t xml:space="preserve">Consolidated text</w:t>
            </w:r>
          </w:p>
        </w:tc>
        <w:tc>
          <w:tcPr>
            <w:tcW w:w="2700" w:type="dxa"/>
            <w:vAlign w:val="top"/>
          </w:tcPr>
          <w:p>
            <w:pPr>
              <w:spacing w:before="20" w:after="20" w:line="276" w:lineRule="auto"/>
              <w:jc w:val="left"/>
            </w:pPr>
            <w:r>
              <w:rPr>
                <w:rFonts w:ascii="Calibri" w:hAnsi="Calibri"/>
                <w:color w:val="262626"/>
                <w:sz w:val="18"/>
              </w:rPr>
              <w:t xml:space="preserve">On every amendment, within seven days</w:t>
            </w:r>
          </w:p>
        </w:tc>
        <w:tc>
          <w:tcPr>
            <w:tcW w:w="4076" w:type="dxa"/>
            <w:vAlign w:val="top"/>
          </w:tcPr>
          <w:p>
            <w:pPr>
              <w:spacing w:before="20" w:after="20" w:line="276" w:lineRule="auto"/>
              <w:jc w:val="left"/>
            </w:pPr>
            <w:r>
              <w:rPr>
                <w:rFonts w:ascii="Calibri" w:hAnsi="Calibri"/>
                <w:color w:val="262626"/>
                <w:sz w:val="18"/>
              </w:rPr>
              <w:t xml:space="preserve">The depositary</w:t>
            </w:r>
          </w:p>
        </w:tc>
      </w:tr>
    </w:tbl>
    <w:p>
      <w:pPr>
        <w:spacing w:before="60" w:after="120"/>
      </w:pPr>
    </w:p>
    <w:p>
      <w:pPr>
        <w:pStyle w:val="Heading3"/>
      </w:pPr>
      <w:r>
        <w:rPr>
          <w:rFonts w:ascii="Cambria" w:hAnsi="Cambria"/>
          <w:color w:val="262626"/>
          <w:sz w:val="21"/>
        </w:rPr>
        <w:t xml:space="preserve">R.3 The Accuracy Standard</w:t>
      </w:r>
    </w:p>
    <w:p>
      <w:pPr>
        <w:pStyle w:val="Normal"/>
      </w:pPr>
      <w:r>
        <w:rPr>
          <w:rFonts w:ascii="Cambria" w:hAnsi="Cambria"/>
          <w:color w:val="262626"/>
          <w:sz w:val="21"/>
        </w:rPr>
        <w:t xml:space="preserve">The system holds the ninety-eight percent classification accuracy standard and the zero-stale-dispute standard of Article 37.2 as binding renewal criteria, and every report states performance against them without rounding in the system's favor.</w:t>
      </w:r>
    </w:p>
    <w:p>
      <w:pPr>
        <w:pStyle w:val="Heading2"/>
      </w:pPr>
      <w:r>
        <w:rPr>
          <w:rFonts w:ascii="Cambria" w:hAnsi="Cambria"/>
          <w:color w:val="262626"/>
          <w:sz w:val="21"/>
        </w:rPr>
        <w:t xml:space="preserve">Annex S: Provenance and Design Sources</w:t>
      </w:r>
      <w:bookmarkStart w:id="588" w:name="_Toc26010089"/>
      <w:bookmarkEnd w:id="588"/>
    </w:p>
    <w:p>
      <w:pPr>
        <w:pStyle w:val="Heading3"/>
      </w:pPr>
      <w:r>
        <w:rPr>
          <w:rFonts w:ascii="Cambria" w:hAnsi="Cambria"/>
          <w:color w:val="262626"/>
          <w:sz w:val="21"/>
        </w:rPr>
        <w:t xml:space="preserve">S.1 Public Record Sources</w:t>
      </w:r>
    </w:p>
    <w:p>
      <w:pPr>
        <w:pStyle w:val="Normal"/>
      </w:pPr>
      <w:r>
        <w:rPr>
          <w:rFonts w:ascii="Cambria" w:hAnsi="Cambria"/>
          <w:color w:val="262626"/>
          <w:sz w:val="21"/>
        </w:rPr>
        <w:t xml:space="preserve">This draft builds on the public record of the 2026 crisis and negotiations, including: the fourteen-point memorandum of understanding of 17 June 2026 and its published passage and administration chapters; the Oman-Iran joint statement on the working group for administration, services, and costs; the Omani temporary corridor announcement of 24 June 2026 and the Omani declaration of 1 July 2026 on transit fees and international law; the Omani voluntary-fee plan reported on 28 July 2026; the mediators' proposal reported on 20 July 2026, including its Malacca reference and its two-lane reopening structure; the Gulf Cooperation Council foreign ministers' statement of 28 July 2026; the Qatari foreign ministry's statements of 2 April and 14 July 2026; the Iranian foreign ministry's maritime security communiques of March 2026; and the reported positions of the United States administration across the period, including the permanent toll-free formulation and the Guardian proposal and its withdrawal of 13 and 14 July 2026.</w:t>
      </w:r>
    </w:p>
    <w:p>
      <w:pPr>
        <w:pStyle w:val="Heading3"/>
      </w:pPr>
      <w:r>
        <w:rPr>
          <w:rFonts w:ascii="Cambria" w:hAnsi="Cambria"/>
          <w:color w:val="262626"/>
          <w:sz w:val="21"/>
        </w:rPr>
        <w:t xml:space="preserve">S.2 Conceptual Sources</w:t>
      </w:r>
    </w:p>
    <w:p>
      <w:pPr>
        <w:pStyle w:val="Normal"/>
      </w:pPr>
      <w:r>
        <w:rPr>
          <w:rFonts w:ascii="Cambria" w:hAnsi="Cambria"/>
          <w:color w:val="262626"/>
          <w:sz w:val="21"/>
        </w:rPr>
        <w:t xml:space="preserve">The draft draws structural inspiration from the negotiating teams' accompanying conceptual frameworks: the three-corridor routing concept and its administrative split; the multi-channel settlement of the fee question; the three-layer verification concept combining automated tracking, co-located human observation, and independent data custody with rapid technical arbitration; the phased reopening sequence with its priority classes; the standing-continuity and no-fade concept; the compliance classification and earn-back concept; the red lines register concept; and the narrative symmetry concept. Every mechanism drawn from those frameworks appears here under a neutral functional name, integrated into a single operative instrument, and no text mirrors any single source document.</w:t>
      </w:r>
    </w:p>
    <w:p>
      <w:pPr>
        <w:pStyle w:val="Heading3"/>
      </w:pPr>
      <w:r>
        <w:rPr>
          <w:rFonts w:ascii="Cambria" w:hAnsi="Cambria"/>
          <w:color w:val="262626"/>
          <w:sz w:val="21"/>
        </w:rPr>
        <w:t xml:space="preserve">S.3 Legal and Technical References</w:t>
      </w:r>
    </w:p>
    <w:p>
      <w:pPr>
        <w:pStyle w:val="Normal"/>
      </w:pPr>
      <w:r>
        <w:rPr>
          <w:rFonts w:ascii="Cambria" w:hAnsi="Cambria"/>
          <w:color w:val="262626"/>
          <w:sz w:val="21"/>
        </w:rPr>
        <w:t xml:space="preserve">The draft references, descriptively and without resolving any party's legal position: the United Nations Convention on the Law of the Sea, including its provisions on straits used for international navigation and on charges in territorial sea passage; the 1958 Geneva Conventions on the law of the sea; the traffic separation scheme adopted through the International Maritime Organization in 1966; the cooperative service-fee practice of the Strait of Malacca's littoral states; the international distress, safety, and pollution instruments as each party applies them; and Security Council resolution 2817 as referenced in regional statements of July 2026.</w:t>
      </w:r>
    </w:p>
    <w:p>
      <w:pPr>
        <w:pStyle w:val="Heading3"/>
      </w:pPr>
      <w:r>
        <w:rPr>
          <w:rFonts w:ascii="Cambria" w:hAnsi="Cambria"/>
          <w:color w:val="262626"/>
          <w:sz w:val="21"/>
        </w:rPr>
        <w:t xml:space="preserve">S.4 Standing Note</w:t>
      </w:r>
    </w:p>
    <w:p>
      <w:pPr>
        <w:pStyle w:val="Normal"/>
      </w:pPr>
      <w:r>
        <w:rPr>
          <w:rFonts w:ascii="Cambria" w:hAnsi="Cambria"/>
          <w:color w:val="262626"/>
          <w:sz w:val="21"/>
        </w:rPr>
        <w:t xml:space="preserve">This Annex records design provenance for the delegations' working convenience. It creates no obligations, and the operative Articles and operational Annexes alone govern the system.</w:t>
      </w:r>
    </w:p>
    <w:sectPr>
      <w:headerReference w:type="default" r:id="R05010107418b446d"/>
      <w:footerReference w:type="default" r:id="R7d53e5451e4f4412"/>
      <w:pgSz w:w="11906" w:h="16838"/>
      <w:pgMar w:top="1440" w:right="1440" w:bottom="1440" w:left="1440" w:header="720" w:footer="720"/>
    </w:sectPr>
  </w:body>
</w:document>
</file>

<file path=word/footer1.xml><?xml version="1.0" encoding="utf-8"?>
<w:ftr xmlns:w="http://schemas.openxmlformats.org/wordprocessingml/2006/main">
  <w:p>
    <w:pPr>
      <w:jc w:val="center"/>
    </w:pPr>
    <w:r>
      <w:rPr>
        <w:rFonts w:ascii="Calibri" w:hAnsi="Calibri"/>
        <w:color w:val="5A7480"/>
        <w:sz w:val="18"/>
      </w:rPr>
      <w:t xml:space="preserve">Page </w:t>
    </w:r>
    <w:r>
      <w:rPr>
        <w:rFonts w:ascii="Calibri"/>
        <w:color w:val="5A7480"/>
        <w:sz w:val="18"/>
      </w:rPr>
      <w:fldChar w:fldCharType="begin"/>
    </w:r>
    <w:r>
      <w:rPr>
        <w:rFonts w:ascii="Calibri"/>
        <w:color w:val="5A7480"/>
        <w:sz w:val="18"/>
      </w:rPr>
      <w:instrText xml:space="preserve"> PAGE </w:instrText>
    </w:r>
    <w:r>
      <w:rPr>
        <w:rFonts w:ascii="Calibri"/>
        <w:color w:val="5A7480"/>
        <w:sz w:val="18"/>
      </w:rPr>
      <w:fldChar w:fldCharType="end"/>
    </w:r>
    <w:r>
      <w:rPr>
        <w:rFonts w:ascii="Calibri" w:hAnsi="Calibri"/>
        <w:color w:val="5A7480"/>
        <w:sz w:val="18"/>
      </w:rPr>
      <w:t xml:space="preserve"> of </w:t>
    </w:r>
    <w:r>
      <w:rPr>
        <w:rFonts w:ascii="Calibri"/>
        <w:color w:val="5A7480"/>
        <w:sz w:val="18"/>
      </w:rPr>
      <w:fldChar w:fldCharType="begin"/>
    </w:r>
    <w:r>
      <w:rPr>
        <w:rFonts w:ascii="Calibri"/>
        <w:color w:val="5A7480"/>
        <w:sz w:val="18"/>
      </w:rPr>
      <w:instrText xml:space="preserve"> NUMPAGES </w:instrText>
    </w:r>
    <w:r>
      <w:rPr>
        <w:rFonts w:ascii="Calibri"/>
        <w:color w:val="5A7480"/>
        <w:sz w:val="18"/>
      </w:rPr>
      <w:fldChar w:fldCharType="end"/>
    </w:r>
  </w:p>
</w:ftr>
</file>

<file path=word/header1.xml><?xml version="1.0" encoding="utf-8"?>
<w:hdr xmlns:w="http://schemas.openxmlformats.org/wordprocessingml/2006/main">
  <w:p>
    <w:pPr>
      <w:pBdr>
        <w:bottom w:val="single" w:color="9FB8C0" w:sz="4" w:space="2"/>
      </w:pBdr>
      <w:spacing w:after="0"/>
      <w:jc w:val="right"/>
    </w:pPr>
    <w:r>
      <w:rPr>
        <w:rFonts w:ascii="Calibri" w:hAnsi="Calibri"/>
        <w:color w:val="5A7480"/>
        <w:sz w:val="17"/>
      </w:rPr>
      <w:t xml:space="preserve">The Hormuz Operations &amp; Navigation Agreement v1.0</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name w:val="Normal"/>
    <w:pPr>
      <w:spacing w:after="170" w:line="312" w:lineRule="auto"/>
      <w:jc w:val="both"/>
    </w:pPr>
    <w:rPr>
      <w:rFonts w:ascii="Cambria" w:hAnsi="Cambria"/>
      <w:color w:val="262626"/>
      <w:sz w:val="21"/>
    </w:rPr>
  </w:style>
  <w:style w:type="paragraph" w:styleId="Heading1">
    <w:name w:val="heading 1"/>
    <w:basedOn w:val="Normal"/>
    <w:pPr>
      <w:keepNext/>
      <w:keepLines/>
      <w:pageBreakBefore/>
      <w:pBdr>
        <w:bottom w:val="single" w:color="16404E" w:sz="12" w:space="4"/>
      </w:pBdr>
      <w:spacing w:before="120" w:after="300"/>
      <w:jc w:val="left"/>
      <w:outlineLvl w:val="0"/>
    </w:pPr>
    <w:rPr>
      <w:rFonts w:ascii="Calibri" w:hAnsi="Calibri"/>
      <w:b/>
      <w:color w:val="16404E"/>
      <w:sz w:val="32"/>
    </w:rPr>
  </w:style>
  <w:style w:type="paragraph" w:styleId="Heading2">
    <w:name w:val="heading 2"/>
    <w:basedOn w:val="Normal"/>
    <w:pPr>
      <w:keepNext/>
      <w:keepLines/>
      <w:spacing w:before="420" w:after="180"/>
      <w:jc w:val="left"/>
      <w:outlineLvl w:val="1"/>
    </w:pPr>
    <w:rPr>
      <w:rFonts w:ascii="Calibri" w:hAnsi="Calibri"/>
      <w:b/>
      <w:color w:val="1F4E5F"/>
      <w:sz w:val="26"/>
    </w:rPr>
  </w:style>
  <w:style w:type="paragraph" w:styleId="Heading3">
    <w:name w:val="heading 3"/>
    <w:basedOn w:val="Normal"/>
    <w:pPr>
      <w:keepNext/>
      <w:keepLines/>
      <w:spacing w:before="260" w:after="120"/>
      <w:jc w:val="left"/>
      <w:outlineLvl w:val="2"/>
    </w:pPr>
    <w:rPr>
      <w:rFonts w:ascii="Calibri" w:hAnsi="Calibri"/>
      <w:b/>
      <w:i/>
      <w:color w:val="3D5A66"/>
      <w:sz w:val="22"/>
    </w:rPr>
  </w:style>
  <w:style w:type="paragraph" w:styleId="TOC1">
    <w:name w:val="toc 1"/>
    <w:basedOn w:val="Normal"/>
    <w:pPr>
      <w:tabs>
        <w:tab w:val="right" w:leader="dot" w:pos="9010"/>
      </w:tabs>
      <w:spacing w:before="120" w:after="40"/>
      <w:jc w:val="left"/>
    </w:pPr>
    <w:rPr>
      <w:rFonts w:ascii="Calibri" w:hAnsi="Calibri"/>
      <w:b/>
      <w:color w:val="16404E"/>
      <w:sz w:val="21"/>
    </w:rPr>
  </w:style>
  <w:style w:type="paragraph" w:styleId="TOC2">
    <w:name w:val="toc 2"/>
    <w:basedOn w:val="Normal"/>
    <w:pPr>
      <w:tabs>
        <w:tab w:val="right" w:leader="dot" w:pos="9010"/>
      </w:tabs>
      <w:spacing w:before="0" w:after="20"/>
      <w:ind w:left="360"/>
      <w:jc w:val="left"/>
    </w:pPr>
    <w:rPr>
      <w:rFonts w:ascii="Calibri" w:hAnsi="Calibri"/>
      <w:color w:val="262626"/>
      <w:sz w:val="20"/>
    </w:rPr>
  </w:style>
  <w:style w:type="character" w:styleId="Hyperlink">
    <w:name w:val="Hyperlink"/>
    <w:uiPriority w:val="99"/>
    <w:unhideWhenUsed/>
    <w:rPr>
      <w:rFonts w:ascii="Calibri" w:hAnsi="Calibri"/>
      <w:color w:val="467886"/>
      <w:u w:val="single"/>
    </w:rPr>
  </w:style>
</w:styles>
</file>

<file path=word/_rels/document.xml.rels><?xml version='1.0' encoding='UTF-8'?>
<Relationships xmlns="http://schemas.openxmlformats.org/package/2006/relationships"><Relationship Type="http://schemas.openxmlformats.org/officeDocument/2006/relationships/settings" Target="settings.xml" Id="R227641d0fe004921" /><Relationship Type="http://schemas.openxmlformats.org/officeDocument/2006/relationships/styles" Target="styles.xml" Id="R3bc2c9a5ec004573" /><Relationship Type="http://schemas.openxmlformats.org/officeDocument/2006/relationships/header" Target="header1.xml" Id="R05010107418b446d" /><Relationship Type="http://schemas.openxmlformats.org/officeDocument/2006/relationships/footer" Target="footer1.xml" Id="R7d53e5451e4f4412" /></Relationships>
</file>